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川区人民政府</w:t>
      </w:r>
      <w:r>
        <w:rPr>
          <w:rFonts w:hint="eastAsia" w:ascii="Times New Roman" w:hAnsi="Times New Roman" w:eastAsia="方正小标宋简体" w:cs="Times New Roman"/>
          <w:sz w:val="44"/>
          <w:szCs w:val="44"/>
        </w:rPr>
        <w:t>办公室</w:t>
      </w:r>
    </w:p>
    <w:p>
      <w:pPr>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2023年政府信息公开工作年度报告</w:t>
      </w:r>
    </w:p>
    <w:p>
      <w:pPr>
        <w:spacing w:line="560" w:lineRule="exact"/>
        <w:rPr>
          <w:rFonts w:ascii="Times New Roman" w:hAnsi="Times New Roman" w:eastAsia="仿宋_GB2312" w:cs="Times New Roman"/>
          <w:sz w:val="32"/>
          <w:szCs w:val="32"/>
        </w:rPr>
      </w:pPr>
    </w:p>
    <w:p>
      <w:pPr>
        <w:pStyle w:val="8"/>
        <w:shd w:val="clear" w:color="auto" w:fill="FFFFFF"/>
        <w:spacing w:before="0" w:beforeAutospacing="0" w:after="0" w:afterAutospacing="0"/>
        <w:ind w:firstLine="420"/>
        <w:rPr>
          <w:rFonts w:ascii="Times New Roman" w:hAnsi="Times New Roman" w:eastAsia="仿宋_GB2312" w:cs="Times New Roman"/>
          <w:sz w:val="32"/>
          <w:szCs w:val="32"/>
        </w:rPr>
      </w:pPr>
      <w:r>
        <w:rPr>
          <w:rFonts w:ascii="Times New Roman" w:hAnsi="Times New Roman" w:eastAsia="仿宋_GB2312" w:cs="Times New Roman"/>
          <w:sz w:val="32"/>
          <w:szCs w:val="32"/>
        </w:rPr>
        <w:t>本年度报告中所列数据的统计期限自2023年1月1日起，至2023年12月31日止。如对报告内容有疑问，请与淄博市淄川区人民政府</w:t>
      </w:r>
      <w:r>
        <w:rPr>
          <w:rFonts w:hint="eastAsia" w:ascii="Times New Roman" w:hAnsi="Times New Roman" w:eastAsia="仿宋_GB2312" w:cs="Times New Roman"/>
          <w:sz w:val="32"/>
          <w:szCs w:val="32"/>
        </w:rPr>
        <w:t>办公室</w:t>
      </w:r>
      <w:r>
        <w:rPr>
          <w:rFonts w:ascii="Times New Roman" w:hAnsi="Times New Roman" w:eastAsia="仿宋_GB2312" w:cs="Times New Roman"/>
          <w:sz w:val="32"/>
          <w:szCs w:val="32"/>
        </w:rPr>
        <w:t>联系（地址：山东省淄博市淄川区般阳路35号，</w:t>
      </w:r>
      <w:r>
        <w:rPr>
          <w:rFonts w:hint="eastAsia" w:ascii="Times New Roman" w:hAnsi="Times New Roman" w:eastAsia="仿宋_GB2312" w:cs="Times New Roman"/>
          <w:sz w:val="32"/>
          <w:szCs w:val="32"/>
        </w:rPr>
        <w:t>邮编：255100；</w:t>
      </w:r>
      <w:r>
        <w:rPr>
          <w:rFonts w:ascii="Times New Roman" w:hAnsi="Times New Roman" w:eastAsia="仿宋_GB2312" w:cs="Times New Roman"/>
          <w:sz w:val="32"/>
          <w:szCs w:val="32"/>
        </w:rPr>
        <w:t>电话：0533-5181064</w:t>
      </w:r>
      <w:r>
        <w:rPr>
          <w:rFonts w:hint="eastAsia" w:ascii="Times New Roman" w:hAnsi="Times New Roman" w:eastAsia="仿宋_GB2312" w:cs="Times New Roman"/>
          <w:sz w:val="32"/>
          <w:szCs w:val="32"/>
        </w:rPr>
        <w:t>；电子</w:t>
      </w:r>
      <w:r>
        <w:rPr>
          <w:rFonts w:ascii="Times New Roman" w:hAnsi="Times New Roman" w:eastAsia="仿宋_GB2312" w:cs="Times New Roman"/>
          <w:sz w:val="32"/>
          <w:szCs w:val="32"/>
        </w:rPr>
        <w:t>邮箱：</w:t>
      </w:r>
      <w:r>
        <w:fldChar w:fldCharType="begin"/>
      </w:r>
      <w:r>
        <w:instrText xml:space="preserve"> HYPERLINK "mailto:zcgov@zb.shandong.cn" </w:instrText>
      </w:r>
      <w:r>
        <w:fldChar w:fldCharType="separate"/>
      </w:r>
      <w:r>
        <w:rPr>
          <w:rStyle w:val="18"/>
          <w:rFonts w:ascii="Times New Roman" w:hAnsi="Times New Roman" w:eastAsia="仿宋_GB2312" w:cs="Times New Roman"/>
          <w:color w:val="auto"/>
          <w:sz w:val="32"/>
          <w:szCs w:val="32"/>
        </w:rPr>
        <w:t>zcgov@zb.shandong.cn</w:t>
      </w:r>
      <w:r>
        <w:rPr>
          <w:rStyle w:val="18"/>
          <w:rFonts w:ascii="Times New Roman" w:hAnsi="Times New Roman" w:eastAsia="仿宋_GB2312" w:cs="Times New Roman"/>
          <w:color w:val="auto"/>
          <w:sz w:val="32"/>
          <w:szCs w:val="32"/>
        </w:rPr>
        <w:fldChar w:fldCharType="end"/>
      </w:r>
      <w:r>
        <w:rPr>
          <w:rFonts w:ascii="Times New Roman" w:hAnsi="Times New Roman" w:eastAsia="仿宋_GB2312" w:cs="Times New Roman"/>
          <w:sz w:val="32"/>
          <w:szCs w:val="32"/>
        </w:rPr>
        <w:t>）。</w:t>
      </w:r>
    </w:p>
    <w:p>
      <w:pPr>
        <w:widowControl/>
        <w:shd w:val="clear" w:color="auto" w:fill="FFFFFF"/>
        <w:spacing w:line="560" w:lineRule="exact"/>
        <w:ind w:firstLine="640"/>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一、总体情况</w:t>
      </w:r>
    </w:p>
    <w:p>
      <w:pPr>
        <w:widowControl/>
        <w:shd w:val="clear" w:color="auto" w:fill="FFFFFF"/>
        <w:spacing w:line="560" w:lineRule="exact"/>
        <w:ind w:firstLine="64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淄川区人民政府</w:t>
      </w:r>
      <w:r>
        <w:rPr>
          <w:rFonts w:hint="eastAsia" w:ascii="Times New Roman" w:hAnsi="Times New Roman" w:eastAsia="仿宋_GB2312" w:cs="Times New Roman"/>
          <w:kern w:val="0"/>
          <w:sz w:val="32"/>
          <w:szCs w:val="32"/>
        </w:rPr>
        <w:t>办公室</w:t>
      </w:r>
      <w:r>
        <w:rPr>
          <w:rFonts w:ascii="Times New Roman" w:hAnsi="Times New Roman" w:eastAsia="仿宋_GB2312" w:cs="Times New Roman"/>
          <w:kern w:val="0"/>
          <w:sz w:val="32"/>
          <w:szCs w:val="32"/>
        </w:rPr>
        <w:t>按照《淄川区人民政府办公室关于印发2023年淄川区政务公开工作方案的通知》部署和要求，扎实推进政务公开各项工作，以公开促落实、促规范、促服务，</w:t>
      </w:r>
      <w:r>
        <w:rPr>
          <w:rFonts w:hint="eastAsia" w:ascii="Times New Roman" w:hAnsi="Times New Roman" w:eastAsia="仿宋_GB2312" w:cs="Times New Roman"/>
          <w:kern w:val="0"/>
          <w:sz w:val="32"/>
          <w:szCs w:val="32"/>
        </w:rPr>
        <w:t>持续推进</w:t>
      </w:r>
      <w:r>
        <w:rPr>
          <w:rFonts w:ascii="Times New Roman" w:hAnsi="Times New Roman" w:eastAsia="仿宋_GB2312" w:cs="Times New Roman"/>
          <w:kern w:val="0"/>
          <w:sz w:val="32"/>
          <w:szCs w:val="32"/>
        </w:rPr>
        <w:t>信息发布、政策解读、政民互动、平台建设</w:t>
      </w:r>
      <w:r>
        <w:rPr>
          <w:rFonts w:hint="eastAsia" w:ascii="Times New Roman" w:hAnsi="Times New Roman" w:eastAsia="仿宋_GB2312" w:cs="Times New Roman"/>
          <w:kern w:val="0"/>
          <w:sz w:val="32"/>
          <w:szCs w:val="32"/>
        </w:rPr>
        <w:t>等重点工作</w:t>
      </w:r>
      <w:r>
        <w:rPr>
          <w:rFonts w:ascii="Times New Roman" w:hAnsi="Times New Roman" w:eastAsia="仿宋_GB2312" w:cs="Times New Roman"/>
          <w:kern w:val="0"/>
          <w:sz w:val="32"/>
          <w:szCs w:val="32"/>
        </w:rPr>
        <w:t>，政务公开标准化、规范化水平明显提升。</w:t>
      </w:r>
    </w:p>
    <w:p>
      <w:pPr>
        <w:pStyle w:val="8"/>
        <w:shd w:val="clear" w:color="auto" w:fill="FFFFFF"/>
        <w:spacing w:before="0" w:beforeAutospacing="0" w:after="0" w:afterAutospacing="0" w:line="560" w:lineRule="exact"/>
        <w:ind w:firstLine="640" w:firstLineChars="200"/>
        <w:jc w:val="both"/>
        <w:rPr>
          <w:rFonts w:ascii="Times New Roman" w:hAnsi="Times New Roman" w:eastAsia="楷体" w:cs="Times New Roman"/>
          <w:sz w:val="32"/>
          <w:szCs w:val="32"/>
        </w:rPr>
      </w:pPr>
      <w:r>
        <w:rPr>
          <w:rFonts w:ascii="Times New Roman" w:hAnsi="Times New Roman" w:eastAsia="楷体" w:cs="Times New Roman"/>
          <w:sz w:val="32"/>
          <w:szCs w:val="32"/>
        </w:rPr>
        <w:t>1.主动公开方面</w:t>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一是强化制度建设，</w:t>
      </w:r>
      <w:r>
        <w:rPr>
          <w:rFonts w:hint="eastAsia" w:ascii="Times New Roman" w:hAnsi="Times New Roman" w:eastAsia="仿宋_GB2312" w:cs="Times New Roman"/>
          <w:sz w:val="32"/>
          <w:szCs w:val="32"/>
        </w:rPr>
        <w:t>落实重点工作。</w:t>
      </w:r>
      <w:r>
        <w:rPr>
          <w:rFonts w:ascii="Times New Roman" w:hAnsi="Times New Roman" w:eastAsia="仿宋_GB2312" w:cs="Times New Roman"/>
          <w:sz w:val="32"/>
          <w:szCs w:val="32"/>
        </w:rPr>
        <w:t>2023年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淄川区人民政府</w:t>
      </w:r>
      <w:r>
        <w:rPr>
          <w:rFonts w:hint="eastAsia" w:ascii="Times New Roman" w:hAnsi="Times New Roman" w:eastAsia="仿宋_GB2312" w:cs="Times New Roman"/>
          <w:sz w:val="32"/>
          <w:szCs w:val="32"/>
        </w:rPr>
        <w:t>办公室进一步完善政务公开工作体制机制，梳理形成重点任务工作台账，</w:t>
      </w:r>
      <w:r>
        <w:rPr>
          <w:rFonts w:ascii="Times New Roman" w:hAnsi="Times New Roman" w:eastAsia="仿宋_GB2312" w:cs="Times New Roman"/>
          <w:sz w:val="32"/>
          <w:szCs w:val="32"/>
        </w:rPr>
        <w:t>持续推进政府信息公开工作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通过淄川区人民政府网站主动公开政策</w:t>
      </w:r>
      <w:r>
        <w:rPr>
          <w:rFonts w:hint="eastAsia" w:ascii="Times New Roman" w:hAnsi="Times New Roman" w:eastAsia="仿宋_GB2312" w:cs="Times New Roman"/>
          <w:sz w:val="32"/>
          <w:szCs w:val="32"/>
        </w:rPr>
        <w:t>类</w:t>
      </w:r>
      <w:r>
        <w:rPr>
          <w:rFonts w:ascii="Times New Roman" w:hAnsi="Times New Roman" w:eastAsia="仿宋_GB2312" w:cs="Times New Roman"/>
          <w:sz w:val="32"/>
          <w:szCs w:val="32"/>
        </w:rPr>
        <w:t>文件</w:t>
      </w:r>
      <w:r>
        <w:rPr>
          <w:rFonts w:hint="eastAsia" w:ascii="Times New Roman" w:hAnsi="Times New Roman" w:eastAsia="仿宋_GB2312" w:cs="Times New Roman"/>
          <w:sz w:val="32"/>
          <w:szCs w:val="32"/>
        </w:rPr>
        <w:t>14</w:t>
      </w:r>
      <w:r>
        <w:rPr>
          <w:rFonts w:ascii="Times New Roman" w:hAnsi="Times New Roman" w:eastAsia="仿宋_GB2312" w:cs="Times New Roman"/>
          <w:sz w:val="32"/>
          <w:szCs w:val="32"/>
        </w:rPr>
        <w:t>条，</w:t>
      </w:r>
      <w:r>
        <w:rPr>
          <w:rFonts w:hint="eastAsia" w:ascii="Times New Roman" w:hAnsi="Times New Roman" w:eastAsia="仿宋_GB2312" w:cs="Times New Roman"/>
          <w:sz w:val="32"/>
          <w:szCs w:val="32"/>
        </w:rPr>
        <w:t>公开政协委员</w:t>
      </w:r>
      <w:r>
        <w:rPr>
          <w:rFonts w:ascii="Times New Roman" w:hAnsi="Times New Roman" w:eastAsia="仿宋_GB2312" w:cs="Times New Roman"/>
          <w:sz w:val="32"/>
          <w:szCs w:val="32"/>
        </w:rPr>
        <w:t>提案</w:t>
      </w:r>
      <w:r>
        <w:rPr>
          <w:rFonts w:hint="eastAsia" w:ascii="Times New Roman" w:hAnsi="Times New Roman" w:eastAsia="仿宋_GB2312" w:cs="Times New Roman"/>
          <w:sz w:val="32"/>
          <w:szCs w:val="32"/>
        </w:rPr>
        <w:t>办理情况1</w:t>
      </w:r>
      <w:r>
        <w:rPr>
          <w:rFonts w:ascii="Times New Roman" w:hAnsi="Times New Roman" w:eastAsia="仿宋_GB2312" w:cs="Times New Roman"/>
          <w:sz w:val="32"/>
          <w:szCs w:val="32"/>
        </w:rPr>
        <w:t>条。二是</w:t>
      </w:r>
      <w:r>
        <w:rPr>
          <w:rFonts w:hint="eastAsia" w:ascii="Times New Roman" w:hAnsi="Times New Roman" w:eastAsia="仿宋_GB2312" w:cs="Times New Roman"/>
          <w:sz w:val="32"/>
          <w:szCs w:val="32"/>
        </w:rPr>
        <w:t>丰富</w:t>
      </w:r>
      <w:r>
        <w:rPr>
          <w:rFonts w:ascii="Times New Roman" w:hAnsi="Times New Roman" w:eastAsia="仿宋_GB2312" w:cs="Times New Roman"/>
          <w:sz w:val="32"/>
          <w:szCs w:val="32"/>
        </w:rPr>
        <w:t>政策解读形式，提高</w:t>
      </w:r>
      <w:r>
        <w:rPr>
          <w:rFonts w:hint="eastAsia" w:ascii="Times New Roman" w:hAnsi="Times New Roman" w:eastAsia="仿宋_GB2312" w:cs="Times New Roman"/>
          <w:sz w:val="32"/>
          <w:szCs w:val="32"/>
        </w:rPr>
        <w:t>解读质效。</w:t>
      </w:r>
      <w:r>
        <w:rPr>
          <w:rFonts w:ascii="Times New Roman" w:hAnsi="Times New Roman" w:eastAsia="仿宋_GB2312" w:cs="Times New Roman"/>
          <w:sz w:val="32"/>
          <w:szCs w:val="32"/>
        </w:rPr>
        <w:t>淄川区人民政府</w:t>
      </w:r>
      <w:r>
        <w:rPr>
          <w:rFonts w:hint="eastAsia" w:ascii="Times New Roman" w:hAnsi="Times New Roman" w:eastAsia="仿宋_GB2312" w:cs="Times New Roman"/>
          <w:sz w:val="32"/>
          <w:szCs w:val="32"/>
        </w:rPr>
        <w:t>办公室针</w:t>
      </w:r>
      <w:r>
        <w:rPr>
          <w:rFonts w:ascii="Times New Roman" w:hAnsi="Times New Roman" w:eastAsia="仿宋_GB2312" w:cs="Times New Roman"/>
          <w:sz w:val="32"/>
          <w:szCs w:val="32"/>
        </w:rPr>
        <w:t>对本年度公开的</w:t>
      </w:r>
      <w:r>
        <w:rPr>
          <w:rFonts w:hint="eastAsia" w:ascii="Times New Roman" w:hAnsi="Times New Roman" w:eastAsia="仿宋_GB2312" w:cs="Times New Roman"/>
          <w:sz w:val="32"/>
          <w:szCs w:val="32"/>
        </w:rPr>
        <w:t>14</w:t>
      </w:r>
      <w:r>
        <w:rPr>
          <w:rFonts w:ascii="Times New Roman" w:hAnsi="Times New Roman" w:eastAsia="仿宋_GB2312" w:cs="Times New Roman"/>
          <w:sz w:val="32"/>
          <w:szCs w:val="32"/>
        </w:rPr>
        <w:t>个政策</w:t>
      </w:r>
      <w:r>
        <w:rPr>
          <w:rFonts w:hint="eastAsia" w:ascii="Times New Roman" w:hAnsi="Times New Roman" w:eastAsia="仿宋_GB2312" w:cs="Times New Roman"/>
          <w:sz w:val="32"/>
          <w:szCs w:val="32"/>
        </w:rPr>
        <w:t>类</w:t>
      </w:r>
      <w:r>
        <w:rPr>
          <w:rFonts w:ascii="Times New Roman" w:hAnsi="Times New Roman" w:eastAsia="仿宋_GB2312" w:cs="Times New Roman"/>
          <w:sz w:val="32"/>
          <w:szCs w:val="32"/>
        </w:rPr>
        <w:t>文件</w:t>
      </w:r>
      <w:r>
        <w:rPr>
          <w:rFonts w:hint="eastAsia" w:ascii="Times New Roman" w:hAnsi="Times New Roman" w:eastAsia="仿宋_GB2312" w:cs="Times New Roman"/>
          <w:sz w:val="32"/>
          <w:szCs w:val="32"/>
        </w:rPr>
        <w:t>，制发了</w:t>
      </w:r>
      <w:r>
        <w:rPr>
          <w:rFonts w:ascii="Times New Roman" w:hAnsi="Times New Roman" w:eastAsia="仿宋_GB2312" w:cs="Times New Roman"/>
          <w:sz w:val="32"/>
          <w:szCs w:val="32"/>
        </w:rPr>
        <w:t>等多形式</w:t>
      </w:r>
      <w:r>
        <w:rPr>
          <w:rFonts w:hint="eastAsia" w:ascii="Times New Roman" w:hAnsi="Times New Roman" w:eastAsia="仿宋_GB2312" w:cs="Times New Roman"/>
          <w:sz w:val="32"/>
          <w:szCs w:val="32"/>
        </w:rPr>
        <w:t>、多角度的</w:t>
      </w:r>
      <w:r>
        <w:rPr>
          <w:rFonts w:ascii="Times New Roman" w:hAnsi="Times New Roman" w:eastAsia="仿宋_GB2312" w:cs="Times New Roman"/>
          <w:sz w:val="32"/>
          <w:szCs w:val="32"/>
        </w:rPr>
        <w:t>解读</w:t>
      </w:r>
      <w:r>
        <w:rPr>
          <w:rFonts w:hint="eastAsia" w:ascii="Times New Roman" w:hAnsi="Times New Roman" w:eastAsia="仿宋_GB2312" w:cs="Times New Roman"/>
          <w:sz w:val="32"/>
          <w:szCs w:val="32"/>
        </w:rPr>
        <w:t>60余个，</w:t>
      </w:r>
      <w:r>
        <w:rPr>
          <w:rFonts w:ascii="Times New Roman" w:hAnsi="Times New Roman" w:eastAsia="仿宋_GB2312" w:cs="Times New Roman"/>
          <w:sz w:val="32"/>
          <w:szCs w:val="32"/>
        </w:rPr>
        <w:t>切实提升了</w:t>
      </w:r>
      <w:r>
        <w:rPr>
          <w:rFonts w:hint="eastAsia" w:ascii="Times New Roman" w:hAnsi="Times New Roman" w:eastAsia="仿宋_GB2312" w:cs="Times New Roman"/>
          <w:sz w:val="32"/>
          <w:szCs w:val="32"/>
        </w:rPr>
        <w:t>解读质量，增强了公众对政策的认同感。</w:t>
      </w:r>
    </w:p>
    <w:p>
      <w:pPr>
        <w:widowControl/>
        <w:shd w:val="clear" w:color="auto" w:fill="FFFFFF"/>
        <w:spacing w:line="560" w:lineRule="exact"/>
        <w:ind w:firstLine="640"/>
        <w:rPr>
          <w:rFonts w:ascii="Times New Roman" w:hAnsi="Times New Roman" w:eastAsia="楷体" w:cs="Times New Roman"/>
          <w:sz w:val="32"/>
          <w:szCs w:val="32"/>
        </w:rPr>
      </w:pPr>
      <w:r>
        <w:rPr>
          <w:rFonts w:ascii="Times New Roman" w:hAnsi="Times New Roman" w:eastAsia="楷体" w:cs="Times New Roman"/>
          <w:sz w:val="32"/>
          <w:szCs w:val="32"/>
        </w:rPr>
        <w:t>2.依申请公开工作方面</w:t>
      </w:r>
    </w:p>
    <w:p>
      <w:pPr>
        <w:widowControl/>
        <w:shd w:val="clear" w:color="auto" w:fill="FFFFFF"/>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2023年，</w:t>
      </w:r>
      <w:r>
        <w:rPr>
          <w:rFonts w:ascii="Times New Roman" w:hAnsi="Times New Roman" w:eastAsia="仿宋_GB2312" w:cs="Times New Roman"/>
          <w:sz w:val="32"/>
          <w:szCs w:val="32"/>
        </w:rPr>
        <w:t>淄川区人民政府</w:t>
      </w:r>
      <w:r>
        <w:rPr>
          <w:rFonts w:hint="eastAsia" w:ascii="Times New Roman" w:hAnsi="Times New Roman" w:eastAsia="仿宋_GB2312" w:cs="Times New Roman"/>
          <w:kern w:val="0"/>
          <w:sz w:val="32"/>
          <w:szCs w:val="32"/>
        </w:rPr>
        <w:t>办公室</w:t>
      </w:r>
      <w:r>
        <w:rPr>
          <w:rFonts w:ascii="Times New Roman" w:hAnsi="Times New Roman" w:eastAsia="仿宋_GB2312" w:cs="Times New Roman"/>
          <w:kern w:val="0"/>
          <w:sz w:val="32"/>
          <w:szCs w:val="32"/>
        </w:rPr>
        <w:t>进一步</w:t>
      </w:r>
      <w:r>
        <w:rPr>
          <w:rFonts w:ascii="Times New Roman" w:hAnsi="Times New Roman" w:eastAsia="仿宋_GB2312" w:cs="Times New Roman"/>
          <w:sz w:val="32"/>
          <w:szCs w:val="32"/>
        </w:rPr>
        <w:t>提升</w:t>
      </w:r>
      <w:r>
        <w:rPr>
          <w:rFonts w:hint="eastAsia" w:ascii="Times New Roman" w:hAnsi="Times New Roman" w:eastAsia="仿宋_GB2312" w:cs="Times New Roman"/>
          <w:sz w:val="32"/>
          <w:szCs w:val="32"/>
        </w:rPr>
        <w:t>依申请</w:t>
      </w:r>
      <w:r>
        <w:rPr>
          <w:rFonts w:ascii="Times New Roman" w:hAnsi="Times New Roman" w:eastAsia="仿宋_GB2312" w:cs="Times New Roman"/>
          <w:sz w:val="32"/>
          <w:szCs w:val="32"/>
        </w:rPr>
        <w:t>公开工作水平，</w:t>
      </w:r>
      <w:r>
        <w:rPr>
          <w:rFonts w:hint="eastAsia" w:ascii="Times New Roman" w:hAnsi="Times New Roman" w:eastAsia="仿宋_GB2312" w:cs="Times New Roman"/>
          <w:sz w:val="32"/>
          <w:szCs w:val="32"/>
        </w:rPr>
        <w:t>依法依规办理，</w:t>
      </w:r>
      <w:r>
        <w:rPr>
          <w:rFonts w:ascii="Times New Roman" w:hAnsi="Times New Roman" w:eastAsia="仿宋_GB2312" w:cs="Times New Roman"/>
          <w:kern w:val="0"/>
          <w:sz w:val="32"/>
          <w:szCs w:val="32"/>
        </w:rPr>
        <w:t>切实依法保障公众合理信息需求</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2023年，</w:t>
      </w:r>
      <w:r>
        <w:rPr>
          <w:rFonts w:hint="eastAsia" w:ascii="Times New Roman" w:hAnsi="Times New Roman" w:eastAsia="仿宋_GB2312" w:cs="Times New Roman"/>
          <w:kern w:val="0"/>
          <w:sz w:val="32"/>
          <w:szCs w:val="32"/>
        </w:rPr>
        <w:t>区政府</w:t>
      </w:r>
      <w:r>
        <w:rPr>
          <w:rFonts w:ascii="Times New Roman" w:hAnsi="Times New Roman" w:eastAsia="仿宋_GB2312" w:cs="Times New Roman"/>
          <w:kern w:val="0"/>
          <w:sz w:val="32"/>
          <w:szCs w:val="32"/>
        </w:rPr>
        <w:t>共收到政府信息公开申请</w:t>
      </w:r>
      <w:r>
        <w:rPr>
          <w:rFonts w:hint="eastAsia" w:ascii="Times New Roman" w:hAnsi="Times New Roman" w:eastAsia="仿宋_GB2312" w:cs="Times New Roman"/>
          <w:sz w:val="32"/>
          <w:szCs w:val="32"/>
        </w:rPr>
        <w:t>12</w:t>
      </w:r>
      <w:r>
        <w:rPr>
          <w:rFonts w:ascii="Times New Roman" w:hAnsi="Times New Roman" w:eastAsia="仿宋_GB2312" w:cs="Times New Roman"/>
          <w:kern w:val="0"/>
          <w:sz w:val="32"/>
          <w:szCs w:val="32"/>
        </w:rPr>
        <w:t>件，比上年</w:t>
      </w:r>
      <w:r>
        <w:rPr>
          <w:rFonts w:hint="eastAsia" w:ascii="Times New Roman" w:hAnsi="Times New Roman" w:eastAsia="仿宋_GB2312" w:cs="Times New Roman"/>
          <w:kern w:val="0"/>
          <w:sz w:val="32"/>
          <w:szCs w:val="32"/>
        </w:rPr>
        <w:t>降低</w:t>
      </w:r>
      <w:r>
        <w:rPr>
          <w:rFonts w:ascii="Times New Roman" w:hAnsi="Times New Roman" w:eastAsia="仿宋_GB2312" w:cs="Times New Roman"/>
          <w:kern w:val="0"/>
          <w:sz w:val="32"/>
          <w:szCs w:val="32"/>
        </w:rPr>
        <w:t>了</w:t>
      </w:r>
      <w:r>
        <w:rPr>
          <w:rFonts w:hint="eastAsia" w:ascii="Times New Roman" w:hAnsi="Times New Roman" w:eastAsia="仿宋_GB2312" w:cs="Times New Roman"/>
          <w:kern w:val="0"/>
          <w:sz w:val="32"/>
          <w:szCs w:val="32"/>
        </w:rPr>
        <w:t>36.8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；上年结转处理</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件。</w:t>
      </w:r>
      <w:r>
        <w:rPr>
          <w:rFonts w:hint="eastAsia" w:ascii="Times New Roman" w:hAnsi="Times New Roman" w:eastAsia="仿宋_GB2312" w:cs="Times New Roman"/>
          <w:kern w:val="0"/>
          <w:sz w:val="32"/>
          <w:szCs w:val="32"/>
        </w:rPr>
        <w:t>本年度</w:t>
      </w:r>
      <w:r>
        <w:rPr>
          <w:rFonts w:ascii="Times New Roman" w:hAnsi="Times New Roman" w:eastAsia="仿宋_GB2312" w:cs="Times New Roman"/>
          <w:kern w:val="0"/>
          <w:sz w:val="32"/>
          <w:szCs w:val="32"/>
        </w:rPr>
        <w:t>在法定时限内规范答复</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kern w:val="0"/>
          <w:sz w:val="32"/>
          <w:szCs w:val="32"/>
        </w:rPr>
        <w:t>件</w:t>
      </w:r>
      <w:r>
        <w:rPr>
          <w:rFonts w:hint="eastAsia" w:ascii="Times New Roman" w:hAnsi="Times New Roman" w:eastAsia="仿宋_GB2312" w:cs="Times New Roman"/>
          <w:kern w:val="0"/>
          <w:sz w:val="32"/>
          <w:szCs w:val="32"/>
        </w:rPr>
        <w:t>，包括，</w:t>
      </w:r>
      <w:r>
        <w:rPr>
          <w:rFonts w:ascii="Times New Roman" w:hAnsi="Times New Roman" w:eastAsia="仿宋_GB2312" w:cs="Times New Roman"/>
          <w:kern w:val="0"/>
          <w:sz w:val="32"/>
          <w:szCs w:val="32"/>
        </w:rPr>
        <w:t>予以公开</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件，部分公开</w:t>
      </w:r>
      <w:r>
        <w:rPr>
          <w:rFonts w:hint="eastAsia" w:ascii="Times New Roman" w:hAnsi="Times New Roman" w:eastAsia="仿宋_GB2312" w:cs="Times New Roman"/>
          <w:sz w:val="32"/>
          <w:szCs w:val="32"/>
        </w:rPr>
        <w:t>6</w:t>
      </w:r>
      <w:r>
        <w:rPr>
          <w:rFonts w:ascii="Times New Roman" w:hAnsi="Times New Roman" w:eastAsia="仿宋_GB2312" w:cs="Times New Roman"/>
          <w:kern w:val="0"/>
          <w:sz w:val="32"/>
          <w:szCs w:val="32"/>
        </w:rPr>
        <w:t>件，不予</w:t>
      </w:r>
      <w:r>
        <w:rPr>
          <w:rFonts w:hint="eastAsia" w:ascii="Times New Roman" w:hAnsi="Times New Roman" w:eastAsia="仿宋_GB2312" w:cs="Times New Roman"/>
          <w:kern w:val="0"/>
          <w:sz w:val="32"/>
          <w:szCs w:val="32"/>
        </w:rPr>
        <w:t>处理</w:t>
      </w:r>
      <w:r>
        <w:rPr>
          <w:rFonts w:hint="eastAsia" w:ascii="Times New Roman" w:hAnsi="Times New Roman" w:eastAsia="仿宋_GB2312" w:cs="Times New Roman"/>
          <w:sz w:val="32"/>
          <w:szCs w:val="32"/>
        </w:rPr>
        <w:t>1</w:t>
      </w:r>
      <w:r>
        <w:rPr>
          <w:rFonts w:ascii="Times New Roman" w:hAnsi="Times New Roman" w:eastAsia="仿宋_GB2312" w:cs="Times New Roman"/>
          <w:kern w:val="0"/>
          <w:sz w:val="32"/>
          <w:szCs w:val="32"/>
        </w:rPr>
        <w:t>件，</w:t>
      </w:r>
      <w:r>
        <w:rPr>
          <w:rFonts w:hint="eastAsia" w:ascii="Times New Roman" w:hAnsi="Times New Roman" w:eastAsia="仿宋_GB2312" w:cs="Times New Roman"/>
          <w:kern w:val="0"/>
          <w:sz w:val="32"/>
          <w:szCs w:val="32"/>
        </w:rPr>
        <w:t>其他处理情况3件；</w:t>
      </w:r>
      <w:r>
        <w:rPr>
          <w:rFonts w:ascii="Times New Roman" w:hAnsi="Times New Roman" w:eastAsia="仿宋_GB2312" w:cs="Times New Roman"/>
          <w:kern w:val="0"/>
          <w:sz w:val="32"/>
          <w:szCs w:val="32"/>
        </w:rPr>
        <w:t>结转下一年处理</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件</w:t>
      </w:r>
      <w:r>
        <w:rPr>
          <w:rFonts w:hint="eastAsia" w:ascii="Times New Roman" w:hAnsi="Times New Roman" w:eastAsia="仿宋_GB2312" w:cs="Times New Roman"/>
          <w:kern w:val="0"/>
          <w:sz w:val="32"/>
          <w:szCs w:val="32"/>
        </w:rPr>
        <w:t>。</w:t>
      </w:r>
    </w:p>
    <w:p>
      <w:pPr>
        <w:widowControl/>
        <w:shd w:val="clear" w:color="auto" w:fill="FFFFFF"/>
        <w:spacing w:line="560" w:lineRule="exact"/>
        <w:ind w:firstLine="640"/>
        <w:jc w:val="left"/>
        <w:rPr>
          <w:rFonts w:ascii="Times New Roman" w:hAnsi="Times New Roman" w:eastAsia="楷体" w:cs="Times New Roman"/>
          <w:kern w:val="0"/>
          <w:sz w:val="32"/>
          <w:szCs w:val="32"/>
        </w:rPr>
      </w:pPr>
      <w:r>
        <w:rPr>
          <w:rFonts w:ascii="Times New Roman" w:hAnsi="Times New Roman" w:eastAsia="楷体" w:cs="Times New Roman"/>
          <w:kern w:val="0"/>
          <w:sz w:val="32"/>
          <w:szCs w:val="32"/>
        </w:rPr>
        <w:t>3、政府信息管理</w:t>
      </w:r>
    </w:p>
    <w:p>
      <w:pPr>
        <w:widowControl/>
        <w:shd w:val="clear" w:color="auto" w:fill="FFFFFF"/>
        <w:spacing w:line="560" w:lineRule="exact"/>
        <w:ind w:firstLine="64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一是</w:t>
      </w:r>
      <w:r>
        <w:rPr>
          <w:rFonts w:ascii="Times New Roman" w:hAnsi="Times New Roman" w:eastAsia="仿宋_GB2312" w:cs="Times New Roman"/>
          <w:sz w:val="32"/>
          <w:szCs w:val="32"/>
          <w:shd w:val="clear" w:color="auto" w:fill="FFFFFF"/>
        </w:rPr>
        <w:t>严格落实</w:t>
      </w:r>
      <w:r>
        <w:rPr>
          <w:rFonts w:ascii="Times New Roman" w:hAnsi="Times New Roman" w:eastAsia="仿宋_GB2312" w:cs="Times New Roman"/>
          <w:kern w:val="0"/>
          <w:sz w:val="32"/>
          <w:szCs w:val="32"/>
        </w:rPr>
        <w:t>《中华人民共和国政府信息公开条例》</w:t>
      </w:r>
      <w:r>
        <w:rPr>
          <w:rFonts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rPr>
        <w:t>定期对发布的政府信息进行“回头看”监测维护，</w:t>
      </w:r>
      <w:r>
        <w:rPr>
          <w:rFonts w:ascii="Times New Roman" w:hAnsi="Times New Roman" w:eastAsia="仿宋_GB2312" w:cs="Times New Roman"/>
          <w:sz w:val="32"/>
          <w:szCs w:val="32"/>
          <w:shd w:val="clear" w:color="auto" w:fill="FFFFFF"/>
        </w:rPr>
        <w:t>保证信息发布内容</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质量</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二是</w:t>
      </w:r>
      <w:r>
        <w:rPr>
          <w:rFonts w:hint="eastAsia" w:ascii="Times New Roman" w:hAnsi="Times New Roman" w:eastAsia="仿宋_GB2312" w:cs="Times New Roman"/>
          <w:sz w:val="32"/>
          <w:szCs w:val="32"/>
          <w:shd w:val="clear" w:color="auto" w:fill="FFFFFF"/>
        </w:rPr>
        <w:t>落实主动公开的政策性文件和规范性文件动态管理，根据废止情况，及时标注文件效力状态。三是做好政府信息公开保密审查和个人信息保护工作，落实制作、审核、发布全流程责任分工制，做到涉密信息不上网。</w:t>
      </w:r>
    </w:p>
    <w:p>
      <w:pPr>
        <w:widowControl/>
        <w:shd w:val="clear" w:color="auto" w:fill="FFFFFF"/>
        <w:spacing w:line="560" w:lineRule="exact"/>
        <w:ind w:firstLine="640"/>
        <w:jc w:val="left"/>
        <w:rPr>
          <w:rFonts w:ascii="Times New Roman" w:hAnsi="Times New Roman" w:eastAsia="楷体" w:cs="Times New Roman"/>
          <w:kern w:val="0"/>
          <w:sz w:val="32"/>
          <w:szCs w:val="32"/>
        </w:rPr>
      </w:pPr>
      <w:r>
        <w:rPr>
          <w:rFonts w:ascii="Times New Roman" w:hAnsi="Times New Roman" w:eastAsia="楷体" w:cs="Times New Roman"/>
          <w:kern w:val="0"/>
          <w:sz w:val="32"/>
          <w:szCs w:val="32"/>
        </w:rPr>
        <w:t>4、政府信息公开平台建设。</w:t>
      </w:r>
    </w:p>
    <w:p>
      <w:pPr>
        <w:widowControl/>
        <w:shd w:val="clear" w:color="auto" w:fill="FFFFFF"/>
        <w:spacing w:line="560" w:lineRule="exact"/>
        <w:ind w:firstLine="64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一是围绕政府工作重点和社会</w:t>
      </w:r>
      <w:r>
        <w:rPr>
          <w:rFonts w:hint="eastAsia" w:ascii="Times New Roman" w:hAnsi="Times New Roman" w:eastAsia="仿宋_GB2312" w:cs="Times New Roman"/>
          <w:kern w:val="0"/>
          <w:sz w:val="32"/>
          <w:szCs w:val="32"/>
        </w:rPr>
        <w:t>关切</w:t>
      </w:r>
      <w:r>
        <w:rPr>
          <w:rFonts w:ascii="Times New Roman" w:hAnsi="Times New Roman" w:eastAsia="仿宋_GB2312" w:cs="Times New Roman"/>
          <w:kern w:val="0"/>
          <w:sz w:val="32"/>
          <w:szCs w:val="32"/>
        </w:rPr>
        <w:t>热点，持续做好</w:t>
      </w:r>
      <w:r>
        <w:rPr>
          <w:rFonts w:hint="eastAsia" w:ascii="Times New Roman" w:hAnsi="Times New Roman" w:eastAsia="仿宋_GB2312" w:cs="Times New Roman"/>
          <w:kern w:val="0"/>
          <w:sz w:val="32"/>
          <w:szCs w:val="32"/>
        </w:rPr>
        <w:t>门</w:t>
      </w:r>
      <w:r>
        <w:rPr>
          <w:rFonts w:ascii="Times New Roman" w:hAnsi="Times New Roman" w:eastAsia="仿宋_GB2312" w:cs="Times New Roman"/>
          <w:kern w:val="0"/>
          <w:sz w:val="32"/>
          <w:szCs w:val="32"/>
        </w:rPr>
        <w:t>户网站</w:t>
      </w:r>
      <w:r>
        <w:rPr>
          <w:rFonts w:hint="eastAsia" w:ascii="Times New Roman" w:hAnsi="Times New Roman" w:eastAsia="仿宋_GB2312" w:cs="Times New Roman"/>
          <w:kern w:val="0"/>
          <w:sz w:val="32"/>
          <w:szCs w:val="32"/>
        </w:rPr>
        <w:t>栏目</w:t>
      </w:r>
      <w:r>
        <w:rPr>
          <w:rFonts w:ascii="Times New Roman" w:hAnsi="Times New Roman" w:eastAsia="仿宋_GB2312" w:cs="Times New Roman"/>
          <w:kern w:val="0"/>
          <w:sz w:val="32"/>
          <w:szCs w:val="32"/>
        </w:rPr>
        <w:t>展现</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及时调整设置网站专题专栏</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通过不断优化栏目设置，</w:t>
      </w:r>
      <w:r>
        <w:rPr>
          <w:rFonts w:hint="eastAsia" w:ascii="Times New Roman" w:hAnsi="Times New Roman" w:eastAsia="仿宋_GB2312" w:cs="Times New Roman"/>
          <w:kern w:val="0"/>
          <w:sz w:val="32"/>
          <w:szCs w:val="32"/>
        </w:rPr>
        <w:t>保障</w:t>
      </w:r>
      <w:r>
        <w:rPr>
          <w:rFonts w:ascii="Times New Roman" w:hAnsi="Times New Roman" w:eastAsia="仿宋_GB2312" w:cs="Times New Roman"/>
          <w:kern w:val="0"/>
          <w:sz w:val="32"/>
          <w:szCs w:val="32"/>
        </w:rPr>
        <w:t>信息发布分类更加明确。二是</w:t>
      </w:r>
      <w:r>
        <w:rPr>
          <w:rFonts w:hint="eastAsia" w:ascii="Times New Roman" w:hAnsi="Times New Roman" w:eastAsia="仿宋_GB2312" w:cs="Times New Roman"/>
          <w:kern w:val="0"/>
          <w:sz w:val="32"/>
          <w:szCs w:val="32"/>
        </w:rPr>
        <w:t>持续</w:t>
      </w:r>
      <w:r>
        <w:rPr>
          <w:rFonts w:ascii="Times New Roman" w:hAnsi="Times New Roman" w:eastAsia="仿宋_GB2312" w:cs="Times New Roman"/>
          <w:kern w:val="0"/>
          <w:sz w:val="32"/>
          <w:szCs w:val="32"/>
        </w:rPr>
        <w:t>做好</w:t>
      </w:r>
      <w:r>
        <w:rPr>
          <w:rFonts w:hint="eastAsia" w:ascii="Times New Roman" w:hAnsi="Times New Roman" w:eastAsia="仿宋_GB2312" w:cs="Times New Roman"/>
          <w:kern w:val="0"/>
          <w:sz w:val="32"/>
          <w:szCs w:val="32"/>
        </w:rPr>
        <w:t>网站公开栏目维护工作</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定期优化专栏内容、</w:t>
      </w:r>
      <w:r>
        <w:rPr>
          <w:rFonts w:ascii="Times New Roman" w:hAnsi="Times New Roman" w:eastAsia="仿宋_GB2312" w:cs="Times New Roman"/>
          <w:kern w:val="0"/>
          <w:sz w:val="32"/>
          <w:szCs w:val="32"/>
        </w:rPr>
        <w:t>服务功能，为群众获取政府信息提供便利。</w:t>
      </w:r>
      <w:r>
        <w:rPr>
          <w:rFonts w:hint="eastAsia" w:ascii="Times New Roman" w:hAnsi="Times New Roman" w:eastAsia="仿宋_GB2312" w:cs="Times New Roman"/>
          <w:kern w:val="0"/>
          <w:sz w:val="32"/>
          <w:szCs w:val="32"/>
        </w:rPr>
        <w:t>2023年，通过政府公报专栏按季度发布《淄川区人民政府公报》4期，明确政府公报赠阅范围，公开公报查阅方式，公开发布政府和政府办公室重要政策、规范性文件42件。</w:t>
      </w:r>
    </w:p>
    <w:p>
      <w:pPr>
        <w:widowControl/>
        <w:shd w:val="clear" w:color="auto" w:fill="FFFFFF"/>
        <w:spacing w:line="560" w:lineRule="exact"/>
        <w:ind w:firstLine="640"/>
        <w:jc w:val="left"/>
        <w:rPr>
          <w:rFonts w:ascii="Times New Roman" w:hAnsi="Times New Roman" w:eastAsia="楷体" w:cs="Times New Roman"/>
          <w:kern w:val="0"/>
          <w:sz w:val="32"/>
          <w:szCs w:val="32"/>
        </w:rPr>
      </w:pPr>
      <w:r>
        <w:rPr>
          <w:rFonts w:ascii="Times New Roman" w:hAnsi="Times New Roman" w:eastAsia="楷体" w:cs="Times New Roman"/>
          <w:kern w:val="0"/>
          <w:sz w:val="32"/>
          <w:szCs w:val="32"/>
        </w:rPr>
        <w:t>5、监督保障。</w:t>
      </w:r>
    </w:p>
    <w:p>
      <w:pPr>
        <w:widowControl/>
        <w:shd w:val="clear" w:color="auto" w:fill="FFFFFF"/>
        <w:spacing w:line="560" w:lineRule="exact"/>
        <w:ind w:firstLine="640"/>
        <w:jc w:val="left"/>
        <w:rPr>
          <w:rFonts w:ascii="Times New Roman" w:hAnsi="Times New Roman" w:eastAsia="楷体" w:cs="Times New Roman"/>
          <w:kern w:val="0"/>
          <w:sz w:val="32"/>
          <w:szCs w:val="32"/>
        </w:rPr>
      </w:pPr>
      <w:r>
        <w:rPr>
          <w:rFonts w:ascii="Times New Roman" w:hAnsi="Times New Roman" w:eastAsia="仿宋_GB2312" w:cs="Times New Roman"/>
          <w:kern w:val="0"/>
          <w:sz w:val="32"/>
          <w:szCs w:val="32"/>
        </w:rPr>
        <w:t>一是</w:t>
      </w:r>
      <w:r>
        <w:rPr>
          <w:rFonts w:hint="eastAsia" w:ascii="Times New Roman" w:hAnsi="Times New Roman" w:eastAsia="仿宋_GB2312" w:cs="Times New Roman"/>
          <w:sz w:val="32"/>
          <w:szCs w:val="32"/>
        </w:rPr>
        <w:t>落实</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2023年</w:t>
      </w:r>
      <w:r>
        <w:rPr>
          <w:rFonts w:ascii="Times New Roman" w:hAnsi="Times New Roman" w:eastAsia="仿宋_GB2312" w:cs="Times New Roman"/>
          <w:sz w:val="32"/>
          <w:szCs w:val="32"/>
        </w:rPr>
        <w:t>淄川区政务公开工作方案》《淄川区政务公开重点工作任务分解表》</w:t>
      </w:r>
      <w:r>
        <w:rPr>
          <w:rFonts w:hint="eastAsia" w:ascii="Times New Roman" w:hAnsi="Times New Roman" w:eastAsia="仿宋_GB2312" w:cs="Times New Roman"/>
          <w:sz w:val="32"/>
          <w:szCs w:val="32"/>
        </w:rPr>
        <w:t>部署安排</w:t>
      </w:r>
      <w:r>
        <w:rPr>
          <w:rFonts w:ascii="Times New Roman" w:hAnsi="Times New Roman" w:eastAsia="仿宋_GB2312" w:cs="Times New Roman"/>
          <w:sz w:val="32"/>
          <w:szCs w:val="32"/>
        </w:rPr>
        <w:t>，进一步明确</w:t>
      </w:r>
      <w:r>
        <w:rPr>
          <w:rFonts w:hint="eastAsia" w:ascii="Times New Roman" w:hAnsi="Times New Roman" w:eastAsia="仿宋_GB2312" w:cs="Times New Roman"/>
          <w:sz w:val="32"/>
          <w:szCs w:val="32"/>
        </w:rPr>
        <w:t>2023年</w:t>
      </w:r>
      <w:r>
        <w:rPr>
          <w:rFonts w:ascii="Times New Roman" w:hAnsi="Times New Roman" w:eastAsia="仿宋_GB2312" w:cs="Times New Roman"/>
          <w:sz w:val="32"/>
          <w:szCs w:val="32"/>
        </w:rPr>
        <w:t>政务公开工作内容及规范</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0"/>
          <w:sz w:val="32"/>
          <w:szCs w:val="32"/>
        </w:rPr>
        <w:t>二</w:t>
      </w:r>
      <w:r>
        <w:rPr>
          <w:rFonts w:ascii="Times New Roman" w:hAnsi="Times New Roman" w:eastAsia="仿宋_GB2312" w:cs="Times New Roman"/>
          <w:kern w:val="0"/>
          <w:sz w:val="32"/>
          <w:szCs w:val="32"/>
        </w:rPr>
        <w:t>是</w:t>
      </w:r>
      <w:r>
        <w:rPr>
          <w:rFonts w:hint="eastAsia" w:ascii="Times New Roman" w:hAnsi="Times New Roman" w:eastAsia="仿宋_GB2312" w:cs="Times New Roman"/>
          <w:kern w:val="0"/>
          <w:sz w:val="32"/>
          <w:szCs w:val="32"/>
        </w:rPr>
        <w:t>强化队伍建设，</w:t>
      </w:r>
      <w:r>
        <w:rPr>
          <w:rFonts w:hint="eastAsia" w:ascii="Times New Roman" w:hAnsi="Times New Roman" w:eastAsia="仿宋_GB2312" w:cs="Times New Roman"/>
          <w:sz w:val="32"/>
          <w:szCs w:val="32"/>
        </w:rPr>
        <w:t>优化专职队伍结构，明确工作到人，并定期组织开展研讨，协调解决政务公开工作存在的难点、堵点问题。三</w:t>
      </w:r>
      <w:r>
        <w:rPr>
          <w:rFonts w:ascii="Times New Roman" w:hAnsi="Times New Roman" w:eastAsia="仿宋_GB2312" w:cs="Times New Roman"/>
          <w:sz w:val="32"/>
          <w:szCs w:val="32"/>
        </w:rPr>
        <w:t>是加强业务人员业务培训，</w:t>
      </w:r>
      <w:r>
        <w:rPr>
          <w:rFonts w:hint="eastAsia" w:ascii="Times New Roman" w:hAnsi="Times New Roman" w:eastAsia="仿宋_GB2312" w:cs="Times New Roman"/>
          <w:sz w:val="32"/>
          <w:szCs w:val="32"/>
        </w:rPr>
        <w:t>不断对标对表上级</w:t>
      </w:r>
      <w:r>
        <w:rPr>
          <w:rFonts w:ascii="Times New Roman" w:hAnsi="Times New Roman" w:eastAsia="仿宋_GB2312" w:cs="Times New Roman"/>
          <w:sz w:val="32"/>
          <w:szCs w:val="32"/>
        </w:rPr>
        <w:t>针对公开</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新要求，组织各业务人员进行培训，提升工作能力。</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shd w:val="clear" w:color="auto" w:fill="FFFFFF"/>
        </w:rPr>
        <w:t>二、主动公开政府信息情况</w:t>
      </w:r>
    </w:p>
    <w:tbl>
      <w:tblPr>
        <w:tblStyle w:val="9"/>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cs="Times New Roman"/>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rPr>
            </w:pPr>
            <w:r>
              <w:rPr>
                <w:rFonts w:ascii="Times New Roman" w:hAnsi="Times New Roman" w:eastAsia="黑体" w:cs="Times New Roman"/>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rPr>
            </w:pPr>
            <w:r>
              <w:rPr>
                <w:rFonts w:ascii="Times New Roman" w:hAnsi="Times New Roman" w:eastAsia="仿宋_GB2312" w:cs="Times New Roman"/>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rPr>
            </w:pPr>
            <w:r>
              <w:rPr>
                <w:rFonts w:ascii="Times New Roman" w:hAnsi="Times New Roman" w:eastAsia="仿宋_GB2312" w:cs="Times New Roman"/>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rPr>
            </w:pPr>
            <w:r>
              <w:rPr>
                <w:rFonts w:ascii="Times New Roman" w:hAnsi="Times New Roman" w:eastAsia="仿宋_GB2312" w:cs="Times New Roman"/>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rPr>
            </w:pPr>
            <w:r>
              <w:rPr>
                <w:rFonts w:ascii="Times New Roman" w:hAnsi="Times New Roman" w:eastAsia="仿宋_GB2312" w:cs="Times New Roma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rPr>
            </w:pPr>
            <w:r>
              <w:rPr>
                <w:rFonts w:ascii="Times New Roman" w:hAnsi="Times New Roman" w:eastAsia="仿宋_GB2312" w:cs="Times New Roman"/>
              </w:rPr>
              <w:t>规章</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rPr>
            </w:pPr>
            <w:r>
              <w:rPr>
                <w:rFonts w:ascii="Times New Roman" w:hAnsi="Times New Roman" w:eastAsia="仿宋_GB2312" w:cs="Times New Roman"/>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2</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rPr>
            </w:pPr>
            <w:r>
              <w:rPr>
                <w:rFonts w:ascii="Times New Roman" w:hAnsi="Times New Roman" w:eastAsia="黑体" w:cs="Times New Roman"/>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rPr>
            </w:pPr>
            <w:r>
              <w:rPr>
                <w:rFonts w:ascii="Times New Roman" w:hAnsi="Times New Roman" w:eastAsia="仿宋_GB2312" w:cs="Times New Roman"/>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rPr>
            </w:pPr>
            <w:r>
              <w:rPr>
                <w:rFonts w:ascii="Times New Roman" w:hAnsi="Times New Roman" w:eastAsia="仿宋_GB2312" w:cs="Times New Roma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rPr>
            </w:pPr>
            <w:r>
              <w:rPr>
                <w:rFonts w:ascii="Times New Roman" w:hAnsi="Times New Roman" w:eastAsia="仿宋_GB2312" w:cs="Times New Roman"/>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rPr>
            </w:pPr>
            <w:r>
              <w:rPr>
                <w:rFonts w:ascii="Times New Roman" w:hAnsi="Times New Roman" w:eastAsia="黑体" w:cs="Times New Roman"/>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rPr>
            </w:pPr>
            <w:r>
              <w:rPr>
                <w:rFonts w:ascii="Times New Roman" w:hAnsi="Times New Roman" w:eastAsia="仿宋_GB2312" w:cs="Times New Roman"/>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rPr>
            </w:pPr>
            <w:r>
              <w:rPr>
                <w:rFonts w:ascii="Times New Roman" w:hAnsi="Times New Roman" w:eastAsia="仿宋_GB2312" w:cs="Times New Roma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rPr>
            </w:pPr>
            <w:r>
              <w:rPr>
                <w:rFonts w:ascii="Times New Roman" w:hAnsi="Times New Roman" w:eastAsia="仿宋_GB2312" w:cs="Times New Roman"/>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rPr>
            </w:pPr>
            <w:r>
              <w:rPr>
                <w:rFonts w:ascii="Times New Roman" w:hAnsi="Times New Roman" w:eastAsia="仿宋_GB2312" w:cs="Times New Roman"/>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rPr>
            </w:pPr>
            <w:r>
              <w:rPr>
                <w:rFonts w:ascii="Times New Roman" w:hAnsi="Times New Roman" w:eastAsia="黑体" w:cs="Times New Roman"/>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rPr>
            </w:pPr>
            <w:r>
              <w:rPr>
                <w:rFonts w:ascii="Times New Roman" w:hAnsi="Times New Roman" w:eastAsia="仿宋_GB2312" w:cs="Times New Roman"/>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rPr>
            </w:pPr>
            <w:r>
              <w:rPr>
                <w:rFonts w:ascii="Times New Roman" w:hAnsi="Times New Roman" w:eastAsia="仿宋_GB2312" w:cs="Times New Roma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rPr>
            </w:pPr>
            <w:r>
              <w:rPr>
                <w:rFonts w:ascii="Times New Roman" w:hAnsi="Times New Roman" w:eastAsia="仿宋_GB2312" w:cs="Times New Roman"/>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r>
    </w:tbl>
    <w:p>
      <w:pPr>
        <w:pStyle w:val="67"/>
        <w:spacing w:after="0"/>
        <w:ind w:firstLine="640" w:firstLineChars="200"/>
        <w:jc w:val="both"/>
        <w:rPr>
          <w:rFonts w:hint="default" w:ascii="Times New Roman" w:hAnsi="Times New Roman" w:eastAsia="方正小标宋简体"/>
          <w:color w:val="auto"/>
          <w:sz w:val="32"/>
          <w:szCs w:val="32"/>
        </w:rPr>
      </w:pPr>
      <w:r>
        <w:rPr>
          <w:rFonts w:hint="default" w:ascii="Times New Roman" w:hAnsi="Times New Roman"/>
          <w:color w:val="auto"/>
          <w:sz w:val="32"/>
          <w:szCs w:val="32"/>
          <w:shd w:val="clear" w:color="auto" w:fill="FFFFFF"/>
        </w:rPr>
        <w:t>三、收到和处理政府信息公开申请情况</w:t>
      </w:r>
    </w:p>
    <w:tbl>
      <w:tblPr>
        <w:tblStyle w:val="9"/>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936"/>
        <w:gridCol w:w="300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楷体_GB2312" w:cs="Times New Roman"/>
              </w:rPr>
            </w:pPr>
            <w:r>
              <w:rPr>
                <w:rFonts w:ascii="Times New Roman" w:hAnsi="Times New Roman" w:eastAsia="楷体_GB2312" w:cs="Times New Roman"/>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rPr>
            </w:pPr>
            <w:r>
              <w:rPr>
                <w:rFonts w:ascii="Times New Roman" w:hAnsi="Times New Roman" w:eastAsia="黑体" w:cs="Times New Roma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rPr>
            </w:pPr>
            <w:r>
              <w:rPr>
                <w:rFonts w:ascii="Times New Roman" w:hAnsi="Times New Roman" w:eastAsia="黑体" w:cs="Times New Roman"/>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rPr>
            </w:pPr>
            <w:r>
              <w:rPr>
                <w:rFonts w:ascii="Times New Roman" w:hAnsi="Times New Roman" w:eastAsia="黑体" w:cs="Times New Roman"/>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rPr>
            </w:pPr>
            <w:r>
              <w:rPr>
                <w:rFonts w:ascii="Times New Roman" w:hAnsi="Times New Roman" w:eastAsia="黑体" w:cs="Times New Roma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rPr>
            </w:pPr>
            <w:r>
              <w:rPr>
                <w:rFonts w:ascii="Times New Roman" w:hAnsi="Times New Roman" w:eastAsia="黑体" w:cs="Times New Roman"/>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rPr>
            </w:pPr>
            <w:r>
              <w:rPr>
                <w:rFonts w:ascii="Times New Roman" w:hAnsi="Times New Roman" w:eastAsia="黑体" w:cs="Times New Roman"/>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rPr>
            </w:pPr>
            <w:r>
              <w:rPr>
                <w:rFonts w:ascii="Times New Roman" w:hAnsi="Times New Roman" w:eastAsia="黑体" w:cs="Times New Roman"/>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rPr>
            </w:pPr>
            <w:r>
              <w:rPr>
                <w:rFonts w:ascii="Times New Roman" w:hAnsi="Times New Roman" w:eastAsia="黑体" w:cs="Times New Roman"/>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rPr>
            </w:pPr>
            <w:r>
              <w:rPr>
                <w:rFonts w:ascii="Times New Roman" w:hAnsi="Times New Roman" w:eastAsia="黑体" w:cs="Times New Roman"/>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rPr>
            </w:pPr>
            <w:r>
              <w:rPr>
                <w:rFonts w:ascii="Times New Roman" w:hAnsi="Times New Roman" w:eastAsia="黑体" w:cs="Times New Roman"/>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12</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rPr>
            </w:pPr>
            <w:r>
              <w:rPr>
                <w:rFonts w:ascii="Times New Roman" w:hAnsi="Times New Roman" w:eastAsia="黑体" w:cs="Times New Roman"/>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imes New Roman" w:hAnsi="Times New Roman" w:eastAsia="等线" w:cs="Times New Roman"/>
                <w:lang w:eastAsia="zh-CN"/>
              </w:rPr>
            </w:pPr>
            <w:r>
              <w:rPr>
                <w:rFonts w:hint="eastAsia" w:ascii="Times New Roman" w:hAnsi="Times New Roman" w:cs="Times New Roman"/>
                <w:lang w:val="en-US" w:eastAsia="zh-CN"/>
              </w:rPr>
              <w:t>2</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imes New Roman" w:hAnsi="Times New Roman" w:eastAsia="等线" w:cs="Times New Roman"/>
                <w:lang w:eastAsia="zh-CN"/>
              </w:rPr>
            </w:pPr>
            <w:r>
              <w:rPr>
                <w:rFonts w:hint="eastAsia" w:ascii="Times New Roman" w:hAnsi="Times New Roman" w:cs="Times New Roman"/>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rPr>
            </w:pPr>
            <w:r>
              <w:rPr>
                <w:rFonts w:ascii="Times New Roman" w:hAnsi="Times New Roman" w:eastAsia="黑体" w:cs="Times New Roman"/>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rPr>
            </w:pPr>
            <w:r>
              <w:rPr>
                <w:rFonts w:ascii="Times New Roman" w:hAnsi="Times New Roman" w:eastAsia="黑体" w:cs="Times New Roman"/>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imes New Roman" w:hAnsi="Times New Roman" w:eastAsia="等线" w:cs="Times New Roman"/>
                <w:lang w:val="en-US" w:eastAsia="zh-CN"/>
              </w:rPr>
            </w:pPr>
            <w:r>
              <w:rPr>
                <w:rFonts w:hint="eastAsia" w:ascii="Times New Roman" w:hAnsi="Times New Roman" w:cs="Times New Roman"/>
                <w:lang w:val="en-US" w:eastAsia="zh-CN"/>
              </w:rPr>
              <w:t>3</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imes New Roman" w:hAnsi="Times New Roman" w:eastAsia="等线" w:cs="Times New Roman"/>
                <w:lang w:val="en-US" w:eastAsia="zh-CN"/>
              </w:rPr>
            </w:pPr>
            <w:r>
              <w:rPr>
                <w:rFonts w:hint="eastAsia" w:ascii="Times New Roman" w:hAnsi="Times New Roman" w:cs="Times New Roman"/>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rPr>
            </w:pPr>
            <w:r>
              <w:rPr>
                <w:rFonts w:ascii="Times New Roman" w:hAnsi="Times New Roman" w:eastAsia="黑体" w:cs="Times New Roman"/>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6</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9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rPr>
            </w:pPr>
            <w:r>
              <w:rPr>
                <w:rFonts w:ascii="Times New Roman" w:hAnsi="Times New Roman" w:eastAsia="黑体" w:cs="Times New Roman"/>
              </w:rPr>
              <w:t>（ 三） 不予公开</w:t>
            </w: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rPr>
            </w:pPr>
            <w:r>
              <w:rPr>
                <w:rFonts w:ascii="Times New Roman" w:hAnsi="Times New Roman" w:eastAsia="仿宋_GB2312" w:cs="Times New Roman"/>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rPr>
            </w:pPr>
            <w:r>
              <w:rPr>
                <w:rFonts w:ascii="Times New Roman" w:hAnsi="Times New Roman" w:eastAsia="仿宋_GB2312" w:cs="Times New Roman"/>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rPr>
            </w:pPr>
            <w:r>
              <w:rPr>
                <w:rFonts w:ascii="Times New Roman" w:hAnsi="Times New Roman" w:eastAsia="仿宋_GB2312" w:cs="Times New Roman"/>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rPr>
            </w:pPr>
            <w:r>
              <w:rPr>
                <w:rFonts w:ascii="Times New Roman" w:hAnsi="Times New Roman" w:eastAsia="仿宋_GB2312" w:cs="Times New Roman"/>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rPr>
            </w:pPr>
            <w:r>
              <w:rPr>
                <w:rFonts w:ascii="Times New Roman" w:hAnsi="Times New Roman" w:eastAsia="仿宋_GB2312" w:cs="Times New Roman"/>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rPr>
            </w:pPr>
            <w:r>
              <w:rPr>
                <w:rFonts w:ascii="Times New Roman" w:hAnsi="Times New Roman" w:eastAsia="仿宋_GB2312" w:cs="Times New Roman"/>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rPr>
            </w:pPr>
            <w:r>
              <w:rPr>
                <w:rFonts w:ascii="Times New Roman" w:hAnsi="Times New Roman" w:eastAsia="仿宋_GB2312" w:cs="Times New Roman"/>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rPr>
            </w:pPr>
            <w:r>
              <w:rPr>
                <w:rFonts w:ascii="Times New Roman" w:hAnsi="Times New Roman" w:eastAsia="仿宋_GB2312" w:cs="Times New Roman"/>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9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rPr>
            </w:pPr>
            <w:r>
              <w:rPr>
                <w:rFonts w:ascii="Times New Roman" w:hAnsi="Times New Roman" w:eastAsia="黑体" w:cs="Times New Roman"/>
              </w:rPr>
              <w:t>（ 四） 无法提供</w:t>
            </w: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rPr>
            </w:pPr>
            <w:r>
              <w:rPr>
                <w:rFonts w:ascii="Times New Roman" w:hAnsi="Times New Roman" w:eastAsia="仿宋_GB2312" w:cs="Times New Roman"/>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rPr>
            </w:pPr>
            <w:r>
              <w:rPr>
                <w:rFonts w:ascii="Times New Roman" w:hAnsi="Times New Roman" w:eastAsia="仿宋_GB2312" w:cs="Times New Roman"/>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rPr>
            </w:pPr>
            <w:r>
              <w:rPr>
                <w:rFonts w:ascii="Times New Roman" w:hAnsi="Times New Roman" w:eastAsia="仿宋_GB2312" w:cs="Times New Roman"/>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9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rPr>
            </w:pPr>
            <w:r>
              <w:rPr>
                <w:rFonts w:ascii="Times New Roman" w:hAnsi="Times New Roman" w:eastAsia="黑体" w:cs="Times New Roman"/>
              </w:rPr>
              <w:t>（ 五） 不予处理</w:t>
            </w: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rPr>
            </w:pPr>
            <w:r>
              <w:rPr>
                <w:rFonts w:ascii="Times New Roman" w:hAnsi="Times New Roman" w:eastAsia="仿宋_GB2312" w:cs="Times New Roman"/>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1</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rPr>
            </w:pPr>
            <w:r>
              <w:rPr>
                <w:rFonts w:ascii="Times New Roman" w:hAnsi="Times New Roman" w:eastAsia="仿宋_GB2312" w:cs="Times New Roman"/>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rPr>
            </w:pPr>
            <w:r>
              <w:rPr>
                <w:rFonts w:ascii="Times New Roman" w:hAnsi="Times New Roman" w:eastAsia="仿宋_GB2312" w:cs="Times New Roman"/>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rPr>
            </w:pPr>
            <w:r>
              <w:rPr>
                <w:rFonts w:ascii="Times New Roman" w:hAnsi="Times New Roman" w:eastAsia="仿宋_GB2312" w:cs="Times New Roman"/>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rPr>
            </w:pPr>
            <w:r>
              <w:rPr>
                <w:rFonts w:ascii="Times New Roman" w:hAnsi="Times New Roman" w:eastAsia="仿宋_GB2312" w:cs="Times New Roman"/>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9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rPr>
            </w:pPr>
            <w:r>
              <w:rPr>
                <w:rFonts w:ascii="Times New Roman" w:hAnsi="Times New Roman" w:eastAsia="黑体" w:cs="Times New Roman"/>
              </w:rPr>
              <w:t>（ 六） 其他处理</w:t>
            </w: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rPr>
            </w:pPr>
            <w:r>
              <w:rPr>
                <w:rFonts w:ascii="Times New Roman" w:hAnsi="Times New Roman" w:eastAsia="仿宋_GB2312" w:cs="Times New Roman"/>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3005" w:type="dxa"/>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eastAsia="仿宋_GB2312" w:cs="Times New Roman"/>
              </w:rPr>
            </w:pPr>
            <w:r>
              <w:rPr>
                <w:rFonts w:ascii="Times New Roman" w:hAnsi="Times New Roman" w:eastAsia="仿宋_GB2312" w:cs="Times New Roman"/>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rPr>
            </w:pPr>
            <w:r>
              <w:rPr>
                <w:rFonts w:ascii="Times New Roman" w:hAnsi="Times New Roman" w:eastAsia="仿宋_GB2312" w:cs="Times New Roman"/>
              </w:rPr>
              <w:t>3. 其他</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3</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rPr>
            </w:pPr>
            <w:r>
              <w:rPr>
                <w:rFonts w:ascii="Times New Roman" w:hAnsi="Times New Roman" w:eastAsia="黑体" w:cs="Times New Roman"/>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imes New Roman" w:hAnsi="Times New Roman" w:eastAsia="等线" w:cs="Times New Roman"/>
                <w:lang w:val="en-US" w:eastAsia="zh-CN"/>
              </w:rPr>
            </w:pPr>
            <w:r>
              <w:rPr>
                <w:rFonts w:hint="eastAsia" w:ascii="Times New Roman" w:hAnsi="Times New Roman" w:cs="Times New Roman"/>
              </w:rPr>
              <w:t>1</w:t>
            </w:r>
            <w:r>
              <w:rPr>
                <w:rFonts w:hint="eastAsia" w:ascii="Times New Roman" w:hAnsi="Times New Roman" w:cs="Times New Roman"/>
                <w:lang w:val="en-US" w:eastAsia="zh-CN"/>
              </w:rPr>
              <w:t>3</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imes New Roman" w:hAnsi="Times New Roman" w:eastAsia="等线" w:cs="Times New Roman"/>
                <w:lang w:val="en-US" w:eastAsia="zh-CN"/>
              </w:rPr>
            </w:pPr>
            <w:r>
              <w:rPr>
                <w:rFonts w:hint="eastAsia" w:ascii="Times New Roman" w:hAnsi="Times New Roman" w:cs="Times New Roman"/>
              </w:rPr>
              <w:t>1</w:t>
            </w:r>
            <w:r>
              <w:rPr>
                <w:rFonts w:hint="eastAsia" w:ascii="Times New Roman" w:hAnsi="Times New Roman" w:cs="Times New Roman"/>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rPr>
            </w:pPr>
            <w:r>
              <w:rPr>
                <w:rFonts w:ascii="Times New Roman" w:hAnsi="Times New Roman" w:eastAsia="黑体" w:cs="Times New Roman"/>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1</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1</w:t>
            </w:r>
          </w:p>
        </w:tc>
      </w:tr>
    </w:tbl>
    <w:p>
      <w:pPr>
        <w:widowControl/>
        <w:shd w:val="clear" w:color="auto" w:fill="FFFFFF" w:themeFill="background1"/>
        <w:spacing w:after="240" w:line="560" w:lineRule="exact"/>
        <w:ind w:left="420" w:leftChars="200"/>
        <w:rPr>
          <w:rFonts w:ascii="黑体" w:hAnsi="黑体" w:eastAsia="黑体" w:cs="黑体"/>
          <w:bCs/>
          <w:kern w:val="0"/>
          <w:sz w:val="32"/>
          <w:szCs w:val="32"/>
        </w:rPr>
      </w:pPr>
      <w:r>
        <w:rPr>
          <w:rFonts w:ascii="Times New Roman" w:hAnsi="Times New Roman"/>
          <w:sz w:val="32"/>
          <w:szCs w:val="32"/>
          <w:shd w:val="clear" w:color="auto" w:fill="FFFFFF"/>
        </w:rPr>
        <w:t>四、</w:t>
      </w:r>
      <w:r>
        <w:rPr>
          <w:rFonts w:hint="eastAsia" w:ascii="黑体" w:hAnsi="黑体" w:eastAsia="黑体" w:cs="黑体"/>
          <w:bCs/>
          <w:kern w:val="0"/>
          <w:sz w:val="32"/>
          <w:szCs w:val="32"/>
        </w:rPr>
        <w:t>政府信息公开行政复议、行政诉讼情况</w:t>
      </w:r>
    </w:p>
    <w:tbl>
      <w:tblPr>
        <w:tblStyle w:val="9"/>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rPr>
            </w:pPr>
            <w:r>
              <w:rPr>
                <w:rFonts w:ascii="Times New Roman" w:hAnsi="Times New Roman" w:eastAsia="黑体" w:cs="Times New Roman"/>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rPr>
            </w:pPr>
            <w:r>
              <w:rPr>
                <w:rFonts w:ascii="Times New Roman" w:hAnsi="Times New Roman" w:eastAsia="黑体" w:cs="Times New Roman"/>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rPr>
            </w:pPr>
            <w:r>
              <w:rPr>
                <w:rFonts w:ascii="Times New Roman" w:hAnsi="Times New Roman" w:eastAsia="黑体" w:cs="Times New Roman"/>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rPr>
            </w:pPr>
            <w:r>
              <w:rPr>
                <w:rFonts w:ascii="Times New Roman" w:hAnsi="Times New Roman" w:eastAsia="黑体" w:cs="Times New Roman"/>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rPr>
            </w:pPr>
            <w:r>
              <w:rPr>
                <w:rFonts w:ascii="Times New Roman" w:hAnsi="Times New Roman" w:eastAsia="黑体" w:cs="Times New Roman"/>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rPr>
            </w:pPr>
            <w:r>
              <w:rPr>
                <w:rFonts w:ascii="Times New Roman" w:hAnsi="Times New Roman" w:eastAsia="黑体" w:cs="Times New Roman"/>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rPr>
            </w:pPr>
            <w:r>
              <w:rPr>
                <w:rFonts w:ascii="Times New Roman" w:hAnsi="Times New Roman" w:eastAsia="黑体" w:cs="Times New Roman"/>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rPr>
            </w:pPr>
            <w:r>
              <w:rPr>
                <w:rFonts w:ascii="Times New Roman" w:hAnsi="Times New Roman" w:eastAsia="黑体" w:cs="Times New Roman"/>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rPr>
            </w:pPr>
            <w:r>
              <w:rPr>
                <w:rFonts w:ascii="Times New Roman" w:hAnsi="Times New Roman" w:eastAsia="黑体" w:cs="Times New Roman"/>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rPr>
            </w:pPr>
            <w:r>
              <w:rPr>
                <w:rFonts w:ascii="Times New Roman" w:hAnsi="Times New Roman" w:eastAsia="黑体" w:cs="Times New Roman"/>
              </w:rPr>
              <w:t>总计</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rPr>
            </w:pPr>
            <w:r>
              <w:rPr>
                <w:rFonts w:ascii="Times New Roman" w:hAnsi="Times New Roman" w:eastAsia="黑体" w:cs="Times New Roman"/>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rPr>
            </w:pPr>
            <w:r>
              <w:rPr>
                <w:rFonts w:ascii="Times New Roman" w:hAnsi="Times New Roman" w:eastAsia="黑体" w:cs="Times New Roman"/>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rPr>
            </w:pPr>
            <w:r>
              <w:rPr>
                <w:rFonts w:ascii="Times New Roman" w:hAnsi="Times New Roman" w:eastAsia="黑体" w:cs="Times New Roman"/>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rPr>
            </w:pPr>
            <w:r>
              <w:rPr>
                <w:rFonts w:ascii="Times New Roman" w:hAnsi="Times New Roman" w:eastAsia="黑体" w:cs="Times New Roman"/>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rPr>
            </w:pPr>
            <w:r>
              <w:rPr>
                <w:rFonts w:ascii="Times New Roman" w:hAnsi="Times New Roman" w:eastAsia="黑体" w:cs="Times New Roma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imes New Roman" w:hAnsi="Times New Roman" w:eastAsia="等线" w:cs="Times New Roman"/>
                <w:lang w:eastAsia="zh-CN"/>
              </w:rPr>
            </w:pPr>
            <w:r>
              <w:rPr>
                <w:rFonts w:hint="eastAsia" w:ascii="Times New Roman" w:hAnsi="Times New Roman" w:cs="Times New Roman"/>
                <w:lang w:val="en-US" w:eastAsia="zh-CN"/>
              </w:rPr>
              <w:t>1</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imes New Roman" w:hAnsi="Times New Roman" w:eastAsia="等线" w:cs="Times New Roman"/>
                <w:lang w:eastAsia="zh-CN"/>
              </w:rPr>
            </w:pPr>
            <w:r>
              <w:rPr>
                <w:rFonts w:hint="eastAsia" w:ascii="Times New Roman" w:hAnsi="Times New Roman" w:cs="Times New Roman"/>
                <w:lang w:val="en-US" w:eastAsia="zh-CN"/>
              </w:rPr>
              <w:t>1</w:t>
            </w:r>
            <w:bookmarkStart w:id="0" w:name="_GoBack"/>
            <w:bookmarkEnd w:id="0"/>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hint="eastAsia" w:ascii="Times New Roman" w:hAnsi="Times New Roman" w:cs="Times New Roman"/>
              </w:rPr>
              <w:t>0</w:t>
            </w:r>
          </w:p>
        </w:tc>
      </w:tr>
    </w:tbl>
    <w:p>
      <w:pPr>
        <w:rPr>
          <w:rFonts w:ascii="Times New Roman" w:hAnsi="Times New Roman" w:cs="Times New Roman"/>
        </w:rPr>
      </w:pPr>
    </w:p>
    <w:p>
      <w:pPr>
        <w:widowControl/>
        <w:spacing w:line="560" w:lineRule="exact"/>
        <w:ind w:firstLine="640"/>
        <w:jc w:val="left"/>
        <w:rPr>
          <w:rFonts w:ascii="Times New Roman" w:hAnsi="Times New Roman" w:eastAsia="微软雅黑" w:cs="Times New Roman"/>
          <w:kern w:val="0"/>
          <w:sz w:val="32"/>
          <w:szCs w:val="32"/>
        </w:rPr>
      </w:pPr>
      <w:r>
        <w:rPr>
          <w:rFonts w:ascii="Times New Roman" w:hAnsi="Times New Roman" w:eastAsia="黑体" w:cs="Times New Roman"/>
          <w:kern w:val="0"/>
          <w:sz w:val="32"/>
          <w:szCs w:val="32"/>
        </w:rPr>
        <w:t>五、存在主要问题及改进情况</w:t>
      </w:r>
    </w:p>
    <w:p>
      <w:pPr>
        <w:widowControl/>
        <w:spacing w:line="560" w:lineRule="exact"/>
        <w:ind w:firstLine="640"/>
        <w:jc w:val="left"/>
        <w:rPr>
          <w:rFonts w:ascii="Times New Roman" w:hAnsi="Times New Roman" w:eastAsia="仿宋_GB2312" w:cs="Times New Roman"/>
          <w:kern w:val="0"/>
          <w:sz w:val="32"/>
          <w:szCs w:val="32"/>
        </w:rPr>
      </w:pPr>
      <w:r>
        <w:rPr>
          <w:rFonts w:ascii="Times New Roman" w:hAnsi="Times New Roman" w:eastAsia="微软雅黑" w:cs="Times New Roman"/>
          <w:kern w:val="0"/>
          <w:sz w:val="32"/>
          <w:szCs w:val="32"/>
        </w:rPr>
        <w:t>2023</w:t>
      </w:r>
      <w:r>
        <w:rPr>
          <w:rFonts w:ascii="Times New Roman" w:hAnsi="Times New Roman" w:eastAsia="仿宋_GB2312" w:cs="Times New Roman"/>
          <w:kern w:val="0"/>
          <w:sz w:val="32"/>
          <w:szCs w:val="32"/>
        </w:rPr>
        <w:t>年，淄川区人民政府</w:t>
      </w:r>
      <w:r>
        <w:rPr>
          <w:rFonts w:hint="eastAsia" w:ascii="Times New Roman" w:hAnsi="Times New Roman" w:eastAsia="仿宋_GB2312" w:cs="Times New Roman"/>
          <w:kern w:val="0"/>
          <w:sz w:val="32"/>
          <w:szCs w:val="32"/>
          <w:lang w:val="en-US" w:eastAsia="zh-CN"/>
        </w:rPr>
        <w:t>办公室</w:t>
      </w:r>
      <w:r>
        <w:rPr>
          <w:rFonts w:ascii="Times New Roman" w:hAnsi="Times New Roman" w:eastAsia="仿宋_GB2312" w:cs="Times New Roman"/>
          <w:kern w:val="0"/>
          <w:sz w:val="32"/>
          <w:szCs w:val="32"/>
        </w:rPr>
        <w:t>信息公开工作仍存在一些不足：一是政策文件</w:t>
      </w:r>
      <w:r>
        <w:rPr>
          <w:rFonts w:hint="eastAsia" w:ascii="Times New Roman" w:hAnsi="Times New Roman" w:eastAsia="仿宋_GB2312" w:cs="Times New Roman"/>
          <w:kern w:val="0"/>
          <w:sz w:val="32"/>
          <w:szCs w:val="32"/>
        </w:rPr>
        <w:t>展现形式、解读深度不够，</w:t>
      </w:r>
      <w:r>
        <w:rPr>
          <w:rFonts w:ascii="Times New Roman" w:hAnsi="Times New Roman" w:eastAsia="仿宋_GB2312" w:cs="Times New Roman"/>
          <w:kern w:val="0"/>
          <w:sz w:val="32"/>
          <w:szCs w:val="32"/>
        </w:rPr>
        <w:t>涉企惠企和便民利民政策的到达率、知晓率仍有提升空间。二是</w:t>
      </w:r>
      <w:r>
        <w:rPr>
          <w:rFonts w:hint="eastAsia" w:ascii="Times New Roman" w:hAnsi="Times New Roman" w:eastAsia="仿宋_GB2312" w:cs="Times New Roman"/>
          <w:kern w:val="0"/>
          <w:sz w:val="32"/>
          <w:szCs w:val="32"/>
        </w:rPr>
        <w:t>部分主动公开内容规范化、时效性有待进一步提高。</w:t>
      </w:r>
    </w:p>
    <w:p>
      <w:pPr>
        <w:widowControl/>
        <w:spacing w:line="560" w:lineRule="exact"/>
        <w:ind w:firstLine="64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针对上述问题</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淄川区人民政府</w:t>
      </w:r>
      <w:r>
        <w:rPr>
          <w:rFonts w:hint="eastAsia" w:ascii="Times New Roman" w:hAnsi="Times New Roman" w:eastAsia="仿宋_GB2312" w:cs="Times New Roman"/>
          <w:kern w:val="0"/>
          <w:sz w:val="32"/>
          <w:szCs w:val="32"/>
        </w:rPr>
        <w:t>办公室</w:t>
      </w:r>
      <w:r>
        <w:rPr>
          <w:rFonts w:ascii="Times New Roman" w:hAnsi="Times New Roman" w:eastAsia="仿宋_GB2312" w:cs="Times New Roman"/>
          <w:sz w:val="32"/>
          <w:szCs w:val="32"/>
        </w:rPr>
        <w:t>按照上级部署和要求</w:t>
      </w:r>
      <w:r>
        <w:rPr>
          <w:rFonts w:ascii="Times New Roman" w:hAnsi="Times New Roman" w:eastAsia="仿宋_GB2312" w:cs="Times New Roman"/>
          <w:kern w:val="0"/>
          <w:sz w:val="32"/>
          <w:szCs w:val="32"/>
        </w:rPr>
        <w:t>抓好政务公开标准化、规范化建设</w:t>
      </w:r>
      <w:r>
        <w:rPr>
          <w:rFonts w:hint="eastAsia" w:ascii="Times New Roman" w:hAnsi="Times New Roman" w:eastAsia="仿宋_GB2312" w:cs="Times New Roman"/>
          <w:kern w:val="0"/>
          <w:sz w:val="32"/>
          <w:szCs w:val="32"/>
        </w:rPr>
        <w:t>，积极探索创新方式方法。一</w:t>
      </w:r>
      <w:r>
        <w:rPr>
          <w:rFonts w:ascii="Times New Roman" w:hAnsi="Times New Roman" w:eastAsia="仿宋_GB2312" w:cs="Times New Roman"/>
          <w:kern w:val="0"/>
          <w:sz w:val="32"/>
          <w:szCs w:val="32"/>
        </w:rPr>
        <w:t>是持续完善解读流程，不断提高政策解读质量，通过分析影响范围和受众特点，</w:t>
      </w:r>
      <w:r>
        <w:rPr>
          <w:rFonts w:hint="eastAsia" w:ascii="Times New Roman" w:hAnsi="Times New Roman" w:eastAsia="仿宋_GB2312" w:cs="Times New Roman"/>
          <w:kern w:val="0"/>
          <w:sz w:val="32"/>
          <w:szCs w:val="32"/>
        </w:rPr>
        <w:t>创新相关文件解读形式。二是一步完善工作机制，加大自查自纠力度，确保公开内容及时、规范。并针对自查结果总结经验不足，明确新阶段任务目标，提升政务公开工作成效。</w:t>
      </w:r>
    </w:p>
    <w:p>
      <w:pPr>
        <w:widowControl/>
        <w:shd w:val="clear" w:color="auto" w:fill="FFFFFF"/>
        <w:spacing w:line="560" w:lineRule="exact"/>
        <w:ind w:firstLine="640"/>
        <w:jc w:val="left"/>
        <w:rPr>
          <w:rFonts w:ascii="Times New Roman" w:hAnsi="Times New Roman" w:eastAsia="微软雅黑" w:cs="Times New Roman"/>
          <w:kern w:val="0"/>
          <w:sz w:val="32"/>
          <w:szCs w:val="32"/>
        </w:rPr>
      </w:pPr>
      <w:r>
        <w:rPr>
          <w:rFonts w:ascii="Times New Roman" w:hAnsi="Times New Roman" w:eastAsia="黑体" w:cs="Times New Roman"/>
          <w:kern w:val="0"/>
          <w:sz w:val="32"/>
          <w:szCs w:val="32"/>
        </w:rPr>
        <w:t>六、其他需要报告的事项</w:t>
      </w:r>
    </w:p>
    <w:p>
      <w:pPr>
        <w:widowControl/>
        <w:shd w:val="clear" w:color="auto" w:fill="FFFFFF"/>
        <w:spacing w:line="560" w:lineRule="exact"/>
        <w:ind w:firstLine="640"/>
        <w:jc w:val="left"/>
        <w:rPr>
          <w:rFonts w:ascii="Times New Roman" w:hAnsi="Times New Roman" w:eastAsia="微软雅黑" w:cs="Times New Roman"/>
          <w:kern w:val="0"/>
          <w:sz w:val="24"/>
        </w:rPr>
      </w:pPr>
      <w:r>
        <w:rPr>
          <w:rFonts w:ascii="Times New Roman" w:hAnsi="Times New Roman" w:eastAsia="微软雅黑" w:cs="Times New Roman"/>
          <w:kern w:val="0"/>
          <w:sz w:val="32"/>
          <w:szCs w:val="32"/>
          <w:shd w:val="clear" w:color="auto" w:fill="FFFFFF"/>
        </w:rPr>
        <w:t>1</w:t>
      </w:r>
      <w:r>
        <w:rPr>
          <w:rFonts w:ascii="Times New Roman" w:hAnsi="Times New Roman" w:eastAsia="楷体" w:cs="Times New Roman"/>
          <w:kern w:val="0"/>
          <w:sz w:val="32"/>
          <w:szCs w:val="32"/>
          <w:shd w:val="clear" w:color="auto" w:fill="FFFFFF"/>
        </w:rPr>
        <w:t>、</w:t>
      </w:r>
      <w:r>
        <w:rPr>
          <w:rFonts w:ascii="Times New Roman" w:hAnsi="Times New Roman" w:eastAsia="楷体" w:cs="Times New Roman"/>
          <w:kern w:val="0"/>
          <w:sz w:val="32"/>
          <w:szCs w:val="32"/>
        </w:rPr>
        <w:t>收取信息处理费情况</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shd w:val="clear" w:color="auto" w:fill="FFFFFF"/>
        </w:rPr>
        <w:t>按照《国务院办公厅关于印发&lt;政府信息公开信息处理费管理办法&gt;的通知》（国办函〔2020〕109号）和《山东省人民政府办公厅关于做好政府信息公开信息处理费管理工作有关事项的通知》（鲁政办字〔2020〕179号）收取信息处理费。2023年</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本机关依申请公开政府信息未收取任何费用。</w:t>
      </w:r>
    </w:p>
    <w:p>
      <w:pPr>
        <w:widowControl/>
        <w:shd w:val="clear" w:color="auto" w:fill="FFFFFF"/>
        <w:spacing w:line="560" w:lineRule="exact"/>
        <w:ind w:firstLine="640"/>
        <w:jc w:val="left"/>
        <w:rPr>
          <w:rFonts w:ascii="Times New Roman" w:hAnsi="Times New Roman" w:eastAsia="仿宋_GB2312" w:cs="Times New Roman"/>
          <w:kern w:val="0"/>
          <w:sz w:val="24"/>
        </w:rPr>
      </w:pPr>
      <w:r>
        <w:rPr>
          <w:rFonts w:ascii="Times New Roman" w:hAnsi="Times New Roman" w:eastAsia="微软雅黑" w:cs="Times New Roman"/>
          <w:kern w:val="0"/>
          <w:sz w:val="32"/>
          <w:szCs w:val="32"/>
        </w:rPr>
        <w:t>2</w:t>
      </w:r>
      <w:r>
        <w:rPr>
          <w:rFonts w:ascii="Times New Roman" w:hAnsi="Times New Roman" w:eastAsia="楷体" w:cs="Times New Roman"/>
          <w:kern w:val="0"/>
          <w:sz w:val="32"/>
          <w:szCs w:val="32"/>
        </w:rPr>
        <w:t>、落实上级年度政务公开工作要点情况</w:t>
      </w:r>
      <w:r>
        <w:rPr>
          <w:rFonts w:ascii="Times New Roman" w:hAnsi="Times New Roman" w:eastAsia="仿宋_GB2312" w:cs="Times New Roman"/>
          <w:kern w:val="0"/>
          <w:sz w:val="32"/>
          <w:szCs w:val="32"/>
        </w:rPr>
        <w:t>。</w:t>
      </w:r>
      <w:r>
        <w:rPr>
          <w:rFonts w:ascii="Times New Roman" w:hAnsi="Times New Roman" w:eastAsia="微软雅黑" w:cs="Times New Roman"/>
          <w:kern w:val="0"/>
          <w:sz w:val="32"/>
          <w:szCs w:val="32"/>
        </w:rPr>
        <w:t>202</w:t>
      </w:r>
      <w:r>
        <w:rPr>
          <w:rFonts w:hint="eastAsia" w:ascii="Times New Roman" w:hAnsi="Times New Roman" w:eastAsia="微软雅黑" w:cs="Times New Roman"/>
          <w:kern w:val="0"/>
          <w:sz w:val="32"/>
          <w:szCs w:val="32"/>
        </w:rPr>
        <w:t>3</w:t>
      </w:r>
      <w:r>
        <w:rPr>
          <w:rFonts w:ascii="Times New Roman" w:hAnsi="Times New Roman" w:eastAsia="仿宋_GB2312" w:cs="Times New Roman"/>
          <w:kern w:val="0"/>
          <w:sz w:val="32"/>
          <w:szCs w:val="32"/>
        </w:rPr>
        <w:t>年，淄川区人民政府</w:t>
      </w:r>
      <w:r>
        <w:rPr>
          <w:rFonts w:hint="eastAsia" w:ascii="Times New Roman" w:hAnsi="Times New Roman" w:eastAsia="仿宋_GB2312" w:cs="Times New Roman"/>
          <w:kern w:val="0"/>
          <w:sz w:val="32"/>
          <w:szCs w:val="32"/>
        </w:rPr>
        <w:t>办公室</w:t>
      </w:r>
      <w:r>
        <w:rPr>
          <w:rFonts w:ascii="Times New Roman" w:hAnsi="Times New Roman" w:eastAsia="仿宋_GB2312" w:cs="Times New Roman"/>
          <w:kern w:val="0"/>
          <w:sz w:val="32"/>
          <w:szCs w:val="32"/>
        </w:rPr>
        <w:t>按照《202</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年淄川区政务公开工作方案》部署</w:t>
      </w:r>
      <w:r>
        <w:rPr>
          <w:rFonts w:hint="eastAsia" w:ascii="Times New Roman" w:hAnsi="Times New Roman" w:eastAsia="仿宋_GB2312" w:cs="Times New Roman"/>
          <w:kern w:val="0"/>
          <w:sz w:val="32"/>
          <w:szCs w:val="32"/>
        </w:rPr>
        <w:t>、要求</w:t>
      </w:r>
      <w:r>
        <w:rPr>
          <w:rFonts w:ascii="Times New Roman" w:hAnsi="Times New Roman" w:eastAsia="仿宋_GB2312" w:cs="Times New Roman"/>
          <w:kern w:val="0"/>
          <w:sz w:val="32"/>
          <w:szCs w:val="32"/>
        </w:rPr>
        <w:t>，重点围绕助力经济平稳健康发展和保持社会和谐稳定、夯实公开工作基础</w:t>
      </w:r>
      <w:r>
        <w:rPr>
          <w:rFonts w:hint="eastAsia" w:ascii="Times New Roman" w:hAnsi="Times New Roman" w:eastAsia="仿宋_GB2312" w:cs="Times New Roman"/>
          <w:kern w:val="0"/>
          <w:sz w:val="32"/>
          <w:szCs w:val="32"/>
        </w:rPr>
        <w:t>、提高政策解读质效</w:t>
      </w:r>
      <w:r>
        <w:rPr>
          <w:rFonts w:ascii="Times New Roman" w:hAnsi="Times New Roman" w:eastAsia="仿宋_GB2312" w:cs="Times New Roman"/>
          <w:kern w:val="0"/>
          <w:sz w:val="32"/>
          <w:szCs w:val="32"/>
        </w:rPr>
        <w:t>等方面深化政务公开，更好地发挥以公开促落实、促规范、促服务作用</w:t>
      </w:r>
      <w:r>
        <w:rPr>
          <w:rFonts w:hint="eastAsia" w:ascii="Times New Roman" w:hAnsi="Times New Roman" w:eastAsia="仿宋_GB2312"/>
          <w:kern w:val="0"/>
          <w:sz w:val="32"/>
          <w:szCs w:val="32"/>
        </w:rPr>
        <w:t>。</w:t>
      </w:r>
    </w:p>
    <w:p>
      <w:pPr>
        <w:widowControl/>
        <w:shd w:val="clear" w:color="auto" w:fill="FFFFFF"/>
        <w:spacing w:line="560" w:lineRule="exact"/>
        <w:ind w:firstLine="640"/>
        <w:jc w:val="left"/>
        <w:rPr>
          <w:rFonts w:ascii="Times New Roman" w:hAnsi="Times New Roman" w:eastAsia="仿宋_GB2312" w:cs="Times New Roman"/>
          <w:kern w:val="0"/>
          <w:sz w:val="32"/>
          <w:szCs w:val="32"/>
        </w:rPr>
      </w:pPr>
      <w:r>
        <w:rPr>
          <w:rFonts w:ascii="Times New Roman" w:hAnsi="Times New Roman" w:eastAsia="微软雅黑" w:cs="Times New Roman"/>
          <w:kern w:val="0"/>
          <w:sz w:val="32"/>
          <w:szCs w:val="32"/>
        </w:rPr>
        <w:t>3</w:t>
      </w:r>
      <w:r>
        <w:rPr>
          <w:rFonts w:ascii="Times New Roman" w:hAnsi="Times New Roman" w:eastAsia="楷体" w:cs="Times New Roman"/>
          <w:kern w:val="0"/>
          <w:sz w:val="32"/>
          <w:szCs w:val="32"/>
        </w:rPr>
        <w:t>、人大代表</w:t>
      </w:r>
      <w:r>
        <w:rPr>
          <w:rFonts w:hint="eastAsia" w:ascii="Times New Roman" w:hAnsi="Times New Roman" w:eastAsia="楷体" w:cs="Times New Roman"/>
          <w:kern w:val="0"/>
          <w:sz w:val="32"/>
          <w:szCs w:val="32"/>
        </w:rPr>
        <w:t>建议</w:t>
      </w:r>
      <w:r>
        <w:rPr>
          <w:rFonts w:ascii="Times New Roman" w:hAnsi="Times New Roman" w:eastAsia="楷体" w:cs="Times New Roman"/>
          <w:kern w:val="0"/>
          <w:sz w:val="32"/>
          <w:szCs w:val="32"/>
        </w:rPr>
        <w:t>和政协</w:t>
      </w:r>
      <w:r>
        <w:rPr>
          <w:rFonts w:hint="eastAsia" w:ascii="Times New Roman" w:hAnsi="Times New Roman" w:eastAsia="楷体" w:cs="Times New Roman"/>
          <w:kern w:val="0"/>
          <w:sz w:val="32"/>
          <w:szCs w:val="32"/>
        </w:rPr>
        <w:t>委员</w:t>
      </w:r>
      <w:r>
        <w:rPr>
          <w:rFonts w:ascii="Times New Roman" w:hAnsi="Times New Roman" w:eastAsia="楷体" w:cs="Times New Roman"/>
          <w:kern w:val="0"/>
          <w:sz w:val="32"/>
          <w:szCs w:val="32"/>
        </w:rPr>
        <w:t>提案办理结果公开情况</w:t>
      </w:r>
      <w:r>
        <w:rPr>
          <w:rFonts w:ascii="Times New Roman" w:hAnsi="Times New Roman" w:eastAsia="仿宋_GB2312" w:cs="Times New Roman"/>
          <w:kern w:val="0"/>
          <w:sz w:val="32"/>
          <w:szCs w:val="32"/>
        </w:rPr>
        <w:t>。2023年</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淄川区人民政府办公室收到政协委员关于“建立和完善我区农村基层信息化资源共享机制的建议”提案1件，</w:t>
      </w:r>
      <w:r>
        <w:rPr>
          <w:rFonts w:hint="eastAsia" w:ascii="Times New Roman" w:hAnsi="Times New Roman" w:eastAsia="仿宋_GB2312" w:cs="Times New Roman"/>
          <w:kern w:val="0"/>
          <w:sz w:val="32"/>
          <w:szCs w:val="32"/>
        </w:rPr>
        <w:t>依规对建议内容、答复内容进行公开。</w:t>
      </w:r>
      <w:r>
        <w:rPr>
          <w:rFonts w:ascii="Times New Roman" w:hAnsi="Times New Roman" w:eastAsia="仿宋_GB2312" w:cs="Times New Roman"/>
          <w:kern w:val="0"/>
          <w:sz w:val="32"/>
          <w:szCs w:val="32"/>
        </w:rPr>
        <w:t>未有上级建议提案办理</w:t>
      </w:r>
      <w:r>
        <w:rPr>
          <w:rFonts w:hint="eastAsia" w:ascii="Times New Roman" w:hAnsi="Times New Roman" w:eastAsia="仿宋_GB2312" w:cs="Times New Roman"/>
          <w:kern w:val="0"/>
          <w:sz w:val="32"/>
          <w:szCs w:val="32"/>
        </w:rPr>
        <w:t>情况公开</w:t>
      </w:r>
      <w:r>
        <w:rPr>
          <w:rFonts w:ascii="Times New Roman" w:hAnsi="Times New Roman" w:eastAsia="仿宋_GB2312" w:cs="Times New Roman"/>
          <w:kern w:val="0"/>
          <w:sz w:val="32"/>
          <w:szCs w:val="32"/>
        </w:rPr>
        <w:t>任务。</w:t>
      </w:r>
    </w:p>
    <w:p>
      <w:pPr>
        <w:widowControl/>
        <w:shd w:val="clear" w:color="auto" w:fill="FFFFFF"/>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rPr>
        <w:t>4、</w:t>
      </w:r>
      <w:r>
        <w:rPr>
          <w:rFonts w:hint="eastAsia" w:ascii="仿宋_GB2312" w:hAnsi="仿宋_GB2312" w:eastAsia="仿宋_GB2312" w:cs="仿宋_GB2312"/>
          <w:kern w:val="0"/>
          <w:sz w:val="32"/>
          <w:szCs w:val="32"/>
        </w:rPr>
        <w:t>政务公开工作创新情况。2023年，淄川区人民政府办公室在加强主动公开、创新解读形式、加强宣传引导等方面积极探索工作新方法。一</w:t>
      </w:r>
      <w:r>
        <w:rPr>
          <w:rFonts w:hint="eastAsia" w:ascii="仿宋_GB2312" w:hAnsi="仿宋_GB2312" w:eastAsia="仿宋_GB2312" w:cs="仿宋_GB2312"/>
          <w:sz w:val="32"/>
          <w:szCs w:val="32"/>
        </w:rPr>
        <w:t>是编制《融公开平台工作手册》，针对政务公开工作中业务操作方面集中出现的问题及要点，进行了明确的操作说明指导，帮助政务公开工作人员更好地掌握相关业务。二是创新政策解读形式，通过图片图表、H5电子书、音频视频、动漫等多种形式对14个重要政策文件进行60余个解读。三是通过组织知识竞赛的方式，对《中华人民共和国政府信息公开条例》进行宣传，线上累计答题人数已超过100人次，提高了群众对政府信息公开工作的知晓率和参与度。</w:t>
      </w:r>
    </w:p>
    <w:p>
      <w:pPr>
        <w:widowControl/>
        <w:shd w:val="clear" w:color="auto" w:fill="FFFFFF"/>
        <w:spacing w:line="560" w:lineRule="exact"/>
        <w:ind w:firstLine="64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sz w:val="32"/>
        </w:rPr>
        <w:t>5、</w:t>
      </w:r>
      <w:r>
        <w:rPr>
          <w:rFonts w:hint="eastAsia" w:ascii="仿宋_GB2312" w:hAnsi="仿宋_GB2312" w:eastAsia="仿宋_GB2312" w:cs="仿宋_GB2312"/>
          <w:kern w:val="0"/>
          <w:sz w:val="32"/>
          <w:szCs w:val="32"/>
        </w:rPr>
        <w:t>政府信息公开工作年度报告数据统计需要。</w:t>
      </w:r>
      <w:r>
        <w:rPr>
          <w:rFonts w:hint="eastAsia" w:ascii="仿宋_GB2312" w:hAnsi="仿宋_GB2312" w:eastAsia="仿宋_GB2312" w:cs="仿宋_GB2312"/>
          <w:kern w:val="0"/>
          <w:sz w:val="32"/>
          <w:szCs w:val="32"/>
          <w:shd w:val="clear" w:color="auto" w:fill="FFFFFF"/>
        </w:rPr>
        <w:t>无。</w:t>
      </w:r>
    </w:p>
    <w:p>
      <w:pPr>
        <w:widowControl/>
        <w:shd w:val="clear" w:color="auto" w:fill="FFFFFF"/>
        <w:spacing w:line="560" w:lineRule="exact"/>
        <w:ind w:firstLine="64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rPr>
        <w:t>6、本行政机关认为需要报告的其他事项。</w:t>
      </w:r>
      <w:r>
        <w:rPr>
          <w:rFonts w:hint="eastAsia" w:ascii="仿宋_GB2312" w:hAnsi="仿宋_GB2312" w:eastAsia="仿宋_GB2312" w:cs="仿宋_GB2312"/>
          <w:kern w:val="0"/>
          <w:sz w:val="32"/>
          <w:szCs w:val="32"/>
          <w:shd w:val="clear" w:color="auto" w:fill="FFFFFF"/>
        </w:rPr>
        <w:t>无。</w:t>
      </w:r>
    </w:p>
    <w:p>
      <w:pPr>
        <w:widowControl/>
        <w:shd w:val="clear" w:color="auto" w:fill="FFFFFF"/>
        <w:spacing w:line="560" w:lineRule="exact"/>
        <w:ind w:firstLine="64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rPr>
        <w:t>7、其他有关文件专门要求通过政府信息公开工作年度报告予以报告的事项。</w:t>
      </w:r>
      <w:r>
        <w:rPr>
          <w:rFonts w:hint="eastAsia" w:ascii="仿宋_GB2312" w:hAnsi="仿宋_GB2312" w:eastAsia="仿宋_GB2312" w:cs="仿宋_GB2312"/>
          <w:kern w:val="0"/>
          <w:sz w:val="32"/>
          <w:szCs w:val="32"/>
          <w:shd w:val="clear" w:color="auto" w:fill="FFFFFF"/>
        </w:rPr>
        <w:t>无。</w:t>
      </w:r>
    </w:p>
    <w:p>
      <w:pPr>
        <w:tabs>
          <w:tab w:val="center" w:pos="6778"/>
          <w:tab w:val="left" w:pos="10980"/>
        </w:tabs>
        <w:spacing w:line="560" w:lineRule="exact"/>
        <w:jc w:val="right"/>
        <w:rPr>
          <w:rFonts w:ascii="Times New Roman" w:hAnsi="Times New Roman" w:eastAsia="仿宋_GB2312" w:cs="Times New Roman"/>
          <w:sz w:val="32"/>
          <w:szCs w:val="32"/>
        </w:rPr>
      </w:pPr>
    </w:p>
    <w:p>
      <w:pPr>
        <w:tabs>
          <w:tab w:val="center" w:pos="6778"/>
          <w:tab w:val="left" w:pos="10980"/>
        </w:tabs>
        <w:spacing w:line="560" w:lineRule="exact"/>
        <w:jc w:val="right"/>
        <w:rPr>
          <w:rFonts w:ascii="Times New Roman" w:hAnsi="Times New Roman" w:eastAsia="仿宋_GB2312" w:cs="Times New Roman"/>
          <w:sz w:val="32"/>
          <w:szCs w:val="32"/>
        </w:rPr>
      </w:pPr>
    </w:p>
    <w:p>
      <w:pPr>
        <w:tabs>
          <w:tab w:val="center" w:pos="6778"/>
          <w:tab w:val="left" w:pos="10980"/>
        </w:tabs>
        <w:spacing w:line="56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淄川区人民政府办公室</w:t>
      </w:r>
    </w:p>
    <w:p>
      <w:pPr>
        <w:tabs>
          <w:tab w:val="center" w:pos="6778"/>
          <w:tab w:val="left" w:pos="10980"/>
        </w:tabs>
        <w:spacing w:line="56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color w:val="0000FF"/>
          <w:sz w:val="32"/>
          <w:szCs w:val="32"/>
        </w:rPr>
        <w:t xml:space="preserve">               </w:t>
      </w:r>
      <w:r>
        <w:rPr>
          <w:rFonts w:ascii="Times New Roman" w:hAnsi="Times New Roman" w:eastAsia="仿宋_GB2312" w:cs="Times New Roman"/>
          <w:sz w:val="32"/>
          <w:szCs w:val="32"/>
        </w:rPr>
        <w:t>2024年1月</w:t>
      </w:r>
      <w:r>
        <w:rPr>
          <w:rFonts w:hint="eastAsia" w:ascii="Times New Roman" w:hAnsi="Times New Roman" w:eastAsia="仿宋_GB2312" w:cs="Times New Roman"/>
          <w:sz w:val="32"/>
          <w:szCs w:val="32"/>
        </w:rPr>
        <w:t>18</w:t>
      </w:r>
      <w:r>
        <w:rPr>
          <w:rFonts w:ascii="Times New Roman" w:hAnsi="Times New Roman" w:eastAsia="仿宋_GB2312" w:cs="Times New Roman"/>
          <w:sz w:val="32"/>
          <w:szCs w:val="32"/>
        </w:rPr>
        <w:t>日</w:t>
      </w:r>
    </w:p>
    <w:sectPr>
      <w:headerReference r:id="rId3" w:type="default"/>
      <w:footerReference r:id="rId4" w:type="default"/>
      <w:pgSz w:w="11906" w:h="16838"/>
      <w:pgMar w:top="2098" w:right="1474" w:bottom="1701" w:left="1587" w:header="851" w:footer="1020"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Yu Mincho Light">
    <w:altName w:val="MS PMincho"/>
    <w:panose1 w:val="02020300000000000000"/>
    <w:charset w:val="80"/>
    <w:family w:val="roman"/>
    <w:pitch w:val="default"/>
    <w:sig w:usb0="00000000" w:usb1="00000000" w:usb2="00000012" w:usb3="00000000" w:csb0="0002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PMincho">
    <w:panose1 w:val="02020600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HorizontalSpacing w:val="105"/>
  <w:drawingGridVerticalSpacing w:val="158"/>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YTM3NmI4MWRkYmQwMWNmYzJkNTc4NmU1ZWM3MTEifQ=="/>
  </w:docVars>
  <w:rsids>
    <w:rsidRoot w:val="00C523CE"/>
    <w:rsid w:val="00000AAA"/>
    <w:rsid w:val="0000776B"/>
    <w:rsid w:val="000320DA"/>
    <w:rsid w:val="00042DC1"/>
    <w:rsid w:val="00053B3B"/>
    <w:rsid w:val="0006394F"/>
    <w:rsid w:val="0007029B"/>
    <w:rsid w:val="00070866"/>
    <w:rsid w:val="00074E3C"/>
    <w:rsid w:val="000907AE"/>
    <w:rsid w:val="000935C0"/>
    <w:rsid w:val="00120E2E"/>
    <w:rsid w:val="001351A1"/>
    <w:rsid w:val="00182A50"/>
    <w:rsid w:val="001866C1"/>
    <w:rsid w:val="001A0340"/>
    <w:rsid w:val="001D1D05"/>
    <w:rsid w:val="001F75FD"/>
    <w:rsid w:val="002019E9"/>
    <w:rsid w:val="00210B15"/>
    <w:rsid w:val="00217D5C"/>
    <w:rsid w:val="0026746D"/>
    <w:rsid w:val="00281683"/>
    <w:rsid w:val="00287A5F"/>
    <w:rsid w:val="002A044E"/>
    <w:rsid w:val="002D04A7"/>
    <w:rsid w:val="002F746B"/>
    <w:rsid w:val="00304A6C"/>
    <w:rsid w:val="0030572C"/>
    <w:rsid w:val="003215E1"/>
    <w:rsid w:val="003241E5"/>
    <w:rsid w:val="00326AB6"/>
    <w:rsid w:val="0033503F"/>
    <w:rsid w:val="00336258"/>
    <w:rsid w:val="00344D08"/>
    <w:rsid w:val="0034765D"/>
    <w:rsid w:val="00357DDC"/>
    <w:rsid w:val="0036485E"/>
    <w:rsid w:val="003705D7"/>
    <w:rsid w:val="00390574"/>
    <w:rsid w:val="003D25BA"/>
    <w:rsid w:val="003D64A8"/>
    <w:rsid w:val="003F3231"/>
    <w:rsid w:val="004528AF"/>
    <w:rsid w:val="00461DBA"/>
    <w:rsid w:val="004679A0"/>
    <w:rsid w:val="004705A9"/>
    <w:rsid w:val="0048374C"/>
    <w:rsid w:val="00491577"/>
    <w:rsid w:val="004D0017"/>
    <w:rsid w:val="004E01E0"/>
    <w:rsid w:val="005460DE"/>
    <w:rsid w:val="00566EA9"/>
    <w:rsid w:val="00572FE7"/>
    <w:rsid w:val="00581C73"/>
    <w:rsid w:val="005834CB"/>
    <w:rsid w:val="0058392A"/>
    <w:rsid w:val="00583AFC"/>
    <w:rsid w:val="00584955"/>
    <w:rsid w:val="00590101"/>
    <w:rsid w:val="005B23DA"/>
    <w:rsid w:val="005D7576"/>
    <w:rsid w:val="00611F13"/>
    <w:rsid w:val="0061378D"/>
    <w:rsid w:val="006252B9"/>
    <w:rsid w:val="0064558C"/>
    <w:rsid w:val="0065023A"/>
    <w:rsid w:val="006614ED"/>
    <w:rsid w:val="00666D39"/>
    <w:rsid w:val="00677A74"/>
    <w:rsid w:val="006912AB"/>
    <w:rsid w:val="006A6A45"/>
    <w:rsid w:val="006B1E70"/>
    <w:rsid w:val="006C2184"/>
    <w:rsid w:val="006C3FEA"/>
    <w:rsid w:val="006C562E"/>
    <w:rsid w:val="006E7AD1"/>
    <w:rsid w:val="00700BA4"/>
    <w:rsid w:val="0071418F"/>
    <w:rsid w:val="0075175F"/>
    <w:rsid w:val="00786979"/>
    <w:rsid w:val="00790209"/>
    <w:rsid w:val="007B6661"/>
    <w:rsid w:val="007B69F8"/>
    <w:rsid w:val="007D0F14"/>
    <w:rsid w:val="00831BF7"/>
    <w:rsid w:val="008549B8"/>
    <w:rsid w:val="00866F27"/>
    <w:rsid w:val="008815F2"/>
    <w:rsid w:val="008A06D6"/>
    <w:rsid w:val="008A6A0F"/>
    <w:rsid w:val="008B1CAC"/>
    <w:rsid w:val="008D6AB8"/>
    <w:rsid w:val="008E3A9B"/>
    <w:rsid w:val="009150A8"/>
    <w:rsid w:val="00915429"/>
    <w:rsid w:val="009275F8"/>
    <w:rsid w:val="00927A45"/>
    <w:rsid w:val="00946A51"/>
    <w:rsid w:val="009538DE"/>
    <w:rsid w:val="00955F58"/>
    <w:rsid w:val="00981DA1"/>
    <w:rsid w:val="009B040D"/>
    <w:rsid w:val="009B066C"/>
    <w:rsid w:val="009B1B9E"/>
    <w:rsid w:val="009B2192"/>
    <w:rsid w:val="009C7DC4"/>
    <w:rsid w:val="009D0BCD"/>
    <w:rsid w:val="009D0C07"/>
    <w:rsid w:val="009D7806"/>
    <w:rsid w:val="009E39FA"/>
    <w:rsid w:val="00A3312B"/>
    <w:rsid w:val="00A55395"/>
    <w:rsid w:val="00A57170"/>
    <w:rsid w:val="00A665C4"/>
    <w:rsid w:val="00A67BC3"/>
    <w:rsid w:val="00A77C6C"/>
    <w:rsid w:val="00A83AE7"/>
    <w:rsid w:val="00A8780C"/>
    <w:rsid w:val="00A9039E"/>
    <w:rsid w:val="00AA47D3"/>
    <w:rsid w:val="00AB7831"/>
    <w:rsid w:val="00AD0FD4"/>
    <w:rsid w:val="00AD5AAE"/>
    <w:rsid w:val="00AF304C"/>
    <w:rsid w:val="00B070E2"/>
    <w:rsid w:val="00B125DB"/>
    <w:rsid w:val="00B32FCD"/>
    <w:rsid w:val="00B67B53"/>
    <w:rsid w:val="00B719F8"/>
    <w:rsid w:val="00BA1FEC"/>
    <w:rsid w:val="00BD1025"/>
    <w:rsid w:val="00BF1288"/>
    <w:rsid w:val="00C20994"/>
    <w:rsid w:val="00C50860"/>
    <w:rsid w:val="00C523CE"/>
    <w:rsid w:val="00C713E3"/>
    <w:rsid w:val="00C71723"/>
    <w:rsid w:val="00C720B8"/>
    <w:rsid w:val="00C75211"/>
    <w:rsid w:val="00C95915"/>
    <w:rsid w:val="00CA4BEC"/>
    <w:rsid w:val="00CB5DDC"/>
    <w:rsid w:val="00D0047F"/>
    <w:rsid w:val="00D0622D"/>
    <w:rsid w:val="00D13CFF"/>
    <w:rsid w:val="00D21038"/>
    <w:rsid w:val="00D41561"/>
    <w:rsid w:val="00D808FF"/>
    <w:rsid w:val="00D80E9B"/>
    <w:rsid w:val="00DB6BAA"/>
    <w:rsid w:val="00DD6A7F"/>
    <w:rsid w:val="00DF0049"/>
    <w:rsid w:val="00E0746B"/>
    <w:rsid w:val="00E11688"/>
    <w:rsid w:val="00E243B6"/>
    <w:rsid w:val="00E358F5"/>
    <w:rsid w:val="00E53570"/>
    <w:rsid w:val="00E55275"/>
    <w:rsid w:val="00E624B8"/>
    <w:rsid w:val="00E70CEE"/>
    <w:rsid w:val="00E90452"/>
    <w:rsid w:val="00EA54E8"/>
    <w:rsid w:val="00EA731F"/>
    <w:rsid w:val="00EC144B"/>
    <w:rsid w:val="00ED28EE"/>
    <w:rsid w:val="00ED6DD4"/>
    <w:rsid w:val="00ED779C"/>
    <w:rsid w:val="00EE31B7"/>
    <w:rsid w:val="00EF694F"/>
    <w:rsid w:val="00F07E7B"/>
    <w:rsid w:val="00F41BAA"/>
    <w:rsid w:val="00F604C9"/>
    <w:rsid w:val="00F72DBB"/>
    <w:rsid w:val="00F91D70"/>
    <w:rsid w:val="00FA1DFF"/>
    <w:rsid w:val="00FB3A9D"/>
    <w:rsid w:val="00FB6307"/>
    <w:rsid w:val="01365728"/>
    <w:rsid w:val="01820EDB"/>
    <w:rsid w:val="03734616"/>
    <w:rsid w:val="03F95362"/>
    <w:rsid w:val="048E4B0E"/>
    <w:rsid w:val="06B16564"/>
    <w:rsid w:val="077666D8"/>
    <w:rsid w:val="07DB6173"/>
    <w:rsid w:val="08A74C9F"/>
    <w:rsid w:val="0B78749D"/>
    <w:rsid w:val="0DE15CE1"/>
    <w:rsid w:val="1293229E"/>
    <w:rsid w:val="13452E04"/>
    <w:rsid w:val="163F2CEF"/>
    <w:rsid w:val="17DF5F8A"/>
    <w:rsid w:val="193227AD"/>
    <w:rsid w:val="1AE43394"/>
    <w:rsid w:val="1B972C67"/>
    <w:rsid w:val="1D8C07BC"/>
    <w:rsid w:val="227A18BC"/>
    <w:rsid w:val="228170C7"/>
    <w:rsid w:val="24636849"/>
    <w:rsid w:val="24741807"/>
    <w:rsid w:val="25943744"/>
    <w:rsid w:val="26161466"/>
    <w:rsid w:val="27586A12"/>
    <w:rsid w:val="28CA2BCE"/>
    <w:rsid w:val="2AC57569"/>
    <w:rsid w:val="2CEA6DF5"/>
    <w:rsid w:val="319C4F59"/>
    <w:rsid w:val="34E9606F"/>
    <w:rsid w:val="38822A1C"/>
    <w:rsid w:val="38F2456F"/>
    <w:rsid w:val="38F85737"/>
    <w:rsid w:val="3C136BC1"/>
    <w:rsid w:val="41A70DD3"/>
    <w:rsid w:val="44D32165"/>
    <w:rsid w:val="45924DB6"/>
    <w:rsid w:val="46C4050A"/>
    <w:rsid w:val="49833E58"/>
    <w:rsid w:val="4B2F1D2F"/>
    <w:rsid w:val="4C2F657D"/>
    <w:rsid w:val="4CCF40BA"/>
    <w:rsid w:val="51E53F4C"/>
    <w:rsid w:val="525864B1"/>
    <w:rsid w:val="56E81C6B"/>
    <w:rsid w:val="57356AD7"/>
    <w:rsid w:val="57F85A9A"/>
    <w:rsid w:val="593E687C"/>
    <w:rsid w:val="5BCA1E21"/>
    <w:rsid w:val="5E023EFE"/>
    <w:rsid w:val="5EBE281D"/>
    <w:rsid w:val="609D55A4"/>
    <w:rsid w:val="626D6C7E"/>
    <w:rsid w:val="649C5F21"/>
    <w:rsid w:val="668608A3"/>
    <w:rsid w:val="688B2451"/>
    <w:rsid w:val="6A313083"/>
    <w:rsid w:val="728066AF"/>
    <w:rsid w:val="73A372DF"/>
    <w:rsid w:val="73A80CEB"/>
    <w:rsid w:val="762A4B70"/>
    <w:rsid w:val="78212A65"/>
    <w:rsid w:val="7DEC19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等线" w:cs="仿宋"/>
      <w:kern w:val="2"/>
      <w:sz w:val="21"/>
      <w:szCs w:val="24"/>
      <w:lang w:val="en-US" w:eastAsia="zh-CN" w:bidi="ar-SA"/>
    </w:rPr>
  </w:style>
  <w:style w:type="paragraph" w:styleId="3">
    <w:name w:val="heading 1"/>
    <w:basedOn w:val="1"/>
    <w:next w:val="1"/>
    <w:link w:val="2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99"/>
    <w:pPr>
      <w:keepNext/>
      <w:keepLines/>
      <w:spacing w:before="260" w:after="260" w:line="416" w:lineRule="auto"/>
      <w:outlineLvl w:val="1"/>
    </w:pPr>
    <w:rPr>
      <w:rFonts w:ascii="Cambria Math" w:hAnsi="Cambria Math" w:cs="Cambria Math"/>
      <w:b/>
      <w:bCs/>
      <w:sz w:val="32"/>
      <w:szCs w:val="32"/>
    </w:rPr>
  </w:style>
  <w:style w:type="paragraph" w:styleId="2">
    <w:name w:val="heading 3"/>
    <w:basedOn w:val="1"/>
    <w:next w:val="1"/>
    <w:link w:val="27"/>
    <w:qFormat/>
    <w:uiPriority w:val="99"/>
    <w:pPr>
      <w:keepNext/>
      <w:keepLines/>
      <w:spacing w:before="260" w:after="260" w:line="416" w:lineRule="auto"/>
      <w:outlineLvl w:val="2"/>
    </w:pPr>
    <w:rPr>
      <w:rFonts w:ascii="Yu Mincho Light" w:hAnsi="Yu Mincho Light" w:cs="Yu Mincho Light"/>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8"/>
    <w:semiHidden/>
    <w:qFormat/>
    <w:uiPriority w:val="99"/>
    <w:rPr>
      <w:sz w:val="18"/>
      <w:szCs w:val="18"/>
    </w:rPr>
  </w:style>
  <w:style w:type="paragraph" w:styleId="6">
    <w:name w:val="footer"/>
    <w:basedOn w:val="1"/>
    <w:link w:val="24"/>
    <w:unhideWhenUsed/>
    <w:qFormat/>
    <w:uiPriority w:val="99"/>
    <w:pPr>
      <w:tabs>
        <w:tab w:val="center" w:pos="4153"/>
        <w:tab w:val="right" w:pos="8306"/>
      </w:tabs>
      <w:snapToGrid w:val="0"/>
      <w:jc w:val="left"/>
    </w:pPr>
    <w:rPr>
      <w:sz w:val="18"/>
      <w:szCs w:val="18"/>
    </w:rPr>
  </w:style>
  <w:style w:type="paragraph" w:styleId="7">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等线" w:hAnsi="等线" w:cs="等线"/>
      <w:kern w:val="0"/>
      <w:sz w:val="24"/>
    </w:rPr>
  </w:style>
  <w:style w:type="table" w:styleId="10">
    <w:name w:val="Table Grid"/>
    <w:basedOn w:val="9"/>
    <w:qFormat/>
    <w:uiPriority w:val="0"/>
    <w:pPr>
      <w:widowControl w:val="0"/>
      <w:jc w:val="both"/>
    </w:pPr>
    <w:rPr>
      <w:rFonts w:ascii="仿宋" w:hAnsi="仿宋" w:eastAsia="等线" w:cs="仿宋"/>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page number"/>
    <w:basedOn w:val="11"/>
    <w:qFormat/>
    <w:uiPriority w:val="0"/>
  </w:style>
  <w:style w:type="character" w:styleId="14">
    <w:name w:val="FollowedHyperlink"/>
    <w:unhideWhenUsed/>
    <w:qFormat/>
    <w:uiPriority w:val="99"/>
    <w:rPr>
      <w:color w:val="954F72"/>
      <w:u w:val="single"/>
    </w:rPr>
  </w:style>
  <w:style w:type="character" w:styleId="15">
    <w:name w:val="Emphasis"/>
    <w:basedOn w:val="11"/>
    <w:qFormat/>
    <w:uiPriority w:val="20"/>
    <w:rPr>
      <w:b/>
      <w:bCs/>
    </w:rPr>
  </w:style>
  <w:style w:type="character" w:styleId="16">
    <w:name w:val="HTML Definition"/>
    <w:basedOn w:val="11"/>
    <w:semiHidden/>
    <w:unhideWhenUsed/>
    <w:qFormat/>
    <w:uiPriority w:val="99"/>
  </w:style>
  <w:style w:type="character" w:styleId="17">
    <w:name w:val="HTML Variable"/>
    <w:basedOn w:val="11"/>
    <w:semiHidden/>
    <w:unhideWhenUsed/>
    <w:qFormat/>
    <w:uiPriority w:val="99"/>
  </w:style>
  <w:style w:type="character" w:styleId="18">
    <w:name w:val="Hyperlink"/>
    <w:unhideWhenUsed/>
    <w:qFormat/>
    <w:uiPriority w:val="99"/>
    <w:rPr>
      <w:color w:val="0563C1"/>
      <w:u w:val="single"/>
    </w:rPr>
  </w:style>
  <w:style w:type="character" w:styleId="19">
    <w:name w:val="HTML Code"/>
    <w:basedOn w:val="11"/>
    <w:semiHidden/>
    <w:unhideWhenUsed/>
    <w:qFormat/>
    <w:uiPriority w:val="99"/>
    <w:rPr>
      <w:rFonts w:ascii="Courier New" w:hAnsi="Courier New"/>
      <w:sz w:val="20"/>
      <w:bdr w:val="dashed" w:color="auto" w:sz="36" w:space="0"/>
    </w:rPr>
  </w:style>
  <w:style w:type="character" w:styleId="20">
    <w:name w:val="HTML Cite"/>
    <w:basedOn w:val="11"/>
    <w:semiHidden/>
    <w:unhideWhenUsed/>
    <w:qFormat/>
    <w:uiPriority w:val="99"/>
  </w:style>
  <w:style w:type="character" w:styleId="21">
    <w:name w:val="HTML Keyboard"/>
    <w:basedOn w:val="11"/>
    <w:semiHidden/>
    <w:unhideWhenUsed/>
    <w:qFormat/>
    <w:uiPriority w:val="99"/>
    <w:rPr>
      <w:rFonts w:ascii="Courier New" w:hAnsi="Courier New"/>
      <w:sz w:val="20"/>
      <w:bdr w:val="single" w:color="auto" w:sz="6" w:space="0"/>
      <w:shd w:val="clear" w:color="auto" w:fill="FFFFFF"/>
    </w:rPr>
  </w:style>
  <w:style w:type="character" w:styleId="22">
    <w:name w:val="HTML Sample"/>
    <w:basedOn w:val="11"/>
    <w:semiHidden/>
    <w:unhideWhenUsed/>
    <w:qFormat/>
    <w:uiPriority w:val="99"/>
    <w:rPr>
      <w:rFonts w:ascii="Courier New" w:hAnsi="Courier New"/>
      <w:bdr w:val="dashed" w:color="auto" w:sz="36" w:space="0"/>
      <w:shd w:val="clear" w:color="auto" w:fill="FFFFFF"/>
    </w:rPr>
  </w:style>
  <w:style w:type="character" w:customStyle="1" w:styleId="23">
    <w:name w:val="页眉 字符"/>
    <w:basedOn w:val="11"/>
    <w:link w:val="7"/>
    <w:qFormat/>
    <w:uiPriority w:val="99"/>
    <w:rPr>
      <w:sz w:val="18"/>
      <w:szCs w:val="18"/>
    </w:rPr>
  </w:style>
  <w:style w:type="character" w:customStyle="1" w:styleId="24">
    <w:name w:val="页脚 字符"/>
    <w:basedOn w:val="11"/>
    <w:link w:val="6"/>
    <w:qFormat/>
    <w:uiPriority w:val="99"/>
    <w:rPr>
      <w:sz w:val="18"/>
      <w:szCs w:val="18"/>
    </w:rPr>
  </w:style>
  <w:style w:type="character" w:customStyle="1" w:styleId="25">
    <w:name w:val="标题 1 字符"/>
    <w:basedOn w:val="11"/>
    <w:link w:val="3"/>
    <w:qFormat/>
    <w:uiPriority w:val="99"/>
    <w:rPr>
      <w:rFonts w:ascii="仿宋" w:hAnsi="仿宋" w:eastAsia="等线" w:cs="仿宋"/>
      <w:b/>
      <w:bCs/>
      <w:kern w:val="44"/>
      <w:sz w:val="44"/>
      <w:szCs w:val="44"/>
    </w:rPr>
  </w:style>
  <w:style w:type="character" w:customStyle="1" w:styleId="26">
    <w:name w:val="标题 2 字符"/>
    <w:basedOn w:val="11"/>
    <w:link w:val="4"/>
    <w:qFormat/>
    <w:uiPriority w:val="99"/>
    <w:rPr>
      <w:rFonts w:ascii="Cambria Math" w:hAnsi="Cambria Math" w:eastAsia="等线" w:cs="Cambria Math"/>
      <w:b/>
      <w:bCs/>
      <w:sz w:val="32"/>
      <w:szCs w:val="32"/>
    </w:rPr>
  </w:style>
  <w:style w:type="character" w:customStyle="1" w:styleId="27">
    <w:name w:val="标题 3 字符"/>
    <w:basedOn w:val="11"/>
    <w:link w:val="2"/>
    <w:qFormat/>
    <w:uiPriority w:val="99"/>
    <w:rPr>
      <w:rFonts w:ascii="Yu Mincho Light" w:hAnsi="Yu Mincho Light" w:eastAsia="等线" w:cs="Yu Mincho Light"/>
      <w:b/>
      <w:bCs/>
      <w:sz w:val="32"/>
      <w:szCs w:val="32"/>
    </w:rPr>
  </w:style>
  <w:style w:type="character" w:customStyle="1" w:styleId="28">
    <w:name w:val="批注框文本 字符"/>
    <w:basedOn w:val="11"/>
    <w:link w:val="5"/>
    <w:semiHidden/>
    <w:qFormat/>
    <w:uiPriority w:val="99"/>
    <w:rPr>
      <w:rFonts w:ascii="仿宋" w:hAnsi="仿宋" w:eastAsia="等线" w:cs="仿宋"/>
      <w:sz w:val="18"/>
      <w:szCs w:val="18"/>
    </w:rPr>
  </w:style>
  <w:style w:type="paragraph" w:customStyle="1" w:styleId="29">
    <w:name w:val="msonormal"/>
    <w:basedOn w:val="1"/>
    <w:qFormat/>
    <w:uiPriority w:val="0"/>
    <w:pPr>
      <w:widowControl/>
      <w:spacing w:before="100" w:beforeAutospacing="1" w:after="100" w:afterAutospacing="1"/>
      <w:jc w:val="left"/>
    </w:pPr>
    <w:rPr>
      <w:rFonts w:ascii="等线" w:hAnsi="等线" w:cs="等线"/>
      <w:kern w:val="0"/>
      <w:sz w:val="24"/>
    </w:rPr>
  </w:style>
  <w:style w:type="paragraph" w:customStyle="1" w:styleId="30">
    <w:name w:val="font5"/>
    <w:basedOn w:val="1"/>
    <w:qFormat/>
    <w:uiPriority w:val="0"/>
    <w:pPr>
      <w:widowControl/>
      <w:spacing w:before="100" w:beforeAutospacing="1" w:after="100" w:afterAutospacing="1"/>
      <w:jc w:val="left"/>
    </w:pPr>
    <w:rPr>
      <w:rFonts w:ascii="Cambria Math" w:hAnsi="Cambria Math" w:eastAsia="Cambria Math" w:cs="等线"/>
      <w:kern w:val="0"/>
      <w:sz w:val="18"/>
      <w:szCs w:val="18"/>
    </w:rPr>
  </w:style>
  <w:style w:type="paragraph" w:customStyle="1" w:styleId="3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cs="等线"/>
      <w:kern w:val="0"/>
      <w:sz w:val="24"/>
    </w:rPr>
  </w:style>
  <w:style w:type="paragraph" w:customStyle="1" w:styleId="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33">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3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35">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36">
    <w:name w:val="xl70"/>
    <w:basedOn w:val="1"/>
    <w:qFormat/>
    <w:uiPriority w:val="0"/>
    <w:pPr>
      <w:widowControl/>
      <w:spacing w:before="100" w:beforeAutospacing="1" w:after="100" w:afterAutospacing="1"/>
      <w:jc w:val="center"/>
      <w:textAlignment w:val="center"/>
    </w:pPr>
    <w:rPr>
      <w:rFonts w:ascii="等线" w:hAnsi="等线" w:cs="等线"/>
      <w:kern w:val="0"/>
      <w:sz w:val="24"/>
    </w:rPr>
  </w:style>
  <w:style w:type="paragraph" w:customStyle="1" w:styleId="3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39">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Yu Mincho Light" w:hAnsi="等线" w:eastAsia="Yu Mincho Light" w:cs="等线"/>
      <w:kern w:val="0"/>
      <w:sz w:val="24"/>
    </w:rPr>
  </w:style>
  <w:style w:type="paragraph" w:customStyle="1" w:styleId="40">
    <w:name w:val="xl74"/>
    <w:basedOn w:val="1"/>
    <w:qFormat/>
    <w:uiPriority w:val="0"/>
    <w:pPr>
      <w:widowControl/>
      <w:spacing w:before="100" w:beforeAutospacing="1" w:after="100" w:afterAutospacing="1"/>
      <w:jc w:val="center"/>
    </w:pPr>
    <w:rPr>
      <w:rFonts w:ascii="等线" w:hAnsi="等线" w:cs="等线"/>
      <w:kern w:val="0"/>
      <w:sz w:val="24"/>
    </w:rPr>
  </w:style>
  <w:style w:type="paragraph" w:customStyle="1" w:styleId="41">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42">
    <w:name w:val="xl76"/>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Yu Mincho Light" w:hAnsi="等线" w:eastAsia="Yu Mincho Light" w:cs="等线"/>
      <w:kern w:val="0"/>
      <w:sz w:val="24"/>
    </w:rPr>
  </w:style>
  <w:style w:type="paragraph" w:customStyle="1" w:styleId="43">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44">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4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47">
    <w:name w:val="xl8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48">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49">
    <w:name w:val="xl8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50">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1">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2">
    <w:name w:val="xl8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53">
    <w:name w:val="xl8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54">
    <w:name w:val="xl8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5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56">
    <w:name w:val="xl90"/>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7">
    <w:name w:val="xl91"/>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8">
    <w:name w:val="xl92"/>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9">
    <w:name w:val="xl9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60">
    <w:name w:val="List Paragraph1"/>
    <w:basedOn w:val="1"/>
    <w:qFormat/>
    <w:uiPriority w:val="99"/>
    <w:pPr>
      <w:ind w:firstLine="420" w:firstLineChars="200"/>
    </w:pPr>
    <w:rPr>
      <w:rFonts w:ascii="Yu Mincho Light" w:hAnsi="Yu Mincho Light" w:cs="Yu Mincho Light"/>
      <w:szCs w:val="21"/>
    </w:rPr>
  </w:style>
  <w:style w:type="paragraph" w:customStyle="1" w:styleId="61">
    <w:name w:val="xl63"/>
    <w:basedOn w:val="1"/>
    <w:qFormat/>
    <w:uiPriority w:val="0"/>
    <w:pPr>
      <w:widowControl/>
      <w:spacing w:before="100" w:beforeAutospacing="1" w:after="100" w:afterAutospacing="1"/>
      <w:jc w:val="left"/>
    </w:pPr>
    <w:rPr>
      <w:rFonts w:ascii="等线" w:hAnsi="等线" w:cs="等线"/>
      <w:kern w:val="0"/>
      <w:sz w:val="24"/>
    </w:rPr>
  </w:style>
  <w:style w:type="paragraph" w:customStyle="1" w:styleId="6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Yu Mincho Light" w:hAnsi="等线" w:eastAsia="Yu Mincho Light" w:cs="等线"/>
      <w:color w:val="000000"/>
      <w:kern w:val="0"/>
      <w:sz w:val="24"/>
    </w:rPr>
  </w:style>
  <w:style w:type="paragraph" w:styleId="63">
    <w:name w:val="List Paragraph"/>
    <w:basedOn w:val="1"/>
    <w:qFormat/>
    <w:uiPriority w:val="34"/>
    <w:pPr>
      <w:ind w:firstLine="420" w:firstLineChars="200"/>
    </w:pPr>
    <w:rPr>
      <w:rFonts w:ascii="Cambria Math" w:hAnsi="Cambria Math" w:eastAsia="Cambria Math"/>
      <w:szCs w:val="22"/>
    </w:rPr>
  </w:style>
  <w:style w:type="paragraph" w:customStyle="1" w:styleId="64">
    <w:name w:val="font6"/>
    <w:basedOn w:val="1"/>
    <w:qFormat/>
    <w:uiPriority w:val="0"/>
    <w:pPr>
      <w:widowControl/>
      <w:spacing w:before="100" w:beforeAutospacing="1" w:after="100" w:afterAutospacing="1"/>
      <w:jc w:val="left"/>
    </w:pPr>
    <w:rPr>
      <w:rFonts w:ascii="Cambria Math" w:hAnsi="Cambria Math" w:eastAsia="Cambria Math" w:cs="等线"/>
      <w:kern w:val="0"/>
      <w:sz w:val="18"/>
      <w:szCs w:val="18"/>
    </w:rPr>
  </w:style>
  <w:style w:type="paragraph" w:customStyle="1" w:styleId="65">
    <w:name w:val="CM11"/>
    <w:basedOn w:val="66"/>
    <w:next w:val="66"/>
    <w:unhideWhenUsed/>
    <w:qFormat/>
    <w:uiPriority w:val="99"/>
    <w:pPr>
      <w:spacing w:after="260"/>
    </w:pPr>
  </w:style>
  <w:style w:type="paragraph" w:customStyle="1" w:styleId="66">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 w:type="paragraph" w:customStyle="1" w:styleId="67">
    <w:name w:val="CM12"/>
    <w:basedOn w:val="66"/>
    <w:next w:val="66"/>
    <w:unhideWhenUsed/>
    <w:qFormat/>
    <w:uiPriority w:val="99"/>
    <w:pPr>
      <w:spacing w:after="1015"/>
    </w:pPr>
  </w:style>
  <w:style w:type="paragraph" w:customStyle="1" w:styleId="68">
    <w:name w:val="CM3"/>
    <w:basedOn w:val="66"/>
    <w:next w:val="66"/>
    <w:unhideWhenUsed/>
    <w:qFormat/>
    <w:uiPriority w:val="99"/>
    <w:pPr>
      <w:spacing w:line="626" w:lineRule="atLeast"/>
    </w:pPr>
  </w:style>
  <w:style w:type="paragraph" w:customStyle="1" w:styleId="69">
    <w:name w:val="CM4"/>
    <w:basedOn w:val="66"/>
    <w:next w:val="66"/>
    <w:unhideWhenUsed/>
    <w:qFormat/>
    <w:uiPriority w:val="99"/>
    <w:pPr>
      <w:spacing w:line="626" w:lineRule="atLeast"/>
    </w:pPr>
  </w:style>
  <w:style w:type="paragraph" w:customStyle="1" w:styleId="70">
    <w:name w:val="CM5"/>
    <w:basedOn w:val="66"/>
    <w:next w:val="66"/>
    <w:unhideWhenUsed/>
    <w:qFormat/>
    <w:uiPriority w:val="99"/>
    <w:pPr>
      <w:spacing w:line="626" w:lineRule="atLeast"/>
    </w:pPr>
  </w:style>
  <w:style w:type="paragraph" w:customStyle="1" w:styleId="71">
    <w:name w:val="CM6"/>
    <w:basedOn w:val="66"/>
    <w:next w:val="66"/>
    <w:unhideWhenUsed/>
    <w:qFormat/>
    <w:uiPriority w:val="99"/>
    <w:pPr>
      <w:spacing w:line="626" w:lineRule="atLeast"/>
    </w:pPr>
  </w:style>
  <w:style w:type="character" w:customStyle="1" w:styleId="72">
    <w:name w:val="未处理的提及1"/>
    <w:basedOn w:val="11"/>
    <w:semiHidden/>
    <w:unhideWhenUsed/>
    <w:qFormat/>
    <w:uiPriority w:val="99"/>
    <w:rPr>
      <w:color w:val="605E5C"/>
      <w:shd w:val="clear" w:color="auto" w:fill="E1DFDD"/>
    </w:rPr>
  </w:style>
  <w:style w:type="character" w:customStyle="1" w:styleId="73">
    <w:name w:val="hover8"/>
    <w:basedOn w:val="11"/>
    <w:qFormat/>
    <w:uiPriority w:val="0"/>
    <w:rPr>
      <w:color w:val="245399"/>
    </w:rPr>
  </w:style>
  <w:style w:type="character" w:customStyle="1" w:styleId="74">
    <w:name w:val="hover9"/>
    <w:basedOn w:val="11"/>
    <w:qFormat/>
    <w:uiPriority w:val="0"/>
    <w:rPr>
      <w:color w:val="245399"/>
    </w:rPr>
  </w:style>
  <w:style w:type="character" w:customStyle="1" w:styleId="75">
    <w:name w:val="hover10"/>
    <w:basedOn w:val="11"/>
    <w:qFormat/>
    <w:uiPriority w:val="0"/>
    <w:rPr>
      <w:color w:val="FFFFFF"/>
    </w:rPr>
  </w:style>
  <w:style w:type="character" w:customStyle="1" w:styleId="76">
    <w:name w:val="hover11"/>
    <w:basedOn w:val="11"/>
    <w:qFormat/>
    <w:uiPriority w:val="0"/>
    <w:rPr>
      <w:color w:val="FFFFFF"/>
    </w:rPr>
  </w:style>
  <w:style w:type="character" w:customStyle="1" w:styleId="77">
    <w:name w:val="hover"/>
    <w:basedOn w:val="11"/>
    <w:qFormat/>
    <w:uiPriority w:val="0"/>
    <w:rPr>
      <w:color w:val="245399"/>
    </w:rPr>
  </w:style>
  <w:style w:type="character" w:customStyle="1" w:styleId="78">
    <w:name w:val="hover1"/>
    <w:basedOn w:val="11"/>
    <w:qFormat/>
    <w:uiPriority w:val="0"/>
    <w:rPr>
      <w:color w:val="FFFFFF"/>
    </w:rPr>
  </w:style>
  <w:style w:type="character" w:customStyle="1" w:styleId="79">
    <w:name w:val="hover2"/>
    <w:basedOn w:val="11"/>
    <w:qFormat/>
    <w:uiPriority w:val="0"/>
    <w:rPr>
      <w:color w:val="245399"/>
    </w:rPr>
  </w:style>
  <w:style w:type="character" w:customStyle="1" w:styleId="80">
    <w:name w:val="hover7"/>
    <w:basedOn w:val="11"/>
    <w:qFormat/>
    <w:uiPriority w:val="0"/>
    <w:rPr>
      <w:color w:va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3051</Words>
  <Characters>3191</Characters>
  <Lines>26</Lines>
  <Paragraphs>7</Paragraphs>
  <TotalTime>8</TotalTime>
  <ScaleCrop>false</ScaleCrop>
  <LinksUpToDate>false</LinksUpToDate>
  <CharactersWithSpaces>3258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2023-01-06T01:59:00Z</dcterms:created>
  <dc:creator>qiyuanhua0168@163.com</dc:creator>
  <cp:lastModifiedBy>银杏果</cp:lastModifiedBy>
  <cp:lastPrinted>2020-10-29T02:38:00Z</cp:lastPrinted>
  <dcterms:modified xsi:type="dcterms:W3CDTF">2024-07-01T07:57:34Z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D2574B394606424990F8DF14647D4750_13</vt:lpwstr>
  </property>
</Properties>
</file>