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800" w:lineRule="exact"/>
        <w:jc w:val="center"/>
        <w:rPr>
          <w:rFonts w:hint="eastAsia" w:ascii="Times New Roman" w:hAnsi="Times New Roman" w:eastAsia="方正小标宋简体"/>
          <w:kern w:val="0"/>
          <w:sz w:val="84"/>
          <w:szCs w:val="84"/>
        </w:rPr>
      </w:pPr>
    </w:p>
    <w:p>
      <w:pPr>
        <w:widowControl/>
        <w:spacing w:line="1200" w:lineRule="exact"/>
        <w:jc w:val="center"/>
        <w:rPr>
          <w:rFonts w:hint="eastAsia" w:ascii="Times New Roman" w:hAnsi="Times New Roman" w:eastAsia="方正小标宋简体"/>
          <w:kern w:val="0"/>
          <w:sz w:val="84"/>
          <w:szCs w:val="84"/>
        </w:rPr>
      </w:pPr>
      <w:r>
        <w:rPr>
          <w:rFonts w:hint="eastAsia" w:ascii="Times New Roman" w:hAnsi="Times New Roman" w:eastAsia="方正小标宋简体"/>
          <w:kern w:val="0"/>
          <w:sz w:val="84"/>
          <w:szCs w:val="84"/>
        </w:rPr>
        <w:t>淄川</w:t>
      </w:r>
      <w:r>
        <w:rPr>
          <w:rFonts w:ascii="Times New Roman" w:hAnsi="Times New Roman" w:eastAsia="方正小标宋简体"/>
          <w:kern w:val="0"/>
          <w:sz w:val="84"/>
          <w:szCs w:val="84"/>
        </w:rPr>
        <w:t>区</w:t>
      </w:r>
      <w:r>
        <w:rPr>
          <w:rFonts w:hint="eastAsia" w:ascii="Times New Roman" w:hAnsi="Times New Roman" w:eastAsia="方正小标宋简体"/>
          <w:kern w:val="0"/>
          <w:sz w:val="84"/>
          <w:szCs w:val="84"/>
        </w:rPr>
        <w:t>人民</w:t>
      </w:r>
      <w:r>
        <w:rPr>
          <w:rFonts w:ascii="Times New Roman" w:hAnsi="Times New Roman" w:eastAsia="方正小标宋简体"/>
          <w:kern w:val="0"/>
          <w:sz w:val="84"/>
          <w:szCs w:val="84"/>
        </w:rPr>
        <w:t>政府</w:t>
      </w:r>
      <w:r>
        <w:rPr>
          <w:rFonts w:hint="eastAsia" w:ascii="Times New Roman" w:hAnsi="Times New Roman" w:eastAsia="方正小标宋简体"/>
          <w:kern w:val="0"/>
          <w:sz w:val="84"/>
          <w:szCs w:val="84"/>
        </w:rPr>
        <w:t>办公室</w:t>
      </w:r>
      <w:r>
        <w:rPr>
          <w:rFonts w:ascii="Times New Roman" w:hAnsi="Times New Roman" w:eastAsia="方正小标宋简体"/>
          <w:kern w:val="0"/>
          <w:sz w:val="84"/>
          <w:szCs w:val="84"/>
        </w:rPr>
        <w:t>政务公开事项标准目</w:t>
      </w:r>
      <w:r>
        <w:rPr>
          <w:rFonts w:hint="eastAsia" w:ascii="Times New Roman" w:hAnsi="Times New Roman" w:eastAsia="方正小标宋简体"/>
          <w:kern w:val="0"/>
          <w:sz w:val="84"/>
          <w:szCs w:val="84"/>
        </w:rPr>
        <w:t>录</w:t>
      </w:r>
    </w:p>
    <w:p>
      <w:pPr>
        <w:widowControl/>
        <w:spacing w:line="1200" w:lineRule="exact"/>
        <w:jc w:val="center"/>
        <w:rPr>
          <w:rFonts w:hint="eastAsia" w:ascii="Times New Roman" w:hAnsi="Times New Roman" w:eastAsia="方正小标宋简体"/>
          <w:kern w:val="0"/>
          <w:sz w:val="44"/>
          <w:szCs w:val="44"/>
        </w:rPr>
      </w:pPr>
    </w:p>
    <w:p>
      <w:pPr>
        <w:widowControl/>
        <w:jc w:val="center"/>
        <w:rPr>
          <w:rFonts w:hint="eastAsia" w:ascii="Times New Roman" w:hAnsi="Times New Roman" w:eastAsia="方正小标宋简体"/>
          <w:kern w:val="0"/>
          <w:sz w:val="44"/>
          <w:szCs w:val="44"/>
        </w:rPr>
      </w:pPr>
    </w:p>
    <w:p>
      <w:pPr>
        <w:widowControl/>
        <w:jc w:val="center"/>
        <w:rPr>
          <w:rFonts w:hint="eastAsia" w:ascii="Times New Roman" w:hAnsi="Times New Roman" w:eastAsia="方正小标宋简体"/>
          <w:kern w:val="0"/>
          <w:sz w:val="44"/>
          <w:szCs w:val="44"/>
        </w:rPr>
      </w:pPr>
    </w:p>
    <w:p>
      <w:pPr>
        <w:widowControl/>
        <w:spacing w:line="700" w:lineRule="exact"/>
        <w:jc w:val="center"/>
        <w:rPr>
          <w:rFonts w:ascii="Times New Roman" w:hAnsi="Times New Roman" w:eastAsia="方正楷体简体"/>
          <w:kern w:val="0"/>
          <w:sz w:val="44"/>
          <w:szCs w:val="44"/>
        </w:rPr>
      </w:pPr>
      <w:r>
        <w:rPr>
          <w:rFonts w:ascii="Times New Roman" w:hAnsi="Times New Roman" w:eastAsia="方正楷体简体"/>
          <w:kern w:val="0"/>
          <w:sz w:val="44"/>
          <w:szCs w:val="44"/>
        </w:rPr>
        <w:t>淄川区人民政府办公室</w:t>
      </w:r>
    </w:p>
    <w:p>
      <w:pPr>
        <w:widowControl/>
        <w:spacing w:line="700" w:lineRule="exact"/>
        <w:jc w:val="center"/>
        <w:rPr>
          <w:rFonts w:ascii="Times New Roman" w:hAnsi="Times New Roman" w:eastAsia="方正楷体简体"/>
          <w:kern w:val="0"/>
          <w:sz w:val="44"/>
          <w:szCs w:val="44"/>
        </w:rPr>
      </w:pPr>
      <w:r>
        <w:rPr>
          <w:rFonts w:ascii="Times New Roman" w:hAnsi="Times New Roman" w:eastAsia="方正楷体简体"/>
          <w:kern w:val="0"/>
          <w:sz w:val="44"/>
          <w:szCs w:val="44"/>
        </w:rPr>
        <w:t>2020年9月</w:t>
      </w:r>
    </w:p>
    <w:p>
      <w:pPr>
        <w:widowControl/>
        <w:jc w:val="left"/>
      </w:pPr>
      <w:r>
        <w:rPr>
          <w:rFonts w:ascii="Times New Roman" w:hAnsi="Times New Roman" w:eastAsia="方正小标宋简体"/>
          <w:kern w:val="0"/>
          <w:sz w:val="44"/>
          <w:szCs w:val="44"/>
        </w:rPr>
        <w:br w:type="page"/>
      </w:r>
    </w:p>
    <w:p>
      <w:pPr>
        <w:widowControl/>
        <w:ind w:firstLine="3960" w:firstLineChars="900"/>
        <w:jc w:val="left"/>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淄川</w:t>
      </w:r>
      <w:r>
        <w:rPr>
          <w:rFonts w:ascii="Times New Roman" w:hAnsi="Times New Roman" w:eastAsia="方正小标宋简体"/>
          <w:kern w:val="0"/>
          <w:sz w:val="44"/>
          <w:szCs w:val="44"/>
        </w:rPr>
        <w:t>区政府</w:t>
      </w:r>
      <w:r>
        <w:rPr>
          <w:rFonts w:hint="eastAsia" w:ascii="Times New Roman" w:hAnsi="Times New Roman" w:eastAsia="方正小标宋简体"/>
          <w:kern w:val="0"/>
          <w:sz w:val="44"/>
          <w:szCs w:val="44"/>
        </w:rPr>
        <w:t>办公室</w:t>
      </w:r>
      <w:r>
        <w:rPr>
          <w:rFonts w:ascii="Times New Roman" w:hAnsi="Times New Roman" w:eastAsia="方正小标宋简体"/>
          <w:kern w:val="0"/>
          <w:sz w:val="44"/>
          <w:szCs w:val="44"/>
        </w:rPr>
        <w:t>政务公开事项标准目录</w:t>
      </w:r>
    </w:p>
    <w:p>
      <w:pPr>
        <w:spacing w:line="240" w:lineRule="exact"/>
        <w:rPr>
          <w:rFonts w:ascii="Times New Roman" w:hAnsi="Times New Roman" w:eastAsia="方正小标宋_GBK"/>
          <w:kern w:val="0"/>
          <w:sz w:val="60"/>
          <w:szCs w:val="60"/>
        </w:rPr>
      </w:pPr>
    </w:p>
    <w:tbl>
      <w:tblPr>
        <w:tblStyle w:val="6"/>
        <w:tblW w:w="15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71"/>
        <w:gridCol w:w="683"/>
        <w:gridCol w:w="934"/>
        <w:gridCol w:w="1050"/>
        <w:gridCol w:w="2416"/>
        <w:gridCol w:w="2350"/>
        <w:gridCol w:w="1834"/>
        <w:gridCol w:w="1200"/>
        <w:gridCol w:w="1700"/>
        <w:gridCol w:w="650"/>
        <w:gridCol w:w="583"/>
        <w:gridCol w:w="567"/>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71"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序号</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过程</w:t>
            </w:r>
          </w:p>
        </w:tc>
        <w:tc>
          <w:tcPr>
            <w:tcW w:w="1984" w:type="dxa"/>
            <w:gridSpan w:val="2"/>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公开事项</w:t>
            </w:r>
          </w:p>
        </w:tc>
        <w:tc>
          <w:tcPr>
            <w:tcW w:w="2416"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公开内容（要素）</w:t>
            </w:r>
          </w:p>
        </w:tc>
        <w:tc>
          <w:tcPr>
            <w:tcW w:w="2350"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  开  依  据</w:t>
            </w:r>
          </w:p>
        </w:tc>
        <w:tc>
          <w:tcPr>
            <w:tcW w:w="18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公开时限</w:t>
            </w:r>
          </w:p>
        </w:tc>
        <w:tc>
          <w:tcPr>
            <w:tcW w:w="1200"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公开主体</w:t>
            </w:r>
          </w:p>
        </w:tc>
        <w:tc>
          <w:tcPr>
            <w:tcW w:w="1700"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公开渠道和载体</w:t>
            </w:r>
          </w:p>
        </w:tc>
        <w:tc>
          <w:tcPr>
            <w:tcW w:w="1233" w:type="dxa"/>
            <w:gridSpan w:val="2"/>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公开对象</w:t>
            </w:r>
          </w:p>
        </w:tc>
        <w:tc>
          <w:tcPr>
            <w:tcW w:w="1387" w:type="dxa"/>
            <w:gridSpan w:val="2"/>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571" w:type="dxa"/>
            <w:vMerge w:val="continue"/>
            <w:noWrap/>
            <w:vAlign w:val="center"/>
          </w:tcPr>
          <w:p>
            <w:pPr>
              <w:widowControl/>
              <w:spacing w:line="260" w:lineRule="exact"/>
              <w:jc w:val="center"/>
              <w:rPr>
                <w:rFonts w:ascii="Times New Roman" w:hAnsi="Times New Roman"/>
                <w:kern w:val="0"/>
                <w:sz w:val="18"/>
                <w:szCs w:val="18"/>
              </w:rPr>
            </w:pP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一级目录</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二级目录</w:t>
            </w:r>
          </w:p>
        </w:tc>
        <w:tc>
          <w:tcPr>
            <w:tcW w:w="2416" w:type="dxa"/>
            <w:vMerge w:val="continue"/>
            <w:noWrap/>
            <w:vAlign w:val="center"/>
          </w:tcPr>
          <w:p>
            <w:pPr>
              <w:widowControl/>
              <w:spacing w:line="260" w:lineRule="exact"/>
              <w:rPr>
                <w:rFonts w:ascii="Times New Roman" w:hAnsi="Times New Roman"/>
                <w:kern w:val="0"/>
                <w:sz w:val="18"/>
                <w:szCs w:val="18"/>
              </w:rPr>
            </w:pPr>
          </w:p>
        </w:tc>
        <w:tc>
          <w:tcPr>
            <w:tcW w:w="2350" w:type="dxa"/>
            <w:vMerge w:val="continue"/>
            <w:noWrap/>
            <w:vAlign w:val="center"/>
          </w:tcPr>
          <w:p>
            <w:pPr>
              <w:widowControl/>
              <w:spacing w:line="260" w:lineRule="exact"/>
              <w:jc w:val="center"/>
              <w:rPr>
                <w:rFonts w:ascii="Times New Roman" w:hAnsi="Times New Roman"/>
                <w:kern w:val="0"/>
                <w:sz w:val="18"/>
                <w:szCs w:val="18"/>
              </w:rPr>
            </w:pPr>
          </w:p>
        </w:tc>
        <w:tc>
          <w:tcPr>
            <w:tcW w:w="1834" w:type="dxa"/>
            <w:vMerge w:val="continue"/>
            <w:noWrap/>
            <w:vAlign w:val="center"/>
          </w:tcPr>
          <w:p>
            <w:pPr>
              <w:widowControl/>
              <w:spacing w:line="260" w:lineRule="exact"/>
              <w:jc w:val="center"/>
              <w:rPr>
                <w:rFonts w:ascii="Times New Roman" w:hAnsi="Times New Roman"/>
                <w:kern w:val="0"/>
                <w:sz w:val="18"/>
                <w:szCs w:val="18"/>
              </w:rPr>
            </w:pPr>
          </w:p>
        </w:tc>
        <w:tc>
          <w:tcPr>
            <w:tcW w:w="1200" w:type="dxa"/>
            <w:vMerge w:val="continue"/>
            <w:noWrap/>
            <w:vAlign w:val="center"/>
          </w:tcPr>
          <w:p>
            <w:pPr>
              <w:widowControl/>
              <w:spacing w:line="260" w:lineRule="exact"/>
              <w:jc w:val="center"/>
              <w:rPr>
                <w:rFonts w:ascii="Times New Roman" w:hAnsi="Times New Roman"/>
                <w:kern w:val="0"/>
                <w:sz w:val="18"/>
                <w:szCs w:val="18"/>
              </w:rPr>
            </w:pPr>
          </w:p>
        </w:tc>
        <w:tc>
          <w:tcPr>
            <w:tcW w:w="1700" w:type="dxa"/>
            <w:vMerge w:val="continue"/>
            <w:noWrap/>
            <w:vAlign w:val="center"/>
          </w:tcPr>
          <w:p>
            <w:pPr>
              <w:widowControl/>
              <w:spacing w:line="260" w:lineRule="exact"/>
              <w:jc w:val="center"/>
              <w:rPr>
                <w:rFonts w:ascii="Times New Roman" w:hAnsi="Times New Roman"/>
                <w:kern w:val="0"/>
                <w:sz w:val="18"/>
                <w:szCs w:val="18"/>
              </w:rPr>
            </w:pPr>
          </w:p>
        </w:tc>
        <w:tc>
          <w:tcPr>
            <w:tcW w:w="6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全社会</w:t>
            </w:r>
          </w:p>
        </w:tc>
        <w:tc>
          <w:tcPr>
            <w:tcW w:w="583"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特定群众</w:t>
            </w:r>
          </w:p>
        </w:tc>
        <w:tc>
          <w:tcPr>
            <w:tcW w:w="567"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主动</w:t>
            </w:r>
          </w:p>
        </w:tc>
        <w:tc>
          <w:tcPr>
            <w:tcW w:w="82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依申</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73"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1</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决策</w:t>
            </w: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政策法规</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部门文件</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本部门印发的规范性文件，本部门印发的除规范性文件以外的其他可以全文公开的文件</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《中华人民共和国政府信息公开条例》（国务院令第711号）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 xml:space="preserve">■政府网站 </w:t>
            </w:r>
          </w:p>
          <w:p>
            <w:pPr>
              <w:widowControl/>
              <w:spacing w:line="260" w:lineRule="exact"/>
              <w:rPr>
                <w:rFonts w:ascii="Times New Roman" w:hAnsi="Times New Roman"/>
                <w:kern w:val="0"/>
                <w:sz w:val="18"/>
                <w:szCs w:val="18"/>
              </w:rPr>
            </w:pPr>
            <w:r>
              <w:rPr>
                <w:rFonts w:ascii="Times New Roman" w:hAnsi="Times New Roman"/>
                <w:bCs/>
                <w:kern w:val="0"/>
                <w:sz w:val="18"/>
                <w:szCs w:val="18"/>
              </w:rPr>
              <w:t>■政府公报</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57" w:hRule="atLeast"/>
          <w:jc w:val="center"/>
        </w:trPr>
        <w:tc>
          <w:tcPr>
            <w:tcW w:w="571" w:type="dxa"/>
            <w:tcBorders>
              <w:bottom w:val="single" w:color="auto" w:sz="4" w:space="0"/>
            </w:tcBorders>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2</w:t>
            </w:r>
          </w:p>
        </w:tc>
        <w:tc>
          <w:tcPr>
            <w:tcW w:w="683" w:type="dxa"/>
            <w:vMerge w:val="continue"/>
            <w:noWrap/>
            <w:vAlign w:val="center"/>
          </w:tcPr>
          <w:p>
            <w:pPr>
              <w:spacing w:line="260" w:lineRule="exact"/>
              <w:jc w:val="left"/>
              <w:rPr>
                <w:rFonts w:ascii="Times New Roman" w:hAnsi="Times New Roman"/>
                <w:kern w:val="0"/>
                <w:sz w:val="18"/>
                <w:szCs w:val="18"/>
              </w:rPr>
            </w:pPr>
          </w:p>
        </w:tc>
        <w:tc>
          <w:tcPr>
            <w:tcW w:w="934" w:type="dxa"/>
            <w:vMerge w:val="continue"/>
            <w:tcBorders>
              <w:bottom w:val="single" w:color="auto" w:sz="4" w:space="0"/>
            </w:tcBorders>
            <w:noWrap/>
            <w:vAlign w:val="center"/>
          </w:tcPr>
          <w:p>
            <w:pPr>
              <w:widowControl/>
              <w:spacing w:line="260" w:lineRule="exact"/>
              <w:jc w:val="left"/>
              <w:rPr>
                <w:rFonts w:ascii="Times New Roman" w:hAnsi="Times New Roman"/>
                <w:kern w:val="0"/>
                <w:sz w:val="18"/>
                <w:szCs w:val="18"/>
              </w:rPr>
            </w:pPr>
          </w:p>
        </w:tc>
        <w:tc>
          <w:tcPr>
            <w:tcW w:w="1050" w:type="dxa"/>
            <w:tcBorders>
              <w:bottom w:val="single" w:color="auto" w:sz="4" w:space="0"/>
            </w:tcBorders>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规范性文件立改废</w:t>
            </w:r>
          </w:p>
        </w:tc>
        <w:tc>
          <w:tcPr>
            <w:tcW w:w="2416" w:type="dxa"/>
            <w:tcBorders>
              <w:bottom w:val="single" w:color="auto" w:sz="4" w:space="0"/>
            </w:tcBorders>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规范性文件的公众参与、专家论证、风险评估、集体讨论等程序开展情况；规范性文件备案信息、规范性文件清理结果、废止类规范性文件目录</w:t>
            </w:r>
          </w:p>
        </w:tc>
        <w:tc>
          <w:tcPr>
            <w:tcW w:w="2350" w:type="dxa"/>
            <w:tcBorders>
              <w:bottom w:val="single" w:color="auto" w:sz="4" w:space="0"/>
            </w:tcBorders>
            <w:noWrap/>
            <w:vAlign w:val="center"/>
          </w:tcPr>
          <w:p>
            <w:pPr>
              <w:widowControl/>
              <w:spacing w:line="260" w:lineRule="exact"/>
              <w:rPr>
                <w:rFonts w:ascii="Times New Roman" w:hAnsi="Times New Roman"/>
                <w:spacing w:val="-6"/>
                <w:kern w:val="0"/>
                <w:sz w:val="18"/>
                <w:szCs w:val="18"/>
              </w:rPr>
            </w:pPr>
            <w:r>
              <w:rPr>
                <w:rFonts w:ascii="Times New Roman" w:hAnsi="Times New Roman"/>
                <w:bCs/>
                <w:spacing w:val="-6"/>
                <w:kern w:val="0"/>
                <w:sz w:val="18"/>
                <w:szCs w:val="18"/>
              </w:rPr>
              <w:t>《重大行政决策程序暂行条例》（国务院令第713号）；《国务院办公厅关于加强行政规范性文件制定和监督管理工作的通知》（国办发〔2018〕37号）；《法规规章备案条例》（国务院令第337号）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bCs/>
                <w:spacing w:val="-6"/>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97" w:hRule="atLeast"/>
          <w:jc w:val="center"/>
        </w:trPr>
        <w:tc>
          <w:tcPr>
            <w:tcW w:w="571" w:type="dxa"/>
            <w:tcBorders>
              <w:bottom w:val="single" w:color="auto" w:sz="4" w:space="0"/>
            </w:tcBorders>
            <w:noWrap/>
            <w:vAlign w:val="center"/>
          </w:tcPr>
          <w:p>
            <w:pPr>
              <w:widowControl/>
              <w:spacing w:line="260" w:lineRule="exact"/>
              <w:ind w:firstLine="180" w:firstLineChars="100"/>
              <w:rPr>
                <w:rFonts w:ascii="Times New Roman" w:hAnsi="Times New Roman"/>
                <w:kern w:val="0"/>
                <w:sz w:val="18"/>
                <w:szCs w:val="18"/>
              </w:rPr>
            </w:pPr>
            <w:r>
              <w:rPr>
                <w:rFonts w:hint="eastAsia" w:ascii="Times New Roman" w:hAnsi="Times New Roman"/>
                <w:kern w:val="0"/>
                <w:sz w:val="18"/>
                <w:szCs w:val="18"/>
              </w:rPr>
              <w:t>3</w:t>
            </w:r>
          </w:p>
        </w:tc>
        <w:tc>
          <w:tcPr>
            <w:tcW w:w="683" w:type="dxa"/>
            <w:vMerge w:val="continue"/>
            <w:noWrap/>
            <w:vAlign w:val="center"/>
          </w:tcPr>
          <w:p>
            <w:pPr>
              <w:spacing w:line="260" w:lineRule="exact"/>
              <w:jc w:val="left"/>
              <w:rPr>
                <w:rFonts w:ascii="Times New Roman" w:hAnsi="Times New Roman"/>
                <w:kern w:val="0"/>
                <w:sz w:val="18"/>
                <w:szCs w:val="18"/>
              </w:rPr>
            </w:pPr>
          </w:p>
        </w:tc>
        <w:tc>
          <w:tcPr>
            <w:tcW w:w="934" w:type="dxa"/>
            <w:tcBorders>
              <w:bottom w:val="single" w:color="auto" w:sz="4" w:space="0"/>
            </w:tcBorders>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重大决策预公开</w:t>
            </w:r>
          </w:p>
        </w:tc>
        <w:tc>
          <w:tcPr>
            <w:tcW w:w="1050" w:type="dxa"/>
            <w:tcBorders>
              <w:bottom w:val="single" w:color="auto" w:sz="4" w:space="0"/>
            </w:tcBorders>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意见征集</w:t>
            </w:r>
          </w:p>
        </w:tc>
        <w:tc>
          <w:tcPr>
            <w:tcW w:w="2416" w:type="dxa"/>
            <w:tcBorders>
              <w:bottom w:val="single" w:color="auto" w:sz="4" w:space="0"/>
            </w:tcBorders>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2350" w:type="dxa"/>
            <w:tcBorders>
              <w:bottom w:val="single" w:color="auto" w:sz="4" w:space="0"/>
            </w:tcBorders>
            <w:noWrap/>
            <w:vAlign w:val="center"/>
          </w:tcPr>
          <w:p>
            <w:pPr>
              <w:widowControl/>
              <w:spacing w:line="260" w:lineRule="exact"/>
              <w:rPr>
                <w:rFonts w:ascii="Times New Roman" w:hAnsi="Times New Roman"/>
                <w:bCs/>
                <w:spacing w:val="-6"/>
                <w:kern w:val="0"/>
                <w:sz w:val="18"/>
                <w:szCs w:val="18"/>
              </w:rPr>
            </w:pPr>
            <w:r>
              <w:rPr>
                <w:rFonts w:ascii="Times New Roman" w:hAnsi="Times New Roman"/>
                <w:bCs/>
                <w:kern w:val="0"/>
                <w:sz w:val="18"/>
                <w:szCs w:val="18"/>
              </w:rPr>
              <w:t>《重大行政决策程序暂行条例》（国务院令第713号）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8" w:hRule="atLeast"/>
          <w:jc w:val="center"/>
        </w:trPr>
        <w:tc>
          <w:tcPr>
            <w:tcW w:w="571" w:type="dxa"/>
            <w:tcBorders>
              <w:top w:val="single" w:color="auto" w:sz="4" w:space="0"/>
            </w:tcBorders>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4</w:t>
            </w:r>
          </w:p>
        </w:tc>
        <w:tc>
          <w:tcPr>
            <w:tcW w:w="683" w:type="dxa"/>
            <w:vMerge w:val="restart"/>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决策</w:t>
            </w:r>
          </w:p>
        </w:tc>
        <w:tc>
          <w:tcPr>
            <w:tcW w:w="934" w:type="dxa"/>
            <w:tcBorders>
              <w:right w:val="single" w:color="auto" w:sz="4" w:space="0"/>
            </w:tcBorders>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重大决策预公开</w:t>
            </w:r>
          </w:p>
        </w:tc>
        <w:tc>
          <w:tcPr>
            <w:tcW w:w="1050" w:type="dxa"/>
            <w:tcBorders>
              <w:top w:val="single" w:color="auto" w:sz="4" w:space="0"/>
              <w:left w:val="single" w:color="auto" w:sz="4" w:space="0"/>
            </w:tcBorders>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意见反馈</w:t>
            </w:r>
          </w:p>
        </w:tc>
        <w:tc>
          <w:tcPr>
            <w:tcW w:w="2416" w:type="dxa"/>
            <w:tcBorders>
              <w:top w:val="single" w:color="auto" w:sz="4" w:space="0"/>
            </w:tcBorders>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公布意见采纳情况及相对集中的意见未予采纳的原因</w:t>
            </w:r>
          </w:p>
        </w:tc>
        <w:tc>
          <w:tcPr>
            <w:tcW w:w="2350" w:type="dxa"/>
            <w:tcBorders>
              <w:top w:val="single" w:color="auto" w:sz="4" w:space="0"/>
            </w:tcBorders>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《中华人民共和国政府信息公开条例》（国务院令第711号）</w:t>
            </w:r>
          </w:p>
        </w:tc>
        <w:tc>
          <w:tcPr>
            <w:tcW w:w="1834" w:type="dxa"/>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5</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规划计划</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本部门中长期发展规划、年度工作计划和工作总结</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《中华人民共和国政府信息公开条例》（国务院令第492号）；《国务院关于加强国民经济和社会发展规划编制工作的若干意见》（国发〔2005〕33号）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10" w:hRule="atLeast"/>
          <w:jc w:val="center"/>
        </w:trPr>
        <w:tc>
          <w:tcPr>
            <w:tcW w:w="571" w:type="dxa"/>
            <w:noWrap/>
            <w:vAlign w:val="center"/>
          </w:tcPr>
          <w:p>
            <w:pPr>
              <w:widowControl/>
              <w:spacing w:line="260" w:lineRule="exact"/>
              <w:rPr>
                <w:rFonts w:ascii="Times New Roman" w:hAnsi="Times New Roman"/>
                <w:kern w:val="0"/>
                <w:sz w:val="18"/>
                <w:szCs w:val="18"/>
              </w:rPr>
            </w:pPr>
            <w:bookmarkStart w:id="0" w:name="OLE_LINK7" w:colFirst="6" w:colLast="6"/>
            <w:bookmarkStart w:id="1" w:name="OLE_LINK8" w:colFirst="8" w:colLast="8"/>
            <w:bookmarkStart w:id="2" w:name="_Hlk11998333"/>
            <w:r>
              <w:rPr>
                <w:rFonts w:ascii="Times New Roman" w:hAnsi="Times New Roman"/>
                <w:kern w:val="0"/>
                <w:sz w:val="18"/>
                <w:szCs w:val="18"/>
              </w:rPr>
              <w:t xml:space="preserve">  6</w:t>
            </w:r>
          </w:p>
        </w:tc>
        <w:tc>
          <w:tcPr>
            <w:tcW w:w="683"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执行和结果</w:t>
            </w: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bCs/>
                <w:kern w:val="0"/>
                <w:sz w:val="18"/>
                <w:szCs w:val="18"/>
              </w:rPr>
              <w:t>决策部署落实情况</w:t>
            </w:r>
            <w:r>
              <w:rPr>
                <w:rFonts w:ascii="Times New Roman" w:hAnsi="Times New Roman"/>
                <w:bCs/>
                <w:kern w:val="0"/>
                <w:sz w:val="18"/>
                <w:szCs w:val="18"/>
              </w:rPr>
              <w:br w:type="textWrapping"/>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重大决策、重要政策、政府工作报告、</w:t>
            </w:r>
            <w:r>
              <w:rPr>
                <w:rFonts w:ascii="Times New Roman" w:hAnsi="Times New Roman"/>
                <w:kern w:val="0"/>
                <w:sz w:val="18"/>
                <w:szCs w:val="18"/>
              </w:rPr>
              <w:t>本部门年度重点工作任务</w:t>
            </w:r>
            <w:r>
              <w:rPr>
                <w:rFonts w:ascii="Times New Roman" w:hAnsi="Times New Roman"/>
                <w:bCs/>
                <w:kern w:val="0"/>
                <w:sz w:val="18"/>
                <w:szCs w:val="18"/>
              </w:rPr>
              <w:t>的任务分解、执行和落实情况等信息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7</w:t>
            </w: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建议提案办理</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人大代表建议办理</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人大代表建议办理答复</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《国务院办公厅关于做好全国人大代表建议和全国政协委员提案办理结果公开工作的通知》（国办发﹝2014﹞46号）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571" w:type="dxa"/>
            <w:noWrap/>
            <w:vAlign w:val="center"/>
          </w:tcPr>
          <w:p>
            <w:pPr>
              <w:widowControl/>
              <w:spacing w:line="260" w:lineRule="exact"/>
              <w:ind w:firstLine="180" w:firstLineChars="100"/>
              <w:rPr>
                <w:rFonts w:ascii="Times New Roman" w:hAnsi="Times New Roman"/>
                <w:kern w:val="0"/>
                <w:sz w:val="18"/>
                <w:szCs w:val="18"/>
              </w:rPr>
            </w:pPr>
            <w:r>
              <w:rPr>
                <w:rFonts w:hint="eastAsia" w:ascii="Times New Roman" w:hAnsi="Times New Roman"/>
                <w:kern w:val="0"/>
                <w:sz w:val="18"/>
                <w:szCs w:val="18"/>
              </w:rPr>
              <w:t>8</w:t>
            </w: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政协委员提案办理</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政协委员提案办理答复</w:t>
            </w:r>
          </w:p>
        </w:tc>
        <w:tc>
          <w:tcPr>
            <w:tcW w:w="235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《国务院办公厅关于做好全国人大代表建议和全国政协委员提案办理结果公开工作的通知》（国办发﹝2014﹞46号）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5"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9</w:t>
            </w:r>
          </w:p>
        </w:tc>
        <w:tc>
          <w:tcPr>
            <w:tcW w:w="683"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机构领导</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领导分工、简历、办公联系方式、照片；</w:t>
            </w:r>
            <w:r>
              <w:rPr>
                <w:rFonts w:ascii="Times New Roman" w:hAnsi="Times New Roman"/>
                <w:kern w:val="0"/>
                <w:sz w:val="18"/>
                <w:szCs w:val="18"/>
              </w:rPr>
              <w:t>领导活动相关信息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《中华人民共和国政府信息公开条例》（国务院令第711号）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61"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10</w:t>
            </w: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机构设置</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机构简介</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机关职能、机构设置、办公地址、办公时间、联系方式等</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《中华人民共和国政府信息公开条例》（国务院令第711号）</w:t>
            </w:r>
          </w:p>
          <w:p>
            <w:pPr>
              <w:widowControl/>
              <w:spacing w:line="260" w:lineRule="exact"/>
              <w:rPr>
                <w:rFonts w:ascii="Times New Roman" w:hAnsi="Times New Roman"/>
                <w:kern w:val="0"/>
                <w:sz w:val="18"/>
                <w:szCs w:val="18"/>
              </w:rPr>
            </w:pP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0"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11</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left"/>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内设机构及下属单位</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内设机构及下属单位设置、职能、办公地址、办公时间、联系方式、负责人姓名等</w:t>
            </w:r>
          </w:p>
        </w:tc>
        <w:tc>
          <w:tcPr>
            <w:tcW w:w="2350" w:type="dxa"/>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《中华人民共和国政府信息公开条例》（国务院令第711号）</w:t>
            </w:r>
          </w:p>
          <w:p>
            <w:pPr>
              <w:widowControl/>
              <w:spacing w:line="260" w:lineRule="exact"/>
              <w:jc w:val="left"/>
              <w:rPr>
                <w:rFonts w:ascii="Times New Roman" w:hAnsi="Times New Roman"/>
                <w:kern w:val="0"/>
                <w:sz w:val="18"/>
                <w:szCs w:val="18"/>
              </w:rPr>
            </w:pP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84" w:hRule="atLeast"/>
          <w:jc w:val="center"/>
        </w:trPr>
        <w:tc>
          <w:tcPr>
            <w:tcW w:w="571"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 xml:space="preserve">  12</w:t>
            </w: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财政资金</w:t>
            </w:r>
          </w:p>
        </w:tc>
        <w:tc>
          <w:tcPr>
            <w:tcW w:w="1050"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年度部门预决算及“三公”经费情况</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本年度预算、报表及说明</w:t>
            </w:r>
          </w:p>
        </w:tc>
        <w:tc>
          <w:tcPr>
            <w:tcW w:w="2350" w:type="dxa"/>
            <w:noWrap/>
            <w:vAlign w:val="center"/>
          </w:tcPr>
          <w:p>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《中华人民共和国预算法》；</w:t>
            </w:r>
          </w:p>
          <w:p>
            <w:pPr>
              <w:widowControl/>
              <w:spacing w:line="260" w:lineRule="exact"/>
              <w:rPr>
                <w:rFonts w:ascii="Times New Roman" w:hAnsi="Times New Roman"/>
                <w:bCs/>
                <w:kern w:val="0"/>
                <w:sz w:val="18"/>
                <w:szCs w:val="18"/>
              </w:rPr>
            </w:pPr>
            <w:r>
              <w:rPr>
                <w:rFonts w:ascii="Times New Roman" w:hAnsi="Times New Roman"/>
                <w:bCs/>
                <w:kern w:val="0"/>
                <w:sz w:val="18"/>
                <w:szCs w:val="18"/>
              </w:rPr>
              <w:t>《中共中央办公厅国务院办公厅印发〈关于进一步推进预算公开工作的意见〉的通知》（中办发〔2016〕13号）；</w:t>
            </w:r>
          </w:p>
          <w:p>
            <w:pPr>
              <w:widowControl/>
              <w:spacing w:line="260" w:lineRule="exact"/>
              <w:rPr>
                <w:rFonts w:ascii="Times New Roman" w:hAnsi="Times New Roman"/>
                <w:kern w:val="0"/>
                <w:sz w:val="18"/>
                <w:szCs w:val="18"/>
              </w:rPr>
            </w:pPr>
            <w:r>
              <w:rPr>
                <w:rFonts w:ascii="Times New Roman" w:hAnsi="Times New Roman"/>
                <w:bCs/>
                <w:kern w:val="0"/>
                <w:sz w:val="18"/>
                <w:szCs w:val="18"/>
              </w:rPr>
              <w:t>《关于印发〈地方预决算公开操作规程〉的通知》（财预〔2016〕143号）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本级政府财政部门批复后20日内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5"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13</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vMerge w:val="continue"/>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上年度决算、报表及说明</w:t>
            </w:r>
          </w:p>
        </w:tc>
        <w:tc>
          <w:tcPr>
            <w:tcW w:w="2350" w:type="dxa"/>
            <w:noWrap/>
            <w:vAlign w:val="center"/>
          </w:tcPr>
          <w:p>
            <w:pPr>
              <w:widowControl/>
              <w:spacing w:line="260" w:lineRule="exact"/>
              <w:jc w:val="left"/>
              <w:rPr>
                <w:rFonts w:ascii="Times New Roman" w:hAnsi="Times New Roman"/>
                <w:bCs/>
                <w:kern w:val="0"/>
                <w:sz w:val="18"/>
                <w:szCs w:val="18"/>
              </w:rPr>
            </w:pPr>
            <w:r>
              <w:rPr>
                <w:rFonts w:ascii="Times New Roman" w:hAnsi="Times New Roman"/>
                <w:bCs/>
                <w:kern w:val="0"/>
                <w:sz w:val="18"/>
                <w:szCs w:val="18"/>
              </w:rPr>
              <w:t>《中华人民共和国预算法》；</w:t>
            </w:r>
          </w:p>
          <w:p>
            <w:pPr>
              <w:widowControl/>
              <w:spacing w:line="260" w:lineRule="exact"/>
              <w:jc w:val="left"/>
              <w:rPr>
                <w:rFonts w:ascii="Times New Roman" w:hAnsi="Times New Roman"/>
                <w:kern w:val="0"/>
                <w:sz w:val="18"/>
                <w:szCs w:val="18"/>
              </w:rPr>
            </w:pPr>
            <w:r>
              <w:rPr>
                <w:rFonts w:ascii="Times New Roman" w:hAnsi="Times New Roman"/>
                <w:bCs/>
                <w:kern w:val="0"/>
                <w:sz w:val="18"/>
                <w:szCs w:val="18"/>
              </w:rPr>
              <w:t>《关于印发〈地方预决算公开操作规程〉的通知》（财预〔2016〕143号）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本级政府财政部门批复后20日内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3"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14</w:t>
            </w:r>
          </w:p>
        </w:tc>
        <w:tc>
          <w:tcPr>
            <w:tcW w:w="683"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34" w:type="dxa"/>
            <w:vMerge w:val="restart"/>
            <w:noWrap/>
            <w:vAlign w:val="center"/>
          </w:tcPr>
          <w:p>
            <w:pPr>
              <w:spacing w:line="260" w:lineRule="exact"/>
              <w:jc w:val="center"/>
              <w:rPr>
                <w:rFonts w:ascii="Times New Roman" w:hAnsi="Times New Roman"/>
                <w:kern w:val="0"/>
                <w:sz w:val="18"/>
                <w:szCs w:val="18"/>
              </w:rPr>
            </w:pPr>
            <w:r>
              <w:rPr>
                <w:rFonts w:hint="eastAsia" w:ascii="Times New Roman" w:hAnsi="Times New Roman"/>
                <w:kern w:val="0"/>
                <w:sz w:val="18"/>
                <w:szCs w:val="18"/>
              </w:rPr>
              <w:t>财政资金</w:t>
            </w:r>
          </w:p>
        </w:tc>
        <w:tc>
          <w:tcPr>
            <w:tcW w:w="1050" w:type="dxa"/>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年度部门预决算及“三公”经费情况</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本年度“三公”经费预算及说明，上年度“三公”经费决算及说明</w:t>
            </w:r>
          </w:p>
        </w:tc>
        <w:tc>
          <w:tcPr>
            <w:tcW w:w="2350" w:type="dxa"/>
            <w:noWrap/>
            <w:vAlign w:val="center"/>
          </w:tcPr>
          <w:p>
            <w:pPr>
              <w:widowControl/>
              <w:spacing w:line="260" w:lineRule="exact"/>
              <w:jc w:val="left"/>
              <w:rPr>
                <w:rFonts w:ascii="Times New Roman" w:hAnsi="Times New Roman"/>
                <w:kern w:val="0"/>
                <w:sz w:val="18"/>
                <w:szCs w:val="18"/>
              </w:rPr>
            </w:pPr>
            <w:r>
              <w:rPr>
                <w:rFonts w:ascii="Times New Roman" w:hAnsi="Times New Roman"/>
                <w:bCs/>
                <w:kern w:val="0"/>
                <w:sz w:val="18"/>
                <w:szCs w:val="18"/>
              </w:rPr>
              <w:t>《中华人民共和国预算法》；《关于印发〈地方预决算公开操作规程〉的通知》（财预〔2016〕143号）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本级政府财政部门批复后20日内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15</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spacing w:line="260" w:lineRule="exact"/>
              <w:jc w:val="center"/>
              <w:rPr>
                <w:rFonts w:ascii="Times New Roman" w:hAnsi="Times New Roman"/>
                <w:kern w:val="0"/>
                <w:sz w:val="18"/>
                <w:szCs w:val="18"/>
              </w:rPr>
            </w:pPr>
          </w:p>
        </w:tc>
        <w:tc>
          <w:tcPr>
            <w:tcW w:w="1050" w:type="dxa"/>
            <w:vMerge w:val="restart"/>
            <w:noWrap/>
            <w:vAlign w:val="center"/>
          </w:tcPr>
          <w:p>
            <w:pPr>
              <w:widowControl/>
              <w:spacing w:line="260" w:lineRule="exact"/>
              <w:jc w:val="left"/>
              <w:rPr>
                <w:rFonts w:ascii="Times New Roman" w:hAnsi="Times New Roman"/>
                <w:kern w:val="0"/>
                <w:sz w:val="18"/>
                <w:szCs w:val="18"/>
              </w:rPr>
            </w:pPr>
            <w:r>
              <w:rPr>
                <w:rFonts w:ascii="Times New Roman" w:hAnsi="Times New Roman"/>
                <w:kern w:val="0"/>
                <w:sz w:val="18"/>
                <w:szCs w:val="18"/>
              </w:rPr>
              <w:t>财政专项资金</w:t>
            </w:r>
          </w:p>
        </w:tc>
        <w:tc>
          <w:tcPr>
            <w:tcW w:w="2416"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w:t>
            </w:r>
            <w:r>
              <w:rPr>
                <w:rFonts w:ascii="Times New Roman" w:hAnsi="Times New Roman"/>
                <w:kern w:val="0"/>
                <w:sz w:val="18"/>
                <w:szCs w:val="18"/>
              </w:rPr>
              <w:t>专项资金的制度文件</w:t>
            </w:r>
          </w:p>
        </w:tc>
        <w:tc>
          <w:tcPr>
            <w:tcW w:w="2350" w:type="dxa"/>
            <w:noWrap/>
            <w:vAlign w:val="center"/>
          </w:tcPr>
          <w:p>
            <w:pPr>
              <w:widowControl/>
              <w:spacing w:line="260" w:lineRule="exact"/>
              <w:jc w:val="left"/>
              <w:rPr>
                <w:rFonts w:ascii="Times New Roman" w:hAnsi="Times New Roman"/>
                <w:sz w:val="18"/>
                <w:szCs w:val="18"/>
              </w:rPr>
            </w:pPr>
            <w:r>
              <w:rPr>
                <w:rFonts w:ascii="Times New Roman" w:hAnsi="Times New Roman"/>
                <w:bCs/>
                <w:kern w:val="0"/>
                <w:sz w:val="18"/>
                <w:szCs w:val="18"/>
              </w:rPr>
              <w:t>《中共中央办公厅国务院办公厅印发〈关于进一步推进预算公开工作的意见〉的通知》（中办发〔2016〕13号）</w:t>
            </w:r>
          </w:p>
          <w:p>
            <w:pPr>
              <w:widowControl/>
              <w:spacing w:line="260" w:lineRule="exact"/>
              <w:rPr>
                <w:rFonts w:ascii="Times New Roman" w:hAnsi="Times New Roman"/>
                <w:kern w:val="0"/>
                <w:sz w:val="18"/>
                <w:szCs w:val="18"/>
              </w:rPr>
            </w:pP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4"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16</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vMerge w:val="continue"/>
            <w:noWrap/>
            <w:vAlign w:val="center"/>
          </w:tcPr>
          <w:p>
            <w:pPr>
              <w:widowControl/>
              <w:spacing w:line="260" w:lineRule="exact"/>
              <w:jc w:val="left"/>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财政专项资金管理和使用情况</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《财政部关于推进基层财政专项支出预算公开的意见》（财预〔2011〕27号）；《中共中央办公厅国务院办公厅印发〈关于进一步推进预算公开工作的意见〉的通知》（中办发〔2016〕13号）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及时公开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31"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17</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left"/>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bCs/>
                <w:kern w:val="0"/>
                <w:sz w:val="18"/>
                <w:szCs w:val="18"/>
              </w:rPr>
              <w:t>部门项目</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公开项目实施主体、预算安排、绩效目标、绩效自评结果、绩效评价报告等信息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《国务院办公厅关于印发2019年政务公开工作要点的通知》（国办发〔2019〕14号）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31"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18</w:t>
            </w:r>
          </w:p>
        </w:tc>
        <w:tc>
          <w:tcPr>
            <w:tcW w:w="683"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应急管理</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发布事故灾害类、社会安全事件类、自然灾害类和公共卫生事件类的应急预案、预警信息及应对情况等信息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《中华人民共和国突发事件应对法》（主席令第69号）；《国务院办公厅关于印发突发事件应急预案管理办法的通知》（国办发〔2013〕101号）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按照法定时间公开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19</w:t>
            </w:r>
          </w:p>
        </w:tc>
        <w:tc>
          <w:tcPr>
            <w:tcW w:w="683" w:type="dxa"/>
            <w:vMerge w:val="continue"/>
            <w:noWrap/>
            <w:vAlign w:val="center"/>
          </w:tcPr>
          <w:p>
            <w:pPr>
              <w:widowControl/>
              <w:spacing w:line="260" w:lineRule="exact"/>
              <w:jc w:val="center"/>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bCs/>
                <w:kern w:val="0"/>
                <w:sz w:val="18"/>
                <w:szCs w:val="18"/>
              </w:rPr>
              <w:t>权责清单和动态调整情况</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《中共中央办公厅国务院办公厅印发〈关于推行地方各级政府工作部门权力清单制度的指导意见〉的通知》(中办发〔2015〕21号)；</w:t>
            </w:r>
            <w:r>
              <w:rPr>
                <w:rFonts w:ascii="Times New Roman" w:hAnsi="Times New Roman"/>
                <w:bCs/>
                <w:kern w:val="0"/>
                <w:sz w:val="18"/>
                <w:szCs w:val="18"/>
              </w:rPr>
              <w:t>《国务院办公厅关于做好证明事项清理工作的通知》（国办发〔2018〕47号）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1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20</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bCs/>
                <w:kern w:val="0"/>
                <w:sz w:val="18"/>
                <w:szCs w:val="18"/>
              </w:rPr>
              <w:t>公共服务清单和中介服务清单</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公共服务清单，包括办事名称、办理依据、实施机构、事项类别等信息；</w:t>
            </w:r>
            <w:r>
              <w:rPr>
                <w:rFonts w:ascii="Times New Roman" w:hAnsi="Times New Roman"/>
                <w:bCs/>
                <w:kern w:val="0"/>
                <w:sz w:val="18"/>
                <w:szCs w:val="18"/>
              </w:rPr>
              <w:t>行政审批中介服务事项目录清单，包括中介服务事项名称、涉及的审批事项项目名称、审批部门、中介服务设定依据、收费类型及依据、处理决定等信息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《国务院办公厅关于简化优化公共服务流程方便基层群众办事创业的通知》（国办发〔2015〕86号）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21</w:t>
            </w:r>
          </w:p>
        </w:tc>
        <w:tc>
          <w:tcPr>
            <w:tcW w:w="683" w:type="dxa"/>
            <w:vMerge w:val="restart"/>
            <w:noWrap/>
            <w:vAlign w:val="center"/>
          </w:tcPr>
          <w:p>
            <w:pPr>
              <w:spacing w:line="260" w:lineRule="exact"/>
              <w:jc w:val="center"/>
              <w:rPr>
                <w:rFonts w:ascii="Times New Roman" w:hAnsi="Times New Roman"/>
                <w:kern w:val="0"/>
                <w:sz w:val="18"/>
                <w:szCs w:val="18"/>
              </w:rPr>
            </w:pPr>
            <w:r>
              <w:rPr>
                <w:rFonts w:ascii="Times New Roman" w:hAnsi="Times New Roman"/>
                <w:kern w:val="0"/>
                <w:sz w:val="18"/>
                <w:szCs w:val="18"/>
              </w:rPr>
              <w:t>管理和服务</w:t>
            </w: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网上政务服务</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公开办事指南及流程、公共服务事项办件结果、企业及个人全生命周期事项办理指南、流程、过程结果查询等信息（可链接到山东省政务服务网）</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国务院关于加快推进“互联网+政务服务”工作的指导意见》（国发〔2016〕55号）；《国务院办公厅关于印发进一步深化“互联网+政务服务”推进政务服务“一网、一门、一次”改革实施方案的通知》（国办发〔2018〕45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22</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招标采购</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公开招标公示、招标采购预算及中标候选人公告，成交情况及实施情况等信息</w:t>
            </w:r>
          </w:p>
        </w:tc>
        <w:tc>
          <w:tcPr>
            <w:tcW w:w="2350" w:type="dxa"/>
            <w:noWrap/>
            <w:vAlign w:val="center"/>
          </w:tcPr>
          <w:p>
            <w:pPr>
              <w:widowControl/>
              <w:spacing w:line="260" w:lineRule="exact"/>
              <w:rPr>
                <w:rFonts w:ascii="Times New Roman" w:hAnsi="Times New Roman"/>
                <w:kern w:val="0"/>
                <w:sz w:val="18"/>
                <w:szCs w:val="18"/>
              </w:rPr>
            </w:pPr>
            <w:bookmarkStart w:id="3" w:name="_GoBack"/>
            <w:bookmarkEnd w:id="3"/>
            <w:r>
              <w:rPr>
                <w:rFonts w:hint="eastAsia" w:ascii="Times New Roman" w:hAnsi="Times New Roman"/>
                <w:kern w:val="0"/>
                <w:sz w:val="18"/>
                <w:szCs w:val="18"/>
                <w:lang w:eastAsia="zh-CN"/>
              </w:rPr>
              <w:t>《中华人民共和国政府信息公开条例》</w:t>
            </w:r>
            <w:r>
              <w:rPr>
                <w:rFonts w:ascii="Times New Roman" w:hAnsi="Times New Roman"/>
                <w:kern w:val="0"/>
                <w:sz w:val="18"/>
                <w:szCs w:val="18"/>
              </w:rPr>
              <w:t>（国务院令第492号）；《中华人民共和国招标投标法实施条例》（国务院令第698号）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按照规定及时公开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■政府网站</w:t>
            </w:r>
          </w:p>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■其他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5"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23</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sz w:val="18"/>
                <w:szCs w:val="18"/>
              </w:rPr>
              <w:t>依申请公开</w:t>
            </w:r>
          </w:p>
        </w:tc>
        <w:tc>
          <w:tcPr>
            <w:tcW w:w="1050" w:type="dxa"/>
            <w:noWrap/>
            <w:vAlign w:val="center"/>
          </w:tcPr>
          <w:p>
            <w:pPr>
              <w:widowControl/>
              <w:spacing w:line="260" w:lineRule="exact"/>
              <w:jc w:val="center"/>
              <w:rPr>
                <w:rFonts w:ascii="Times New Roman" w:hAnsi="Times New Roman"/>
                <w:kern w:val="0"/>
                <w:sz w:val="18"/>
                <w:szCs w:val="18"/>
              </w:rPr>
            </w:pPr>
          </w:p>
        </w:tc>
        <w:tc>
          <w:tcPr>
            <w:tcW w:w="2416" w:type="dxa"/>
            <w:noWrap/>
            <w:vAlign w:val="center"/>
          </w:tcPr>
          <w:p>
            <w:pPr>
              <w:widowControl/>
              <w:spacing w:line="260" w:lineRule="exact"/>
              <w:rPr>
                <w:rFonts w:ascii="Times New Roman" w:hAnsi="Times New Roman"/>
                <w:kern w:val="0"/>
                <w:sz w:val="18"/>
                <w:szCs w:val="18"/>
              </w:rPr>
            </w:pPr>
            <w:r>
              <w:rPr>
                <w:rFonts w:hint="eastAsia" w:ascii="宋体" w:hAnsi="宋体" w:cs="宋体"/>
                <w:sz w:val="18"/>
                <w:szCs w:val="18"/>
              </w:rPr>
              <w:t>依申请公开受理渠道、依申请公开处理流程、依申请公开申请表、依申请公开受理情况总结、依申请公开有关政策法规</w:t>
            </w:r>
          </w:p>
        </w:tc>
        <w:tc>
          <w:tcPr>
            <w:tcW w:w="235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《中华人民共和国政府信息公开条例》（国务院令第711号）</w:t>
            </w:r>
          </w:p>
        </w:tc>
        <w:tc>
          <w:tcPr>
            <w:tcW w:w="1834" w:type="dxa"/>
            <w:noWrap/>
            <w:vAlign w:val="center"/>
          </w:tcPr>
          <w:p>
            <w:pPr>
              <w:widowControl/>
              <w:spacing w:line="260" w:lineRule="exact"/>
              <w:rPr>
                <w:rFonts w:ascii="Times New Roman" w:hAnsi="Times New Roman"/>
                <w:bCs/>
                <w:kern w:val="0"/>
                <w:sz w:val="18"/>
                <w:szCs w:val="18"/>
              </w:rPr>
            </w:pPr>
            <w:r>
              <w:rPr>
                <w:rFonts w:hint="eastAsia" w:ascii="Times New Roman" w:hAnsi="Times New Roman"/>
                <w:sz w:val="18"/>
                <w:szCs w:val="18"/>
              </w:rPr>
              <w:t>按法定时限公开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jc w:val="left"/>
              <w:rPr>
                <w:rFonts w:ascii="Times New Roman" w:hAnsi="Times New Roman"/>
                <w:bCs/>
                <w:kern w:val="0"/>
                <w:sz w:val="18"/>
                <w:szCs w:val="18"/>
              </w:rPr>
            </w:pPr>
            <w:r>
              <w:rPr>
                <w:rFonts w:hint="eastAsia" w:ascii="Times New Roman" w:hAnsi="Times New Roman"/>
                <w:bCs/>
                <w:kern w:val="0"/>
                <w:sz w:val="18"/>
                <w:szCs w:val="18"/>
              </w:rPr>
              <w:t>■政府网站</w:t>
            </w:r>
          </w:p>
          <w:p>
            <w:pPr>
              <w:widowControl/>
              <w:spacing w:line="260" w:lineRule="exact"/>
              <w:jc w:val="left"/>
              <w:rPr>
                <w:rFonts w:ascii="Times New Roman" w:hAnsi="Times New Roman"/>
                <w:bCs/>
                <w:kern w:val="0"/>
                <w:sz w:val="18"/>
                <w:szCs w:val="18"/>
              </w:rPr>
            </w:pPr>
            <w:r>
              <w:rPr>
                <w:rFonts w:hint="eastAsia" w:ascii="Times New Roman" w:hAnsi="Times New Roman"/>
                <w:bCs/>
                <w:kern w:val="0"/>
                <w:sz w:val="18"/>
                <w:szCs w:val="18"/>
              </w:rPr>
              <w:t>■纸质载体</w:t>
            </w:r>
          </w:p>
          <w:p>
            <w:pPr>
              <w:widowControl/>
              <w:spacing w:line="260" w:lineRule="exact"/>
              <w:jc w:val="left"/>
              <w:rPr>
                <w:rFonts w:ascii="Times New Roman" w:hAnsi="Times New Roman"/>
                <w:bCs/>
                <w:kern w:val="0"/>
                <w:sz w:val="18"/>
                <w:szCs w:val="18"/>
              </w:rPr>
            </w:pPr>
            <w:r>
              <w:rPr>
                <w:rFonts w:hint="eastAsia" w:ascii="Times New Roman" w:hAnsi="Times New Roman"/>
                <w:bCs/>
                <w:kern w:val="0"/>
                <w:sz w:val="18"/>
                <w:szCs w:val="18"/>
              </w:rPr>
              <w:t xml:space="preserve">■公开查阅点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28"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24</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发布</w:t>
            </w: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发布</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制度安排</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新闻发布制度、工作机制和年度安排</w:t>
            </w:r>
            <w:r>
              <w:rPr>
                <w:rFonts w:ascii="Times New Roman" w:hAnsi="Times New Roman"/>
                <w:spacing w:val="-6"/>
                <w:kern w:val="0"/>
                <w:sz w:val="18"/>
                <w:szCs w:val="18"/>
              </w:rPr>
              <w:t>（发布主题、发布形式、发布时间等）</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《中华人民共和国政府信息公开条例》（国务院令第711号）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按规定及时发布</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■政府网站</w:t>
            </w:r>
          </w:p>
          <w:p>
            <w:pPr>
              <w:widowControl/>
              <w:spacing w:line="260" w:lineRule="exact"/>
              <w:rPr>
                <w:rFonts w:ascii="Times New Roman" w:hAnsi="Times New Roman"/>
                <w:kern w:val="0"/>
                <w:sz w:val="18"/>
                <w:szCs w:val="18"/>
              </w:rPr>
            </w:pPr>
            <w:r>
              <w:rPr>
                <w:rFonts w:ascii="Times New Roman" w:hAnsi="Times New Roman"/>
                <w:bCs/>
                <w:kern w:val="0"/>
                <w:sz w:val="18"/>
                <w:szCs w:val="18"/>
              </w:rPr>
              <w:t>■发布会</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2"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25</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新闻发布会及其他发布实录</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新闻发布及其他发布的发布稿、现场图片、视频、音频等</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《中华人民共和国政府信息公开条例》（国务院令第711号）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按规定及时发布</w:t>
            </w:r>
          </w:p>
        </w:tc>
        <w:tc>
          <w:tcPr>
            <w:tcW w:w="1200" w:type="dxa"/>
            <w:noWrap/>
            <w:vAlign w:val="center"/>
          </w:tcPr>
          <w:p>
            <w:pPr>
              <w:widowControl/>
              <w:spacing w:line="260" w:lineRule="exact"/>
              <w:jc w:val="lef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bCs/>
                <w:kern w:val="0"/>
                <w:sz w:val="18"/>
                <w:szCs w:val="18"/>
              </w:rPr>
            </w:pPr>
            <w:r>
              <w:rPr>
                <w:rFonts w:ascii="Times New Roman" w:hAnsi="Times New Roman"/>
                <w:bCs/>
                <w:kern w:val="0"/>
                <w:sz w:val="18"/>
                <w:szCs w:val="18"/>
              </w:rPr>
              <w:t>■政府网站</w:t>
            </w:r>
          </w:p>
          <w:p>
            <w:pPr>
              <w:widowControl/>
              <w:spacing w:line="260" w:lineRule="exact"/>
              <w:rPr>
                <w:rFonts w:ascii="Times New Roman" w:hAnsi="Times New Roman"/>
                <w:kern w:val="0"/>
                <w:sz w:val="18"/>
                <w:szCs w:val="18"/>
              </w:rPr>
            </w:pPr>
            <w:r>
              <w:rPr>
                <w:rFonts w:ascii="Times New Roman" w:hAnsi="Times New Roman"/>
                <w:bCs/>
                <w:kern w:val="0"/>
                <w:sz w:val="18"/>
                <w:szCs w:val="18"/>
              </w:rPr>
              <w:t>■发布会</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98"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26</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解读</w:t>
            </w: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政策</w:t>
            </w:r>
            <w:r>
              <w:rPr>
                <w:rFonts w:ascii="Times New Roman" w:hAnsi="Times New Roman"/>
                <w:kern w:val="0"/>
                <w:sz w:val="18"/>
                <w:szCs w:val="18"/>
              </w:rPr>
              <w:br w:type="textWrapping"/>
            </w:r>
            <w:r>
              <w:rPr>
                <w:rFonts w:ascii="Times New Roman" w:hAnsi="Times New Roman"/>
                <w:kern w:val="0"/>
                <w:sz w:val="18"/>
                <w:szCs w:val="18"/>
              </w:rPr>
              <w:t>解读</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上级政策解读</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转发国家和省、市、区机关或者专家、学者关于法律法规规章及上级重要政策措施的解读</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8"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27</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负责人解读</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部门负责人通过参加新闻发布会、发表署名文章或接受媒体采访等形式就相关政策进行解读</w:t>
            </w:r>
          </w:p>
        </w:tc>
        <w:tc>
          <w:tcPr>
            <w:tcW w:w="2350" w:type="dxa"/>
            <w:noWrap/>
            <w:vAlign w:val="center"/>
          </w:tcPr>
          <w:p>
            <w:pPr>
              <w:widowControl/>
              <w:spacing w:line="260" w:lineRule="exact"/>
              <w:jc w:val="lef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■政府网站</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5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28</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left"/>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部门解读</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深入解读重要政策文件的制定背景、起草过程、工作目标、主要内容、创新举措和下一步工作考虑等。鼓励采用图片图表、音频视频、卡通动漫等群众喜闻乐见的展现形式提升解读效果</w:t>
            </w:r>
          </w:p>
        </w:tc>
        <w:tc>
          <w:tcPr>
            <w:tcW w:w="2350" w:type="dxa"/>
            <w:noWrap/>
            <w:vAlign w:val="center"/>
          </w:tcPr>
          <w:p>
            <w:pPr>
              <w:widowControl/>
              <w:spacing w:line="260" w:lineRule="exact"/>
              <w:jc w:val="lef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15"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29</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回应</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关切</w:t>
            </w: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回应</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关切</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主动回应</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公开与本部门职能相关的社会热点，以及群众办事的堵点痛点等信息；召开新闻发布会、接受媒体采访、转载新闻媒体正面宣传报道以及针对涉及群众切身利益、影响社会稳定和突发公共事件的重点事项等信息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《中共中央办公厅国务院办公厅印发〈关于全面推进政务公开工作的意见〉的通知》（中办发〔2016〕8号）</w:t>
            </w:r>
          </w:p>
          <w:p>
            <w:pPr>
              <w:widowControl/>
              <w:spacing w:line="260" w:lineRule="exact"/>
              <w:rPr>
                <w:rFonts w:ascii="Times New Roman" w:hAnsi="Times New Roman"/>
                <w:kern w:val="0"/>
                <w:sz w:val="18"/>
                <w:szCs w:val="18"/>
              </w:rPr>
            </w:pP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按规定及时公开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■政府网站   ■其他</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77"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30</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互动回应</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在收集分析研判舆情的基础上，针对舆论关注的焦点、热点和群众投诉咨询问题的互动回应、回复处理内容</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按规定及时公开</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■政府网站   ■其他</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13"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31</w:t>
            </w:r>
          </w:p>
        </w:tc>
        <w:tc>
          <w:tcPr>
            <w:tcW w:w="683"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监督</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保障</w:t>
            </w:r>
          </w:p>
        </w:tc>
        <w:tc>
          <w:tcPr>
            <w:tcW w:w="934" w:type="dxa"/>
            <w:vMerge w:val="restart"/>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监督</w:t>
            </w:r>
          </w:p>
          <w:p>
            <w:pPr>
              <w:widowControl/>
              <w:spacing w:line="260" w:lineRule="exact"/>
              <w:jc w:val="center"/>
              <w:rPr>
                <w:rFonts w:ascii="Times New Roman" w:hAnsi="Times New Roman"/>
                <w:kern w:val="0"/>
                <w:sz w:val="18"/>
                <w:szCs w:val="18"/>
              </w:rPr>
            </w:pPr>
            <w:r>
              <w:rPr>
                <w:rFonts w:ascii="Times New Roman" w:hAnsi="Times New Roman"/>
                <w:kern w:val="0"/>
                <w:sz w:val="18"/>
                <w:szCs w:val="18"/>
              </w:rPr>
              <w:t>保障</w:t>
            </w: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公开制度</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政务公开主动公开制度、依申请公开制度、公开保密审查制度、政务舆情回应制度、信息公开统计制度、政务公开工作责任追究制度、政务公开发布协调制度、政府信息公文公开属性源头认定制度、重大行政决策公众参与制度、政策解读制度、政务公开社会评议制度、政务公开投诉举报制度、政务公开考评制度、政府开放日制度、政务公开监督员制度等制度</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《中华人民共和国政府信息公开条例》（国务院令第711号）；《中共中央办公厅国务院办公厅印发〈关于全面推进政务公开工作的意见〉的通知》（中办发〔2016〕8号）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64"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32</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bCs/>
                <w:kern w:val="0"/>
                <w:sz w:val="18"/>
                <w:szCs w:val="18"/>
              </w:rPr>
              <w:t>专项工作</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发布基层政务公开标准化规范化试点成果巩固推广、贯彻落实政府信息公开条例等信息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《中华人民共和国政府信息公开条例》；《中共中央办公厅国务院办公厅印发〈关于全面推进政务公开工作的意见〉的通知》（中办发〔2016〕8号）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14" w:hRule="atLeast"/>
          <w:jc w:val="center"/>
        </w:trPr>
        <w:tc>
          <w:tcPr>
            <w:tcW w:w="571" w:type="dxa"/>
            <w:noWrap/>
            <w:vAlign w:val="center"/>
          </w:tcPr>
          <w:p>
            <w:pPr>
              <w:widowControl/>
              <w:spacing w:line="260" w:lineRule="exact"/>
              <w:jc w:val="center"/>
              <w:rPr>
                <w:rFonts w:ascii="Times New Roman" w:hAnsi="Times New Roman"/>
                <w:kern w:val="0"/>
                <w:sz w:val="18"/>
                <w:szCs w:val="18"/>
              </w:rPr>
            </w:pPr>
            <w:r>
              <w:rPr>
                <w:rFonts w:hint="eastAsia" w:ascii="Times New Roman" w:hAnsi="Times New Roman"/>
                <w:kern w:val="0"/>
                <w:sz w:val="18"/>
                <w:szCs w:val="18"/>
              </w:rPr>
              <w:t>33</w:t>
            </w:r>
          </w:p>
        </w:tc>
        <w:tc>
          <w:tcPr>
            <w:tcW w:w="683" w:type="dxa"/>
            <w:vMerge w:val="continue"/>
            <w:noWrap/>
            <w:vAlign w:val="center"/>
          </w:tcPr>
          <w:p>
            <w:pPr>
              <w:widowControl/>
              <w:spacing w:line="260" w:lineRule="exact"/>
              <w:jc w:val="left"/>
              <w:rPr>
                <w:rFonts w:ascii="Times New Roman" w:hAnsi="Times New Roman"/>
                <w:kern w:val="0"/>
                <w:sz w:val="18"/>
                <w:szCs w:val="18"/>
              </w:rPr>
            </w:pPr>
          </w:p>
        </w:tc>
        <w:tc>
          <w:tcPr>
            <w:tcW w:w="934" w:type="dxa"/>
            <w:vMerge w:val="continue"/>
            <w:noWrap/>
            <w:vAlign w:val="center"/>
          </w:tcPr>
          <w:p>
            <w:pPr>
              <w:widowControl/>
              <w:spacing w:line="260" w:lineRule="exact"/>
              <w:jc w:val="center"/>
              <w:rPr>
                <w:rFonts w:ascii="Times New Roman" w:hAnsi="Times New Roman"/>
                <w:kern w:val="0"/>
                <w:sz w:val="18"/>
                <w:szCs w:val="18"/>
              </w:rPr>
            </w:pPr>
          </w:p>
        </w:tc>
        <w:tc>
          <w:tcPr>
            <w:tcW w:w="1050" w:type="dxa"/>
            <w:noWrap/>
            <w:vAlign w:val="center"/>
          </w:tcPr>
          <w:p>
            <w:pPr>
              <w:widowControl/>
              <w:spacing w:line="260" w:lineRule="exact"/>
              <w:jc w:val="center"/>
              <w:rPr>
                <w:rFonts w:ascii="Times New Roman" w:hAnsi="Times New Roman"/>
                <w:kern w:val="0"/>
                <w:sz w:val="18"/>
                <w:szCs w:val="18"/>
              </w:rPr>
            </w:pPr>
            <w:r>
              <w:rPr>
                <w:rFonts w:ascii="Times New Roman" w:hAnsi="Times New Roman"/>
                <w:kern w:val="0"/>
                <w:sz w:val="18"/>
                <w:szCs w:val="18"/>
              </w:rPr>
              <w:t>工作推进</w:t>
            </w:r>
          </w:p>
        </w:tc>
        <w:tc>
          <w:tcPr>
            <w:tcW w:w="2416" w:type="dxa"/>
            <w:noWrap/>
            <w:vAlign w:val="center"/>
          </w:tcPr>
          <w:p>
            <w:pPr>
              <w:widowControl/>
              <w:spacing w:line="260" w:lineRule="exact"/>
              <w:rPr>
                <w:rFonts w:ascii="Times New Roman" w:hAnsi="Times New Roman"/>
                <w:kern w:val="0"/>
                <w:sz w:val="18"/>
                <w:szCs w:val="18"/>
              </w:rPr>
            </w:pPr>
            <w:r>
              <w:rPr>
                <w:rFonts w:ascii="Times New Roman" w:hAnsi="Times New Roman"/>
                <w:kern w:val="0"/>
                <w:sz w:val="18"/>
                <w:szCs w:val="18"/>
              </w:rPr>
              <w:t>政务公开工作开展、督查调度、工作交流、简报等信息</w:t>
            </w:r>
          </w:p>
        </w:tc>
        <w:tc>
          <w:tcPr>
            <w:tcW w:w="2350"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《中华人民共和国政府信息公开条例》；《中共中央办公厅国务院办公厅印发〈关于全面推进政务公开工作的意见〉的通知》（中办发〔2016〕8号）</w:t>
            </w:r>
          </w:p>
        </w:tc>
        <w:tc>
          <w:tcPr>
            <w:tcW w:w="1834" w:type="dxa"/>
            <w:noWrap/>
            <w:vAlign w:val="center"/>
          </w:tcPr>
          <w:p>
            <w:pPr>
              <w:widowControl/>
              <w:spacing w:line="260" w:lineRule="exact"/>
              <w:rPr>
                <w:rFonts w:ascii="Times New Roman" w:hAnsi="Times New Roman"/>
                <w:kern w:val="0"/>
                <w:sz w:val="18"/>
                <w:szCs w:val="18"/>
              </w:rPr>
            </w:pPr>
            <w:r>
              <w:rPr>
                <w:rFonts w:ascii="Times New Roman" w:hAnsi="Times New Roman"/>
                <w:bCs/>
                <w:kern w:val="0"/>
                <w:sz w:val="18"/>
                <w:szCs w:val="18"/>
              </w:rPr>
              <w:t>自该信息形成或者变更之日起20个工作日内</w:t>
            </w:r>
          </w:p>
        </w:tc>
        <w:tc>
          <w:tcPr>
            <w:tcW w:w="1200" w:type="dxa"/>
            <w:noWrap/>
            <w:vAlign w:val="center"/>
          </w:tcPr>
          <w:p>
            <w:pPr>
              <w:widowControl/>
              <w:spacing w:line="260" w:lineRule="exact"/>
              <w:rPr>
                <w:rFonts w:ascii="Times New Roman" w:hAnsi="Times New Roman"/>
                <w:kern w:val="0"/>
                <w:sz w:val="18"/>
                <w:szCs w:val="18"/>
              </w:rPr>
            </w:pPr>
            <w:r>
              <w:rPr>
                <w:rFonts w:hint="eastAsia" w:ascii="Times New Roman" w:hAnsi="Times New Roman"/>
                <w:kern w:val="0"/>
                <w:sz w:val="18"/>
                <w:szCs w:val="18"/>
              </w:rPr>
              <w:t>区政府办公室</w:t>
            </w:r>
          </w:p>
        </w:tc>
        <w:tc>
          <w:tcPr>
            <w:tcW w:w="1700" w:type="dxa"/>
            <w:noWrap/>
            <w:vAlign w:val="center"/>
          </w:tcPr>
          <w:p>
            <w:pPr>
              <w:widowControl/>
              <w:spacing w:line="260" w:lineRule="exact"/>
              <w:jc w:val="left"/>
              <w:rPr>
                <w:rFonts w:ascii="Times New Roman" w:hAnsi="Times New Roman"/>
                <w:kern w:val="0"/>
                <w:sz w:val="18"/>
                <w:szCs w:val="18"/>
              </w:rPr>
            </w:pPr>
            <w:r>
              <w:rPr>
                <w:rFonts w:ascii="Times New Roman" w:hAnsi="Times New Roman"/>
                <w:bCs/>
                <w:kern w:val="0"/>
                <w:sz w:val="18"/>
                <w:szCs w:val="18"/>
              </w:rPr>
              <w:t xml:space="preserve">■政府网站  </w:t>
            </w:r>
          </w:p>
        </w:tc>
        <w:tc>
          <w:tcPr>
            <w:tcW w:w="650"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583" w:type="dxa"/>
            <w:noWrap/>
            <w:vAlign w:val="center"/>
          </w:tcPr>
          <w:p>
            <w:pPr>
              <w:widowControl/>
              <w:spacing w:line="260" w:lineRule="exact"/>
              <w:jc w:val="center"/>
              <w:rPr>
                <w:rFonts w:ascii="Times New Roman" w:hAnsi="Times New Roman"/>
                <w:bCs/>
                <w:kern w:val="0"/>
                <w:sz w:val="18"/>
                <w:szCs w:val="18"/>
              </w:rPr>
            </w:pPr>
          </w:p>
        </w:tc>
        <w:tc>
          <w:tcPr>
            <w:tcW w:w="567" w:type="dxa"/>
            <w:noWrap/>
            <w:vAlign w:val="center"/>
          </w:tcPr>
          <w:p>
            <w:pPr>
              <w:widowControl/>
              <w:spacing w:line="260" w:lineRule="exact"/>
              <w:jc w:val="center"/>
              <w:rPr>
                <w:rFonts w:ascii="Times New Roman" w:hAnsi="Times New Roman"/>
                <w:bCs/>
                <w:kern w:val="0"/>
                <w:sz w:val="18"/>
                <w:szCs w:val="18"/>
              </w:rPr>
            </w:pPr>
            <w:r>
              <w:rPr>
                <w:rFonts w:ascii="Times New Roman" w:hAnsi="Times New Roman"/>
                <w:bCs/>
                <w:kern w:val="0"/>
                <w:sz w:val="18"/>
                <w:szCs w:val="18"/>
              </w:rPr>
              <w:t>√</w:t>
            </w:r>
          </w:p>
        </w:tc>
        <w:tc>
          <w:tcPr>
            <w:tcW w:w="820" w:type="dxa"/>
            <w:noWrap/>
            <w:vAlign w:val="center"/>
          </w:tcPr>
          <w:p>
            <w:pPr>
              <w:widowControl/>
              <w:spacing w:line="260" w:lineRule="exact"/>
              <w:jc w:val="center"/>
              <w:rPr>
                <w:rFonts w:ascii="Times New Roman" w:hAnsi="Times New Roman"/>
                <w:bCs/>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F6B631F"/>
    <w:rsid w:val="001C2D9B"/>
    <w:rsid w:val="004375C5"/>
    <w:rsid w:val="00476B9A"/>
    <w:rsid w:val="00613DBB"/>
    <w:rsid w:val="00723453"/>
    <w:rsid w:val="00802AA8"/>
    <w:rsid w:val="008A2341"/>
    <w:rsid w:val="00A005B8"/>
    <w:rsid w:val="00CF653E"/>
    <w:rsid w:val="00DA78DB"/>
    <w:rsid w:val="00EB6C30"/>
    <w:rsid w:val="01255FAB"/>
    <w:rsid w:val="2FC50E65"/>
    <w:rsid w:val="3684273C"/>
    <w:rsid w:val="4A5B47A3"/>
    <w:rsid w:val="5F6B631F"/>
    <w:rsid w:val="65D936A3"/>
    <w:rsid w:val="67897A2B"/>
    <w:rsid w:val="6E086495"/>
    <w:rsid w:val="6EC815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hh</Company>
  <Pages>12</Pages>
  <Words>4590</Words>
  <Characters>792</Characters>
  <Lines>6</Lines>
  <Paragraphs>10</Paragraphs>
  <TotalTime>43</TotalTime>
  <ScaleCrop>false</ScaleCrop>
  <LinksUpToDate>false</LinksUpToDate>
  <CharactersWithSpaces>5372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2020-09-15T01:47:00Z</dcterms:created>
  <dc:creator>银杏果</dc:creator>
  <cp:lastModifiedBy>银杏果</cp:lastModifiedBy>
  <dcterms:modified xsi:type="dcterms:W3CDTF">2023-05-15T08:18:50Z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