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795" w14:textId="77777777" w:rsidR="00494552" w:rsidRDefault="00494552" w:rsidP="00494552">
      <w:pPr>
        <w:jc w:val="left"/>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2</w:t>
      </w:r>
    </w:p>
    <w:p w14:paraId="6B8E36FC" w14:textId="77777777" w:rsidR="00494552" w:rsidRDefault="00494552" w:rsidP="00494552">
      <w:pPr>
        <w:jc w:val="center"/>
        <w:rPr>
          <w:rFonts w:ascii="Times New Roman" w:eastAsia="方正小标宋简体" w:hAnsi="Times New Roman"/>
          <w:color w:val="000000"/>
          <w:w w:val="96"/>
          <w:sz w:val="44"/>
          <w:szCs w:val="44"/>
        </w:rPr>
      </w:pPr>
      <w:r>
        <w:rPr>
          <w:rFonts w:ascii="Times New Roman" w:eastAsia="方正小标宋简体" w:hAnsi="Times New Roman"/>
          <w:color w:val="000000"/>
          <w:w w:val="96"/>
          <w:sz w:val="44"/>
          <w:szCs w:val="44"/>
        </w:rPr>
        <w:t>淄川区</w:t>
      </w:r>
      <w:r>
        <w:rPr>
          <w:rFonts w:ascii="Times New Roman" w:eastAsia="方正小标宋简体" w:hAnsi="Times New Roman" w:hint="eastAsia"/>
          <w:color w:val="000000"/>
          <w:w w:val="96"/>
          <w:sz w:val="44"/>
          <w:szCs w:val="44"/>
          <w:u w:val="single"/>
        </w:rPr>
        <w:t xml:space="preserve">          </w:t>
      </w:r>
      <w:r>
        <w:rPr>
          <w:rFonts w:ascii="Times New Roman" w:eastAsia="方正小标宋简体" w:hAnsi="Times New Roman" w:hint="eastAsia"/>
          <w:color w:val="000000"/>
          <w:w w:val="96"/>
          <w:sz w:val="44"/>
          <w:szCs w:val="44"/>
          <w:u w:val="single"/>
        </w:rPr>
        <w:t>（单位）</w:t>
      </w:r>
      <w:r>
        <w:rPr>
          <w:rFonts w:ascii="Times New Roman" w:eastAsia="方正小标宋简体" w:hAnsi="Times New Roman"/>
          <w:color w:val="000000"/>
          <w:w w:val="96"/>
          <w:sz w:val="44"/>
          <w:szCs w:val="44"/>
        </w:rPr>
        <w:t>政务公开工作任务台账（示例）</w:t>
      </w:r>
    </w:p>
    <w:tbl>
      <w:tblPr>
        <w:tblW w:w="1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134"/>
        <w:gridCol w:w="993"/>
        <w:gridCol w:w="6804"/>
        <w:gridCol w:w="1285"/>
        <w:gridCol w:w="1350"/>
      </w:tblGrid>
      <w:tr w:rsidR="00494552" w14:paraId="7AA73221" w14:textId="77777777" w:rsidTr="00D97FAB">
        <w:tc>
          <w:tcPr>
            <w:tcW w:w="675" w:type="dxa"/>
            <w:vAlign w:val="center"/>
          </w:tcPr>
          <w:p w14:paraId="49E042CE" w14:textId="77777777" w:rsidR="00494552" w:rsidRDefault="00494552" w:rsidP="00D97FAB">
            <w:pPr>
              <w:jc w:val="center"/>
              <w:rPr>
                <w:rFonts w:ascii="Times New Roman" w:eastAsia="黑体" w:hAnsi="Times New Roman"/>
                <w:color w:val="000000"/>
              </w:rPr>
            </w:pPr>
            <w:r>
              <w:rPr>
                <w:rFonts w:ascii="Times New Roman" w:eastAsia="黑体" w:hAnsi="Times New Roman"/>
                <w:color w:val="000000"/>
              </w:rPr>
              <w:t>序号</w:t>
            </w:r>
          </w:p>
        </w:tc>
        <w:tc>
          <w:tcPr>
            <w:tcW w:w="2127" w:type="dxa"/>
            <w:gridSpan w:val="2"/>
            <w:vAlign w:val="center"/>
          </w:tcPr>
          <w:p w14:paraId="3B6FA9FC" w14:textId="77777777" w:rsidR="00494552" w:rsidRDefault="00494552" w:rsidP="00D97FAB">
            <w:pPr>
              <w:jc w:val="center"/>
              <w:rPr>
                <w:rFonts w:ascii="Times New Roman" w:hAnsi="Times New Roman"/>
                <w:color w:val="000000"/>
                <w:sz w:val="18"/>
                <w:szCs w:val="18"/>
              </w:rPr>
            </w:pPr>
            <w:r>
              <w:rPr>
                <w:rFonts w:ascii="Times New Roman" w:eastAsia="黑体" w:hAnsi="Times New Roman"/>
                <w:color w:val="000000"/>
              </w:rPr>
              <w:t>工作任务</w:t>
            </w:r>
          </w:p>
        </w:tc>
        <w:tc>
          <w:tcPr>
            <w:tcW w:w="6804" w:type="dxa"/>
            <w:vAlign w:val="center"/>
          </w:tcPr>
          <w:p w14:paraId="45D8F785" w14:textId="77777777" w:rsidR="00494552" w:rsidRDefault="00494552" w:rsidP="00D97FAB">
            <w:pPr>
              <w:jc w:val="center"/>
              <w:rPr>
                <w:rFonts w:ascii="Times New Roman" w:hAnsi="Times New Roman"/>
                <w:color w:val="000000"/>
                <w:sz w:val="18"/>
                <w:szCs w:val="18"/>
              </w:rPr>
            </w:pPr>
            <w:r>
              <w:rPr>
                <w:rFonts w:ascii="Times New Roman" w:eastAsia="黑体" w:hAnsi="Times New Roman"/>
                <w:color w:val="000000"/>
              </w:rPr>
              <w:t>工作要求</w:t>
            </w:r>
          </w:p>
        </w:tc>
        <w:tc>
          <w:tcPr>
            <w:tcW w:w="1285" w:type="dxa"/>
            <w:vAlign w:val="center"/>
          </w:tcPr>
          <w:p w14:paraId="2F9C9464" w14:textId="77777777" w:rsidR="00494552" w:rsidRDefault="00494552" w:rsidP="00D97FAB">
            <w:pPr>
              <w:jc w:val="center"/>
              <w:rPr>
                <w:rFonts w:ascii="Times New Roman" w:hAnsi="Times New Roman"/>
                <w:color w:val="000000"/>
                <w:sz w:val="18"/>
                <w:szCs w:val="18"/>
              </w:rPr>
            </w:pPr>
            <w:r>
              <w:rPr>
                <w:rFonts w:ascii="Times New Roman" w:eastAsia="黑体" w:hAnsi="Times New Roman"/>
                <w:color w:val="000000"/>
              </w:rPr>
              <w:t>责任科室</w:t>
            </w:r>
          </w:p>
        </w:tc>
        <w:tc>
          <w:tcPr>
            <w:tcW w:w="1350" w:type="dxa"/>
            <w:vAlign w:val="center"/>
          </w:tcPr>
          <w:p w14:paraId="24F58976" w14:textId="77777777" w:rsidR="00494552" w:rsidRDefault="00494552" w:rsidP="00D97FAB">
            <w:pPr>
              <w:jc w:val="center"/>
              <w:rPr>
                <w:rFonts w:ascii="Times New Roman" w:hAnsi="Times New Roman"/>
                <w:color w:val="000000"/>
                <w:sz w:val="18"/>
                <w:szCs w:val="18"/>
              </w:rPr>
            </w:pPr>
            <w:r>
              <w:rPr>
                <w:rFonts w:ascii="Times New Roman" w:eastAsia="黑体" w:hAnsi="Times New Roman"/>
                <w:color w:val="000000"/>
              </w:rPr>
              <w:t>时限要求</w:t>
            </w:r>
          </w:p>
        </w:tc>
      </w:tr>
      <w:tr w:rsidR="00494552" w14:paraId="130C11AF" w14:textId="77777777" w:rsidTr="00D97FAB">
        <w:tc>
          <w:tcPr>
            <w:tcW w:w="675" w:type="dxa"/>
            <w:vMerge w:val="restart"/>
            <w:vAlign w:val="center"/>
          </w:tcPr>
          <w:p w14:paraId="7B3B1A04" w14:textId="77777777" w:rsidR="00494552" w:rsidRDefault="00494552" w:rsidP="00D97FAB">
            <w:pPr>
              <w:jc w:val="center"/>
              <w:rPr>
                <w:rFonts w:ascii="Times New Roman" w:hAnsi="Times New Roman"/>
                <w:color w:val="000000"/>
                <w:sz w:val="24"/>
              </w:rPr>
            </w:pPr>
            <w:r>
              <w:rPr>
                <w:rFonts w:ascii="Times New Roman" w:hAnsi="Times New Roman"/>
                <w:color w:val="000000"/>
                <w:sz w:val="24"/>
              </w:rPr>
              <w:t>1</w:t>
            </w:r>
          </w:p>
        </w:tc>
        <w:tc>
          <w:tcPr>
            <w:tcW w:w="1134" w:type="dxa"/>
            <w:vMerge w:val="restart"/>
            <w:vAlign w:val="center"/>
          </w:tcPr>
          <w:p w14:paraId="2561F960"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推进政策发布解读回应提质增效</w:t>
            </w:r>
          </w:p>
        </w:tc>
        <w:tc>
          <w:tcPr>
            <w:tcW w:w="993" w:type="dxa"/>
            <w:vMerge w:val="restart"/>
            <w:vAlign w:val="center"/>
          </w:tcPr>
          <w:p w14:paraId="3AA89D56"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持续深化政策集中统一公开</w:t>
            </w:r>
          </w:p>
        </w:tc>
        <w:tc>
          <w:tcPr>
            <w:tcW w:w="6804" w:type="dxa"/>
            <w:vAlign w:val="center"/>
          </w:tcPr>
          <w:p w14:paraId="71A8AE54"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持续规范政府信息公开专栏建设，确保法定主动公开内容全面、规范发布，杜绝超期补录、正文发布不规范等现象出现，政府信息发布参照政府文件发布格式持续规范。</w:t>
            </w:r>
          </w:p>
        </w:tc>
        <w:tc>
          <w:tcPr>
            <w:tcW w:w="1285" w:type="dxa"/>
            <w:vAlign w:val="center"/>
          </w:tcPr>
          <w:p w14:paraId="6F34AE4B" w14:textId="77777777" w:rsidR="00494552" w:rsidRDefault="00494552" w:rsidP="00D97FAB">
            <w:pPr>
              <w:rPr>
                <w:rFonts w:ascii="Times New Roman" w:hAnsi="Times New Roman"/>
                <w:color w:val="000000"/>
                <w:sz w:val="18"/>
                <w:szCs w:val="18"/>
              </w:rPr>
            </w:pPr>
          </w:p>
        </w:tc>
        <w:tc>
          <w:tcPr>
            <w:tcW w:w="1350" w:type="dxa"/>
            <w:vAlign w:val="center"/>
          </w:tcPr>
          <w:p w14:paraId="530F7519" w14:textId="77777777" w:rsidR="00494552" w:rsidRDefault="00494552" w:rsidP="00D97FAB">
            <w:pPr>
              <w:rPr>
                <w:rFonts w:ascii="Times New Roman" w:hAnsi="Times New Roman"/>
                <w:color w:val="000000"/>
                <w:sz w:val="18"/>
                <w:szCs w:val="18"/>
              </w:rPr>
            </w:pPr>
          </w:p>
        </w:tc>
      </w:tr>
      <w:tr w:rsidR="00494552" w14:paraId="2731D43A" w14:textId="77777777" w:rsidTr="00D97FAB">
        <w:tc>
          <w:tcPr>
            <w:tcW w:w="675" w:type="dxa"/>
            <w:vMerge/>
          </w:tcPr>
          <w:p w14:paraId="510F12A2"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4A4AA333"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2C63A6E8" w14:textId="77777777" w:rsidR="00494552" w:rsidRDefault="00494552" w:rsidP="00D97FAB">
            <w:pPr>
              <w:jc w:val="center"/>
              <w:rPr>
                <w:rFonts w:ascii="Times New Roman" w:hAnsi="Times New Roman"/>
                <w:color w:val="000000"/>
                <w:sz w:val="18"/>
                <w:szCs w:val="18"/>
              </w:rPr>
            </w:pPr>
          </w:p>
        </w:tc>
        <w:tc>
          <w:tcPr>
            <w:tcW w:w="6804" w:type="dxa"/>
            <w:vAlign w:val="center"/>
          </w:tcPr>
          <w:p w14:paraId="0606E1C9"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511084C8" w14:textId="77777777" w:rsidR="00494552" w:rsidRDefault="00494552" w:rsidP="00D97FAB">
            <w:pPr>
              <w:rPr>
                <w:rFonts w:ascii="Times New Roman" w:hAnsi="Times New Roman"/>
                <w:color w:val="000000"/>
                <w:sz w:val="18"/>
                <w:szCs w:val="18"/>
              </w:rPr>
            </w:pPr>
          </w:p>
        </w:tc>
        <w:tc>
          <w:tcPr>
            <w:tcW w:w="1350" w:type="dxa"/>
            <w:vAlign w:val="center"/>
          </w:tcPr>
          <w:p w14:paraId="01C2BF4E" w14:textId="77777777" w:rsidR="00494552" w:rsidRDefault="00494552" w:rsidP="00D97FAB">
            <w:pPr>
              <w:rPr>
                <w:rFonts w:ascii="Times New Roman" w:hAnsi="Times New Roman"/>
                <w:color w:val="000000"/>
                <w:sz w:val="18"/>
                <w:szCs w:val="18"/>
              </w:rPr>
            </w:pPr>
          </w:p>
        </w:tc>
      </w:tr>
      <w:tr w:rsidR="00494552" w14:paraId="623E3BDF" w14:textId="77777777" w:rsidTr="00D97FAB">
        <w:tc>
          <w:tcPr>
            <w:tcW w:w="675" w:type="dxa"/>
            <w:vMerge/>
          </w:tcPr>
          <w:p w14:paraId="3DA77416"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5C1D579E"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6CB72A41" w14:textId="77777777" w:rsidR="00494552" w:rsidRDefault="00494552" w:rsidP="00D97FAB">
            <w:pPr>
              <w:jc w:val="center"/>
              <w:rPr>
                <w:rFonts w:ascii="Times New Roman" w:hAnsi="Times New Roman"/>
                <w:color w:val="000000"/>
                <w:sz w:val="18"/>
                <w:szCs w:val="18"/>
              </w:rPr>
            </w:pPr>
          </w:p>
        </w:tc>
        <w:tc>
          <w:tcPr>
            <w:tcW w:w="6804" w:type="dxa"/>
            <w:vAlign w:val="center"/>
          </w:tcPr>
          <w:p w14:paraId="49DCE1FE"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39D6BA25" w14:textId="77777777" w:rsidR="00494552" w:rsidRDefault="00494552" w:rsidP="00D97FAB">
            <w:pPr>
              <w:rPr>
                <w:rFonts w:ascii="Times New Roman" w:hAnsi="Times New Roman"/>
                <w:color w:val="000000"/>
                <w:sz w:val="18"/>
                <w:szCs w:val="18"/>
              </w:rPr>
            </w:pPr>
          </w:p>
        </w:tc>
        <w:tc>
          <w:tcPr>
            <w:tcW w:w="1350" w:type="dxa"/>
            <w:vAlign w:val="center"/>
          </w:tcPr>
          <w:p w14:paraId="7DAFF45B" w14:textId="77777777" w:rsidR="00494552" w:rsidRDefault="00494552" w:rsidP="00D97FAB">
            <w:pPr>
              <w:rPr>
                <w:rFonts w:ascii="Times New Roman" w:hAnsi="Times New Roman"/>
                <w:color w:val="000000"/>
                <w:sz w:val="18"/>
                <w:szCs w:val="18"/>
              </w:rPr>
            </w:pPr>
          </w:p>
        </w:tc>
      </w:tr>
      <w:tr w:rsidR="00494552" w14:paraId="6A9C16F2" w14:textId="77777777" w:rsidTr="00D97FAB">
        <w:tc>
          <w:tcPr>
            <w:tcW w:w="675" w:type="dxa"/>
            <w:vMerge/>
          </w:tcPr>
          <w:p w14:paraId="088BBABF"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7387F7F7"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4240C2FB" w14:textId="77777777" w:rsidR="00494552" w:rsidRDefault="00494552" w:rsidP="00D97FAB">
            <w:pPr>
              <w:jc w:val="center"/>
              <w:rPr>
                <w:rFonts w:ascii="Times New Roman" w:hAnsi="Times New Roman"/>
                <w:color w:val="000000"/>
                <w:sz w:val="18"/>
                <w:szCs w:val="18"/>
              </w:rPr>
            </w:pPr>
          </w:p>
        </w:tc>
        <w:tc>
          <w:tcPr>
            <w:tcW w:w="6804" w:type="dxa"/>
            <w:vAlign w:val="center"/>
          </w:tcPr>
          <w:p w14:paraId="4984E196"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09CF1F7F" w14:textId="77777777" w:rsidR="00494552" w:rsidRDefault="00494552" w:rsidP="00D97FAB">
            <w:pPr>
              <w:rPr>
                <w:rFonts w:ascii="Times New Roman" w:hAnsi="Times New Roman"/>
                <w:color w:val="000000"/>
                <w:sz w:val="18"/>
                <w:szCs w:val="18"/>
              </w:rPr>
            </w:pPr>
          </w:p>
        </w:tc>
        <w:tc>
          <w:tcPr>
            <w:tcW w:w="1350" w:type="dxa"/>
            <w:vAlign w:val="center"/>
          </w:tcPr>
          <w:p w14:paraId="69F8031B" w14:textId="77777777" w:rsidR="00494552" w:rsidRDefault="00494552" w:rsidP="00D97FAB">
            <w:pPr>
              <w:rPr>
                <w:rFonts w:ascii="Times New Roman" w:hAnsi="Times New Roman"/>
                <w:color w:val="000000"/>
                <w:sz w:val="18"/>
                <w:szCs w:val="18"/>
              </w:rPr>
            </w:pPr>
          </w:p>
        </w:tc>
      </w:tr>
      <w:tr w:rsidR="00494552" w14:paraId="12501B37" w14:textId="77777777" w:rsidTr="00D97FAB">
        <w:tc>
          <w:tcPr>
            <w:tcW w:w="675" w:type="dxa"/>
            <w:vMerge/>
          </w:tcPr>
          <w:p w14:paraId="01293096"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2439A8D6"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530ED204" w14:textId="77777777" w:rsidR="00494552" w:rsidRDefault="00494552" w:rsidP="00D97FAB">
            <w:pPr>
              <w:jc w:val="center"/>
              <w:rPr>
                <w:rFonts w:ascii="Times New Roman" w:hAnsi="Times New Roman"/>
                <w:color w:val="000000"/>
                <w:sz w:val="18"/>
                <w:szCs w:val="18"/>
              </w:rPr>
            </w:pPr>
          </w:p>
        </w:tc>
        <w:tc>
          <w:tcPr>
            <w:tcW w:w="6804" w:type="dxa"/>
            <w:vAlign w:val="center"/>
          </w:tcPr>
          <w:p w14:paraId="7A9BB23D"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4211BAF5" w14:textId="77777777" w:rsidR="00494552" w:rsidRDefault="00494552" w:rsidP="00D97FAB">
            <w:pPr>
              <w:rPr>
                <w:rFonts w:ascii="Times New Roman" w:hAnsi="Times New Roman"/>
                <w:color w:val="000000"/>
                <w:sz w:val="18"/>
                <w:szCs w:val="18"/>
              </w:rPr>
            </w:pPr>
          </w:p>
        </w:tc>
        <w:tc>
          <w:tcPr>
            <w:tcW w:w="1350" w:type="dxa"/>
            <w:vAlign w:val="center"/>
          </w:tcPr>
          <w:p w14:paraId="3D3E18F4" w14:textId="77777777" w:rsidR="00494552" w:rsidRDefault="00494552" w:rsidP="00D97FAB">
            <w:pPr>
              <w:rPr>
                <w:rFonts w:ascii="Times New Roman" w:hAnsi="Times New Roman"/>
                <w:color w:val="000000"/>
                <w:sz w:val="18"/>
                <w:szCs w:val="18"/>
              </w:rPr>
            </w:pPr>
          </w:p>
        </w:tc>
      </w:tr>
      <w:tr w:rsidR="00494552" w14:paraId="14B670F5" w14:textId="77777777" w:rsidTr="00D97FAB">
        <w:tc>
          <w:tcPr>
            <w:tcW w:w="675" w:type="dxa"/>
            <w:vMerge/>
          </w:tcPr>
          <w:p w14:paraId="2630C6E7"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384B4F0E" w14:textId="77777777" w:rsidR="00494552" w:rsidRDefault="00494552" w:rsidP="00D97FAB">
            <w:pPr>
              <w:jc w:val="center"/>
              <w:rPr>
                <w:rFonts w:ascii="Times New Roman" w:hAnsi="Times New Roman"/>
                <w:color w:val="000000"/>
                <w:sz w:val="18"/>
                <w:szCs w:val="18"/>
              </w:rPr>
            </w:pPr>
          </w:p>
        </w:tc>
        <w:tc>
          <w:tcPr>
            <w:tcW w:w="993" w:type="dxa"/>
            <w:vMerge w:val="restart"/>
            <w:vAlign w:val="center"/>
          </w:tcPr>
          <w:p w14:paraId="3C249C56"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持续深化政策高质量解读</w:t>
            </w:r>
          </w:p>
        </w:tc>
        <w:tc>
          <w:tcPr>
            <w:tcW w:w="6804" w:type="dxa"/>
            <w:vAlign w:val="center"/>
          </w:tcPr>
          <w:p w14:paraId="638E5752"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行政规范性文件以及行政机关制发的对公众权益产生影响的政策文件均要开展解读。</w:t>
            </w:r>
          </w:p>
        </w:tc>
        <w:tc>
          <w:tcPr>
            <w:tcW w:w="1285" w:type="dxa"/>
            <w:vAlign w:val="center"/>
          </w:tcPr>
          <w:p w14:paraId="66B8DAF3" w14:textId="77777777" w:rsidR="00494552" w:rsidRDefault="00494552" w:rsidP="00D97FAB">
            <w:pPr>
              <w:rPr>
                <w:rFonts w:ascii="Times New Roman" w:hAnsi="Times New Roman"/>
                <w:color w:val="000000"/>
                <w:sz w:val="18"/>
                <w:szCs w:val="18"/>
              </w:rPr>
            </w:pPr>
          </w:p>
        </w:tc>
        <w:tc>
          <w:tcPr>
            <w:tcW w:w="1350" w:type="dxa"/>
            <w:vAlign w:val="center"/>
          </w:tcPr>
          <w:p w14:paraId="5CB48746" w14:textId="77777777" w:rsidR="00494552" w:rsidRDefault="00494552" w:rsidP="00D97FAB">
            <w:pPr>
              <w:rPr>
                <w:rFonts w:ascii="Times New Roman" w:hAnsi="Times New Roman"/>
                <w:color w:val="000000"/>
                <w:sz w:val="18"/>
                <w:szCs w:val="18"/>
              </w:rPr>
            </w:pPr>
          </w:p>
        </w:tc>
      </w:tr>
      <w:tr w:rsidR="00494552" w14:paraId="6B0056E2" w14:textId="77777777" w:rsidTr="00D97FAB">
        <w:trPr>
          <w:trHeight w:val="783"/>
        </w:trPr>
        <w:tc>
          <w:tcPr>
            <w:tcW w:w="675" w:type="dxa"/>
            <w:vMerge/>
          </w:tcPr>
          <w:p w14:paraId="36182964"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57F8B89E"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7BCF76B0" w14:textId="77777777" w:rsidR="00494552" w:rsidRDefault="00494552" w:rsidP="00D97FAB">
            <w:pPr>
              <w:jc w:val="center"/>
              <w:rPr>
                <w:rFonts w:ascii="Times New Roman" w:hAnsi="Times New Roman"/>
                <w:color w:val="000000"/>
                <w:sz w:val="18"/>
                <w:szCs w:val="18"/>
              </w:rPr>
            </w:pPr>
          </w:p>
        </w:tc>
        <w:tc>
          <w:tcPr>
            <w:tcW w:w="6804" w:type="dxa"/>
            <w:vAlign w:val="center"/>
          </w:tcPr>
          <w:p w14:paraId="6109305A"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3890D49F" w14:textId="77777777" w:rsidR="00494552" w:rsidRDefault="00494552" w:rsidP="00D97FAB">
            <w:pPr>
              <w:rPr>
                <w:rFonts w:ascii="Times New Roman" w:hAnsi="Times New Roman"/>
                <w:color w:val="000000"/>
                <w:sz w:val="18"/>
                <w:szCs w:val="18"/>
              </w:rPr>
            </w:pPr>
          </w:p>
        </w:tc>
        <w:tc>
          <w:tcPr>
            <w:tcW w:w="1350" w:type="dxa"/>
            <w:vAlign w:val="center"/>
          </w:tcPr>
          <w:p w14:paraId="2739AF21" w14:textId="77777777" w:rsidR="00494552" w:rsidRDefault="00494552" w:rsidP="00D97FAB">
            <w:pPr>
              <w:rPr>
                <w:rFonts w:ascii="Times New Roman" w:hAnsi="Times New Roman"/>
                <w:color w:val="000000"/>
                <w:sz w:val="18"/>
                <w:szCs w:val="18"/>
              </w:rPr>
            </w:pPr>
          </w:p>
        </w:tc>
      </w:tr>
      <w:tr w:rsidR="00494552" w14:paraId="760430D6" w14:textId="77777777" w:rsidTr="00D97FAB">
        <w:tc>
          <w:tcPr>
            <w:tcW w:w="675" w:type="dxa"/>
            <w:vMerge/>
          </w:tcPr>
          <w:p w14:paraId="07120A66"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5A25ACEA"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7267803F" w14:textId="77777777" w:rsidR="00494552" w:rsidRDefault="00494552" w:rsidP="00D97FAB">
            <w:pPr>
              <w:jc w:val="center"/>
              <w:rPr>
                <w:rFonts w:ascii="Times New Roman" w:hAnsi="Times New Roman"/>
                <w:color w:val="000000"/>
                <w:sz w:val="18"/>
                <w:szCs w:val="18"/>
              </w:rPr>
            </w:pPr>
          </w:p>
        </w:tc>
        <w:tc>
          <w:tcPr>
            <w:tcW w:w="6804" w:type="dxa"/>
            <w:vAlign w:val="center"/>
          </w:tcPr>
          <w:p w14:paraId="07AFD8AB"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0017BB44" w14:textId="77777777" w:rsidR="00494552" w:rsidRDefault="00494552" w:rsidP="00D97FAB">
            <w:pPr>
              <w:rPr>
                <w:rFonts w:ascii="Times New Roman" w:hAnsi="Times New Roman"/>
                <w:color w:val="000000"/>
                <w:sz w:val="18"/>
                <w:szCs w:val="18"/>
              </w:rPr>
            </w:pPr>
          </w:p>
        </w:tc>
        <w:tc>
          <w:tcPr>
            <w:tcW w:w="1350" w:type="dxa"/>
            <w:vAlign w:val="center"/>
          </w:tcPr>
          <w:p w14:paraId="2977DA73" w14:textId="77777777" w:rsidR="00494552" w:rsidRDefault="00494552" w:rsidP="00D97FAB">
            <w:pPr>
              <w:rPr>
                <w:rFonts w:ascii="Times New Roman" w:hAnsi="Times New Roman"/>
                <w:color w:val="000000"/>
                <w:sz w:val="18"/>
                <w:szCs w:val="18"/>
              </w:rPr>
            </w:pPr>
          </w:p>
        </w:tc>
      </w:tr>
      <w:tr w:rsidR="00494552" w14:paraId="558712DB" w14:textId="77777777" w:rsidTr="00D97FAB">
        <w:tc>
          <w:tcPr>
            <w:tcW w:w="675" w:type="dxa"/>
            <w:vMerge/>
          </w:tcPr>
          <w:p w14:paraId="19D27F06"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3B5FD7A1"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66E01C25" w14:textId="77777777" w:rsidR="00494552" w:rsidRDefault="00494552" w:rsidP="00D97FAB">
            <w:pPr>
              <w:jc w:val="center"/>
              <w:rPr>
                <w:rFonts w:ascii="Times New Roman" w:hAnsi="Times New Roman"/>
                <w:color w:val="000000"/>
                <w:sz w:val="18"/>
                <w:szCs w:val="18"/>
              </w:rPr>
            </w:pPr>
          </w:p>
        </w:tc>
        <w:tc>
          <w:tcPr>
            <w:tcW w:w="6804" w:type="dxa"/>
            <w:vAlign w:val="center"/>
          </w:tcPr>
          <w:p w14:paraId="3EA49D6B"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4C37F3E0" w14:textId="77777777" w:rsidR="00494552" w:rsidRDefault="00494552" w:rsidP="00D97FAB">
            <w:pPr>
              <w:rPr>
                <w:rFonts w:ascii="Times New Roman" w:hAnsi="Times New Roman"/>
                <w:color w:val="000000"/>
                <w:sz w:val="18"/>
                <w:szCs w:val="18"/>
              </w:rPr>
            </w:pPr>
          </w:p>
        </w:tc>
        <w:tc>
          <w:tcPr>
            <w:tcW w:w="1350" w:type="dxa"/>
            <w:vAlign w:val="center"/>
          </w:tcPr>
          <w:p w14:paraId="1993C8B2" w14:textId="77777777" w:rsidR="00494552" w:rsidRDefault="00494552" w:rsidP="00D97FAB">
            <w:pPr>
              <w:rPr>
                <w:rFonts w:ascii="Times New Roman" w:hAnsi="Times New Roman"/>
                <w:color w:val="000000"/>
                <w:sz w:val="18"/>
                <w:szCs w:val="18"/>
              </w:rPr>
            </w:pPr>
          </w:p>
        </w:tc>
      </w:tr>
      <w:tr w:rsidR="00494552" w14:paraId="4D4B6C3C" w14:textId="77777777" w:rsidTr="00D97FAB">
        <w:tc>
          <w:tcPr>
            <w:tcW w:w="675" w:type="dxa"/>
            <w:vMerge/>
          </w:tcPr>
          <w:p w14:paraId="39EB2C42"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0E0DAB82" w14:textId="77777777" w:rsidR="00494552" w:rsidRDefault="00494552" w:rsidP="00D97FAB">
            <w:pPr>
              <w:jc w:val="center"/>
              <w:rPr>
                <w:rFonts w:ascii="Times New Roman" w:hAnsi="Times New Roman"/>
                <w:color w:val="000000"/>
                <w:sz w:val="18"/>
                <w:szCs w:val="18"/>
              </w:rPr>
            </w:pPr>
          </w:p>
        </w:tc>
        <w:tc>
          <w:tcPr>
            <w:tcW w:w="993" w:type="dxa"/>
            <w:vMerge w:val="restart"/>
            <w:vAlign w:val="center"/>
          </w:tcPr>
          <w:p w14:paraId="3D79514D"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持续深化舆情回应</w:t>
            </w:r>
          </w:p>
        </w:tc>
        <w:tc>
          <w:tcPr>
            <w:tcW w:w="6804" w:type="dxa"/>
            <w:vAlign w:val="center"/>
          </w:tcPr>
          <w:p w14:paraId="7230BDDA"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出台重大政策，要加强社会效果和舆情风险评估，相关部门主要负责同志要出席新闻发布会进行宣传解读。</w:t>
            </w:r>
          </w:p>
        </w:tc>
        <w:tc>
          <w:tcPr>
            <w:tcW w:w="1285" w:type="dxa"/>
            <w:vAlign w:val="center"/>
          </w:tcPr>
          <w:p w14:paraId="52F04DF4" w14:textId="77777777" w:rsidR="00494552" w:rsidRDefault="00494552" w:rsidP="00D97FAB">
            <w:pPr>
              <w:rPr>
                <w:rFonts w:ascii="Times New Roman" w:hAnsi="Times New Roman"/>
                <w:color w:val="000000"/>
                <w:sz w:val="18"/>
                <w:szCs w:val="18"/>
              </w:rPr>
            </w:pPr>
          </w:p>
        </w:tc>
        <w:tc>
          <w:tcPr>
            <w:tcW w:w="1350" w:type="dxa"/>
            <w:vAlign w:val="center"/>
          </w:tcPr>
          <w:p w14:paraId="67EB69EC" w14:textId="77777777" w:rsidR="00494552" w:rsidRDefault="00494552" w:rsidP="00D97FAB">
            <w:pPr>
              <w:rPr>
                <w:rFonts w:ascii="Times New Roman" w:hAnsi="Times New Roman"/>
                <w:color w:val="000000"/>
                <w:sz w:val="18"/>
                <w:szCs w:val="18"/>
              </w:rPr>
            </w:pPr>
          </w:p>
        </w:tc>
      </w:tr>
      <w:tr w:rsidR="00494552" w14:paraId="0EFC4F65" w14:textId="77777777" w:rsidTr="00D97FAB">
        <w:tc>
          <w:tcPr>
            <w:tcW w:w="675" w:type="dxa"/>
            <w:vMerge/>
          </w:tcPr>
          <w:p w14:paraId="61840A0B" w14:textId="77777777" w:rsidR="00494552" w:rsidRDefault="00494552" w:rsidP="00D97FAB">
            <w:pPr>
              <w:jc w:val="center"/>
              <w:rPr>
                <w:rFonts w:ascii="Times New Roman" w:hAnsi="Times New Roman"/>
                <w:color w:val="000000"/>
                <w:sz w:val="18"/>
                <w:szCs w:val="18"/>
              </w:rPr>
            </w:pPr>
          </w:p>
        </w:tc>
        <w:tc>
          <w:tcPr>
            <w:tcW w:w="1134" w:type="dxa"/>
            <w:vMerge/>
            <w:vAlign w:val="center"/>
          </w:tcPr>
          <w:p w14:paraId="21823671" w14:textId="77777777" w:rsidR="00494552" w:rsidRDefault="00494552" w:rsidP="00D97FAB">
            <w:pPr>
              <w:jc w:val="center"/>
              <w:rPr>
                <w:rFonts w:ascii="Times New Roman" w:hAnsi="Times New Roman"/>
                <w:color w:val="000000"/>
                <w:sz w:val="18"/>
                <w:szCs w:val="18"/>
              </w:rPr>
            </w:pPr>
          </w:p>
        </w:tc>
        <w:tc>
          <w:tcPr>
            <w:tcW w:w="993" w:type="dxa"/>
            <w:vMerge/>
            <w:vAlign w:val="center"/>
          </w:tcPr>
          <w:p w14:paraId="1B6F5CDA" w14:textId="77777777" w:rsidR="00494552" w:rsidRDefault="00494552" w:rsidP="00D97FAB">
            <w:pPr>
              <w:jc w:val="center"/>
              <w:rPr>
                <w:rFonts w:ascii="Times New Roman" w:hAnsi="Times New Roman"/>
                <w:color w:val="000000"/>
                <w:sz w:val="18"/>
                <w:szCs w:val="18"/>
              </w:rPr>
            </w:pPr>
          </w:p>
        </w:tc>
        <w:tc>
          <w:tcPr>
            <w:tcW w:w="6804" w:type="dxa"/>
            <w:vAlign w:val="center"/>
          </w:tcPr>
          <w:p w14:paraId="1A49DBD5"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1E833C8B" w14:textId="77777777" w:rsidR="00494552" w:rsidRDefault="00494552" w:rsidP="00D97FAB">
            <w:pPr>
              <w:rPr>
                <w:rFonts w:ascii="Times New Roman" w:hAnsi="Times New Roman"/>
                <w:color w:val="000000"/>
                <w:sz w:val="18"/>
                <w:szCs w:val="18"/>
              </w:rPr>
            </w:pPr>
          </w:p>
        </w:tc>
        <w:tc>
          <w:tcPr>
            <w:tcW w:w="1350" w:type="dxa"/>
            <w:vAlign w:val="center"/>
          </w:tcPr>
          <w:p w14:paraId="2BB662E2" w14:textId="77777777" w:rsidR="00494552" w:rsidRDefault="00494552" w:rsidP="00D97FAB">
            <w:pPr>
              <w:rPr>
                <w:rFonts w:ascii="Times New Roman" w:hAnsi="Times New Roman"/>
                <w:color w:val="000000"/>
                <w:sz w:val="18"/>
                <w:szCs w:val="18"/>
              </w:rPr>
            </w:pPr>
          </w:p>
        </w:tc>
      </w:tr>
      <w:tr w:rsidR="00494552" w14:paraId="4597F4FB" w14:textId="77777777" w:rsidTr="00D97FAB">
        <w:tc>
          <w:tcPr>
            <w:tcW w:w="675" w:type="dxa"/>
          </w:tcPr>
          <w:p w14:paraId="007EA0A0" w14:textId="77777777" w:rsidR="00494552" w:rsidRDefault="00494552" w:rsidP="00D97FAB">
            <w:pPr>
              <w:jc w:val="center"/>
              <w:rPr>
                <w:rFonts w:ascii="Times New Roman" w:hAnsi="Times New Roman"/>
                <w:color w:val="000000"/>
                <w:sz w:val="24"/>
              </w:rPr>
            </w:pPr>
            <w:r>
              <w:rPr>
                <w:rFonts w:ascii="Times New Roman" w:hAnsi="Times New Roman"/>
                <w:color w:val="000000"/>
                <w:sz w:val="24"/>
              </w:rPr>
              <w:t>2</w:t>
            </w:r>
          </w:p>
        </w:tc>
        <w:tc>
          <w:tcPr>
            <w:tcW w:w="1134" w:type="dxa"/>
            <w:vAlign w:val="center"/>
          </w:tcPr>
          <w:p w14:paraId="14E4BFD1"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w:t>
            </w:r>
          </w:p>
        </w:tc>
        <w:tc>
          <w:tcPr>
            <w:tcW w:w="993" w:type="dxa"/>
            <w:vAlign w:val="center"/>
          </w:tcPr>
          <w:p w14:paraId="269F766B" w14:textId="77777777" w:rsidR="00494552" w:rsidRDefault="00494552" w:rsidP="00D97FAB">
            <w:pPr>
              <w:jc w:val="center"/>
              <w:rPr>
                <w:rFonts w:ascii="Times New Roman" w:hAnsi="Times New Roman"/>
                <w:color w:val="000000"/>
                <w:sz w:val="18"/>
                <w:szCs w:val="18"/>
              </w:rPr>
            </w:pPr>
            <w:r>
              <w:rPr>
                <w:rFonts w:ascii="Times New Roman" w:hAnsi="Times New Roman"/>
                <w:color w:val="000000"/>
                <w:sz w:val="18"/>
                <w:szCs w:val="18"/>
              </w:rPr>
              <w:t>……</w:t>
            </w:r>
          </w:p>
        </w:tc>
        <w:tc>
          <w:tcPr>
            <w:tcW w:w="6804" w:type="dxa"/>
            <w:vAlign w:val="center"/>
          </w:tcPr>
          <w:p w14:paraId="4E8E9C68"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285" w:type="dxa"/>
            <w:vAlign w:val="center"/>
          </w:tcPr>
          <w:p w14:paraId="50132672"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c>
          <w:tcPr>
            <w:tcW w:w="1350" w:type="dxa"/>
            <w:vAlign w:val="center"/>
          </w:tcPr>
          <w:p w14:paraId="09B6D1B6" w14:textId="77777777" w:rsidR="00494552" w:rsidRDefault="00494552" w:rsidP="00D97FAB">
            <w:pPr>
              <w:rPr>
                <w:rFonts w:ascii="Times New Roman" w:hAnsi="Times New Roman"/>
                <w:color w:val="000000"/>
                <w:sz w:val="18"/>
                <w:szCs w:val="18"/>
              </w:rPr>
            </w:pPr>
            <w:r>
              <w:rPr>
                <w:rFonts w:ascii="Times New Roman" w:hAnsi="Times New Roman"/>
                <w:color w:val="000000"/>
                <w:sz w:val="18"/>
                <w:szCs w:val="18"/>
              </w:rPr>
              <w:t>……</w:t>
            </w:r>
          </w:p>
        </w:tc>
      </w:tr>
    </w:tbl>
    <w:p w14:paraId="66C31F82" w14:textId="77777777" w:rsidR="00494552" w:rsidRDefault="00494552" w:rsidP="00494552">
      <w:pPr>
        <w:spacing w:line="560" w:lineRule="exact"/>
        <w:rPr>
          <w:rFonts w:ascii="Times New Roman" w:hAnsi="Times New Roman" w:hint="eastAsia"/>
          <w:b/>
          <w:bCs/>
          <w:color w:val="000000"/>
        </w:rPr>
        <w:sectPr w:rsidR="00494552">
          <w:pgSz w:w="15840" w:h="12240" w:orient="landscape"/>
          <w:pgMar w:top="1588" w:right="2098" w:bottom="1474" w:left="1985" w:header="720" w:footer="720" w:gutter="0"/>
          <w:cols w:space="720"/>
          <w:docGrid w:type="lines" w:linePitch="312"/>
        </w:sectPr>
      </w:pPr>
    </w:p>
    <w:p w14:paraId="4EFB7B73" w14:textId="384A53AA" w:rsidR="00840FEF" w:rsidRDefault="00840FEF" w:rsidP="00494552">
      <w:pPr>
        <w:rPr>
          <w:rFonts w:hint="eastAsia"/>
        </w:rPr>
      </w:pPr>
    </w:p>
    <w:sectPr w:rsidR="00840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94552"/>
    <w:rsid w:val="00494552"/>
    <w:rsid w:val="00683F4B"/>
    <w:rsid w:val="00840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直接连接符 17"/>
        <o:r id="V:Rule2" type="connector" idref="#直接连接符 11"/>
        <o:r id="V:Rule3" type="connector" idref="#直接连接符 23"/>
      </o:rules>
    </o:shapelayout>
  </w:shapeDefaults>
  <w:decimalSymbol w:val="."/>
  <w:listSeparator w:val=","/>
  <w14:docId w14:val="7A80D249"/>
  <w15:chartTrackingRefBased/>
  <w15:docId w15:val="{122FDDB7-287B-4F9A-8607-DDB9F69D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494552"/>
    <w:pPr>
      <w:widowControl w:val="0"/>
      <w:suppressAutoHyphens/>
      <w:jc w:val="both"/>
    </w:pPr>
    <w:rPr>
      <w:rFonts w:ascii="Calibri" w:eastAsia="宋体" w:hAnsi="Calibri" w:cs="Times New Roman"/>
      <w:szCs w:val="24"/>
    </w:rPr>
  </w:style>
  <w:style w:type="paragraph" w:styleId="3">
    <w:name w:val="heading 3"/>
    <w:basedOn w:val="a"/>
    <w:next w:val="a"/>
    <w:link w:val="30"/>
    <w:uiPriority w:val="9"/>
    <w:semiHidden/>
    <w:unhideWhenUsed/>
    <w:qFormat/>
    <w:rsid w:val="004945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semiHidden/>
    <w:rsid w:val="00494552"/>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丹</dc:creator>
  <cp:keywords/>
  <dc:description/>
  <cp:lastModifiedBy>赵 丹</cp:lastModifiedBy>
  <cp:revision>1</cp:revision>
  <dcterms:created xsi:type="dcterms:W3CDTF">2023-08-11T01:21:00Z</dcterms:created>
  <dcterms:modified xsi:type="dcterms:W3CDTF">2023-08-11T01:22:00Z</dcterms:modified>
</cp:coreProperties>
</file>