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eastAsia="仿宋_GB2312"/>
          <w:color w:val="000000"/>
          <w:sz w:val="32"/>
          <w:szCs w:val="32"/>
        </w:rPr>
      </w:pPr>
    </w:p>
    <w:p>
      <w:pPr>
        <w:pStyle w:val="2"/>
        <w:ind w:left="0" w:leftChars="0" w:firstLine="0" w:firstLineChars="0"/>
        <w:jc w:val="center"/>
        <w:rPr>
          <w:rFonts w:eastAsia="仿宋_GB2312"/>
          <w:color w:val="000000"/>
          <w:sz w:val="32"/>
          <w:szCs w:val="32"/>
        </w:rPr>
      </w:pPr>
    </w:p>
    <w:p>
      <w:pPr>
        <w:pStyle w:val="2"/>
        <w:ind w:left="0" w:leftChars="0" w:firstLine="0" w:firstLineChars="0"/>
        <w:jc w:val="center"/>
        <w:rPr>
          <w:rFonts w:eastAsia="仿宋_GB2312"/>
          <w:color w:val="000000"/>
          <w:sz w:val="32"/>
          <w:szCs w:val="32"/>
        </w:rPr>
      </w:pPr>
    </w:p>
    <w:p>
      <w:pPr>
        <w:pStyle w:val="2"/>
        <w:ind w:left="0" w:leftChars="0" w:firstLine="0" w:firstLineChars="0"/>
        <w:rPr>
          <w:rFonts w:eastAsia="仿宋_GB2312"/>
          <w:color w:val="000000"/>
          <w:sz w:val="32"/>
          <w:szCs w:val="32"/>
        </w:rPr>
      </w:pPr>
    </w:p>
    <w:p>
      <w:pPr>
        <w:pStyle w:val="2"/>
        <w:ind w:left="0" w:leftChars="0" w:firstLine="0" w:firstLineChars="0"/>
        <w:rPr>
          <w:rFonts w:eastAsia="仿宋_GB2312"/>
          <w:color w:val="000000"/>
          <w:sz w:val="32"/>
          <w:szCs w:val="32"/>
        </w:rPr>
      </w:pPr>
    </w:p>
    <w:p>
      <w:pPr>
        <w:pStyle w:val="2"/>
        <w:ind w:left="0" w:leftChars="0" w:firstLine="0" w:firstLineChars="0"/>
        <w:rPr>
          <w:rFonts w:eastAsia="仿宋_GB2312"/>
          <w:color w:val="000000"/>
          <w:sz w:val="32"/>
          <w:szCs w:val="32"/>
        </w:rPr>
      </w:pPr>
    </w:p>
    <w:p>
      <w:pPr>
        <w:pStyle w:val="2"/>
        <w:ind w:left="0" w:leftChars="0" w:firstLine="0" w:firstLineChars="0"/>
        <w:jc w:val="center"/>
        <w:rPr>
          <w:rFonts w:eastAsia="仿宋_GB2312"/>
          <w:color w:val="000000"/>
          <w:sz w:val="32"/>
          <w:szCs w:val="32"/>
        </w:rPr>
      </w:pPr>
    </w:p>
    <w:p>
      <w:pPr>
        <w:pStyle w:val="2"/>
        <w:ind w:left="0" w:leftChars="0" w:firstLine="0" w:firstLine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川食药安委字〔202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pPr>
        <w:pStyle w:val="2"/>
        <w:ind w:left="0" w:leftChars="0" w:firstLine="0" w:firstLineChars="0"/>
        <w:rPr>
          <w:rFonts w:eastAsia="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方正小标宋简体"/>
          <w:color w:val="000000"/>
          <w:sz w:val="44"/>
          <w:szCs w:val="44"/>
        </w:rPr>
      </w:pPr>
      <w:r>
        <w:rPr>
          <w:rFonts w:hint="eastAsia" w:eastAsia="方正小标宋简体"/>
          <w:color w:val="000000"/>
          <w:sz w:val="44"/>
          <w:szCs w:val="44"/>
        </w:rPr>
        <w:t>淄川区</w:t>
      </w:r>
      <w:r>
        <w:rPr>
          <w:rFonts w:eastAsia="方正小标宋简体"/>
          <w:color w:val="000000"/>
          <w:sz w:val="44"/>
          <w:szCs w:val="44"/>
        </w:rPr>
        <w:t>食品药品安全委员会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方正小标宋简体"/>
          <w:color w:val="000000"/>
          <w:sz w:val="44"/>
          <w:szCs w:val="44"/>
        </w:rPr>
      </w:pPr>
      <w:r>
        <w:rPr>
          <w:rFonts w:eastAsia="方正小标宋简体"/>
          <w:color w:val="000000"/>
          <w:sz w:val="44"/>
          <w:szCs w:val="44"/>
        </w:rPr>
        <w:t>关于印发</w:t>
      </w:r>
      <w:r>
        <w:rPr>
          <w:rFonts w:hint="eastAsia" w:eastAsia="方正小标宋简体"/>
          <w:color w:val="000000"/>
          <w:sz w:val="44"/>
          <w:szCs w:val="44"/>
        </w:rPr>
        <w:t>《</w:t>
      </w:r>
      <w:r>
        <w:rPr>
          <w:rFonts w:eastAsia="方正小标宋简体"/>
          <w:color w:val="000000"/>
          <w:sz w:val="44"/>
          <w:szCs w:val="44"/>
        </w:rPr>
        <w:t>202</w:t>
      </w:r>
      <w:r>
        <w:rPr>
          <w:rFonts w:hint="eastAsia" w:eastAsia="方正小标宋简体"/>
          <w:color w:val="000000"/>
          <w:sz w:val="44"/>
          <w:szCs w:val="44"/>
          <w:lang w:val="en-US" w:eastAsia="zh-CN"/>
        </w:rPr>
        <w:t>3</w:t>
      </w:r>
      <w:r>
        <w:rPr>
          <w:rFonts w:eastAsia="方正小标宋简体"/>
          <w:color w:val="000000"/>
          <w:sz w:val="44"/>
          <w:szCs w:val="44"/>
        </w:rPr>
        <w:t>年全</w:t>
      </w:r>
      <w:r>
        <w:rPr>
          <w:rFonts w:hint="eastAsia" w:eastAsia="方正小标宋简体"/>
          <w:color w:val="000000"/>
          <w:sz w:val="44"/>
          <w:szCs w:val="44"/>
        </w:rPr>
        <w:t>区</w:t>
      </w:r>
      <w:r>
        <w:rPr>
          <w:rFonts w:eastAsia="方正小标宋简体"/>
          <w:color w:val="000000"/>
          <w:sz w:val="44"/>
          <w:szCs w:val="44"/>
        </w:rPr>
        <w:t>食品安全重点工作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方正小标宋简体"/>
          <w:color w:val="000000"/>
          <w:sz w:val="44"/>
          <w:szCs w:val="44"/>
        </w:rPr>
      </w:pPr>
      <w:r>
        <w:rPr>
          <w:rFonts w:eastAsia="方正小标宋简体"/>
          <w:color w:val="000000"/>
          <w:sz w:val="44"/>
          <w:szCs w:val="44"/>
        </w:rPr>
        <w:t>安排</w:t>
      </w:r>
      <w:r>
        <w:rPr>
          <w:rFonts w:hint="eastAsia" w:eastAsia="方正小标宋简体"/>
          <w:color w:val="000000"/>
          <w:sz w:val="44"/>
          <w:szCs w:val="44"/>
        </w:rPr>
        <w:t>》《</w:t>
      </w:r>
      <w:r>
        <w:rPr>
          <w:rFonts w:eastAsia="方正小标宋简体"/>
          <w:color w:val="000000"/>
          <w:sz w:val="44"/>
          <w:szCs w:val="44"/>
        </w:rPr>
        <w:t>202</w:t>
      </w:r>
      <w:r>
        <w:rPr>
          <w:rFonts w:hint="eastAsia" w:eastAsia="方正小标宋简体"/>
          <w:color w:val="000000"/>
          <w:sz w:val="44"/>
          <w:szCs w:val="44"/>
          <w:lang w:val="en-US" w:eastAsia="zh-CN"/>
        </w:rPr>
        <w:t>3</w:t>
      </w:r>
      <w:r>
        <w:rPr>
          <w:rFonts w:eastAsia="方正小标宋简体"/>
          <w:color w:val="000000"/>
          <w:sz w:val="44"/>
          <w:szCs w:val="44"/>
        </w:rPr>
        <w:t>年全</w:t>
      </w:r>
      <w:r>
        <w:rPr>
          <w:rFonts w:hint="eastAsia" w:eastAsia="方正小标宋简体"/>
          <w:color w:val="000000"/>
          <w:sz w:val="44"/>
          <w:szCs w:val="44"/>
        </w:rPr>
        <w:t>区</w:t>
      </w:r>
      <w:r>
        <w:rPr>
          <w:rFonts w:eastAsia="方正小标宋简体"/>
          <w:color w:val="000000"/>
          <w:sz w:val="44"/>
          <w:szCs w:val="44"/>
        </w:rPr>
        <w:t>药品安全重点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方正小标宋简体"/>
          <w:color w:val="000000"/>
          <w:sz w:val="44"/>
          <w:szCs w:val="44"/>
        </w:rPr>
      </w:pPr>
      <w:r>
        <w:rPr>
          <w:rFonts w:eastAsia="方正小标宋简体"/>
          <w:color w:val="000000"/>
          <w:sz w:val="44"/>
          <w:szCs w:val="44"/>
        </w:rPr>
        <w:t>工作安排</w:t>
      </w:r>
      <w:r>
        <w:rPr>
          <w:rFonts w:hint="eastAsia" w:eastAsia="方正小标宋简体"/>
          <w:color w:val="000000"/>
          <w:sz w:val="44"/>
          <w:szCs w:val="44"/>
        </w:rPr>
        <w:t>》</w:t>
      </w:r>
      <w:r>
        <w:rPr>
          <w:rFonts w:eastAsia="方正小标宋简体"/>
          <w:color w:val="000000"/>
          <w:sz w:val="44"/>
          <w:szCs w:val="44"/>
        </w:rPr>
        <w:t>的通知</w:t>
      </w:r>
    </w:p>
    <w:p>
      <w:pPr>
        <w:spacing w:line="600" w:lineRule="exact"/>
        <w:rPr>
          <w:rFonts w:ascii="Times New Roman" w:hAnsi="Times New Roman" w:eastAsia="仿宋_GB2312" w:cs="Times New Roman"/>
          <w:sz w:val="32"/>
          <w:szCs w:val="32"/>
        </w:rPr>
      </w:pPr>
    </w:p>
    <w:p>
      <w:pPr>
        <w:pStyle w:val="13"/>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ascii="Times New Roman" w:hAnsi="Times New Roman" w:eastAsia="仿宋_GB2312" w:cs="Times New Roman"/>
          <w:kern w:val="2"/>
          <w:sz w:val="32"/>
        </w:rPr>
      </w:pPr>
      <w:r>
        <w:rPr>
          <w:rFonts w:ascii="Times New Roman" w:hAnsi="Times New Roman" w:eastAsia="仿宋_GB2312" w:cs="Times New Roman"/>
          <w:kern w:val="2"/>
          <w:sz w:val="32"/>
        </w:rPr>
        <w:t>各镇人民政府，各街道办事处，经济开发区管委会，区</w:t>
      </w:r>
      <w:r>
        <w:rPr>
          <w:rFonts w:hint="eastAsia" w:ascii="Times New Roman" w:hAnsi="Times New Roman" w:eastAsia="仿宋_GB2312" w:cs="Times New Roman"/>
          <w:kern w:val="2"/>
          <w:sz w:val="32"/>
          <w:lang w:eastAsia="zh-CN"/>
        </w:rPr>
        <w:t>政府</w:t>
      </w:r>
      <w:r>
        <w:rPr>
          <w:rFonts w:ascii="Times New Roman" w:hAnsi="Times New Roman" w:eastAsia="仿宋_GB2312" w:cs="Times New Roman"/>
          <w:kern w:val="2"/>
          <w:sz w:val="32"/>
        </w:rPr>
        <w:t>有关部门、</w:t>
      </w:r>
      <w:r>
        <w:rPr>
          <w:rFonts w:hint="eastAsia" w:ascii="Times New Roman" w:hAnsi="Times New Roman" w:eastAsia="仿宋_GB2312" w:cs="Times New Roman"/>
          <w:kern w:val="2"/>
          <w:sz w:val="32"/>
          <w:lang w:eastAsia="zh-CN"/>
        </w:rPr>
        <w:t>有关</w:t>
      </w:r>
      <w:r>
        <w:rPr>
          <w:rFonts w:ascii="Times New Roman" w:hAnsi="Times New Roman" w:eastAsia="仿宋_GB2312" w:cs="Times New Roman"/>
          <w:kern w:val="2"/>
          <w:sz w:val="32"/>
        </w:rPr>
        <w:t>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现将《202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食品安全重点工作安排》和《202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药品安全重点工作安排》印发给你们，请认真贯彻执行。</w:t>
      </w:r>
    </w:p>
    <w:p>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adjustRightInd/>
        <w:snapToGrid/>
        <w:spacing w:line="520" w:lineRule="exact"/>
        <w:textAlignment w:val="auto"/>
      </w:pPr>
    </w:p>
    <w:p>
      <w:pPr>
        <w:keepNext w:val="0"/>
        <w:keepLines w:val="0"/>
        <w:pageBreakBefore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淄川区</w:t>
      </w:r>
      <w:r>
        <w:rPr>
          <w:rFonts w:ascii="Times New Roman" w:hAnsi="Times New Roman" w:eastAsia="仿宋_GB2312" w:cs="Times New Roman"/>
          <w:sz w:val="32"/>
          <w:szCs w:val="32"/>
        </w:rPr>
        <w:t>食品药品安全委员会</w:t>
      </w:r>
    </w:p>
    <w:p>
      <w:pPr>
        <w:keepNext w:val="0"/>
        <w:keepLines w:val="0"/>
        <w:pageBreakBefore w:val="0"/>
        <w:kinsoku/>
        <w:wordWrap/>
        <w:overflowPunct/>
        <w:topLinePunct w:val="0"/>
        <w:autoSpaceDE/>
        <w:autoSpaceDN/>
        <w:bidi w:val="0"/>
        <w:adjustRightInd/>
        <w:snapToGrid/>
        <w:spacing w:line="520" w:lineRule="exact"/>
        <w:ind w:left="0" w:leftChars="0" w:firstLine="4838" w:firstLineChars="151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default" w:ascii="Times New Roman" w:hAnsi="Times New Roman" w:eastAsia="方正小标宋简体" w:cs="Times New Roman"/>
          <w:color w:val="auto"/>
          <w:sz w:val="44"/>
          <w:szCs w:val="44"/>
          <w:highlight w:val="none"/>
        </w:rPr>
        <w:sectPr>
          <w:headerReference r:id="rId3" w:type="default"/>
          <w:footerReference r:id="rId4" w:type="default"/>
          <w:pgSz w:w="11900" w:h="16840"/>
          <w:pgMar w:top="2211" w:right="1474" w:bottom="1984" w:left="1588" w:header="720" w:footer="720" w:gutter="0"/>
          <w:pgNumType w:fmt="decimal"/>
          <w:cols w:space="0" w:num="1"/>
          <w:rtlGutter w:val="0"/>
          <w:docGrid w:linePitch="299"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全</w:t>
      </w:r>
      <w:r>
        <w:rPr>
          <w:rFonts w:hint="eastAsia" w:ascii="Times New Roman" w:hAnsi="Times New Roman" w:eastAsia="方正小标宋简体" w:cs="Times New Roman"/>
          <w:color w:val="auto"/>
          <w:sz w:val="44"/>
          <w:szCs w:val="44"/>
          <w:highlight w:val="none"/>
          <w:lang w:val="en-US" w:eastAsia="zh-CN"/>
        </w:rPr>
        <w:t>区</w:t>
      </w:r>
      <w:r>
        <w:rPr>
          <w:rFonts w:hint="default" w:ascii="Times New Roman" w:hAnsi="Times New Roman" w:eastAsia="方正小标宋简体" w:cs="Times New Roman"/>
          <w:color w:val="auto"/>
          <w:sz w:val="44"/>
          <w:szCs w:val="44"/>
          <w:highlight w:val="none"/>
          <w:lang w:val="en-US" w:eastAsia="zh-Hans"/>
        </w:rPr>
        <w:t>食品安全重点工作安排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Hans"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spacing w:val="-6"/>
          <w:sz w:val="32"/>
          <w:szCs w:val="32"/>
          <w:highlight w:val="none"/>
          <w:lang w:val="en-US" w:eastAsia="zh-CN"/>
        </w:rPr>
      </w:pPr>
      <w:r>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Hans" w:bidi="ar"/>
        </w:rPr>
        <w:t>202</w:t>
      </w:r>
      <w:r>
        <w:rPr>
          <w:rStyle w:val="15"/>
          <w:rFonts w:hint="default" w:ascii="Times New Roman" w:hAnsi="Times New Roman" w:eastAsia="仿宋_GB2312" w:cs="Times New Roman"/>
          <w:b w:val="0"/>
          <w:i w:val="0"/>
          <w:caps w:val="0"/>
          <w:color w:val="auto"/>
          <w:spacing w:val="0"/>
          <w:kern w:val="2"/>
          <w:sz w:val="32"/>
          <w:szCs w:val="32"/>
          <w:highlight w:val="none"/>
          <w:u w:val="none"/>
          <w:lang w:val="en-US" w:eastAsia="zh-CN" w:bidi="ar"/>
        </w:rPr>
        <w:t>3</w:t>
      </w:r>
      <w:r>
        <w:rPr>
          <w:rStyle w:val="15"/>
          <w:rFonts w:hint="eastAsia" w:ascii="仿宋_GB2312" w:hAnsi="仿宋_GB2312" w:eastAsia="仿宋_GB2312" w:cs="仿宋_GB2312"/>
          <w:b w:val="0"/>
          <w:i w:val="0"/>
          <w:caps w:val="0"/>
          <w:color w:val="auto"/>
          <w:spacing w:val="0"/>
          <w:kern w:val="2"/>
          <w:sz w:val="32"/>
          <w:szCs w:val="32"/>
          <w:highlight w:val="none"/>
          <w:u w:val="none"/>
          <w:lang w:val="en-US" w:eastAsia="zh-Hans" w:bidi="ar"/>
        </w:rPr>
        <w:t>年</w:t>
      </w:r>
      <w:r>
        <w:rPr>
          <w:rStyle w:val="15"/>
          <w:rFonts w:hint="eastAsia" w:ascii="仿宋_GB2312" w:hAnsi="仿宋_GB2312" w:eastAsia="仿宋_GB2312" w:cs="仿宋_GB2312"/>
          <w:b w:val="0"/>
          <w:i w:val="0"/>
          <w:caps w:val="0"/>
          <w:color w:val="auto"/>
          <w:spacing w:val="0"/>
          <w:kern w:val="2"/>
          <w:sz w:val="32"/>
          <w:szCs w:val="32"/>
          <w:highlight w:val="none"/>
          <w:u w:val="none"/>
          <w:lang w:val="en-US" w:eastAsia="zh-CN" w:bidi="ar"/>
        </w:rPr>
        <w:t>是全面贯彻落实党的二十大精神开局之年</w:t>
      </w:r>
      <w:r>
        <w:rPr>
          <w:rFonts w:hint="eastAsia" w:ascii="仿宋_GB2312" w:hAnsi="仿宋_GB2312" w:eastAsia="仿宋_GB2312" w:cs="仿宋_GB2312"/>
          <w:b w:val="0"/>
          <w:i w:val="0"/>
          <w:caps w:val="0"/>
          <w:color w:val="auto"/>
          <w:spacing w:val="0"/>
          <w:kern w:val="2"/>
          <w:sz w:val="32"/>
          <w:szCs w:val="32"/>
          <w:highlight w:val="none"/>
          <w:u w:val="none"/>
          <w:shd w:val="clear" w:fill="auto"/>
          <w:lang w:val="en-US" w:eastAsia="zh-CN" w:bidi="ar"/>
        </w:rPr>
        <w:t>。</w:t>
      </w:r>
      <w:r>
        <w:rPr>
          <w:rFonts w:hint="eastAsia" w:ascii="仿宋_GB2312" w:hAnsi="仿宋_GB2312" w:eastAsia="仿宋_GB2312" w:cs="仿宋_GB2312"/>
          <w:b w:val="0"/>
          <w:i w:val="0"/>
          <w:caps w:val="0"/>
          <w:color w:val="auto"/>
          <w:spacing w:val="0"/>
          <w:kern w:val="2"/>
          <w:sz w:val="32"/>
          <w:szCs w:val="32"/>
          <w:highlight w:val="none"/>
          <w:u w:val="none"/>
          <w:shd w:val="clear" w:fill="auto"/>
          <w:lang w:val="en-US" w:eastAsia="zh-Hans" w:bidi="ar"/>
        </w:rPr>
        <w:t>做</w:t>
      </w:r>
      <w:r>
        <w:rPr>
          <w:rFonts w:hint="eastAsia" w:ascii="仿宋_GB2312" w:hAnsi="仿宋_GB2312" w:eastAsia="仿宋_GB2312" w:cs="仿宋_GB2312"/>
          <w:b w:val="0"/>
          <w:bCs w:val="0"/>
          <w:color w:val="auto"/>
          <w:sz w:val="32"/>
          <w:szCs w:val="32"/>
          <w:highlight w:val="none"/>
          <w:lang w:val="en-US" w:eastAsia="zh-Hans"/>
        </w:rPr>
        <w:t>好</w:t>
      </w:r>
      <w:r>
        <w:rPr>
          <w:rFonts w:hint="eastAsia" w:ascii="仿宋_GB2312" w:hAnsi="仿宋_GB2312" w:eastAsia="仿宋_GB2312" w:cs="仿宋_GB2312"/>
          <w:b w:val="0"/>
          <w:bCs w:val="0"/>
          <w:color w:val="auto"/>
          <w:sz w:val="32"/>
          <w:szCs w:val="32"/>
          <w:highlight w:val="none"/>
          <w:lang w:eastAsia="zh-CN"/>
        </w:rPr>
        <w:t>年度</w:t>
      </w:r>
      <w:r>
        <w:rPr>
          <w:rFonts w:hint="eastAsia" w:ascii="仿宋_GB2312" w:hAnsi="仿宋_GB2312" w:eastAsia="仿宋_GB2312" w:cs="仿宋_GB2312"/>
          <w:b w:val="0"/>
          <w:bCs w:val="0"/>
          <w:color w:val="auto"/>
          <w:sz w:val="32"/>
          <w:szCs w:val="32"/>
          <w:highlight w:val="none"/>
          <w:lang w:val="en-US" w:eastAsia="zh-Hans"/>
        </w:rPr>
        <w:t>食品安全工作</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要以习近平新时代中国特色社会主义思想为指导</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全面贯彻</w:t>
      </w:r>
      <w:r>
        <w:rPr>
          <w:rFonts w:hint="eastAsia" w:ascii="仿宋_GB2312" w:hAnsi="仿宋_GB2312" w:eastAsia="仿宋_GB2312" w:cs="仿宋_GB2312"/>
          <w:b w:val="0"/>
          <w:bCs w:val="0"/>
          <w:color w:val="auto"/>
          <w:sz w:val="32"/>
          <w:szCs w:val="32"/>
          <w:highlight w:val="none"/>
          <w:lang w:val="en-US" w:eastAsia="zh-CN"/>
        </w:rPr>
        <w:t>落实党的二十大精神</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color w:val="auto"/>
          <w:sz w:val="32"/>
          <w:szCs w:val="32"/>
          <w:u w:val="none"/>
          <w:lang w:val="en-US" w:eastAsia="zh-CN"/>
        </w:rPr>
        <w:t>严格落实“四个最严”要求，聚焦“</w:t>
      </w:r>
      <w:r>
        <w:rPr>
          <w:rFonts w:hint="default" w:ascii="Times New Roman" w:hAnsi="Times New Roman" w:eastAsia="仿宋_GB2312" w:cs="Times New Roman"/>
          <w:color w:val="auto"/>
          <w:sz w:val="32"/>
          <w:szCs w:val="32"/>
          <w:u w:val="none"/>
          <w:lang w:val="en-US" w:eastAsia="zh-CN"/>
        </w:rPr>
        <w:t>3510</w:t>
      </w:r>
      <w:r>
        <w:rPr>
          <w:rFonts w:hint="eastAsia" w:ascii="仿宋_GB2312" w:hAnsi="仿宋_GB2312" w:eastAsia="仿宋_GB2312" w:cs="仿宋_GB2312"/>
          <w:color w:val="auto"/>
          <w:sz w:val="32"/>
          <w:szCs w:val="32"/>
          <w:u w:val="none"/>
          <w:lang w:val="en-US" w:eastAsia="zh-CN"/>
        </w:rPr>
        <w:t>”发展目标和“强富美优”城市愿景，统筹发展和安全，</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val="en-US" w:eastAsia="zh-CN"/>
        </w:rPr>
        <w:t>创建国家食品安全示范城市为</w:t>
      </w:r>
      <w:r>
        <w:rPr>
          <w:rFonts w:hint="eastAsia" w:ascii="仿宋_GB2312" w:hAnsi="仿宋_GB2312" w:eastAsia="仿宋_GB2312" w:cs="仿宋_GB2312"/>
          <w:color w:val="auto"/>
          <w:sz w:val="32"/>
          <w:szCs w:val="32"/>
        </w:rPr>
        <w:t>抓手，以“两个责任”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属地管理责任和企业主体责任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落实为关键，深入实施食品安全放心工程，加强食品安全风险防控，健全“从农田到餐桌”全链条监管体系</w:t>
      </w:r>
      <w:r>
        <w:rPr>
          <w:rStyle w:val="15"/>
          <w:rFonts w:hint="eastAsia" w:ascii="仿宋_GB2312" w:hAnsi="仿宋_GB2312" w:eastAsia="仿宋_GB2312" w:cs="仿宋_GB2312"/>
          <w:b w:val="0"/>
          <w:i w:val="0"/>
          <w:caps w:val="0"/>
          <w:color w:val="auto"/>
          <w:spacing w:val="-6"/>
          <w:w w:val="100"/>
          <w:kern w:val="2"/>
          <w:sz w:val="32"/>
          <w:szCs w:val="32"/>
          <w:highlight w:val="none"/>
          <w:lang w:val="en-US" w:eastAsia="zh-CN" w:bidi="ar-SA"/>
        </w:rPr>
        <w:t>，全力保障人民群众“舌尖上的安全”</w:t>
      </w:r>
      <w:r>
        <w:rPr>
          <w:rFonts w:hint="eastAsia" w:ascii="仿宋_GB2312" w:hAnsi="仿宋_GB2312" w:eastAsia="仿宋_GB2312" w:cs="仿宋_GB2312"/>
          <w:b w:val="0"/>
          <w:bCs w:val="0"/>
          <w:color w:val="auto"/>
          <w:spacing w:val="-6"/>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一、深化</w:t>
      </w:r>
      <w:r>
        <w:rPr>
          <w:rFonts w:hint="eastAsia" w:ascii="黑体" w:hAnsi="黑体" w:eastAsia="黑体" w:cs="黑体"/>
          <w:b w:val="0"/>
          <w:bCs w:val="0"/>
          <w:color w:val="auto"/>
          <w:sz w:val="32"/>
          <w:szCs w:val="32"/>
          <w:highlight w:val="none"/>
          <w:lang w:val="en-US" w:eastAsia="zh-CN"/>
        </w:rPr>
        <w:t>“</w:t>
      </w:r>
      <w:r>
        <w:rPr>
          <w:rFonts w:hint="default" w:ascii="Times New Roman" w:hAnsi="Times New Roman" w:eastAsia="黑体" w:cs="Times New Roman"/>
          <w:b w:val="0"/>
          <w:bCs w:val="0"/>
          <w:color w:val="auto"/>
          <w:sz w:val="32"/>
          <w:szCs w:val="32"/>
          <w:highlight w:val="none"/>
          <w:lang w:val="en-US" w:eastAsia="zh-CN"/>
        </w:rPr>
        <w:t>双安双创</w:t>
      </w:r>
      <w:r>
        <w:rPr>
          <w:rFonts w:hint="eastAsia" w:ascii="黑体" w:hAnsi="黑体" w:eastAsia="黑体" w:cs="黑体"/>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1.巩固深化省级</w:t>
      </w:r>
      <w:r>
        <w:rPr>
          <w:rFonts w:hint="eastAsia" w:ascii="楷体_GB2312" w:hAnsi="楷体_GB2312" w:eastAsia="楷体_GB2312" w:cs="楷体_GB2312"/>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双安双创</w:t>
      </w:r>
      <w:r>
        <w:rPr>
          <w:rFonts w:hint="eastAsia" w:ascii="楷体_GB2312" w:hAnsi="楷体_GB2312" w:eastAsia="楷体_GB2312" w:cs="楷体_GB2312"/>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CN"/>
        </w:rPr>
        <w:t>成果。</w:t>
      </w:r>
      <w:r>
        <w:rPr>
          <w:rFonts w:hint="eastAsia" w:ascii="仿宋_GB2312" w:hAnsi="仿宋_GB2312" w:eastAsia="仿宋_GB2312" w:cs="仿宋_GB2312"/>
          <w:b w:val="0"/>
          <w:bCs w:val="0"/>
          <w:color w:val="auto"/>
          <w:sz w:val="32"/>
          <w:szCs w:val="32"/>
          <w:highlight w:val="none"/>
          <w:lang w:val="en-US" w:eastAsia="zh-CN"/>
        </w:rPr>
        <w:t>健全完善精准化、常态化、专业化督导评估机制，采取综合督导、明察暗访等形式，对各项创建目标任务落实情况进行督导检查，顺利通过第三批省级食品安全区复审。</w:t>
      </w:r>
      <w:r>
        <w:rPr>
          <w:rFonts w:hint="eastAsia" w:ascii="仿宋_GB2312" w:hAnsi="仿宋_GB2312" w:eastAsia="仿宋_GB2312" w:cs="仿宋_GB2312"/>
          <w:b w:val="0"/>
          <w:bCs w:val="0"/>
          <w:color w:val="auto"/>
          <w:sz w:val="32"/>
          <w:szCs w:val="32"/>
          <w:highlight w:val="none"/>
          <w:u w:val="none"/>
          <w:lang w:val="en-US" w:eastAsia="zh-CN"/>
        </w:rPr>
        <w:t>积极争创食品安全先进县</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食药安办牵头，</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食药安委相关成员单位，各</w:t>
      </w:r>
      <w:r>
        <w:rPr>
          <w:rFonts w:hint="eastAsia" w:ascii="Times New Roman" w:hAnsi="Times New Roman" w:eastAsia="楷体_GB2312" w:cs="Times New Roman"/>
          <w:b w:val="0"/>
          <w:bCs w:val="0"/>
          <w:color w:val="auto"/>
          <w:sz w:val="32"/>
          <w:szCs w:val="32"/>
          <w:highlight w:val="none"/>
          <w:lang w:val="en-US" w:eastAsia="zh-CN"/>
        </w:rPr>
        <w:t>镇街</w:t>
      </w:r>
      <w:r>
        <w:rPr>
          <w:rFonts w:hint="default" w:ascii="Times New Roman" w:hAnsi="Times New Roman" w:eastAsia="楷体_GB2312" w:cs="Times New Roman"/>
          <w:b w:val="0"/>
          <w:bCs w:val="0"/>
          <w:color w:val="auto"/>
          <w:sz w:val="32"/>
          <w:szCs w:val="32"/>
          <w:highlight w:val="none"/>
          <w:lang w:val="en-US" w:eastAsia="zh-CN"/>
        </w:rPr>
        <w:t>（含</w:t>
      </w:r>
      <w:r>
        <w:rPr>
          <w:rFonts w:hint="eastAsia" w:ascii="Times New Roman" w:hAnsi="Times New Roman" w:eastAsia="楷体_GB2312" w:cs="Times New Roman"/>
          <w:b w:val="0"/>
          <w:bCs w:val="0"/>
          <w:color w:val="auto"/>
          <w:sz w:val="32"/>
          <w:szCs w:val="32"/>
          <w:highlight w:val="none"/>
          <w:lang w:val="en-US" w:eastAsia="zh-CN"/>
        </w:rPr>
        <w:t>镇政府</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街道办事处</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开发区管委会</w:t>
      </w:r>
      <w:r>
        <w:rPr>
          <w:rFonts w:hint="default" w:ascii="Times New Roman" w:hAnsi="Times New Roman" w:eastAsia="楷体_GB2312" w:cs="Times New Roman"/>
          <w:b w:val="0"/>
          <w:bCs w:val="0"/>
          <w:color w:val="auto"/>
          <w:sz w:val="32"/>
          <w:szCs w:val="32"/>
          <w:highlight w:val="none"/>
          <w:lang w:val="en-US" w:eastAsia="zh-CN"/>
        </w:rPr>
        <w:t>，下同）</w:t>
      </w:r>
      <w:r>
        <w:rPr>
          <w:rFonts w:hint="eastAsia" w:ascii="Times New Roman" w:hAnsi="Times New Roman" w:eastAsia="楷体_GB2312" w:cs="Times New Roman"/>
          <w:b w:val="0"/>
          <w:bCs w:val="0"/>
          <w:color w:val="auto"/>
          <w:sz w:val="32"/>
          <w:szCs w:val="32"/>
          <w:highlight w:val="none"/>
          <w:lang w:val="en-US" w:eastAsia="zh-CN"/>
        </w:rPr>
        <w:t>食药安委</w:t>
      </w:r>
      <w:r>
        <w:rPr>
          <w:rFonts w:hint="default" w:ascii="Times New Roman" w:hAnsi="Times New Roman" w:eastAsia="楷体_GB2312" w:cs="Times New Roman"/>
          <w:b w:val="0"/>
          <w:bCs w:val="0"/>
          <w:color w:val="auto"/>
          <w:sz w:val="32"/>
          <w:szCs w:val="32"/>
          <w:highlight w:val="none"/>
          <w:lang w:val="en-US" w:eastAsia="zh-CN"/>
        </w:rPr>
        <w:t>按职责分工负责</w:t>
      </w:r>
      <w:r>
        <w:rPr>
          <w:rFonts w:hint="default"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推进农产品质量安全县品质提升，巩固提升农安县创建水平。对标国家农产品质量安全县创建标准，积极开展农安县提级创建。</w:t>
      </w:r>
      <w:r>
        <w:rPr>
          <w:rFonts w:hint="eastAsia" w:ascii="楷体_GB2312" w:hAnsi="楷体_GB2312" w:eastAsia="楷体_GB2312" w:cs="楷体_GB2312"/>
          <w:b w:val="0"/>
          <w:bCs w:val="0"/>
          <w:color w:val="auto"/>
          <w:sz w:val="32"/>
          <w:szCs w:val="32"/>
          <w:highlight w:val="none"/>
          <w:lang w:val="en-US" w:eastAsia="zh-CN"/>
        </w:rPr>
        <w:t xml:space="preserve">（区农业农村局牵头，各镇街食药安委按职责分工负责）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2</w:t>
      </w:r>
      <w:r>
        <w:rPr>
          <w:rFonts w:hint="eastAsia" w:ascii="楷体_GB2312" w:hAnsi="楷体_GB2312" w:eastAsia="楷体_GB2312" w:cs="楷体_GB2312"/>
          <w:b w:val="0"/>
          <w:bCs w:val="0"/>
          <w:color w:val="auto"/>
          <w:sz w:val="32"/>
          <w:szCs w:val="32"/>
          <w:highlight w:val="none"/>
          <w:lang w:val="en-US" w:eastAsia="zh-CN"/>
        </w:rPr>
        <w:t>.全力创建国家食品安全示范城市。</w:t>
      </w:r>
      <w:r>
        <w:rPr>
          <w:rFonts w:hint="eastAsia" w:ascii="仿宋_GB2312" w:hAnsi="仿宋_GB2312" w:eastAsia="仿宋_GB2312" w:cs="仿宋_GB2312"/>
          <w:b w:val="0"/>
          <w:bCs w:val="0"/>
          <w:color w:val="auto"/>
          <w:sz w:val="32"/>
          <w:szCs w:val="32"/>
          <w:highlight w:val="none"/>
          <w:lang w:val="en-US" w:eastAsia="zh-CN"/>
        </w:rPr>
        <w:t>健全组织管理、检验监测、风险防控、社会共治“四个体系”，突出实施源头治理、粮食质量安全提升、食品生产经营过程管控、主体责任落实、“三小”治理、农村食品安全治理提升、食品产业高质量发展、创新引领“八项工程”，切实提升全区食品安全治理能力和保障水平。创新制度机制，在落实食品安全主体责任和属地管理责任、智慧监管、信用监管、机制创新、“三小”治理、农村食品安全综合治理、科技创新、高质量发展、社会共治等方面形成创新经验做法。及时汇总梳理各级各部门工作亮点，编发工作简报，召开现场会、观摩会，加大创新经验的推广力度。年内完成创建任务。</w:t>
      </w:r>
      <w:r>
        <w:rPr>
          <w:rFonts w:hint="eastAsia" w:ascii="楷体_GB2312" w:hAnsi="楷体_GB2312" w:eastAsia="楷体_GB2312" w:cs="楷体_GB2312"/>
          <w:b w:val="0"/>
          <w:bCs w:val="0"/>
          <w:color w:val="auto"/>
          <w:sz w:val="32"/>
          <w:szCs w:val="32"/>
          <w:highlight w:val="none"/>
          <w:lang w:val="en-US" w:eastAsia="zh-CN"/>
        </w:rPr>
        <w:t>（区创建办牵头，区创建领导小组各</w:t>
      </w:r>
      <w:r>
        <w:rPr>
          <w:rFonts w:hint="eastAsia" w:ascii="楷体_GB2312" w:hAnsi="楷体_GB2312" w:eastAsia="楷体_GB2312" w:cs="楷体_GB2312"/>
          <w:b w:val="0"/>
          <w:bCs w:val="0"/>
          <w:color w:val="auto"/>
          <w:sz w:val="32"/>
          <w:szCs w:val="32"/>
          <w:highlight w:val="none"/>
          <w:lang w:val="en-US" w:eastAsia="zh-Hans"/>
        </w:rPr>
        <w:t>成员单位</w:t>
      </w:r>
      <w:r>
        <w:rPr>
          <w:rFonts w:hint="eastAsia" w:ascii="楷体_GB2312" w:hAnsi="楷体_GB2312" w:eastAsia="楷体_GB2312" w:cs="楷体_GB2312"/>
          <w:b w:val="0"/>
          <w:bCs w:val="0"/>
          <w:color w:val="auto"/>
          <w:sz w:val="32"/>
          <w:szCs w:val="32"/>
          <w:highlight w:val="none"/>
          <w:lang w:val="en-US" w:eastAsia="zh-CN"/>
        </w:rPr>
        <w:t>，各镇街食药安委按职责分工负责）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二、坚决落实属地管理责任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3</w:t>
      </w:r>
      <w:r>
        <w:rPr>
          <w:rFonts w:hint="eastAsia" w:ascii="楷体_GB2312" w:hAnsi="楷体_GB2312" w:eastAsia="楷体_GB2312" w:cs="楷体_GB2312"/>
          <w:color w:val="auto"/>
          <w:kern w:val="0"/>
          <w:sz w:val="32"/>
          <w:szCs w:val="32"/>
          <w:highlight w:val="none"/>
          <w:lang w:val="en-US" w:eastAsia="zh-CN"/>
        </w:rPr>
        <w:t>.压实党政同责</w:t>
      </w:r>
      <w:r>
        <w:rPr>
          <w:rFonts w:hint="default" w:ascii="Times New Roman" w:hAnsi="Times New Roman" w:eastAsia="楷体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坚决贯彻《中共中央、国务院关于深化改革加强食品安全工作的意见》（中发</w:t>
      </w:r>
      <w:r>
        <w:rPr>
          <w:rFonts w:hint="default" w:ascii="Times New Roman" w:hAnsi="Times New Roman" w:eastAsia="仿宋_GB2312" w:cs="Times New Roman"/>
          <w:color w:val="auto"/>
          <w:kern w:val="0"/>
          <w:sz w:val="32"/>
          <w:szCs w:val="32"/>
          <w:highlight w:val="none"/>
          <w:lang w:val="en-US" w:eastAsia="zh-CN"/>
        </w:rPr>
        <w:t>〔2019〕17</w:t>
      </w:r>
      <w:r>
        <w:rPr>
          <w:rFonts w:hint="eastAsia" w:ascii="仿宋_GB2312" w:hAnsi="仿宋_GB2312" w:eastAsia="仿宋_GB2312" w:cs="仿宋_GB2312"/>
          <w:color w:val="auto"/>
          <w:kern w:val="0"/>
          <w:sz w:val="32"/>
          <w:szCs w:val="32"/>
          <w:highlight w:val="none"/>
          <w:lang w:val="en-US" w:eastAsia="zh-CN"/>
        </w:rPr>
        <w:t>号）和《中共中央办公厅、国务院办公厅关于印发&lt;地方党政领导干部食品安全责任制规定&gt;的通知》</w:t>
      </w:r>
      <w:r>
        <w:rPr>
          <w:rFonts w:hint="default" w:ascii="Times New Roman" w:hAnsi="Times New Roman" w:eastAsia="仿宋_GB2312" w:cs="Times New Roman"/>
          <w:color w:val="auto"/>
          <w:kern w:val="0"/>
          <w:sz w:val="32"/>
          <w:szCs w:val="32"/>
          <w:highlight w:val="none"/>
          <w:lang w:val="en-US" w:eastAsia="zh-CN"/>
        </w:rPr>
        <w:t>（厅字〔2019〕13</w:t>
      </w:r>
      <w:r>
        <w:rPr>
          <w:rFonts w:hint="eastAsia" w:ascii="仿宋_GB2312" w:hAnsi="仿宋_GB2312" w:eastAsia="仿宋_GB2312" w:cs="仿宋_GB2312"/>
          <w:color w:val="auto"/>
          <w:kern w:val="0"/>
          <w:sz w:val="32"/>
          <w:szCs w:val="32"/>
          <w:highlight w:val="none"/>
          <w:lang w:val="en-US" w:eastAsia="zh-CN"/>
        </w:rPr>
        <w:t>号）要求，认真落实《中共山东省委、山东省人民政府关于深化改革加强食品安全工作的实施意见》（鲁发</w:t>
      </w:r>
      <w:r>
        <w:rPr>
          <w:rFonts w:hint="default" w:ascii="Times New Roman" w:hAnsi="Times New Roman" w:eastAsia="仿宋_GB2312" w:cs="Times New Roman"/>
          <w:color w:val="auto"/>
          <w:kern w:val="0"/>
          <w:sz w:val="32"/>
          <w:szCs w:val="32"/>
          <w:highlight w:val="none"/>
          <w:lang w:val="en-US" w:eastAsia="zh-CN"/>
        </w:rPr>
        <w:t>〔2019〕19</w:t>
      </w:r>
      <w:r>
        <w:rPr>
          <w:rFonts w:hint="eastAsia" w:ascii="仿宋_GB2312" w:hAnsi="仿宋_GB2312" w:eastAsia="仿宋_GB2312" w:cs="仿宋_GB2312"/>
          <w:color w:val="auto"/>
          <w:kern w:val="0"/>
          <w:sz w:val="32"/>
          <w:szCs w:val="32"/>
          <w:highlight w:val="none"/>
          <w:lang w:val="en-US" w:eastAsia="zh-CN"/>
        </w:rPr>
        <w:t>号）《中共淄博市委办公室、淄博市人民政府办公室关于印发&lt;淄博市贯彻落实鲁发</w:t>
      </w:r>
      <w:r>
        <w:rPr>
          <w:rFonts w:hint="default" w:ascii="Times New Roman" w:hAnsi="Times New Roman" w:eastAsia="仿宋_GB2312" w:cs="Times New Roman"/>
          <w:color w:val="auto"/>
          <w:kern w:val="0"/>
          <w:sz w:val="32"/>
          <w:szCs w:val="32"/>
          <w:highlight w:val="none"/>
          <w:lang w:val="en-US" w:eastAsia="zh-CN"/>
        </w:rPr>
        <w:t>〔2019〕19</w:t>
      </w:r>
      <w:r>
        <w:rPr>
          <w:rFonts w:hint="eastAsia" w:ascii="仿宋_GB2312" w:hAnsi="仿宋_GB2312" w:eastAsia="仿宋_GB2312" w:cs="仿宋_GB2312"/>
          <w:color w:val="auto"/>
          <w:kern w:val="0"/>
          <w:sz w:val="32"/>
          <w:szCs w:val="32"/>
          <w:highlight w:val="none"/>
          <w:lang w:val="en-US" w:eastAsia="zh-CN"/>
        </w:rPr>
        <w:t>号文件重点任务分工方案&gt;的通知》（淄办发</w:t>
      </w:r>
      <w:r>
        <w:rPr>
          <w:rFonts w:hint="default" w:ascii="Times New Roman" w:hAnsi="Times New Roman" w:eastAsia="仿宋_GB2312" w:cs="Times New Roman"/>
          <w:color w:val="auto"/>
          <w:kern w:val="0"/>
          <w:sz w:val="32"/>
          <w:szCs w:val="32"/>
          <w:highlight w:val="none"/>
          <w:lang w:val="en-US" w:eastAsia="zh-CN"/>
        </w:rPr>
        <w:t>〔2020〕1</w:t>
      </w:r>
      <w:r>
        <w:rPr>
          <w:rFonts w:hint="eastAsia" w:ascii="仿宋_GB2312" w:hAnsi="仿宋_GB2312" w:eastAsia="仿宋_GB2312" w:cs="仿宋_GB2312"/>
          <w:color w:val="auto"/>
          <w:kern w:val="0"/>
          <w:sz w:val="32"/>
          <w:szCs w:val="32"/>
          <w:highlight w:val="none"/>
          <w:lang w:val="en-US" w:eastAsia="zh-CN"/>
        </w:rPr>
        <w:t>号）和《中共淄川区委办公室、淄川区人民政府办公室印发&lt;关于深化改革加强食品安全重点任务分工&gt;的通知》（川办发</w:t>
      </w:r>
      <w:r>
        <w:rPr>
          <w:rFonts w:hint="default" w:ascii="Times New Roman" w:hAnsi="Times New Roman" w:eastAsia="仿宋_GB2312" w:cs="Times New Roman"/>
          <w:color w:val="auto"/>
          <w:kern w:val="0"/>
          <w:sz w:val="32"/>
          <w:szCs w:val="32"/>
          <w:highlight w:val="none"/>
          <w:lang w:val="en-US" w:eastAsia="zh-CN"/>
        </w:rPr>
        <w:t>〔2020〕</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号）要求，按照“党政同责、一岗双责”要求，将落实食品安全属地管理责任作为“一把手”工程，推进“两个责任”走深走实。将包保工作纳入区对镇街政府食品安全工作评议，对推进工作不力的实施降级评价。加强镇（街道）食药安办规范化建设。</w:t>
      </w:r>
      <w:r>
        <w:rPr>
          <w:rFonts w:hint="eastAsia" w:ascii="楷体_GB2312" w:hAnsi="楷体_GB2312" w:eastAsia="楷体_GB2312" w:cs="楷体_GB2312"/>
          <w:color w:val="auto"/>
          <w:kern w:val="0"/>
          <w:sz w:val="32"/>
          <w:szCs w:val="32"/>
          <w:highlight w:val="none"/>
          <w:lang w:val="en-US" w:eastAsia="zh-CN"/>
        </w:rPr>
        <w:t>（区食药安办牵头，各镇街</w:t>
      </w:r>
      <w:r>
        <w:rPr>
          <w:rFonts w:hint="eastAsia" w:ascii="楷体_GB2312" w:hAnsi="楷体_GB2312" w:eastAsia="楷体_GB2312" w:cs="楷体_GB2312"/>
          <w:b w:val="0"/>
          <w:bCs w:val="0"/>
          <w:color w:val="auto"/>
          <w:sz w:val="32"/>
          <w:szCs w:val="32"/>
          <w:highlight w:val="none"/>
          <w:lang w:val="en-US" w:eastAsia="zh-CN"/>
        </w:rPr>
        <w:t>食药安委</w:t>
      </w:r>
      <w:r>
        <w:rPr>
          <w:rFonts w:hint="eastAsia" w:ascii="楷体_GB2312" w:hAnsi="楷体_GB2312" w:eastAsia="楷体_GB2312" w:cs="楷体_GB2312"/>
          <w:color w:val="auto"/>
          <w:kern w:val="0"/>
          <w:sz w:val="32"/>
          <w:szCs w:val="32"/>
          <w:highlight w:val="none"/>
          <w:lang w:val="en-US" w:eastAsia="zh-CN"/>
        </w:rPr>
        <w:t>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4</w:t>
      </w:r>
      <w:r>
        <w:rPr>
          <w:rFonts w:hint="eastAsia" w:ascii="楷体_GB2312" w:hAnsi="楷体_GB2312" w:eastAsia="楷体_GB2312" w:cs="楷体_GB2312"/>
          <w:color w:val="auto"/>
          <w:kern w:val="0"/>
          <w:sz w:val="32"/>
          <w:szCs w:val="32"/>
          <w:highlight w:val="none"/>
          <w:lang w:val="en-US" w:eastAsia="zh-CN"/>
        </w:rPr>
        <w:t>.压实包保责任。</w:t>
      </w:r>
      <w:r>
        <w:rPr>
          <w:rFonts w:hint="default" w:ascii="Times New Roman" w:hAnsi="Times New Roman" w:eastAsia="仿宋_GB2312" w:cs="Times New Roman"/>
          <w:color w:val="auto"/>
          <w:kern w:val="0"/>
          <w:sz w:val="32"/>
          <w:szCs w:val="32"/>
          <w:highlight w:val="none"/>
          <w:lang w:val="en-US" w:eastAsia="zh-CN"/>
        </w:rPr>
        <w:t>全</w:t>
      </w:r>
      <w:r>
        <w:rPr>
          <w:rFonts w:hint="eastAsia" w:ascii="仿宋_GB2312" w:hAnsi="仿宋_GB2312" w:eastAsia="仿宋_GB2312" w:cs="仿宋_GB2312"/>
          <w:color w:val="auto"/>
          <w:kern w:val="0"/>
          <w:sz w:val="32"/>
          <w:szCs w:val="32"/>
          <w:highlight w:val="none"/>
          <w:lang w:val="en-US" w:eastAsia="zh-CN"/>
        </w:rPr>
        <w:t>力落实《国务院食品安全委员会印发&lt;关于建立健全分层分级精准防控末端发力终端见效工作机制 推动食品安全属地管理责任落地落实的意见&gt;的通知》（食安委发</w:t>
      </w:r>
      <w:r>
        <w:rPr>
          <w:rFonts w:hint="default" w:ascii="Times New Roman" w:hAnsi="Times New Roman" w:eastAsia="仿宋_GB2312" w:cs="Times New Roman"/>
          <w:color w:val="auto"/>
          <w:kern w:val="0"/>
          <w:sz w:val="32"/>
          <w:szCs w:val="32"/>
          <w:highlight w:val="none"/>
          <w:lang w:val="en-US" w:eastAsia="zh-CN"/>
        </w:rPr>
        <w:t>〔2022〕7</w:t>
      </w:r>
      <w:r>
        <w:rPr>
          <w:rFonts w:hint="eastAsia" w:ascii="仿宋_GB2312" w:hAnsi="仿宋_GB2312" w:eastAsia="仿宋_GB2312" w:cs="仿宋_GB2312"/>
          <w:color w:val="auto"/>
          <w:kern w:val="0"/>
          <w:sz w:val="32"/>
          <w:szCs w:val="32"/>
          <w:highlight w:val="none"/>
          <w:lang w:val="en-US" w:eastAsia="zh-CN"/>
        </w:rPr>
        <w:t>号）要求，健全完善分层分级包保工作制度，督促包保干部每季度开展一次督导，发挥“落实食品安全属地管理责任平台”信息归集、数据管理、督导督查功能，实现在产在营获证主体包保全覆盖、包保主体数据全归集、各类包保信息动态管理。</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w:t>
      </w:r>
      <w:r>
        <w:rPr>
          <w:rFonts w:hint="default" w:ascii="Times New Roman" w:hAnsi="Times New Roman" w:eastAsia="楷体_GB2312" w:cs="Times New Roman"/>
          <w:color w:val="auto"/>
          <w:kern w:val="0"/>
          <w:sz w:val="32"/>
          <w:szCs w:val="32"/>
          <w:highlight w:val="none"/>
          <w:lang w:val="en-US" w:eastAsia="zh-CN"/>
        </w:rPr>
        <w:t>食药安办）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5</w:t>
      </w:r>
      <w:r>
        <w:rPr>
          <w:rFonts w:hint="eastAsia" w:ascii="楷体_GB2312" w:hAnsi="楷体_GB2312" w:eastAsia="楷体_GB2312" w:cs="楷体_GB2312"/>
          <w:color w:val="auto"/>
          <w:kern w:val="0"/>
          <w:sz w:val="32"/>
          <w:szCs w:val="32"/>
          <w:highlight w:val="none"/>
          <w:lang w:val="en-US" w:eastAsia="zh-CN"/>
        </w:rPr>
        <w:t>.压实部门职责。</w:t>
      </w:r>
      <w:r>
        <w:rPr>
          <w:rFonts w:hint="eastAsia" w:ascii="仿宋_GB2312" w:hAnsi="仿宋_GB2312" w:eastAsia="仿宋_GB2312" w:cs="仿宋_GB2312"/>
          <w:color w:val="auto"/>
          <w:kern w:val="0"/>
          <w:sz w:val="32"/>
          <w:szCs w:val="32"/>
          <w:highlight w:val="none"/>
          <w:lang w:val="en-US" w:eastAsia="zh-CN"/>
        </w:rPr>
        <w:t>各有关部门按时向区食药安委提交本部门对食品安全重点工作安排的贯彻落实情况。</w:t>
      </w:r>
      <w:r>
        <w:rPr>
          <w:rFonts w:hint="eastAsia" w:ascii="楷体_GB2312" w:hAnsi="楷体_GB2312" w:eastAsia="楷体_GB2312" w:cs="楷体_GB2312"/>
          <w:color w:val="auto"/>
          <w:kern w:val="0"/>
          <w:sz w:val="32"/>
          <w:szCs w:val="32"/>
          <w:highlight w:val="none"/>
          <w:lang w:val="en-US" w:eastAsia="zh-CN"/>
        </w:rPr>
        <w:t>（区食药安办牵头，各相关部门按职责分工负责）</w:t>
      </w:r>
      <w:r>
        <w:rPr>
          <w:rFonts w:hint="eastAsia" w:ascii="仿宋_GB2312" w:hAnsi="仿宋_GB2312" w:eastAsia="仿宋_GB2312" w:cs="仿宋_GB2312"/>
          <w:color w:val="auto"/>
          <w:kern w:val="0"/>
          <w:sz w:val="32"/>
          <w:szCs w:val="32"/>
          <w:highlight w:val="none"/>
          <w:lang w:val="en-US" w:eastAsia="zh-CN"/>
        </w:rPr>
        <w:t>将各有关部门对食品安全重点工作安排落实情况作为向区委、区政府报告的重要内容，推动落实食品安全相关部门责任。</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w:t>
      </w:r>
      <w:r>
        <w:rPr>
          <w:rFonts w:hint="default" w:ascii="Times New Roman" w:hAnsi="Times New Roman" w:eastAsia="楷体_GB2312" w:cs="Times New Roman"/>
          <w:color w:val="auto"/>
          <w:kern w:val="0"/>
          <w:sz w:val="32"/>
          <w:szCs w:val="32"/>
          <w:highlight w:val="none"/>
          <w:lang w:val="en-US" w:eastAsia="zh-CN"/>
        </w:rPr>
        <w:t>食药安办）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三、压紧压实生产经营者主体责任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6</w:t>
      </w:r>
      <w:r>
        <w:rPr>
          <w:rFonts w:hint="eastAsia" w:ascii="楷体_GB2312" w:hAnsi="楷体_GB2312" w:eastAsia="楷体_GB2312" w:cs="楷体_GB2312"/>
          <w:color w:val="auto"/>
          <w:kern w:val="0"/>
          <w:sz w:val="32"/>
          <w:szCs w:val="32"/>
          <w:highlight w:val="none"/>
          <w:lang w:val="en-US" w:eastAsia="zh-CN"/>
        </w:rPr>
        <w:t>.强化食用农产品生产经营者主体责任。</w:t>
      </w:r>
      <w:r>
        <w:rPr>
          <w:rFonts w:hint="eastAsia" w:ascii="仿宋_GB2312" w:hAnsi="仿宋_GB2312" w:eastAsia="仿宋_GB2312" w:cs="仿宋_GB2312"/>
          <w:color w:val="auto"/>
          <w:kern w:val="0"/>
          <w:sz w:val="32"/>
          <w:szCs w:val="32"/>
          <w:highlight w:val="none"/>
          <w:lang w:val="en-US" w:eastAsia="zh-CN"/>
        </w:rPr>
        <w:t>全面推行农产品承诺达标合格证制度，实施达标合格农产品亮证行动。推动鲜鸡蛋承诺达标合格证电子出证。加强屠宰行业管理，落实屠宰企业肉品品质检验合格证电子出证，督促屠宰企业严格落实肉类产品质量安全主体责任。</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w:t>
      </w:r>
      <w:r>
        <w:rPr>
          <w:rFonts w:hint="default" w:ascii="Times New Roman" w:hAnsi="Times New Roman" w:eastAsia="楷体_GB2312" w:cs="Times New Roman"/>
          <w:color w:val="auto"/>
          <w:kern w:val="0"/>
          <w:sz w:val="32"/>
          <w:szCs w:val="32"/>
          <w:highlight w:val="none"/>
          <w:lang w:val="en-US" w:eastAsia="zh-CN"/>
        </w:rPr>
        <w:t>农业农村局）</w:t>
      </w:r>
      <w:r>
        <w:rPr>
          <w:rFonts w:hint="eastAsia" w:ascii="仿宋_GB2312" w:hAnsi="仿宋_GB2312" w:eastAsia="仿宋_GB2312" w:cs="仿宋_GB2312"/>
          <w:color w:val="auto"/>
          <w:kern w:val="0"/>
          <w:sz w:val="32"/>
          <w:szCs w:val="32"/>
          <w:highlight w:val="none"/>
          <w:lang w:val="en-US" w:eastAsia="zh-CN"/>
        </w:rPr>
        <w:t>认真执行粮食质量安全管理制度，规范粮食经营者质量安全管理行为。</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w:t>
      </w:r>
      <w:r>
        <w:rPr>
          <w:rFonts w:hint="default" w:ascii="Times New Roman" w:hAnsi="Times New Roman" w:eastAsia="楷体_GB2312" w:cs="Times New Roman"/>
          <w:color w:val="auto"/>
          <w:kern w:val="0"/>
          <w:sz w:val="32"/>
          <w:szCs w:val="32"/>
          <w:highlight w:val="none"/>
          <w:lang w:val="en-US" w:eastAsia="zh-CN"/>
        </w:rPr>
        <w:t>发展改革</w:t>
      </w:r>
      <w:r>
        <w:rPr>
          <w:rFonts w:hint="eastAsia" w:ascii="Times New Roman" w:hAnsi="Times New Roman" w:eastAsia="楷体_GB2312" w:cs="Times New Roman"/>
          <w:color w:val="auto"/>
          <w:kern w:val="0"/>
          <w:sz w:val="32"/>
          <w:szCs w:val="32"/>
          <w:highlight w:val="none"/>
          <w:lang w:val="en-US" w:eastAsia="zh-CN"/>
        </w:rPr>
        <w:t>局</w:t>
      </w:r>
      <w:r>
        <w:rPr>
          <w:rFonts w:hint="default" w:ascii="Times New Roman" w:hAnsi="Times New Roman" w:eastAsia="楷体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7</w:t>
      </w:r>
      <w:r>
        <w:rPr>
          <w:rFonts w:hint="eastAsia" w:ascii="楷体_GB2312" w:hAnsi="楷体_GB2312" w:eastAsia="楷体_GB2312" w:cs="楷体_GB2312"/>
          <w:color w:val="auto"/>
          <w:kern w:val="0"/>
          <w:sz w:val="32"/>
          <w:szCs w:val="32"/>
          <w:highlight w:val="none"/>
          <w:lang w:val="en-US" w:eastAsia="zh-CN"/>
        </w:rPr>
        <w:t>.强化食品生产经营单位主体责任。</w:t>
      </w:r>
      <w:r>
        <w:rPr>
          <w:rFonts w:hint="eastAsia" w:ascii="仿宋_GB2312" w:hAnsi="仿宋_GB2312" w:eastAsia="仿宋_GB2312" w:cs="仿宋_GB2312"/>
          <w:color w:val="auto"/>
          <w:kern w:val="0"/>
          <w:sz w:val="32"/>
          <w:szCs w:val="32"/>
          <w:highlight w:val="none"/>
          <w:lang w:val="en-US" w:eastAsia="zh-CN"/>
        </w:rPr>
        <w:t>深入贯彻落实市场监管总局《企业落实食品安全主体责任监督管理规定》，督促食品生产经营者建立主要负责人负总责，食品安全总监、食品安全员分级负责的食品安全责任体系。针对不同食品生产经营主体细化主体责任落实要求，分类开展指导，结合实际建立食品安全风险管控清单，落实“日管控、周排查、月调度”工作机制，精准防控风险隐患。</w:t>
      </w:r>
      <w:r>
        <w:rPr>
          <w:rFonts w:hint="default" w:ascii="Times New Roman" w:hAnsi="Times New Roman" w:eastAsia="楷体_GB2312" w:cs="Times New Roman"/>
          <w:color w:val="auto"/>
          <w:kern w:val="0"/>
          <w:sz w:val="32"/>
          <w:szCs w:val="32"/>
          <w:highlight w:val="none"/>
          <w:lang w:val="en-US" w:eastAsia="zh-CN"/>
        </w:rPr>
        <w:t>（</w:t>
      </w:r>
      <w:r>
        <w:rPr>
          <w:rFonts w:hint="eastAsia" w:ascii="Times New Roman" w:hAnsi="Times New Roman" w:eastAsia="楷体_GB2312" w:cs="Times New Roman"/>
          <w:color w:val="auto"/>
          <w:kern w:val="0"/>
          <w:sz w:val="32"/>
          <w:szCs w:val="32"/>
          <w:highlight w:val="none"/>
          <w:lang w:val="en-US" w:eastAsia="zh-CN"/>
        </w:rPr>
        <w:t>区</w:t>
      </w:r>
      <w:r>
        <w:rPr>
          <w:rFonts w:hint="default" w:ascii="Times New Roman" w:hAnsi="Times New Roman" w:eastAsia="楷体_GB2312" w:cs="Times New Roman"/>
          <w:color w:val="auto"/>
          <w:kern w:val="0"/>
          <w:sz w:val="32"/>
          <w:szCs w:val="32"/>
          <w:highlight w:val="none"/>
          <w:lang w:val="en-US" w:eastAsia="zh-CN"/>
        </w:rPr>
        <w:t>市场监管局）</w:t>
      </w:r>
    </w:p>
    <w:p>
      <w:pPr>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580" w:lineRule="exact"/>
        <w:ind w:right="0" w:rightChars="0" w:firstLine="640" w:firstLineChars="200"/>
        <w:jc w:val="both"/>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四、大力实施食品安全放心工程攻坚行动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楷体_GB2312" w:cs="Times New Roman"/>
          <w:color w:val="auto"/>
          <w:sz w:val="32"/>
          <w:szCs w:val="32"/>
          <w:shd w:val="clear" w:color="auto" w:fill="FFFFFF"/>
          <w:lang w:eastAsia="zh-CN"/>
        </w:rPr>
      </w:pPr>
      <w:r>
        <w:rPr>
          <w:rFonts w:hint="default" w:ascii="Times New Roman" w:hAnsi="Times New Roman" w:eastAsia="楷体_GB2312" w:cs="Times New Roman"/>
          <w:b w:val="0"/>
          <w:bCs w:val="0"/>
          <w:color w:val="auto"/>
          <w:sz w:val="32"/>
          <w:szCs w:val="32"/>
          <w:highlight w:val="none"/>
          <w:lang w:val="en-US" w:eastAsia="zh-CN"/>
        </w:rPr>
        <w:t>8</w:t>
      </w:r>
      <w:r>
        <w:rPr>
          <w:rFonts w:hint="eastAsia" w:ascii="楷体_GB2312" w:hAnsi="楷体_GB2312" w:eastAsia="楷体_GB2312" w:cs="楷体_GB2312"/>
          <w:b w:val="0"/>
          <w:bCs w:val="0"/>
          <w:color w:val="auto"/>
          <w:sz w:val="32"/>
          <w:szCs w:val="32"/>
          <w:highlight w:val="none"/>
          <w:lang w:val="en-US" w:eastAsia="zh-CN"/>
        </w:rPr>
        <w:t>.强化产地环境治理。</w:t>
      </w:r>
      <w:r>
        <w:rPr>
          <w:rFonts w:hint="eastAsia" w:ascii="仿宋_GB2312" w:hAnsi="仿宋_GB2312" w:eastAsia="仿宋_GB2312" w:cs="仿宋_GB2312"/>
          <w:b w:val="0"/>
          <w:bCs w:val="0"/>
          <w:color w:val="auto"/>
          <w:sz w:val="32"/>
          <w:szCs w:val="32"/>
          <w:lang w:val="en-US" w:eastAsia="zh-CN"/>
        </w:rPr>
        <w:t>加强耕地土壤污染源头防控，持续推进农用地土壤镉等重金属污染源头防治行动。</w:t>
      </w:r>
      <w:r>
        <w:rPr>
          <w:rFonts w:hint="default" w:ascii="Times New Roman" w:hAnsi="Times New Roman" w:eastAsia="楷体_GB2312" w:cs="Times New Roman"/>
          <w:bCs/>
          <w:color w:val="auto"/>
          <w:kern w:val="0"/>
          <w:sz w:val="32"/>
          <w:szCs w:val="32"/>
          <w:lang w:eastAsia="zh-CN"/>
        </w:rPr>
        <w:t>（</w:t>
      </w:r>
      <w:r>
        <w:rPr>
          <w:rFonts w:hint="eastAsia" w:ascii="Times New Roman" w:hAnsi="Times New Roman" w:eastAsia="楷体_GB2312" w:cs="Times New Roman"/>
          <w:bCs/>
          <w:color w:val="auto"/>
          <w:kern w:val="0"/>
          <w:sz w:val="32"/>
          <w:szCs w:val="32"/>
          <w:lang w:val="en-US" w:eastAsia="zh-CN"/>
        </w:rPr>
        <w:t>区</w:t>
      </w:r>
      <w:r>
        <w:rPr>
          <w:rFonts w:hint="default" w:ascii="Times New Roman" w:hAnsi="Times New Roman" w:eastAsia="楷体_GB2312" w:cs="Times New Roman"/>
          <w:color w:val="auto"/>
          <w:sz w:val="32"/>
          <w:szCs w:val="32"/>
          <w:shd w:val="clear" w:color="auto" w:fill="FFFFFF"/>
          <w:lang w:val="en-US" w:eastAsia="zh-CN"/>
        </w:rPr>
        <w:t>生态环境</w:t>
      </w:r>
      <w:r>
        <w:rPr>
          <w:rFonts w:hint="eastAsia" w:ascii="Times New Roman" w:hAnsi="Times New Roman" w:eastAsia="楷体_GB2312" w:cs="Times New Roman"/>
          <w:color w:val="auto"/>
          <w:sz w:val="32"/>
          <w:szCs w:val="32"/>
          <w:shd w:val="clear" w:color="auto" w:fill="FFFFFF"/>
          <w:lang w:val="en-US" w:eastAsia="zh-CN"/>
        </w:rPr>
        <w:t>分</w:t>
      </w:r>
      <w:r>
        <w:rPr>
          <w:rFonts w:hint="default" w:ascii="Times New Roman" w:hAnsi="Times New Roman" w:eastAsia="楷体_GB2312" w:cs="Times New Roman"/>
          <w:color w:val="auto"/>
          <w:sz w:val="32"/>
          <w:szCs w:val="32"/>
          <w:shd w:val="clear" w:color="auto" w:fill="FFFFFF"/>
          <w:lang w:val="en-US" w:eastAsia="zh-CN"/>
        </w:rPr>
        <w:t>局</w:t>
      </w:r>
      <w:r>
        <w:rPr>
          <w:rFonts w:hint="default" w:ascii="Times New Roman" w:hAnsi="Times New Roman" w:eastAsia="楷体_GB2312" w:cs="Times New Roman"/>
          <w:bCs/>
          <w:color w:val="auto"/>
          <w:kern w:val="0"/>
          <w:sz w:val="32"/>
          <w:szCs w:val="32"/>
          <w:lang w:eastAsia="zh-CN"/>
        </w:rPr>
        <w:t>）</w:t>
      </w:r>
      <w:r>
        <w:rPr>
          <w:rFonts w:hint="eastAsia" w:ascii="仿宋_GB2312" w:hAnsi="仿宋_GB2312" w:eastAsia="仿宋_GB2312" w:cs="仿宋_GB2312"/>
          <w:color w:val="auto"/>
          <w:sz w:val="32"/>
          <w:szCs w:val="32"/>
        </w:rPr>
        <w:t>落实耕地分类管理制度，对受污染耕地科学实施安全利用措施，加强技术指导，有效管控耕地土壤污染风险。</w:t>
      </w:r>
      <w:r>
        <w:rPr>
          <w:rFonts w:hint="default" w:ascii="Times New Roman" w:hAnsi="Times New Roman" w:eastAsia="楷体_GB2312" w:cs="Times New Roman"/>
          <w:bCs/>
          <w:color w:val="auto"/>
          <w:kern w:val="0"/>
          <w:sz w:val="32"/>
          <w:szCs w:val="32"/>
          <w:lang w:eastAsia="zh-CN"/>
        </w:rPr>
        <w:t>（</w:t>
      </w:r>
      <w:r>
        <w:rPr>
          <w:rFonts w:hint="eastAsia" w:ascii="Times New Roman" w:hAnsi="Times New Roman" w:eastAsia="楷体_GB2312" w:cs="Times New Roman"/>
          <w:bCs/>
          <w:color w:val="auto"/>
          <w:kern w:val="0"/>
          <w:sz w:val="32"/>
          <w:szCs w:val="32"/>
          <w:lang w:eastAsia="zh-CN"/>
        </w:rPr>
        <w:t>区</w:t>
      </w:r>
      <w:r>
        <w:rPr>
          <w:rFonts w:hint="default" w:ascii="Times New Roman" w:hAnsi="Times New Roman" w:eastAsia="楷体_GB2312" w:cs="Times New Roman"/>
          <w:bCs/>
          <w:color w:val="auto"/>
          <w:kern w:val="0"/>
          <w:sz w:val="32"/>
          <w:szCs w:val="32"/>
          <w:lang w:eastAsia="zh-CN"/>
        </w:rPr>
        <w:t>农业农村</w:t>
      </w:r>
      <w:r>
        <w:rPr>
          <w:rFonts w:hint="default" w:ascii="Times New Roman" w:hAnsi="Times New Roman" w:eastAsia="楷体_GB2312" w:cs="Times New Roman"/>
          <w:bCs/>
          <w:color w:val="auto"/>
          <w:kern w:val="0"/>
          <w:sz w:val="32"/>
          <w:szCs w:val="32"/>
          <w:lang w:val="en-US" w:eastAsia="zh-CN"/>
        </w:rPr>
        <w:t>局</w:t>
      </w:r>
      <w:r>
        <w:rPr>
          <w:rFonts w:hint="default" w:ascii="Times New Roman" w:hAnsi="Times New Roman" w:eastAsia="楷体_GB2312" w:cs="Times New Roman"/>
          <w:bCs/>
          <w:color w:val="auto"/>
          <w:kern w:val="0"/>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lang w:eastAsia="zh-Hans"/>
        </w:rPr>
      </w:pPr>
      <w:r>
        <w:rPr>
          <w:rFonts w:hint="default" w:ascii="Times New Roman" w:hAnsi="Times New Roman" w:eastAsia="楷体_GB2312" w:cs="Times New Roman"/>
          <w:b w:val="0"/>
          <w:bCs w:val="0"/>
          <w:color w:val="auto"/>
          <w:sz w:val="32"/>
          <w:szCs w:val="32"/>
          <w:highlight w:val="none"/>
          <w:lang w:val="en-US" w:eastAsia="zh-CN"/>
        </w:rPr>
        <w:t>9</w:t>
      </w:r>
      <w:r>
        <w:rPr>
          <w:rFonts w:hint="eastAsia" w:ascii="楷体_GB2312" w:hAnsi="楷体_GB2312" w:eastAsia="楷体_GB2312" w:cs="楷体_GB2312"/>
          <w:b w:val="0"/>
          <w:bCs w:val="0"/>
          <w:color w:val="auto"/>
          <w:sz w:val="32"/>
          <w:szCs w:val="32"/>
          <w:highlight w:val="none"/>
          <w:lang w:val="en-US" w:eastAsia="zh-CN"/>
        </w:rPr>
        <w:t>.规范</w:t>
      </w:r>
      <w:r>
        <w:rPr>
          <w:rFonts w:hint="eastAsia" w:ascii="楷体_GB2312" w:hAnsi="楷体_GB2312" w:eastAsia="楷体_GB2312" w:cs="楷体_GB2312"/>
          <w:b w:val="0"/>
          <w:bCs w:val="0"/>
          <w:color w:val="auto"/>
          <w:sz w:val="32"/>
          <w:szCs w:val="32"/>
          <w:highlight w:val="none"/>
          <w:lang w:val="en-US" w:eastAsia="zh-Hans"/>
        </w:rPr>
        <w:t>农业投入品使用</w:t>
      </w:r>
      <w:r>
        <w:rPr>
          <w:rFonts w:hint="eastAsia" w:ascii="楷体_GB2312" w:hAnsi="楷体_GB2312" w:eastAsia="楷体_GB2312" w:cs="楷体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持续</w:t>
      </w:r>
      <w:r>
        <w:rPr>
          <w:rFonts w:hint="eastAsia" w:ascii="仿宋_GB2312" w:hAnsi="仿宋_GB2312" w:eastAsia="仿宋_GB2312" w:cs="仿宋_GB2312"/>
          <w:color w:val="auto"/>
          <w:sz w:val="32"/>
          <w:szCs w:val="32"/>
        </w:rPr>
        <w:t>深入</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食用农产品“治违禁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控药残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促提升”三年</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行动，聚焦</w:t>
      </w:r>
      <w:r>
        <w:rPr>
          <w:rFonts w:hint="default" w:ascii="Times New Roman" w:hAnsi="Times New Roman" w:eastAsia="仿宋_GB2312" w:cs="Times New Roman"/>
          <w:color w:val="auto"/>
          <w:sz w:val="32"/>
          <w:szCs w:val="32"/>
        </w:rPr>
        <w:t>11</w:t>
      </w:r>
      <w:r>
        <w:rPr>
          <w:rFonts w:hint="eastAsia" w:ascii="仿宋_GB2312" w:hAnsi="仿宋_GB2312" w:eastAsia="仿宋_GB2312" w:cs="仿宋_GB2312"/>
          <w:color w:val="auto"/>
          <w:sz w:val="32"/>
          <w:szCs w:val="32"/>
        </w:rPr>
        <w:t>个重点品种，</w:t>
      </w:r>
      <w:r>
        <w:rPr>
          <w:rFonts w:hint="eastAsia" w:ascii="仿宋_GB2312" w:hAnsi="仿宋_GB2312" w:eastAsia="仿宋_GB2312" w:cs="仿宋_GB2312"/>
          <w:color w:val="auto"/>
          <w:sz w:val="32"/>
          <w:szCs w:val="32"/>
          <w:shd w:val="clear" w:color="auto" w:fill="FFFFFF"/>
        </w:rPr>
        <w:t>严打禁</w:t>
      </w:r>
      <w:r>
        <w:rPr>
          <w:rFonts w:hint="eastAsia" w:ascii="仿宋_GB2312" w:hAnsi="仿宋_GB2312" w:eastAsia="仿宋_GB2312" w:cs="仿宋_GB2312"/>
          <w:color w:val="auto"/>
          <w:sz w:val="32"/>
          <w:szCs w:val="32"/>
          <w:shd w:val="clear" w:color="auto" w:fill="FFFFFF"/>
          <w:lang w:eastAsia="zh-CN"/>
        </w:rPr>
        <w:t>限</w:t>
      </w:r>
      <w:r>
        <w:rPr>
          <w:rFonts w:hint="eastAsia" w:ascii="仿宋_GB2312" w:hAnsi="仿宋_GB2312" w:eastAsia="仿宋_GB2312" w:cs="仿宋_GB2312"/>
          <w:color w:val="auto"/>
          <w:sz w:val="32"/>
          <w:szCs w:val="32"/>
          <w:shd w:val="clear" w:color="auto" w:fill="FFFFFF"/>
        </w:rPr>
        <w:t>用药物</w:t>
      </w:r>
      <w:r>
        <w:rPr>
          <w:rFonts w:hint="eastAsia" w:ascii="仿宋_GB2312" w:hAnsi="仿宋_GB2312" w:eastAsia="仿宋_GB2312" w:cs="仿宋_GB2312"/>
          <w:color w:val="auto"/>
          <w:sz w:val="32"/>
          <w:szCs w:val="32"/>
          <w:shd w:val="clear" w:color="auto" w:fill="FFFFFF"/>
          <w:lang w:eastAsia="zh-CN"/>
        </w:rPr>
        <w:t>违法</w:t>
      </w:r>
      <w:r>
        <w:rPr>
          <w:rFonts w:hint="eastAsia" w:ascii="仿宋_GB2312" w:hAnsi="仿宋_GB2312" w:eastAsia="仿宋_GB2312" w:cs="仿宋_GB2312"/>
          <w:color w:val="auto"/>
          <w:sz w:val="32"/>
          <w:szCs w:val="32"/>
          <w:shd w:val="clear" w:color="auto" w:fill="FFFFFF"/>
        </w:rPr>
        <w:t>使用，严控常规药物残留超标</w:t>
      </w:r>
      <w:r>
        <w:rPr>
          <w:rFonts w:hint="eastAsia" w:ascii="仿宋_GB2312" w:hAnsi="仿宋_GB2312" w:eastAsia="仿宋_GB2312" w:cs="仿宋_GB2312"/>
          <w:color w:val="auto"/>
          <w:sz w:val="32"/>
          <w:szCs w:val="32"/>
        </w:rPr>
        <w:t>。开展豇豆</w:t>
      </w:r>
      <w:r>
        <w:rPr>
          <w:rFonts w:hint="eastAsia" w:ascii="仿宋_GB2312" w:hAnsi="仿宋_GB2312" w:eastAsia="仿宋_GB2312" w:cs="仿宋_GB2312"/>
          <w:color w:val="auto"/>
          <w:sz w:val="32"/>
          <w:szCs w:val="32"/>
          <w:lang w:eastAsia="zh-CN"/>
        </w:rPr>
        <w:t>等食用农产品</w:t>
      </w:r>
      <w:r>
        <w:rPr>
          <w:rFonts w:hint="eastAsia" w:ascii="仿宋_GB2312" w:hAnsi="仿宋_GB2312" w:eastAsia="仿宋_GB2312" w:cs="仿宋_GB2312"/>
          <w:color w:val="auto"/>
          <w:sz w:val="32"/>
          <w:szCs w:val="32"/>
        </w:rPr>
        <w:t>农药残留突出问题攻坚治理</w:t>
      </w:r>
      <w:r>
        <w:rPr>
          <w:rFonts w:hint="eastAsia" w:ascii="仿宋_GB2312" w:hAnsi="仿宋_GB2312" w:eastAsia="仿宋_GB2312" w:cs="仿宋_GB2312"/>
          <w:color w:val="auto"/>
          <w:sz w:val="32"/>
          <w:szCs w:val="32"/>
          <w:lang w:eastAsia="zh-CN"/>
        </w:rPr>
        <w:t>，加密上市期巡查检查和抽检频次。严格落实国家淘汰高毒农药的规定，严查生产经营使用淘汰的农药、使用禁用农药、违规使用剧毒和高毒农药行为</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z w:val="32"/>
          <w:szCs w:val="32"/>
        </w:rPr>
        <w:t>组织实施养殖规范用药专项整治行动</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区农业农村局</w:t>
      </w:r>
      <w:r>
        <w:rPr>
          <w:rFonts w:hint="eastAsia" w:ascii="楷体_GB2312" w:hAnsi="楷体_GB2312" w:eastAsia="楷体_GB2312" w:cs="楷体_GB2312"/>
          <w:b w:val="0"/>
          <w:bCs w:val="0"/>
          <w:color w:val="auto"/>
          <w:sz w:val="32"/>
          <w:szCs w:val="32"/>
          <w:highlight w:val="none"/>
          <w:lang w:val="en-US" w:eastAsia="zh-Hans"/>
        </w:rPr>
        <w:t>牵头</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w:t>
      </w:r>
      <w:r>
        <w:rPr>
          <w:rFonts w:hint="eastAsia" w:ascii="楷体_GB2312" w:hAnsi="楷体_GB2312" w:eastAsia="楷体_GB2312" w:cs="楷体_GB2312"/>
          <w:b w:val="0"/>
          <w:bCs w:val="0"/>
          <w:color w:val="auto"/>
          <w:sz w:val="32"/>
          <w:szCs w:val="32"/>
          <w:highlight w:val="none"/>
          <w:lang w:val="en-US" w:eastAsia="zh-Hans"/>
        </w:rPr>
        <w:t>公安</w:t>
      </w:r>
      <w:r>
        <w:rPr>
          <w:rFonts w:hint="eastAsia" w:ascii="楷体_GB2312" w:hAnsi="楷体_GB2312" w:eastAsia="楷体_GB2312" w:cs="楷体_GB2312"/>
          <w:b w:val="0"/>
          <w:bCs w:val="0"/>
          <w:color w:val="auto"/>
          <w:sz w:val="32"/>
          <w:szCs w:val="32"/>
          <w:highlight w:val="none"/>
          <w:lang w:val="en-US" w:eastAsia="zh-CN"/>
        </w:rPr>
        <w:t>分局</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区卫生健康局</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区市场监管局</w:t>
      </w:r>
      <w:r>
        <w:rPr>
          <w:rFonts w:hint="eastAsia" w:ascii="楷体_GB2312" w:hAnsi="楷体_GB2312" w:eastAsia="楷体_GB2312" w:cs="楷体_GB2312"/>
          <w:b w:val="0"/>
          <w:bCs w:val="0"/>
          <w:color w:val="auto"/>
          <w:sz w:val="32"/>
          <w:szCs w:val="32"/>
          <w:highlight w:val="none"/>
          <w:lang w:val="en-US" w:eastAsia="zh-Hans"/>
        </w:rPr>
        <w:t>按职责分工负责</w:t>
      </w:r>
      <w:r>
        <w:rPr>
          <w:rFonts w:hint="eastAsia" w:ascii="楷体_GB2312" w:hAnsi="楷体_GB2312" w:eastAsia="楷体_GB2312" w:cs="楷体_GB2312"/>
          <w:b w:val="0"/>
          <w:bCs w:val="0"/>
          <w:color w:val="auto"/>
          <w:sz w:val="32"/>
          <w:szCs w:val="32"/>
          <w:highlight w:val="none"/>
          <w:lang w:eastAsia="zh-Hans"/>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val="en-US" w:eastAsia="zh-CN"/>
        </w:rPr>
        <w:t>10</w:t>
      </w:r>
      <w:r>
        <w:rPr>
          <w:rFonts w:hint="eastAsia" w:ascii="楷体_GB2312" w:hAnsi="楷体_GB2312" w:eastAsia="楷体_GB2312" w:cs="楷体_GB2312"/>
          <w:color w:val="auto"/>
          <w:sz w:val="32"/>
          <w:szCs w:val="32"/>
          <w:shd w:val="clear" w:color="auto" w:fill="FFFFFF"/>
          <w:lang w:val="en-US" w:eastAsia="zh-CN"/>
        </w:rPr>
        <w:t>.实施粮食质量提升行动。</w:t>
      </w:r>
      <w:r>
        <w:rPr>
          <w:rFonts w:hint="eastAsia" w:ascii="仿宋_GB2312" w:hAnsi="仿宋_GB2312" w:eastAsia="仿宋_GB2312" w:cs="仿宋_GB2312"/>
          <w:color w:val="auto"/>
          <w:sz w:val="32"/>
          <w:szCs w:val="32"/>
          <w:shd w:val="clear" w:color="auto" w:fill="FFFFFF"/>
          <w:lang w:val="en-US" w:eastAsia="zh-CN"/>
        </w:rPr>
        <w:t>加大对政策性粮食出入库监督检查力度，严格落实出库质量安全检验制度，严防不符合食品安全标准的粮食用作食用用途。深化“齐鲁粮油”公共品牌建设，引领粮食产业高质量发展。</w:t>
      </w:r>
      <w:r>
        <w:rPr>
          <w:rFonts w:hint="default" w:ascii="Times New Roman" w:hAnsi="Times New Roman" w:eastAsia="楷体_GB2312" w:cs="Times New Roman"/>
          <w:color w:val="auto"/>
          <w:sz w:val="32"/>
          <w:szCs w:val="32"/>
          <w:shd w:val="clear" w:color="auto" w:fill="FFFFFF"/>
          <w:lang w:val="en-US" w:eastAsia="zh-CN"/>
        </w:rPr>
        <w:t>（</w:t>
      </w:r>
      <w:r>
        <w:rPr>
          <w:rFonts w:hint="eastAsia" w:ascii="Times New Roman" w:hAnsi="Times New Roman" w:eastAsia="楷体_GB2312" w:cs="Times New Roman"/>
          <w:color w:val="auto"/>
          <w:sz w:val="32"/>
          <w:szCs w:val="32"/>
          <w:shd w:val="clear" w:color="auto" w:fill="FFFFFF"/>
          <w:lang w:val="en-US" w:eastAsia="zh-CN"/>
        </w:rPr>
        <w:t>区</w:t>
      </w:r>
      <w:r>
        <w:rPr>
          <w:rFonts w:hint="default" w:ascii="Times New Roman" w:hAnsi="Times New Roman" w:eastAsia="楷体_GB2312" w:cs="Times New Roman"/>
          <w:color w:val="auto"/>
          <w:sz w:val="32"/>
          <w:szCs w:val="32"/>
          <w:shd w:val="clear" w:color="auto" w:fill="FFFFFF"/>
          <w:lang w:val="en-US" w:eastAsia="zh-CN"/>
        </w:rPr>
        <w:t>发展改革</w:t>
      </w:r>
      <w:r>
        <w:rPr>
          <w:rFonts w:hint="eastAsia" w:ascii="Times New Roman" w:hAnsi="Times New Roman" w:eastAsia="楷体_GB2312" w:cs="Times New Roman"/>
          <w:color w:val="auto"/>
          <w:sz w:val="32"/>
          <w:szCs w:val="32"/>
          <w:shd w:val="clear" w:color="auto" w:fill="FFFFFF"/>
          <w:lang w:val="en-US" w:eastAsia="zh-CN"/>
        </w:rPr>
        <w:t>局</w:t>
      </w:r>
      <w:r>
        <w:rPr>
          <w:rFonts w:hint="default" w:ascii="Times New Roman" w:hAnsi="Times New Roman" w:eastAsia="楷体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开展粮食单产提升行动，积极发展优质专用小麦，着力提高粮食单产、品质。</w:t>
      </w:r>
      <w:r>
        <w:rPr>
          <w:rFonts w:hint="default" w:ascii="Times New Roman" w:hAnsi="Times New Roman" w:eastAsia="楷体_GB2312" w:cs="Times New Roman"/>
          <w:color w:val="auto"/>
          <w:sz w:val="32"/>
          <w:szCs w:val="32"/>
          <w:shd w:val="clear" w:color="auto" w:fill="FFFFFF"/>
          <w:lang w:val="en-US" w:eastAsia="zh-CN"/>
        </w:rPr>
        <w:t>（</w:t>
      </w:r>
      <w:r>
        <w:rPr>
          <w:rFonts w:hint="eastAsia" w:ascii="Times New Roman" w:hAnsi="Times New Roman" w:eastAsia="楷体_GB2312" w:cs="Times New Roman"/>
          <w:color w:val="auto"/>
          <w:sz w:val="32"/>
          <w:szCs w:val="32"/>
          <w:shd w:val="clear" w:color="auto" w:fill="FFFFFF"/>
          <w:lang w:val="en-US" w:eastAsia="zh-CN"/>
        </w:rPr>
        <w:t>区</w:t>
      </w:r>
      <w:r>
        <w:rPr>
          <w:rFonts w:hint="default" w:ascii="Times New Roman" w:hAnsi="Times New Roman" w:eastAsia="楷体_GB2312" w:cs="Times New Roman"/>
          <w:color w:val="auto"/>
          <w:sz w:val="32"/>
          <w:szCs w:val="32"/>
          <w:shd w:val="clear" w:color="auto" w:fill="FFFFFF"/>
          <w:lang w:val="en-US" w:eastAsia="zh-CN"/>
        </w:rPr>
        <w:t>农业农村局）</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eastAsia" w:ascii="楷体_GB2312" w:hAnsi="楷体_GB2312" w:eastAsia="楷体_GB2312" w:cs="楷体_GB2312"/>
          <w:color w:val="auto"/>
          <w:sz w:val="32"/>
          <w:szCs w:val="32"/>
          <w:lang w:val="en-US" w:eastAsia="zh-CN"/>
        </w:rPr>
      </w:pPr>
      <w:r>
        <w:rPr>
          <w:rFonts w:hint="default" w:ascii="Times New Roman" w:hAnsi="Times New Roman" w:eastAsia="楷体_GB2312" w:cs="Times New Roman"/>
          <w:color w:val="auto"/>
          <w:sz w:val="32"/>
          <w:szCs w:val="32"/>
          <w:lang w:val="en-US" w:eastAsia="zh-CN"/>
        </w:rPr>
        <w:t>11</w:t>
      </w:r>
      <w:r>
        <w:rPr>
          <w:rFonts w:hint="eastAsia" w:ascii="楷体_GB2312" w:hAnsi="楷体_GB2312" w:eastAsia="楷体_GB2312" w:cs="楷体_GB2312"/>
          <w:color w:val="auto"/>
          <w:sz w:val="32"/>
          <w:szCs w:val="32"/>
          <w:lang w:val="en-US" w:eastAsia="zh-CN"/>
        </w:rPr>
        <w:t>.持续提升农村食品安全保障水平。</w:t>
      </w:r>
      <w:r>
        <w:rPr>
          <w:rFonts w:hint="eastAsia" w:ascii="仿宋_GB2312" w:hAnsi="仿宋_GB2312" w:eastAsia="仿宋_GB2312" w:cs="仿宋_GB2312"/>
          <w:color w:val="auto"/>
          <w:sz w:val="32"/>
          <w:szCs w:val="32"/>
          <w:lang w:val="en-US" w:eastAsia="zh-CN"/>
        </w:rPr>
        <w:t>健全县域食品流通体系，依托大型商贸流通龙头企业，加快建设乡镇商贸中心、直营连锁超市（便利店），推动商贸流通资源下沉农村。强化食品配送、销售监管，以农村食品批发商、食品店及供销系统直营店为重点，明确管理规范要求，推进规范提升，推动利用信息化方式落实进货查验和销售记录制度。</w:t>
      </w:r>
      <w:r>
        <w:rPr>
          <w:rFonts w:hint="default" w:ascii="Times New Roman" w:hAnsi="Times New Roman" w:eastAsia="楷体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区农业农村局、区商务局、区市场监管局、区供销社按职责分工负责）</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40" w:firstLineChars="200"/>
        <w:rPr>
          <w:rFonts w:hint="eastAsia" w:ascii="楷体_GB2312" w:hAnsi="楷体_GB2312" w:eastAsia="楷体_GB2312" w:cs="楷体_GB2312"/>
          <w:color w:val="auto"/>
          <w:sz w:val="32"/>
          <w:szCs w:val="32"/>
          <w:lang w:eastAsia="zh-CN"/>
        </w:rPr>
      </w:pPr>
      <w:r>
        <w:rPr>
          <w:rFonts w:hint="default" w:ascii="Times New Roman" w:hAnsi="Times New Roman" w:eastAsia="楷体_GB2312" w:cs="Times New Roman"/>
          <w:color w:val="auto"/>
          <w:sz w:val="32"/>
          <w:szCs w:val="32"/>
          <w:lang w:val="en-US" w:eastAsia="zh-CN"/>
        </w:rPr>
        <w:t>12</w:t>
      </w:r>
      <w:r>
        <w:rPr>
          <w:rFonts w:hint="eastAsia" w:ascii="楷体_GB2312" w:hAnsi="楷体_GB2312" w:eastAsia="楷体_GB2312" w:cs="楷体_GB2312"/>
          <w:color w:val="auto"/>
          <w:sz w:val="32"/>
          <w:szCs w:val="32"/>
          <w:lang w:val="en-US" w:eastAsia="zh-CN"/>
        </w:rPr>
        <w:t>.提升</w:t>
      </w:r>
      <w:r>
        <w:rPr>
          <w:rFonts w:hint="eastAsia" w:ascii="楷体_GB2312" w:hAnsi="楷体_GB2312" w:eastAsia="楷体_GB2312" w:cs="楷体_GB2312"/>
          <w:color w:val="auto"/>
          <w:sz w:val="32"/>
          <w:szCs w:val="32"/>
          <w:lang w:eastAsia="zh-CN"/>
        </w:rPr>
        <w:t>餐饮质量安全。</w:t>
      </w:r>
      <w:r>
        <w:rPr>
          <w:rFonts w:hint="eastAsia" w:ascii="仿宋_GB2312" w:hAnsi="仿宋_GB2312" w:eastAsia="仿宋_GB2312" w:cs="仿宋_GB2312"/>
          <w:color w:val="auto"/>
          <w:sz w:val="32"/>
          <w:szCs w:val="32"/>
          <w:highlight w:val="none"/>
          <w:shd w:val="clear" w:fill="FFFFFF"/>
          <w:lang w:val="en-US" w:eastAsia="zh-CN"/>
        </w:rPr>
        <w:t>持续推进“清洁厨房”建设，年底前，全部学校（幼儿园）食堂和养老院食堂</w:t>
      </w:r>
      <w:r>
        <w:rPr>
          <w:rFonts w:hint="default" w:ascii="Times New Roman" w:hAnsi="Times New Roman" w:eastAsia="仿宋_GB2312" w:cs="Times New Roman"/>
          <w:color w:val="auto"/>
          <w:sz w:val="32"/>
          <w:szCs w:val="32"/>
          <w:highlight w:val="none"/>
          <w:shd w:val="clear" w:fill="FFFFFF"/>
          <w:lang w:val="en-US" w:eastAsia="zh-CN"/>
        </w:rPr>
        <w:t>、80%</w:t>
      </w:r>
      <w:r>
        <w:rPr>
          <w:rFonts w:hint="eastAsia" w:ascii="仿宋_GB2312" w:hAnsi="仿宋_GB2312" w:eastAsia="仿宋_GB2312" w:cs="仿宋_GB2312"/>
          <w:color w:val="auto"/>
          <w:sz w:val="32"/>
          <w:szCs w:val="32"/>
          <w:highlight w:val="none"/>
          <w:shd w:val="clear" w:fill="FFFFFF"/>
          <w:lang w:val="en-US" w:eastAsia="zh-CN"/>
        </w:rPr>
        <w:t>的中型以上餐饮单位达到“清洁厨房”要求。深化餐饮服务量化分级管理，开展“寻找笑脸就餐”活动。强化线上线下联动监管，推广“外卖封签”</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lang w:eastAsia="zh-CN"/>
        </w:rPr>
        <w:t>探索推广厨余垃圾处理技术和标准，提升厨余垃圾无害化处理和资源化利用水平。</w:t>
      </w:r>
      <w:r>
        <w:rPr>
          <w:rFonts w:hint="eastAsia" w:ascii="楷体_GB2312" w:hAnsi="楷体_GB2312" w:eastAsia="楷体_GB2312" w:cs="楷体_GB2312"/>
          <w:color w:val="auto"/>
          <w:sz w:val="32"/>
          <w:szCs w:val="32"/>
          <w:lang w:eastAsia="zh-CN"/>
        </w:rPr>
        <w:t>（区教体局</w:t>
      </w:r>
      <w:r>
        <w:rPr>
          <w:rFonts w:hint="eastAsia" w:ascii="楷体_GB2312" w:hAnsi="楷体_GB2312" w:eastAsia="楷体_GB2312" w:cs="楷体_GB2312"/>
          <w:color w:val="auto"/>
          <w:sz w:val="32"/>
          <w:szCs w:val="32"/>
          <w:lang w:val="en-US" w:eastAsia="zh-CN"/>
        </w:rPr>
        <w:t>、区民政局、区</w:t>
      </w:r>
      <w:r>
        <w:rPr>
          <w:rFonts w:hint="eastAsia" w:ascii="楷体_GB2312" w:hAnsi="楷体_GB2312" w:eastAsia="楷体_GB2312" w:cs="楷体_GB2312"/>
          <w:b w:val="0"/>
          <w:bCs w:val="0"/>
          <w:color w:val="auto"/>
          <w:sz w:val="32"/>
          <w:szCs w:val="32"/>
          <w:highlight w:val="none"/>
          <w:lang w:val="en-US" w:eastAsia="zh-CN"/>
        </w:rPr>
        <w:t>商务局、区市场监管局</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区综合行政执法局</w:t>
      </w:r>
      <w:r>
        <w:rPr>
          <w:rFonts w:hint="eastAsia" w:ascii="楷体_GB2312" w:hAnsi="楷体_GB2312" w:eastAsia="楷体_GB2312" w:cs="楷体_GB2312"/>
          <w:b w:val="0"/>
          <w:bCs w:val="0"/>
          <w:color w:val="auto"/>
          <w:sz w:val="32"/>
          <w:szCs w:val="32"/>
          <w:highlight w:val="none"/>
          <w:lang w:val="en-US" w:eastAsia="zh-Hans"/>
        </w:rPr>
        <w:t>按职责分工负责</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楷体_GB2312" w:cs="Times New Roman"/>
          <w:b w:val="0"/>
          <w:bCs w:val="0"/>
          <w:color w:val="auto"/>
          <w:sz w:val="32"/>
          <w:szCs w:val="32"/>
          <w:highlight w:val="none"/>
          <w:lang w:val="en-US" w:eastAsia="zh-CN"/>
        </w:rPr>
        <w:t>13</w:t>
      </w:r>
      <w:r>
        <w:rPr>
          <w:rFonts w:hint="eastAsia" w:ascii="楷体_GB2312" w:hAnsi="楷体_GB2312" w:eastAsia="楷体_GB2312" w:cs="楷体_GB2312"/>
          <w:b w:val="0"/>
          <w:bCs w:val="0"/>
          <w:color w:val="auto"/>
          <w:sz w:val="32"/>
          <w:szCs w:val="32"/>
          <w:highlight w:val="none"/>
          <w:lang w:val="en-US" w:eastAsia="zh-CN"/>
        </w:rPr>
        <w:t>.守护</w:t>
      </w:r>
      <w:r>
        <w:rPr>
          <w:rFonts w:hint="eastAsia" w:ascii="楷体_GB2312" w:hAnsi="楷体_GB2312" w:eastAsia="楷体_GB2312" w:cs="楷体_GB2312"/>
          <w:b w:val="0"/>
          <w:bCs w:val="0"/>
          <w:color w:val="auto"/>
          <w:sz w:val="32"/>
          <w:szCs w:val="32"/>
          <w:highlight w:val="none"/>
          <w:lang w:eastAsia="zh-CN"/>
        </w:rPr>
        <w:t>校园食品安全。</w:t>
      </w:r>
      <w:r>
        <w:rPr>
          <w:rFonts w:hint="eastAsia" w:ascii="仿宋_GB2312" w:hAnsi="仿宋_GB2312" w:eastAsia="仿宋_GB2312" w:cs="仿宋_GB2312"/>
          <w:b w:val="0"/>
          <w:bCs w:val="0"/>
          <w:color w:val="auto"/>
          <w:sz w:val="32"/>
          <w:szCs w:val="32"/>
          <w:lang w:val="en-US" w:eastAsia="zh-CN"/>
        </w:rPr>
        <w:t>推动全面落实学校食品安全校长（园长）责任制。</w:t>
      </w:r>
      <w:r>
        <w:rPr>
          <w:rFonts w:hint="eastAsia" w:ascii="仿宋_GB2312" w:hAnsi="仿宋_GB2312" w:eastAsia="仿宋_GB2312" w:cs="仿宋_GB2312"/>
          <w:b w:val="0"/>
          <w:bCs w:val="0"/>
          <w:i w:val="0"/>
          <w:iCs w:val="0"/>
          <w:color w:val="auto"/>
          <w:sz w:val="32"/>
          <w:szCs w:val="32"/>
          <w:lang w:val="en-US" w:eastAsia="zh-CN"/>
        </w:rPr>
        <w:t>组织开展开学季</w:t>
      </w:r>
      <w:r>
        <w:rPr>
          <w:rStyle w:val="17"/>
          <w:rFonts w:hint="eastAsia" w:ascii="仿宋_GB2312" w:hAnsi="仿宋_GB2312" w:eastAsia="仿宋_GB2312" w:cs="仿宋_GB2312"/>
          <w:i w:val="0"/>
          <w:iCs w:val="0"/>
          <w:color w:val="auto"/>
          <w:kern w:val="0"/>
          <w:sz w:val="32"/>
          <w:szCs w:val="32"/>
          <w:lang w:val="en-US" w:eastAsia="zh-CN" w:bidi="ar"/>
        </w:rPr>
        <w:t>校园及周边食品安全</w:t>
      </w:r>
      <w:r>
        <w:rPr>
          <w:rFonts w:hint="eastAsia" w:ascii="仿宋_GB2312" w:hAnsi="仿宋_GB2312" w:eastAsia="仿宋_GB2312" w:cs="仿宋_GB2312"/>
          <w:b w:val="0"/>
          <w:bCs w:val="0"/>
          <w:i w:val="0"/>
          <w:iCs w:val="0"/>
          <w:color w:val="auto"/>
          <w:sz w:val="32"/>
          <w:szCs w:val="32"/>
          <w:lang w:val="en-US" w:eastAsia="zh-CN"/>
        </w:rPr>
        <w:t>全覆盖</w:t>
      </w:r>
      <w:r>
        <w:rPr>
          <w:rStyle w:val="17"/>
          <w:rFonts w:hint="eastAsia" w:ascii="仿宋_GB2312" w:hAnsi="仿宋_GB2312" w:eastAsia="仿宋_GB2312" w:cs="仿宋_GB2312"/>
          <w:i w:val="0"/>
          <w:iCs w:val="0"/>
          <w:color w:val="auto"/>
          <w:kern w:val="0"/>
          <w:sz w:val="32"/>
          <w:szCs w:val="32"/>
          <w:lang w:val="en-US" w:eastAsia="zh-CN" w:bidi="ar"/>
        </w:rPr>
        <w:t>风险隐患排查。以学校（托幼机构、校外供餐单位）负责人、食品安全总监、食品安全员和从业人员为重点，每半年开展</w:t>
      </w:r>
      <w:r>
        <w:rPr>
          <w:rStyle w:val="17"/>
          <w:rFonts w:hint="default" w:ascii="Times New Roman" w:hAnsi="Times New Roman" w:eastAsia="仿宋_GB2312" w:cs="Times New Roman"/>
          <w:i w:val="0"/>
          <w:iCs w:val="0"/>
          <w:color w:val="auto"/>
          <w:kern w:val="0"/>
          <w:sz w:val="32"/>
          <w:szCs w:val="32"/>
          <w:lang w:val="en-US" w:eastAsia="zh-CN" w:bidi="ar"/>
        </w:rPr>
        <w:t>1</w:t>
      </w:r>
      <w:r>
        <w:rPr>
          <w:rStyle w:val="17"/>
          <w:rFonts w:hint="eastAsia" w:ascii="仿宋_GB2312" w:hAnsi="仿宋_GB2312" w:eastAsia="仿宋_GB2312" w:cs="仿宋_GB2312"/>
          <w:i w:val="0"/>
          <w:iCs w:val="0"/>
          <w:color w:val="auto"/>
          <w:kern w:val="0"/>
          <w:sz w:val="32"/>
          <w:szCs w:val="32"/>
          <w:lang w:val="en-US" w:eastAsia="zh-CN" w:bidi="ar"/>
        </w:rPr>
        <w:t>次集中培训。</w:t>
      </w:r>
      <w:r>
        <w:rPr>
          <w:rFonts w:hint="eastAsia" w:ascii="仿宋_GB2312" w:hAnsi="仿宋_GB2312" w:eastAsia="仿宋_GB2312" w:cs="仿宋_GB2312"/>
          <w:b w:val="0"/>
          <w:bCs w:val="0"/>
          <w:color w:val="auto"/>
          <w:sz w:val="32"/>
          <w:szCs w:val="32"/>
          <w:lang w:val="en-US" w:eastAsia="zh-CN"/>
        </w:rPr>
        <w:t>保持校外供餐单位“互联网+明厨亮灶”全覆盖，</w:t>
      </w:r>
      <w:r>
        <w:rPr>
          <w:rFonts w:hint="eastAsia" w:ascii="仿宋_GB2312" w:hAnsi="仿宋_GB2312" w:eastAsia="仿宋_GB2312" w:cs="仿宋_GB2312"/>
          <w:b w:val="0"/>
          <w:bCs w:val="0"/>
          <w:color w:val="auto"/>
          <w:sz w:val="32"/>
          <w:szCs w:val="32"/>
          <w:shd w:val="clear"/>
          <w:lang w:val="en-US" w:eastAsia="zh-CN"/>
        </w:rPr>
        <w:t>提升食品安全管理水平</w:t>
      </w:r>
      <w:r>
        <w:rPr>
          <w:rFonts w:hint="eastAsia" w:ascii="仿宋_GB2312" w:hAnsi="仿宋_GB2312" w:eastAsia="仿宋_GB2312" w:cs="仿宋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区教体局</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区公安分局、区卫生健康局</w:t>
      </w:r>
      <w:r>
        <w:rPr>
          <w:rFonts w:hint="eastAsia" w:ascii="楷体_GB2312" w:hAnsi="楷体_GB2312" w:eastAsia="楷体_GB2312" w:cs="楷体_GB2312"/>
          <w:b w:val="0"/>
          <w:bCs w:val="0"/>
          <w:color w:val="auto"/>
          <w:sz w:val="32"/>
          <w:szCs w:val="32"/>
          <w:highlight w:val="none"/>
          <w:lang w:eastAsia="zh-Hans"/>
        </w:rPr>
        <w:t>、</w:t>
      </w:r>
      <w:r>
        <w:rPr>
          <w:rFonts w:hint="eastAsia" w:ascii="楷体_GB2312" w:hAnsi="楷体_GB2312" w:eastAsia="楷体_GB2312" w:cs="楷体_GB2312"/>
          <w:b w:val="0"/>
          <w:bCs w:val="0"/>
          <w:color w:val="auto"/>
          <w:sz w:val="32"/>
          <w:szCs w:val="32"/>
          <w:highlight w:val="none"/>
          <w:lang w:val="en-US" w:eastAsia="zh-CN"/>
        </w:rPr>
        <w:t>区市场监管局</w:t>
      </w:r>
      <w:r>
        <w:rPr>
          <w:rFonts w:hint="eastAsia" w:ascii="楷体_GB2312" w:hAnsi="楷体_GB2312" w:eastAsia="楷体_GB2312" w:cs="楷体_GB2312"/>
          <w:b w:val="0"/>
          <w:bCs w:val="0"/>
          <w:color w:val="auto"/>
          <w:sz w:val="32"/>
          <w:szCs w:val="32"/>
          <w:highlight w:val="none"/>
          <w:lang w:val="en-US" w:eastAsia="zh-Hans"/>
        </w:rPr>
        <w:t>按职责分工负责</w:t>
      </w:r>
      <w:r>
        <w:rPr>
          <w:rFonts w:hint="eastAsia" w:ascii="楷体_GB2312" w:hAnsi="楷体_GB2312" w:eastAsia="楷体_GB2312" w:cs="楷体_GB2312"/>
          <w:b w:val="0"/>
          <w:bCs w:val="0"/>
          <w:color w:val="auto"/>
          <w:sz w:val="32"/>
          <w:szCs w:val="32"/>
          <w:highlight w:val="none"/>
          <w:lang w:eastAsia="zh-Hans"/>
        </w:rPr>
        <w:t>）</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40" w:firstLineChars="200"/>
        <w:jc w:val="left"/>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kern w:val="2"/>
          <w:sz w:val="32"/>
          <w:szCs w:val="32"/>
          <w:highlight w:val="none"/>
          <w:u w:val="none"/>
          <w:vertAlign w:val="baseline"/>
          <w:lang w:val="en-US" w:eastAsia="zh-CN" w:bidi="ar-SA"/>
        </w:rPr>
        <w:t>14</w:t>
      </w:r>
      <w:r>
        <w:rPr>
          <w:rFonts w:hint="eastAsia" w:ascii="楷体_GB2312" w:hAnsi="楷体_GB2312" w:eastAsia="楷体_GB2312" w:cs="楷体_GB2312"/>
          <w:color w:val="auto"/>
          <w:kern w:val="2"/>
          <w:sz w:val="32"/>
          <w:szCs w:val="32"/>
          <w:highlight w:val="none"/>
          <w:u w:val="none"/>
          <w:vertAlign w:val="baseline"/>
          <w:lang w:val="en-US" w:eastAsia="zh-CN" w:bidi="ar-SA"/>
        </w:rPr>
        <w:t>.推进</w:t>
      </w:r>
      <w:r>
        <w:rPr>
          <w:rFonts w:hint="eastAsia" w:ascii="楷体_GB2312" w:hAnsi="楷体_GB2312" w:eastAsia="楷体_GB2312" w:cs="楷体_GB2312"/>
          <w:color w:val="auto"/>
          <w:kern w:val="2"/>
          <w:sz w:val="32"/>
          <w:szCs w:val="32"/>
          <w:highlight w:val="none"/>
          <w:u w:val="none"/>
          <w:vertAlign w:val="baseline"/>
          <w:lang w:val="en-US" w:eastAsia="zh-Hans" w:bidi="ar-SA"/>
        </w:rPr>
        <w:t>特殊食品“双升”</w:t>
      </w:r>
      <w:r>
        <w:rPr>
          <w:rFonts w:hint="eastAsia" w:ascii="楷体_GB2312" w:hAnsi="楷体_GB2312" w:eastAsia="楷体_GB2312" w:cs="楷体_GB2312"/>
          <w:color w:val="auto"/>
          <w:kern w:val="2"/>
          <w:sz w:val="32"/>
          <w:szCs w:val="32"/>
          <w:highlight w:val="none"/>
          <w:u w:val="none"/>
          <w:vertAlign w:val="baseline"/>
          <w:lang w:val="en-US" w:eastAsia="zh-CN" w:bidi="ar-SA"/>
        </w:rPr>
        <w:t>（</w:t>
      </w:r>
      <w:r>
        <w:rPr>
          <w:rFonts w:hint="eastAsia" w:ascii="楷体_GB2312" w:hAnsi="楷体_GB2312" w:eastAsia="楷体_GB2312" w:cs="楷体_GB2312"/>
          <w:color w:val="auto"/>
          <w:kern w:val="2"/>
          <w:sz w:val="32"/>
          <w:szCs w:val="32"/>
          <w:highlight w:val="none"/>
          <w:u w:val="none"/>
          <w:vertAlign w:val="baseline"/>
          <w:lang w:val="en-US" w:eastAsia="zh-Hans" w:bidi="ar-SA"/>
        </w:rPr>
        <w:t>质量安全管理水平和监管水平提升</w:t>
      </w:r>
      <w:r>
        <w:rPr>
          <w:rFonts w:hint="eastAsia" w:ascii="楷体_GB2312" w:hAnsi="楷体_GB2312" w:eastAsia="楷体_GB2312" w:cs="楷体_GB2312"/>
          <w:color w:val="auto"/>
          <w:kern w:val="2"/>
          <w:sz w:val="32"/>
          <w:szCs w:val="32"/>
          <w:highlight w:val="none"/>
          <w:u w:val="none"/>
          <w:vertAlign w:val="baseline"/>
          <w:lang w:val="en-US" w:eastAsia="zh-CN" w:bidi="ar-SA"/>
        </w:rPr>
        <w:t>）</w:t>
      </w:r>
      <w:r>
        <w:rPr>
          <w:rFonts w:hint="eastAsia" w:ascii="楷体_GB2312" w:hAnsi="楷体_GB2312" w:eastAsia="楷体_GB2312" w:cs="楷体_GB2312"/>
          <w:color w:val="auto"/>
          <w:kern w:val="2"/>
          <w:sz w:val="32"/>
          <w:szCs w:val="32"/>
          <w:highlight w:val="none"/>
          <w:u w:val="none"/>
          <w:vertAlign w:val="baseline"/>
          <w:lang w:val="en-US" w:eastAsia="zh-Hans" w:bidi="ar-SA"/>
        </w:rPr>
        <w:t>工程</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深化特殊食品生产企业“三标”行动，强化员工培训考核。完善“一企一档”，持续推进特殊食品生产企业体系检查，</w:t>
      </w:r>
      <w:r>
        <w:rPr>
          <w:rFonts w:hint="eastAsia" w:ascii="仿宋_GB2312" w:hAnsi="仿宋_GB2312" w:eastAsia="仿宋_GB2312" w:cs="仿宋_GB2312"/>
          <w:b w:val="0"/>
          <w:bCs w:val="0"/>
          <w:color w:val="auto"/>
          <w:sz w:val="32"/>
          <w:szCs w:val="32"/>
          <w:highlight w:val="none"/>
          <w:lang w:val="en-US" w:eastAsia="zh-CN"/>
        </w:rPr>
        <w:t>对省市场监管局检查发现的问题，进行整改复查，确保发现问题及时整改落实到位</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lang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eastAsia="zh-CN"/>
        </w:rPr>
        <w:t>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五、持续提高监管效能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Hans"/>
        </w:rPr>
      </w:pPr>
      <w:r>
        <w:rPr>
          <w:rFonts w:hint="default" w:ascii="Times New Roman" w:hAnsi="Times New Roman" w:eastAsia="楷体_GB2312" w:cs="Times New Roman"/>
          <w:b w:val="0"/>
          <w:bCs w:val="0"/>
          <w:color w:val="auto"/>
          <w:sz w:val="32"/>
          <w:szCs w:val="32"/>
          <w:highlight w:val="none"/>
          <w:lang w:val="en-US" w:eastAsia="zh-CN"/>
        </w:rPr>
        <w:t>15</w:t>
      </w:r>
      <w:r>
        <w:rPr>
          <w:rFonts w:hint="eastAsia"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Hans"/>
        </w:rPr>
        <w:t>健全</w:t>
      </w:r>
      <w:r>
        <w:rPr>
          <w:rFonts w:hint="eastAsia" w:ascii="楷体_GB2312" w:hAnsi="楷体_GB2312" w:eastAsia="楷体_GB2312" w:cs="楷体_GB2312"/>
          <w:b w:val="0"/>
          <w:bCs w:val="0"/>
          <w:color w:val="auto"/>
          <w:sz w:val="32"/>
          <w:szCs w:val="32"/>
          <w:highlight w:val="none"/>
          <w:lang w:val="en-US" w:eastAsia="zh-CN"/>
        </w:rPr>
        <w:t>制度体系</w:t>
      </w:r>
      <w:r>
        <w:rPr>
          <w:rFonts w:hint="eastAsia" w:ascii="楷体_GB2312" w:hAnsi="楷体_GB2312" w:eastAsia="楷体_GB2312" w:cs="楷体_GB2312"/>
          <w:b w:val="0"/>
          <w:bCs w:val="0"/>
          <w:color w:val="auto"/>
          <w:sz w:val="32"/>
          <w:szCs w:val="32"/>
          <w:highlight w:val="none"/>
          <w:lang w:val="en-US" w:eastAsia="zh-Hans"/>
        </w:rPr>
        <w:t>。</w:t>
      </w:r>
      <w:r>
        <w:rPr>
          <w:rFonts w:hint="eastAsia" w:ascii="仿宋_GB2312" w:hAnsi="仿宋_GB2312" w:eastAsia="仿宋_GB2312" w:cs="仿宋_GB2312"/>
          <w:color w:val="auto"/>
          <w:sz w:val="32"/>
          <w:szCs w:val="32"/>
          <w:lang w:val="en-US" w:eastAsia="zh-CN"/>
        </w:rPr>
        <w:t>研究制定《“食安山东”建设三年提升行动计划</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2023-2025年</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》落实方案，出台食品安全工作约谈暂行办法和食品安全重大事项督促落实办法</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楷体_GB2312" w:cs="Times New Roman"/>
          <w:b w:val="0"/>
          <w:bCs w:val="0"/>
          <w:color w:val="auto"/>
          <w:sz w:val="32"/>
          <w:szCs w:val="32"/>
          <w:highlight w:val="none"/>
          <w:lang w:val="en-US"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食药安办</w:t>
      </w:r>
      <w:r>
        <w:rPr>
          <w:rFonts w:hint="default" w:ascii="Times New Roman" w:hAnsi="Times New Roman" w:eastAsia="楷体_GB2312" w:cs="Times New Roman"/>
          <w:b w:val="0"/>
          <w:bCs w:val="0"/>
          <w:color w:val="auto"/>
          <w:sz w:val="32"/>
          <w:szCs w:val="32"/>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sz w:val="32"/>
          <w:szCs w:val="32"/>
          <w:lang w:val="en-US" w:eastAsia="zh-CN"/>
        </w:rPr>
        <w:t>16</w:t>
      </w:r>
      <w:r>
        <w:rPr>
          <w:rFonts w:hint="eastAsia" w:ascii="楷体_GB2312" w:hAnsi="楷体_GB2312" w:eastAsia="楷体_GB2312" w:cs="楷体_GB2312"/>
          <w:color w:val="auto"/>
          <w:sz w:val="32"/>
          <w:szCs w:val="32"/>
          <w:lang w:val="en-US" w:eastAsia="zh-CN"/>
        </w:rPr>
        <w:t>.强化智慧监管。</w:t>
      </w:r>
      <w:r>
        <w:rPr>
          <w:rFonts w:hint="eastAsia" w:ascii="仿宋_GB2312" w:hAnsi="仿宋_GB2312" w:eastAsia="仿宋_GB2312" w:cs="仿宋_GB2312"/>
          <w:b w:val="0"/>
          <w:bCs w:val="0"/>
          <w:color w:val="auto"/>
          <w:sz w:val="32"/>
          <w:szCs w:val="32"/>
          <w:lang w:val="en-US" w:eastAsia="zh-CN"/>
        </w:rPr>
        <w:t>持续推进智慧市场监管一体化平台充分应用、应用尽用，完善平台功能。</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eastAsia="zh-CN"/>
        </w:rPr>
        <w:t>市场监管局）</w:t>
      </w:r>
      <w:r>
        <w:rPr>
          <w:rFonts w:hint="eastAsia" w:ascii="仿宋_GB2312" w:hAnsi="仿宋_GB2312" w:eastAsia="仿宋_GB2312" w:cs="仿宋_GB2312"/>
          <w:b w:val="0"/>
          <w:bCs w:val="0"/>
          <w:color w:val="auto"/>
          <w:sz w:val="32"/>
          <w:szCs w:val="32"/>
          <w:lang w:val="en-US" w:eastAsia="zh-CN"/>
        </w:rPr>
        <w:t>加强农产品质量追溯体系和信用体系建设，持续推进食品安全追溯系统推广应用。</w:t>
      </w:r>
      <w:r>
        <w:rPr>
          <w:rFonts w:hint="eastAsia" w:ascii="楷体_GB2312" w:hAnsi="楷体_GB2312" w:eastAsia="楷体_GB2312" w:cs="楷体_GB2312"/>
          <w:color w:val="auto"/>
          <w:kern w:val="0"/>
          <w:sz w:val="32"/>
          <w:szCs w:val="32"/>
          <w:lang w:val="en-US" w:eastAsia="zh-CN" w:bidi="ar-SA"/>
        </w:rPr>
        <w:t>（区自然资源局、区农业农村局、区市场监管局按职责分工负责）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楷体_GB2312" w:cs="Times New Roman"/>
          <w:color w:val="auto"/>
          <w:kern w:val="0"/>
          <w:sz w:val="32"/>
          <w:szCs w:val="32"/>
          <w:lang w:val="en-US" w:eastAsia="zh-CN" w:bidi="ar-SA"/>
        </w:rPr>
      </w:pPr>
      <w:r>
        <w:rPr>
          <w:rFonts w:hint="default" w:ascii="Times New Roman" w:hAnsi="Times New Roman" w:eastAsia="楷体_GB2312" w:cs="Times New Roman"/>
          <w:color w:val="auto"/>
          <w:kern w:val="0"/>
          <w:sz w:val="32"/>
          <w:szCs w:val="32"/>
          <w:lang w:val="en-US" w:eastAsia="zh-CN" w:bidi="ar-SA"/>
        </w:rPr>
        <w:t>17</w:t>
      </w:r>
      <w:r>
        <w:rPr>
          <w:rFonts w:hint="eastAsia" w:ascii="楷体_GB2312" w:hAnsi="楷体_GB2312" w:eastAsia="楷体_GB2312" w:cs="楷体_GB2312"/>
          <w:color w:val="auto"/>
          <w:kern w:val="0"/>
          <w:sz w:val="32"/>
          <w:szCs w:val="32"/>
          <w:lang w:val="en-US" w:eastAsia="zh-CN" w:bidi="ar-SA"/>
        </w:rPr>
        <w:t>.实施信用管理。</w:t>
      </w:r>
      <w:r>
        <w:rPr>
          <w:rFonts w:hint="eastAsia" w:ascii="仿宋_GB2312" w:hAnsi="仿宋_GB2312" w:eastAsia="仿宋_GB2312" w:cs="仿宋_GB2312"/>
          <w:color w:val="auto"/>
          <w:kern w:val="0"/>
          <w:sz w:val="32"/>
          <w:szCs w:val="32"/>
          <w:lang w:val="en-US" w:eastAsia="zh-CN" w:bidi="ar-SA"/>
        </w:rPr>
        <w:t>建立完善食品生产经营企业信用档案，实行食品生产经营企业信用分级分类管理。将抽检不合格信息、行政处罚信息等依法归集至山东省公共信用信息平台和国家企业信用信息公示系统，依法依规将食品领域严重违法失信市场主体列入严重违法失信名单。</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w:t>
      </w:r>
      <w:r>
        <w:rPr>
          <w:rFonts w:hint="default" w:ascii="Times New Roman" w:hAnsi="Times New Roman" w:eastAsia="楷体_GB2312" w:cs="Times New Roman"/>
          <w:color w:val="auto"/>
          <w:kern w:val="0"/>
          <w:sz w:val="32"/>
          <w:szCs w:val="32"/>
          <w:lang w:val="en-US" w:eastAsia="zh-CN" w:bidi="ar-SA"/>
        </w:rPr>
        <w:t>市场监管局）</w:t>
      </w:r>
      <w:r>
        <w:rPr>
          <w:rFonts w:hint="eastAsia" w:ascii="仿宋_GB2312" w:hAnsi="仿宋_GB2312" w:eastAsia="仿宋_GB2312" w:cs="仿宋_GB2312"/>
          <w:color w:val="auto"/>
          <w:kern w:val="0"/>
          <w:sz w:val="32"/>
          <w:szCs w:val="32"/>
          <w:lang w:val="en-US" w:eastAsia="zh-CN" w:bidi="ar-SA"/>
        </w:rPr>
        <w:t>推动食品工业诚信体系建设。</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w:t>
      </w:r>
      <w:r>
        <w:rPr>
          <w:rFonts w:hint="default" w:ascii="Times New Roman" w:hAnsi="Times New Roman" w:eastAsia="楷体_GB2312" w:cs="Times New Roman"/>
          <w:color w:val="auto"/>
          <w:kern w:val="0"/>
          <w:sz w:val="32"/>
          <w:szCs w:val="32"/>
          <w:lang w:val="en-US" w:eastAsia="zh-CN" w:bidi="ar-SA"/>
        </w:rPr>
        <w:t>工业和信息化局）</w:t>
      </w:r>
      <w:r>
        <w:rPr>
          <w:rFonts w:hint="eastAsia" w:ascii="仿宋_GB2312" w:hAnsi="仿宋_GB2312" w:eastAsia="仿宋_GB2312" w:cs="仿宋_GB2312"/>
          <w:color w:val="auto"/>
          <w:kern w:val="0"/>
          <w:sz w:val="32"/>
          <w:szCs w:val="32"/>
          <w:lang w:val="en-US" w:eastAsia="zh-CN" w:bidi="ar-SA"/>
        </w:rPr>
        <w:t>对农产品生产主体实施风险分级动态管理。</w:t>
      </w:r>
      <w:r>
        <w:rPr>
          <w:rFonts w:hint="default" w:ascii="Times New Roman" w:hAnsi="Times New Roman" w:eastAsia="楷体_GB2312" w:cs="Times New Roman"/>
          <w:color w:val="auto"/>
          <w:kern w:val="0"/>
          <w:sz w:val="32"/>
          <w:szCs w:val="32"/>
          <w:lang w:val="en-US" w:eastAsia="zh-CN" w:bidi="ar-SA"/>
        </w:rPr>
        <w:t>（</w:t>
      </w:r>
      <w:r>
        <w:rPr>
          <w:rFonts w:hint="eastAsia" w:ascii="Times New Roman" w:hAnsi="Times New Roman" w:eastAsia="楷体_GB2312" w:cs="Times New Roman"/>
          <w:color w:val="auto"/>
          <w:kern w:val="0"/>
          <w:sz w:val="32"/>
          <w:szCs w:val="32"/>
          <w:lang w:val="en-US" w:eastAsia="zh-CN" w:bidi="ar-SA"/>
        </w:rPr>
        <w:t>区</w:t>
      </w:r>
      <w:r>
        <w:rPr>
          <w:rFonts w:hint="default" w:ascii="Times New Roman" w:hAnsi="Times New Roman" w:eastAsia="楷体_GB2312" w:cs="Times New Roman"/>
          <w:color w:val="auto"/>
          <w:kern w:val="0"/>
          <w:sz w:val="32"/>
          <w:szCs w:val="32"/>
          <w:lang w:val="en-US" w:eastAsia="zh-CN" w:bidi="ar-SA"/>
        </w:rPr>
        <w:t>农业农村局）</w:t>
      </w:r>
    </w:p>
    <w:p>
      <w:pPr>
        <w:pStyle w:val="2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b w:val="0"/>
          <w:bCs w:val="0"/>
          <w:color w:val="auto"/>
          <w:spacing w:val="0"/>
          <w:sz w:val="32"/>
          <w:szCs w:val="32"/>
          <w:highlight w:val="none"/>
          <w:lang w:val="en-US" w:eastAsia="zh-CN"/>
        </w:rPr>
        <w:t>18</w:t>
      </w:r>
      <w:r>
        <w:rPr>
          <w:rFonts w:hint="eastAsia" w:ascii="楷体_GB2312" w:hAnsi="楷体_GB2312" w:eastAsia="楷体_GB2312" w:cs="楷体_GB2312"/>
          <w:b w:val="0"/>
          <w:bCs w:val="0"/>
          <w:color w:val="auto"/>
          <w:spacing w:val="0"/>
          <w:sz w:val="32"/>
          <w:szCs w:val="32"/>
          <w:highlight w:val="none"/>
          <w:lang w:val="en-US" w:eastAsia="zh-CN"/>
        </w:rPr>
        <w:t>.完善监管机制</w:t>
      </w:r>
      <w:r>
        <w:rPr>
          <w:rFonts w:hint="eastAsia" w:ascii="楷体_GB2312" w:hAnsi="楷体_GB2312" w:eastAsia="楷体_GB2312" w:cs="楷体_GB2312"/>
          <w:b w:val="0"/>
          <w:bCs w:val="0"/>
          <w:color w:val="auto"/>
          <w:spacing w:val="0"/>
          <w:sz w:val="32"/>
          <w:szCs w:val="32"/>
        </w:rPr>
        <w:t>。</w:t>
      </w:r>
      <w:r>
        <w:rPr>
          <w:rFonts w:hint="eastAsia" w:ascii="仿宋_GB2312" w:hAnsi="仿宋_GB2312" w:eastAsia="仿宋_GB2312" w:cs="仿宋_GB2312"/>
          <w:color w:val="auto"/>
          <w:kern w:val="2"/>
          <w:sz w:val="32"/>
          <w:szCs w:val="32"/>
          <w:lang w:val="en-US" w:eastAsia="zh-CN" w:bidi="ar-SA"/>
        </w:rPr>
        <w:t>持续加强食品生产安全风险隐患排查防控，</w:t>
      </w:r>
      <w:r>
        <w:rPr>
          <w:rFonts w:hint="eastAsia" w:ascii="仿宋_GB2312" w:hAnsi="仿宋_GB2312" w:eastAsia="仿宋_GB2312" w:cs="仿宋_GB2312"/>
          <w:i w:val="0"/>
          <w:caps w:val="0"/>
          <w:color w:val="auto"/>
          <w:spacing w:val="0"/>
          <w:sz w:val="32"/>
          <w:szCs w:val="32"/>
          <w:shd w:val="clear"/>
          <w:lang w:eastAsia="zh-CN"/>
        </w:rPr>
        <w:t>按照</w:t>
      </w:r>
      <w:r>
        <w:rPr>
          <w:rFonts w:hint="eastAsia" w:ascii="仿宋_GB2312" w:hAnsi="仿宋_GB2312" w:eastAsia="仿宋_GB2312" w:cs="仿宋_GB2312"/>
          <w:i w:val="0"/>
          <w:caps w:val="0"/>
          <w:color w:val="auto"/>
          <w:spacing w:val="0"/>
          <w:sz w:val="32"/>
          <w:szCs w:val="32"/>
          <w:shd w:val="clear"/>
        </w:rPr>
        <w:t>“一企一档”“一域一档”“一品一策”</w:t>
      </w:r>
      <w:r>
        <w:rPr>
          <w:rFonts w:hint="eastAsia" w:ascii="仿宋_GB2312" w:hAnsi="仿宋_GB2312" w:eastAsia="仿宋_GB2312" w:cs="仿宋_GB2312"/>
          <w:i w:val="0"/>
          <w:caps w:val="0"/>
          <w:color w:val="auto"/>
          <w:spacing w:val="0"/>
          <w:sz w:val="32"/>
          <w:szCs w:val="32"/>
          <w:shd w:val="clear"/>
          <w:lang w:eastAsia="zh-CN"/>
        </w:rPr>
        <w:t>原则，建立</w:t>
      </w:r>
      <w:r>
        <w:rPr>
          <w:rFonts w:hint="eastAsia" w:ascii="仿宋_GB2312" w:hAnsi="仿宋_GB2312" w:eastAsia="仿宋_GB2312" w:cs="仿宋_GB2312"/>
          <w:i w:val="0"/>
          <w:caps w:val="0"/>
          <w:color w:val="auto"/>
          <w:spacing w:val="0"/>
          <w:sz w:val="32"/>
          <w:szCs w:val="32"/>
          <w:shd w:val="clear"/>
        </w:rPr>
        <w:t>风险清单、措施清单和责任清单</w:t>
      </w:r>
      <w:r>
        <w:rPr>
          <w:rFonts w:hint="eastAsia" w:ascii="仿宋_GB2312" w:hAnsi="仿宋_GB2312" w:eastAsia="仿宋_GB2312" w:cs="仿宋_GB2312"/>
          <w:color w:val="auto"/>
          <w:kern w:val="0"/>
          <w:sz w:val="32"/>
          <w:szCs w:val="32"/>
          <w:shd w:val="clear"/>
          <w:lang w:eastAsia="zh-CN"/>
        </w:rPr>
        <w:t>。</w:t>
      </w:r>
      <w:r>
        <w:rPr>
          <w:rFonts w:hint="eastAsia" w:ascii="仿宋_GB2312" w:hAnsi="仿宋_GB2312" w:eastAsia="仿宋_GB2312" w:cs="仿宋_GB2312"/>
          <w:color w:val="auto"/>
          <w:sz w:val="32"/>
          <w:szCs w:val="32"/>
          <w:shd w:val="clear" w:color="auto" w:fill="FFFFFF"/>
          <w:lang w:eastAsia="zh-CN"/>
        </w:rPr>
        <w:t>深入</w:t>
      </w:r>
      <w:r>
        <w:rPr>
          <w:rFonts w:hint="eastAsia" w:ascii="仿宋_GB2312" w:hAnsi="仿宋_GB2312" w:eastAsia="仿宋_GB2312" w:cs="仿宋_GB2312"/>
          <w:color w:val="auto"/>
          <w:sz w:val="32"/>
          <w:szCs w:val="32"/>
          <w:shd w:val="clear" w:color="auto" w:fill="FFFFFF"/>
          <w:lang w:val="en-US" w:eastAsia="zh-CN"/>
        </w:rPr>
        <w:t>推动实施企业标准“领跑者”工作。</w:t>
      </w:r>
      <w:r>
        <w:rPr>
          <w:rFonts w:hint="eastAsia" w:ascii="仿宋_GB2312" w:hAnsi="仿宋_GB2312" w:eastAsia="仿宋_GB2312" w:cs="仿宋_GB2312"/>
          <w:color w:val="auto"/>
          <w:kern w:val="2"/>
          <w:sz w:val="32"/>
          <w:szCs w:val="32"/>
          <w:lang w:val="en-US" w:eastAsia="zh-CN" w:bidi="ar-SA"/>
        </w:rPr>
        <w:t>贯彻落实《食品相关产品质量安全监督管理暂行办法》。开展自动制售、社区团购等新业态食品安全监管探索，强化线上线下一体化监管。</w:t>
      </w:r>
      <w:r>
        <w:rPr>
          <w:rFonts w:hint="default" w:ascii="Times New Roman" w:hAnsi="Times New Roman" w:eastAsia="楷体_GB2312" w:cs="Times New Roman"/>
          <w:color w:val="auto"/>
          <w:kern w:val="0"/>
          <w:sz w:val="32"/>
          <w:szCs w:val="32"/>
          <w:lang w:val="en-US" w:eastAsia="zh-CN"/>
        </w:rPr>
        <w:t>（</w:t>
      </w:r>
      <w:r>
        <w:rPr>
          <w:rFonts w:hint="eastAsia" w:ascii="Times New Roman" w:hAnsi="Times New Roman" w:eastAsia="楷体_GB2312" w:cs="Times New Roman"/>
          <w:color w:val="auto"/>
          <w:kern w:val="0"/>
          <w:sz w:val="32"/>
          <w:szCs w:val="32"/>
          <w:lang w:val="en-US" w:eastAsia="zh-CN"/>
        </w:rPr>
        <w:t>区</w:t>
      </w:r>
      <w:r>
        <w:rPr>
          <w:rFonts w:hint="default" w:ascii="Times New Roman" w:hAnsi="Times New Roman" w:eastAsia="楷体_GB2312" w:cs="Times New Roman"/>
          <w:color w:val="auto"/>
          <w:kern w:val="0"/>
          <w:sz w:val="32"/>
          <w:szCs w:val="32"/>
          <w:lang w:val="en-US" w:eastAsia="zh-CN"/>
        </w:rPr>
        <w:t>市场监管局）</w:t>
      </w:r>
      <w:r>
        <w:rPr>
          <w:rFonts w:hint="eastAsia" w:ascii="仿宋_GB2312" w:hAnsi="仿宋_GB2312" w:eastAsia="仿宋_GB2312" w:cs="仿宋_GB2312"/>
          <w:color w:val="auto"/>
          <w:kern w:val="0"/>
          <w:sz w:val="32"/>
          <w:szCs w:val="32"/>
          <w:lang w:val="en-US" w:eastAsia="zh-CN"/>
        </w:rPr>
        <w:t>加强冷链运输车辆管理和运输过程监管，提升冷链运输服务品质。</w:t>
      </w:r>
      <w:r>
        <w:rPr>
          <w:rFonts w:hint="default" w:ascii="Times New Roman" w:hAnsi="Times New Roman" w:eastAsia="楷体_GB2312" w:cs="Times New Roman"/>
          <w:b w:val="0"/>
          <w:bCs w:val="0"/>
          <w:color w:val="auto"/>
          <w:spacing w:val="0"/>
          <w:sz w:val="32"/>
          <w:szCs w:val="32"/>
          <w:lang w:eastAsia="zh-CN"/>
        </w:rPr>
        <w:t>（</w:t>
      </w:r>
      <w:r>
        <w:rPr>
          <w:rFonts w:hint="eastAsia" w:ascii="Times New Roman" w:hAnsi="Times New Roman" w:eastAsia="楷体_GB2312" w:cs="Times New Roman"/>
          <w:b w:val="0"/>
          <w:bCs w:val="0"/>
          <w:color w:val="auto"/>
          <w:spacing w:val="0"/>
          <w:sz w:val="32"/>
          <w:szCs w:val="32"/>
          <w:lang w:val="en-US" w:eastAsia="zh-CN"/>
        </w:rPr>
        <w:t>区</w:t>
      </w:r>
      <w:r>
        <w:rPr>
          <w:rFonts w:hint="default" w:ascii="Times New Roman" w:hAnsi="Times New Roman" w:eastAsia="楷体_GB2312" w:cs="Times New Roman"/>
          <w:b w:val="0"/>
          <w:bCs w:val="0"/>
          <w:color w:val="auto"/>
          <w:spacing w:val="0"/>
          <w:sz w:val="32"/>
          <w:szCs w:val="32"/>
          <w:highlight w:val="none"/>
          <w:lang w:val="en-US" w:eastAsia="zh-CN"/>
        </w:rPr>
        <w:t>交通运输局</w:t>
      </w:r>
      <w:r>
        <w:rPr>
          <w:rFonts w:hint="default" w:ascii="Times New Roman" w:hAnsi="Times New Roman" w:eastAsia="楷体_GB2312" w:cs="Times New Roman"/>
          <w:b w:val="0"/>
          <w:bCs w:val="0"/>
          <w:color w:val="auto"/>
          <w:spacing w:val="0"/>
          <w:sz w:val="32"/>
          <w:szCs w:val="32"/>
          <w:lang w:eastAsia="zh-CN"/>
        </w:rPr>
        <w:t>）</w:t>
      </w:r>
      <w:r>
        <w:rPr>
          <w:rFonts w:hint="eastAsia" w:ascii="仿宋_GB2312" w:hAnsi="仿宋_GB2312" w:eastAsia="仿宋_GB2312" w:cs="仿宋_GB2312"/>
          <w:color w:val="auto"/>
          <w:kern w:val="0"/>
          <w:sz w:val="32"/>
          <w:szCs w:val="32"/>
          <w:lang w:val="en-US" w:eastAsia="zh-CN" w:bidi="ar"/>
        </w:rPr>
        <w:t>推进食盐专营管理。</w:t>
      </w:r>
      <w:r>
        <w:rPr>
          <w:rFonts w:hint="default" w:ascii="Times New Roman" w:hAnsi="Times New Roman" w:eastAsia="楷体_GB2312" w:cs="Times New Roman"/>
          <w:color w:val="auto"/>
          <w:kern w:val="0"/>
          <w:sz w:val="32"/>
          <w:szCs w:val="32"/>
          <w:lang w:val="en-US" w:eastAsia="zh-CN" w:bidi="ar"/>
        </w:rPr>
        <w:t>（</w:t>
      </w:r>
      <w:r>
        <w:rPr>
          <w:rFonts w:hint="eastAsia" w:ascii="Times New Roman" w:hAnsi="Times New Roman" w:eastAsia="楷体_GB2312" w:cs="Times New Roman"/>
          <w:color w:val="auto"/>
          <w:kern w:val="0"/>
          <w:sz w:val="32"/>
          <w:szCs w:val="32"/>
          <w:lang w:val="en-US" w:eastAsia="zh-CN" w:bidi="ar"/>
        </w:rPr>
        <w:t>区</w:t>
      </w:r>
      <w:r>
        <w:rPr>
          <w:rFonts w:hint="default" w:ascii="Times New Roman" w:hAnsi="Times New Roman" w:eastAsia="楷体_GB2312" w:cs="Times New Roman"/>
          <w:color w:val="auto"/>
          <w:kern w:val="0"/>
          <w:sz w:val="32"/>
          <w:szCs w:val="32"/>
          <w:lang w:val="en-US" w:eastAsia="zh-CN" w:bidi="ar"/>
        </w:rPr>
        <w:t>工业和信息化局）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shd w:val="clear" w:color="auto" w:fill="FFFFFF"/>
          <w:lang w:val="en-US" w:eastAsia="zh-CN"/>
        </w:rPr>
        <w:t>19</w:t>
      </w:r>
      <w:r>
        <w:rPr>
          <w:rFonts w:hint="eastAsia" w:ascii="楷体_GB2312" w:hAnsi="楷体_GB2312" w:eastAsia="楷体_GB2312" w:cs="楷体_GB2312"/>
          <w:b w:val="0"/>
          <w:bCs w:val="0"/>
          <w:color w:val="auto"/>
          <w:sz w:val="32"/>
          <w:szCs w:val="32"/>
          <w:shd w:val="clear" w:color="auto" w:fill="FFFFFF"/>
          <w:lang w:val="en-US" w:eastAsia="zh-CN"/>
        </w:rPr>
        <w:t>.增强</w:t>
      </w:r>
      <w:r>
        <w:rPr>
          <w:rFonts w:hint="eastAsia" w:ascii="楷体_GB2312" w:hAnsi="楷体_GB2312" w:eastAsia="楷体_GB2312" w:cs="楷体_GB2312"/>
          <w:color w:val="auto"/>
          <w:sz w:val="32"/>
          <w:szCs w:val="32"/>
          <w:shd w:val="clear" w:color="auto" w:fill="FFFFFF"/>
        </w:rPr>
        <w:t>技术支撑</w:t>
      </w:r>
      <w:r>
        <w:rPr>
          <w:rFonts w:hint="eastAsia" w:ascii="楷体_GB2312" w:hAnsi="楷体_GB2312" w:eastAsia="楷体_GB2312" w:cs="楷体_GB2312"/>
          <w:color w:val="auto"/>
          <w:sz w:val="32"/>
          <w:szCs w:val="32"/>
          <w:shd w:val="clear" w:color="auto" w:fill="FFFFFF"/>
          <w:lang w:eastAsia="zh-CN"/>
        </w:rPr>
        <w:t>。</w:t>
      </w:r>
      <w:r>
        <w:rPr>
          <w:rFonts w:hint="eastAsia" w:ascii="仿宋_GB2312" w:hAnsi="仿宋_GB2312" w:eastAsia="仿宋_GB2312" w:cs="仿宋_GB2312"/>
          <w:color w:val="auto"/>
          <w:sz w:val="32"/>
          <w:szCs w:val="32"/>
        </w:rPr>
        <w:t>稳定和加强农产品质量安全检验检测体系，提升农产品质量安全检验检测能力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bidi="ar"/>
        </w:rPr>
        <w:t>集成推广绿色防控技术，从源头降低农药使用安全风险。</w:t>
      </w:r>
      <w:r>
        <w:rPr>
          <w:rFonts w:hint="eastAsia" w:ascii="仿宋_GB2312" w:hAnsi="仿宋_GB2312" w:eastAsia="仿宋_GB2312" w:cs="仿宋_GB2312"/>
          <w:color w:val="auto"/>
          <w:sz w:val="32"/>
          <w:szCs w:val="32"/>
          <w:lang w:eastAsia="zh-CN"/>
        </w:rPr>
        <w:t>积极推广常规农药快检技术。</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农业农村局</w:t>
      </w:r>
      <w:r>
        <w:rPr>
          <w:rFonts w:hint="default" w:ascii="Times New Roman" w:hAnsi="Times New Roman" w:eastAsia="楷体_GB2312" w:cs="Times New Roman"/>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大力推进食品安全关键技术研发，加强相关科技创新基地平台建设。</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区</w:t>
      </w:r>
      <w:r>
        <w:rPr>
          <w:rFonts w:hint="default" w:ascii="Times New Roman" w:hAnsi="Times New Roman" w:eastAsia="楷体_GB2312" w:cs="Times New Roman"/>
          <w:color w:val="auto"/>
          <w:kern w:val="2"/>
          <w:sz w:val="32"/>
          <w:szCs w:val="32"/>
          <w:lang w:val="en-US" w:eastAsia="zh-CN" w:bidi="ar-SA"/>
        </w:rPr>
        <w:t>科技局、</w:t>
      </w:r>
      <w:r>
        <w:rPr>
          <w:rFonts w:hint="eastAsia" w:ascii="Times New Roman" w:hAnsi="Times New Roman" w:eastAsia="楷体_GB2312" w:cs="Times New Roman"/>
          <w:color w:val="auto"/>
          <w:kern w:val="2"/>
          <w:sz w:val="32"/>
          <w:szCs w:val="32"/>
          <w:lang w:val="en-US" w:eastAsia="zh-CN" w:bidi="ar-SA"/>
        </w:rPr>
        <w:t>区</w:t>
      </w:r>
      <w:r>
        <w:rPr>
          <w:rFonts w:hint="default" w:ascii="Times New Roman" w:hAnsi="Times New Roman" w:eastAsia="楷体_GB2312" w:cs="Times New Roman"/>
          <w:color w:val="auto"/>
          <w:kern w:val="2"/>
          <w:sz w:val="32"/>
          <w:szCs w:val="32"/>
          <w:lang w:val="en-US" w:eastAsia="zh-CN" w:bidi="ar-SA"/>
        </w:rPr>
        <w:t>市场监管局按职责分工负责）</w:t>
      </w:r>
    </w:p>
    <w:p>
      <w:pPr>
        <w:pStyle w:val="2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75"/>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 w:val="0"/>
          <w:bCs w:val="0"/>
          <w:color w:val="auto"/>
          <w:sz w:val="32"/>
          <w:szCs w:val="32"/>
          <w:shd w:val="clear" w:color="auto" w:fill="FFFFFF"/>
          <w:lang w:val="en-US" w:eastAsia="zh-CN"/>
        </w:rPr>
        <w:t>20</w:t>
      </w:r>
      <w:r>
        <w:rPr>
          <w:rFonts w:hint="eastAsia" w:ascii="楷体_GB2312" w:hAnsi="楷体_GB2312" w:eastAsia="楷体_GB2312" w:cs="楷体_GB2312"/>
          <w:b w:val="0"/>
          <w:bCs w:val="0"/>
          <w:color w:val="auto"/>
          <w:sz w:val="32"/>
          <w:szCs w:val="32"/>
          <w:shd w:val="clear" w:color="auto" w:fill="FFFFFF"/>
          <w:lang w:val="en-US" w:eastAsia="zh-CN"/>
        </w:rPr>
        <w:t>.加强抽检监测。</w:t>
      </w:r>
      <w:r>
        <w:rPr>
          <w:rFonts w:hint="eastAsia" w:ascii="仿宋_GB2312" w:hAnsi="仿宋_GB2312" w:eastAsia="仿宋_GB2312" w:cs="仿宋_GB2312"/>
          <w:b w:val="0"/>
          <w:bCs w:val="0"/>
          <w:color w:val="auto"/>
          <w:sz w:val="32"/>
          <w:szCs w:val="32"/>
          <w:shd w:val="clear" w:color="auto"/>
          <w:lang w:val="en-US" w:eastAsia="zh-CN"/>
        </w:rPr>
        <w:t>加强食品安全风险监测结果部门通报会商，开展风险研判工作，强化属地运用。</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卫生健康</w:t>
      </w:r>
      <w:r>
        <w:rPr>
          <w:rFonts w:hint="eastAsia"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开展食品</w:t>
      </w:r>
      <w:r>
        <w:rPr>
          <w:rFonts w:hint="eastAsia" w:ascii="仿宋_GB2312" w:hAnsi="仿宋_GB2312" w:eastAsia="仿宋_GB2312" w:cs="仿宋_GB2312"/>
          <w:b w:val="0"/>
          <w:bCs w:val="0"/>
          <w:color w:val="auto"/>
          <w:sz w:val="32"/>
          <w:szCs w:val="32"/>
          <w:shd w:val="clear"/>
          <w:lang w:val="en-US" w:eastAsia="zh-CN"/>
        </w:rPr>
        <w:t>抽检</w:t>
      </w:r>
      <w:r>
        <w:rPr>
          <w:rFonts w:hint="eastAsia" w:ascii="仿宋_GB2312" w:hAnsi="仿宋_GB2312" w:eastAsia="仿宋_GB2312" w:cs="仿宋_GB2312"/>
          <w:b w:val="0"/>
          <w:bCs w:val="0"/>
          <w:color w:val="auto"/>
          <w:sz w:val="32"/>
          <w:szCs w:val="32"/>
          <w:shd w:val="clear" w:color="auto" w:fill="auto"/>
          <w:lang w:val="en-US" w:eastAsia="zh-CN"/>
        </w:rPr>
        <w:t>质量提升行动，</w:t>
      </w:r>
      <w:r>
        <w:rPr>
          <w:rFonts w:hint="eastAsia" w:ascii="仿宋_GB2312" w:hAnsi="仿宋_GB2312" w:eastAsia="仿宋_GB2312" w:cs="仿宋_GB2312"/>
          <w:color w:val="auto"/>
          <w:sz w:val="32"/>
          <w:szCs w:val="32"/>
          <w:shd w:val="clear"/>
          <w:lang w:eastAsia="zh-CN"/>
        </w:rPr>
        <w:t>市场监管部门食品抽检量</w:t>
      </w:r>
      <w:r>
        <w:rPr>
          <w:rFonts w:hint="eastAsia" w:ascii="仿宋_GB2312" w:hAnsi="仿宋_GB2312" w:eastAsia="仿宋_GB2312" w:cs="仿宋_GB2312"/>
          <w:color w:val="auto"/>
          <w:sz w:val="32"/>
          <w:szCs w:val="32"/>
          <w:shd w:val="clear"/>
          <w:lang w:val="en-US" w:eastAsia="zh-CN"/>
        </w:rPr>
        <w:t>保持</w:t>
      </w:r>
      <w:r>
        <w:rPr>
          <w:rFonts w:hint="eastAsia" w:ascii="Times New Roman" w:hAnsi="Times New Roman" w:eastAsia="仿宋_GB2312" w:cs="Times New Roman"/>
          <w:color w:val="auto"/>
          <w:sz w:val="32"/>
          <w:szCs w:val="32"/>
          <w:shd w:val="clear"/>
          <w:lang w:val="en-US" w:eastAsia="zh-CN"/>
        </w:rPr>
        <w:t>4</w:t>
      </w:r>
      <w:r>
        <w:rPr>
          <w:rFonts w:hint="eastAsia" w:ascii="仿宋_GB2312" w:hAnsi="仿宋_GB2312" w:eastAsia="仿宋_GB2312" w:cs="仿宋_GB2312"/>
          <w:color w:val="auto"/>
          <w:sz w:val="32"/>
          <w:szCs w:val="32"/>
          <w:shd w:val="clear"/>
          <w:lang w:val="en-US" w:eastAsia="zh-CN"/>
        </w:rPr>
        <w:t>批次/千人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加强市区联动，强化食品相关产品监督抽查和风险监测，</w:t>
      </w:r>
      <w:r>
        <w:rPr>
          <w:rFonts w:hint="eastAsia" w:ascii="仿宋_GB2312" w:hAnsi="仿宋_GB2312" w:eastAsia="仿宋_GB2312" w:cs="仿宋_GB2312"/>
          <w:color w:val="auto"/>
          <w:kern w:val="2"/>
          <w:sz w:val="32"/>
          <w:szCs w:val="32"/>
          <w:shd w:val="clear" w:color="auto" w:fill="FFFFFF"/>
          <w:lang w:val="en-US" w:eastAsia="zh-CN" w:bidi="ar-SA"/>
        </w:rPr>
        <w:t>推动“你点我检”常态化、规范化。</w:t>
      </w: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楷体_GB2312" w:cs="Times New Roman"/>
          <w:b w:val="0"/>
          <w:bCs w:val="0"/>
          <w:color w:val="auto"/>
          <w:sz w:val="32"/>
          <w:szCs w:val="32"/>
          <w:lang w:val="en-US" w:eastAsia="zh-CN"/>
        </w:rPr>
        <w:t>区</w:t>
      </w:r>
      <w:r>
        <w:rPr>
          <w:rFonts w:hint="default" w:ascii="Times New Roman" w:hAnsi="Times New Roman" w:eastAsia="楷体_GB2312" w:cs="Times New Roman"/>
          <w:b w:val="0"/>
          <w:bCs w:val="0"/>
          <w:color w:val="auto"/>
          <w:sz w:val="32"/>
          <w:szCs w:val="32"/>
          <w:lang w:val="en-US" w:eastAsia="zh-CN"/>
        </w:rPr>
        <w:t>市场监管局）</w:t>
      </w:r>
      <w:r>
        <w:rPr>
          <w:rFonts w:hint="eastAsia" w:ascii="仿宋_GB2312" w:hAnsi="仿宋_GB2312" w:eastAsia="仿宋_GB2312" w:cs="仿宋_GB2312"/>
          <w:b w:val="0"/>
          <w:bCs w:val="0"/>
          <w:color w:val="auto"/>
          <w:sz w:val="32"/>
          <w:szCs w:val="32"/>
          <w:lang w:val="en-US" w:eastAsia="zh-CN"/>
        </w:rPr>
        <w:t>强化农产品质量安全风险监测，将小品种纳入监测和整治范围。</w:t>
      </w:r>
      <w:r>
        <w:rPr>
          <w:rFonts w:hint="eastAsia" w:ascii="仿宋_GB2312" w:hAnsi="仿宋_GB2312" w:eastAsia="仿宋_GB2312" w:cs="仿宋_GB2312"/>
          <w:color w:val="auto"/>
          <w:sz w:val="32"/>
          <w:szCs w:val="32"/>
          <w:shd w:val="clear"/>
          <w:lang w:eastAsia="zh-CN"/>
        </w:rPr>
        <w:t>种养殖环节农产品质量安全定量检测量完成</w:t>
      </w:r>
      <w:r>
        <w:rPr>
          <w:rFonts w:hint="eastAsia" w:ascii="Times New Roman" w:hAnsi="Times New Roman" w:eastAsia="仿宋_GB2312" w:cs="Times New Roman"/>
          <w:color w:val="auto"/>
          <w:sz w:val="32"/>
          <w:szCs w:val="32"/>
          <w:shd w:val="clear"/>
          <w:lang w:val="en-US" w:eastAsia="zh-CN"/>
        </w:rPr>
        <w:t>600</w:t>
      </w:r>
      <w:r>
        <w:rPr>
          <w:rFonts w:hint="eastAsia" w:ascii="仿宋_GB2312" w:hAnsi="仿宋_GB2312" w:eastAsia="仿宋_GB2312" w:cs="仿宋_GB2312"/>
          <w:color w:val="auto"/>
          <w:sz w:val="32"/>
          <w:szCs w:val="32"/>
          <w:shd w:val="clear"/>
          <w:lang w:val="en-US" w:eastAsia="zh-CN"/>
        </w:rPr>
        <w:t>批次。</w:t>
      </w:r>
      <w:r>
        <w:rPr>
          <w:rFonts w:hint="eastAsia" w:ascii="仿宋_GB2312" w:hAnsi="仿宋_GB2312" w:eastAsia="仿宋_GB2312" w:cs="仿宋_GB2312"/>
          <w:color w:val="auto"/>
          <w:sz w:val="32"/>
          <w:szCs w:val="32"/>
        </w:rPr>
        <w:t>聚焦粮食和重要农产品有效供给</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专项风险评估</w:t>
      </w:r>
      <w:r>
        <w:rPr>
          <w:rFonts w:hint="eastAsia" w:ascii="仿宋_GB2312" w:hAnsi="仿宋_GB2312" w:eastAsia="仿宋_GB2312" w:cs="仿宋_GB2312"/>
          <w:color w:val="auto"/>
          <w:sz w:val="32"/>
          <w:szCs w:val="32"/>
          <w:lang w:eastAsia="zh-CN"/>
        </w:rPr>
        <w:t>。强化粮食质量安全检验监测体系建设，重点加强新收获粮食的质量安全监测。</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eastAsia="zh-CN"/>
        </w:rPr>
        <w:t>农业农村</w:t>
      </w:r>
      <w:r>
        <w:rPr>
          <w:rFonts w:hint="default" w:ascii="Times New Roman" w:hAnsi="Times New Roman" w:eastAsia="楷体_GB2312" w:cs="Times New Roman"/>
          <w:color w:val="auto"/>
          <w:sz w:val="32"/>
          <w:szCs w:val="32"/>
          <w:lang w:val="en-US" w:eastAsia="zh-CN"/>
        </w:rPr>
        <w:t>局、</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kern w:val="2"/>
          <w:sz w:val="32"/>
          <w:szCs w:val="32"/>
          <w:lang w:val="en-US" w:eastAsia="zh-CN" w:bidi="ar-SA"/>
        </w:rPr>
        <w:t>发展改革</w:t>
      </w:r>
      <w:r>
        <w:rPr>
          <w:rFonts w:hint="eastAsia" w:ascii="Times New Roman" w:hAnsi="Times New Roman" w:eastAsia="楷体_GB2312" w:cs="Times New Roman"/>
          <w:color w:val="auto"/>
          <w:kern w:val="2"/>
          <w:sz w:val="32"/>
          <w:szCs w:val="32"/>
          <w:lang w:val="en-US" w:eastAsia="zh-CN" w:bidi="ar-SA"/>
        </w:rPr>
        <w:t>局</w:t>
      </w:r>
      <w:r>
        <w:rPr>
          <w:rFonts w:hint="default" w:ascii="Times New Roman" w:hAnsi="Times New Roman" w:eastAsia="楷体_GB2312" w:cs="Times New Roman"/>
          <w:color w:val="auto"/>
          <w:kern w:val="2"/>
          <w:sz w:val="32"/>
          <w:szCs w:val="32"/>
          <w:lang w:val="en-US" w:eastAsia="zh-CN" w:bidi="ar-SA"/>
        </w:rPr>
        <w:t>按职责分工负责）</w:t>
      </w:r>
      <w:r>
        <w:rPr>
          <w:rFonts w:hint="eastAsia" w:ascii="仿宋_GB2312" w:hAnsi="仿宋_GB2312" w:eastAsia="仿宋_GB2312" w:cs="仿宋_GB2312"/>
          <w:color w:val="auto"/>
          <w:kern w:val="2"/>
          <w:sz w:val="32"/>
          <w:szCs w:val="32"/>
          <w:shd w:val="clear" w:color="auto" w:fill="FFFFFF"/>
          <w:lang w:val="en-US" w:eastAsia="zh-CN" w:bidi="ar-SA"/>
        </w:rPr>
        <w:t>开展食用林产品质量安全监测，</w:t>
      </w:r>
      <w:r>
        <w:rPr>
          <w:rFonts w:hint="eastAsia" w:ascii="仿宋_GB2312" w:hAnsi="仿宋_GB2312" w:eastAsia="仿宋_GB2312" w:cs="仿宋_GB2312"/>
          <w:color w:val="auto"/>
          <w:sz w:val="32"/>
          <w:szCs w:val="32"/>
          <w:lang w:val="en-US" w:eastAsia="zh-CN"/>
        </w:rPr>
        <w:t>提升食用林产品管理水平。</w:t>
      </w:r>
      <w:r>
        <w:rPr>
          <w:rFonts w:hint="default" w:ascii="Times New Roman" w:hAnsi="Times New Roman" w:eastAsia="楷体_GB2312" w:cs="Times New Roman"/>
          <w:color w:val="auto"/>
          <w:kern w:val="2"/>
          <w:sz w:val="32"/>
          <w:szCs w:val="32"/>
          <w:shd w:val="clear" w:color="auto" w:fill="FFFFFF"/>
          <w:lang w:val="en-US" w:eastAsia="zh-CN" w:bidi="ar-SA"/>
        </w:rPr>
        <w:t>（</w:t>
      </w:r>
      <w:r>
        <w:rPr>
          <w:rFonts w:hint="eastAsia" w:ascii="Times New Roman" w:hAnsi="Times New Roman" w:eastAsia="楷体_GB2312" w:cs="Times New Roman"/>
          <w:color w:val="auto"/>
          <w:kern w:val="2"/>
          <w:sz w:val="32"/>
          <w:szCs w:val="32"/>
          <w:shd w:val="clear" w:color="auto" w:fill="FFFFFF"/>
          <w:lang w:val="en-US" w:eastAsia="zh-CN" w:bidi="ar-SA"/>
        </w:rPr>
        <w:t>区</w:t>
      </w:r>
      <w:r>
        <w:rPr>
          <w:rFonts w:hint="default" w:ascii="Times New Roman" w:hAnsi="Times New Roman" w:eastAsia="楷体_GB2312" w:cs="Times New Roman"/>
          <w:color w:val="auto"/>
          <w:kern w:val="2"/>
          <w:sz w:val="32"/>
          <w:szCs w:val="32"/>
          <w:shd w:val="clear" w:color="auto" w:fill="FFFFFF"/>
          <w:lang w:val="en-US" w:eastAsia="zh-CN" w:bidi="ar-SA"/>
        </w:rPr>
        <w:t>自然资源局）</w:t>
      </w:r>
      <w:r>
        <w:rPr>
          <w:rFonts w:hint="default" w:ascii="Times New Roman" w:hAnsi="Times New Roman" w:eastAsia="仿宋_GB2312" w:cs="Times New Roman"/>
          <w:bCs/>
          <w:color w:val="auto"/>
          <w:sz w:val="32"/>
          <w:szCs w:val="32"/>
          <w:lang w:val="en-US" w:eastAsia="zh-CN"/>
        </w:rPr>
        <w:t>建立部门间食品安全季度风险会商机制。</w:t>
      </w:r>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区</w:t>
      </w:r>
      <w:r>
        <w:rPr>
          <w:rFonts w:hint="default" w:ascii="Times New Roman" w:hAnsi="Times New Roman" w:eastAsia="楷体_GB2312" w:cs="Times New Roman"/>
          <w:bCs/>
          <w:color w:val="auto"/>
          <w:sz w:val="32"/>
          <w:szCs w:val="32"/>
          <w:lang w:val="en-US" w:eastAsia="zh-CN"/>
        </w:rPr>
        <w:t>食药安办）</w:t>
      </w:r>
    </w:p>
    <w:p>
      <w:pPr>
        <w:pStyle w:val="28"/>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75"/>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21</w:t>
      </w:r>
      <w:r>
        <w:rPr>
          <w:rFonts w:hint="eastAsia" w:ascii="楷体_GB2312" w:hAnsi="楷体_GB2312" w:eastAsia="楷体_GB2312" w:cs="楷体_GB2312"/>
          <w:bCs/>
          <w:color w:val="auto"/>
          <w:sz w:val="32"/>
          <w:szCs w:val="32"/>
          <w:lang w:val="en-US" w:eastAsia="zh-CN"/>
        </w:rPr>
        <w:t>.建立“两个责任”督查机制。</w:t>
      </w:r>
      <w:r>
        <w:rPr>
          <w:rFonts w:hint="eastAsia" w:ascii="仿宋_GB2312" w:hAnsi="仿宋_GB2312" w:eastAsia="仿宋_GB2312" w:cs="仿宋_GB2312"/>
          <w:bCs/>
          <w:color w:val="auto"/>
          <w:sz w:val="32"/>
          <w:szCs w:val="32"/>
          <w:lang w:val="en-US" w:eastAsia="zh-CN"/>
        </w:rPr>
        <w:t>区食药安办会同区食药安委有关成员单位开展督查，全面检查各镇街工作落实情况，督促各镇街履职尽责。组织做好省“四进”办对我区开展的“两个责任”专项督查迎查工作。同时，将落实“两个责任”工作作为食品安全工作评价重要事项。</w:t>
      </w:r>
      <w:r>
        <w:rPr>
          <w:rFonts w:hint="default" w:ascii="Times New Roman" w:hAnsi="Times New Roman" w:eastAsia="楷体_GB2312" w:cs="Times New Roman"/>
          <w:bCs/>
          <w:color w:val="auto"/>
          <w:sz w:val="32"/>
          <w:szCs w:val="32"/>
          <w:lang w:val="en-US" w:eastAsia="zh-CN"/>
        </w:rPr>
        <w:t>（</w:t>
      </w:r>
      <w:r>
        <w:rPr>
          <w:rFonts w:hint="eastAsia" w:ascii="Times New Roman" w:hAnsi="Times New Roman" w:eastAsia="楷体_GB2312" w:cs="Times New Roman"/>
          <w:bCs/>
          <w:color w:val="auto"/>
          <w:sz w:val="32"/>
          <w:szCs w:val="32"/>
          <w:lang w:val="en-US" w:eastAsia="zh-CN"/>
        </w:rPr>
        <w:t>区</w:t>
      </w:r>
      <w:r>
        <w:rPr>
          <w:rFonts w:hint="default" w:ascii="Times New Roman" w:hAnsi="Times New Roman" w:eastAsia="楷体_GB2312" w:cs="Times New Roman"/>
          <w:bCs/>
          <w:color w:val="auto"/>
          <w:sz w:val="32"/>
          <w:szCs w:val="32"/>
          <w:lang w:val="en-US" w:eastAsia="zh-CN"/>
        </w:rPr>
        <w:t>食药安办牵头，</w:t>
      </w:r>
      <w:r>
        <w:rPr>
          <w:rFonts w:hint="eastAsia" w:ascii="Times New Roman" w:hAnsi="Times New Roman" w:eastAsia="楷体_GB2312" w:cs="Times New Roman"/>
          <w:bCs/>
          <w:color w:val="auto"/>
          <w:sz w:val="32"/>
          <w:szCs w:val="32"/>
          <w:lang w:val="en-US" w:eastAsia="zh-CN"/>
        </w:rPr>
        <w:t>区</w:t>
      </w:r>
      <w:r>
        <w:rPr>
          <w:rFonts w:hint="default" w:ascii="Times New Roman" w:hAnsi="Times New Roman" w:eastAsia="楷体_GB2312" w:cs="Times New Roman"/>
          <w:bCs/>
          <w:color w:val="auto"/>
          <w:sz w:val="32"/>
          <w:szCs w:val="32"/>
          <w:lang w:val="en-US" w:eastAsia="zh-CN"/>
        </w:rPr>
        <w:t>食药安委相关成员单位按职责分工负责）</w:t>
      </w:r>
    </w:p>
    <w:p>
      <w:pPr>
        <w:pStyle w:val="2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六、着力助推高质量发展</w:t>
      </w:r>
    </w:p>
    <w:p>
      <w:pPr>
        <w:pStyle w:val="2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22</w:t>
      </w:r>
      <w:r>
        <w:rPr>
          <w:rFonts w:hint="eastAsia" w:ascii="楷体_GB2312" w:hAnsi="楷体_GB2312" w:eastAsia="楷体_GB2312" w:cs="楷体_GB2312"/>
          <w:color w:val="auto"/>
          <w:sz w:val="32"/>
          <w:szCs w:val="32"/>
          <w:lang w:val="en-US" w:eastAsia="zh-CN"/>
        </w:rPr>
        <w:t>.发展现代农业。</w:t>
      </w:r>
      <w:r>
        <w:rPr>
          <w:rFonts w:hint="eastAsia" w:ascii="仿宋_GB2312" w:hAnsi="仿宋_GB2312" w:eastAsia="仿宋_GB2312" w:cs="仿宋_GB2312"/>
          <w:color w:val="auto"/>
          <w:sz w:val="32"/>
          <w:szCs w:val="32"/>
          <w:lang w:val="en-US" w:eastAsia="zh-CN"/>
        </w:rPr>
        <w:t>建立优质农产品生产基地目录制度，扩大绿色优质农产品生产。加大对奶牛良种等支持力度，提升奶牛养殖设施装备水平和草畜配套水平。深入推进屠宰企业标准化创建，推动落后和低端低效屠宰企业退出，加快存量产能改造升级。</w:t>
      </w:r>
      <w:bookmarkStart w:id="0" w:name="_GoBack"/>
      <w:bookmarkEnd w:id="0"/>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农业农村局）</w:t>
      </w:r>
      <w:r>
        <w:rPr>
          <w:rFonts w:hint="eastAsia" w:ascii="仿宋_GB2312" w:hAnsi="仿宋_GB2312" w:eastAsia="仿宋_GB2312" w:cs="仿宋_GB2312"/>
          <w:color w:val="auto"/>
          <w:sz w:val="32"/>
          <w:szCs w:val="32"/>
          <w:lang w:val="en-US" w:eastAsia="zh-CN"/>
        </w:rPr>
        <w:t>积极培育特色优质食品目录产品和特色优势食品产业集聚区。</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工业和信息化局）</w:t>
      </w:r>
    </w:p>
    <w:p>
      <w:pPr>
        <w:pStyle w:val="28"/>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23</w:t>
      </w:r>
      <w:r>
        <w:rPr>
          <w:rFonts w:hint="eastAsia" w:ascii="楷体_GB2312" w:hAnsi="楷体_GB2312" w:eastAsia="楷体_GB2312" w:cs="楷体_GB2312"/>
          <w:color w:val="auto"/>
          <w:sz w:val="32"/>
          <w:szCs w:val="32"/>
          <w:lang w:val="en-US" w:eastAsia="zh-CN"/>
        </w:rPr>
        <w:t>.强化品牌培育。</w:t>
      </w:r>
      <w:r>
        <w:rPr>
          <w:rFonts w:hint="eastAsia" w:ascii="仿宋_GB2312" w:hAnsi="仿宋_GB2312" w:eastAsia="仿宋_GB2312" w:cs="仿宋_GB2312"/>
          <w:color w:val="auto"/>
          <w:sz w:val="32"/>
          <w:szCs w:val="32"/>
          <w:lang w:val="en-US" w:eastAsia="zh-CN"/>
        </w:rPr>
        <w:t>深入推进乳制品质量安全提升行动。开展食品生产经营企业“食安护航”帮扶行动，促进企业建设高标准食品安全管理体系。持续推进“食安淄川”线上线下推广平台建设。</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市场监管局）</w:t>
      </w:r>
      <w:r>
        <w:rPr>
          <w:rFonts w:hint="eastAsia" w:ascii="仿宋_GB2312" w:hAnsi="仿宋_GB2312" w:eastAsia="仿宋_GB2312" w:cs="仿宋_GB2312"/>
          <w:color w:val="auto"/>
          <w:sz w:val="32"/>
          <w:szCs w:val="32"/>
          <w:lang w:val="en-US" w:eastAsia="zh-CN"/>
        </w:rPr>
        <w:t>推动绿色有机产品认证实施工作。</w:t>
      </w: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市场监管局、</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val="en-US" w:eastAsia="zh-CN"/>
        </w:rPr>
        <w:t>农业农村局按职责分工负责）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七、始终保持高压严打态势</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Times New Roman" w:hAnsi="Times New Roman" w:eastAsia="楷体_GB2312" w:cs="Times New Roman"/>
          <w:color w:val="auto"/>
          <w:kern w:val="2"/>
          <w:sz w:val="32"/>
          <w:szCs w:val="32"/>
          <w:u w:val="none"/>
          <w:vertAlign w:val="baseline"/>
          <w:lang w:val="en-US" w:eastAsia="zh-CN" w:bidi="ar-SA"/>
        </w:rPr>
      </w:pPr>
      <w:r>
        <w:rPr>
          <w:rFonts w:hint="default" w:ascii="Times New Roman" w:hAnsi="Times New Roman" w:eastAsia="楷体_GB2312" w:cs="Times New Roman"/>
          <w:color w:val="auto"/>
          <w:kern w:val="2"/>
          <w:sz w:val="32"/>
          <w:szCs w:val="32"/>
          <w:highlight w:val="none"/>
          <w:u w:val="none"/>
          <w:vertAlign w:val="baseline"/>
          <w:lang w:val="en-US" w:eastAsia="zh-CN" w:bidi="ar-SA"/>
        </w:rPr>
        <w:t>24</w:t>
      </w:r>
      <w:r>
        <w:rPr>
          <w:rFonts w:hint="eastAsia" w:ascii="楷体_GB2312" w:hAnsi="楷体_GB2312" w:eastAsia="楷体_GB2312" w:cs="楷体_GB2312"/>
          <w:color w:val="auto"/>
          <w:kern w:val="2"/>
          <w:sz w:val="32"/>
          <w:szCs w:val="32"/>
          <w:highlight w:val="none"/>
          <w:u w:val="none"/>
          <w:vertAlign w:val="baseline"/>
          <w:lang w:val="en-US" w:eastAsia="zh-CN" w:bidi="ar-SA"/>
        </w:rPr>
        <w:t>.严查重点领域、</w:t>
      </w:r>
      <w:r>
        <w:rPr>
          <w:rFonts w:hint="eastAsia" w:ascii="楷体_GB2312" w:hAnsi="楷体_GB2312" w:eastAsia="楷体_GB2312" w:cs="楷体_GB2312"/>
          <w:color w:val="auto"/>
          <w:kern w:val="2"/>
          <w:sz w:val="32"/>
          <w:szCs w:val="32"/>
          <w:highlight w:val="none"/>
          <w:u w:val="none"/>
          <w:vertAlign w:val="baseline"/>
          <w:lang w:val="en-US" w:eastAsia="zh-Hans" w:bidi="ar-SA"/>
        </w:rPr>
        <w:t>重点品种</w:t>
      </w:r>
      <w:r>
        <w:rPr>
          <w:rFonts w:hint="eastAsia" w:ascii="楷体_GB2312" w:hAnsi="楷体_GB2312" w:eastAsia="楷体_GB2312" w:cs="楷体_GB2312"/>
          <w:color w:val="auto"/>
          <w:kern w:val="2"/>
          <w:sz w:val="32"/>
          <w:szCs w:val="32"/>
          <w:u w:val="none"/>
          <w:vertAlign w:val="baseline"/>
          <w:lang w:val="en-US" w:eastAsia="zh-CN" w:bidi="ar-SA"/>
        </w:rPr>
        <w:t>。</w:t>
      </w:r>
      <w:r>
        <w:rPr>
          <w:rFonts w:hint="eastAsia" w:ascii="仿宋_GB2312" w:hAnsi="仿宋_GB2312" w:eastAsia="仿宋_GB2312" w:cs="仿宋_GB2312"/>
          <w:color w:val="auto"/>
          <w:kern w:val="2"/>
          <w:sz w:val="32"/>
          <w:szCs w:val="32"/>
          <w:u w:val="none"/>
          <w:vertAlign w:val="baseline"/>
          <w:lang w:val="en-US" w:eastAsia="zh-CN" w:bidi="ar-SA"/>
        </w:rPr>
        <w:t>开展大中型食品连锁超市体系检查，持续加强超范围和超限量使用食品添加剂问题治理，严厉打击非法添加及生产销售假冒食品添加剂等违法行为。</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eastAsia" w:ascii="Times New Roman" w:hAnsi="Times New Roman" w:eastAsia="楷体_GB2312" w:cs="Times New Roman"/>
          <w:color w:val="auto"/>
          <w:kern w:val="2"/>
          <w:sz w:val="32"/>
          <w:szCs w:val="32"/>
          <w:u w:val="none"/>
          <w:vertAlign w:val="baseline"/>
          <w:lang w:val="en-US" w:eastAsia="zh-CN" w:bidi="ar-SA"/>
        </w:rPr>
        <w:t>区</w:t>
      </w:r>
      <w:r>
        <w:rPr>
          <w:rFonts w:hint="default" w:ascii="Times New Roman" w:hAnsi="Times New Roman" w:eastAsia="楷体_GB2312" w:cs="Times New Roman"/>
          <w:color w:val="auto"/>
          <w:kern w:val="2"/>
          <w:sz w:val="32"/>
          <w:szCs w:val="32"/>
          <w:u w:val="none"/>
          <w:vertAlign w:val="baseline"/>
          <w:lang w:val="en-US" w:eastAsia="zh-CN" w:bidi="ar-SA"/>
        </w:rPr>
        <w:t>市场监管局）</w:t>
      </w:r>
      <w:r>
        <w:rPr>
          <w:rFonts w:hint="eastAsia" w:ascii="仿宋_GB2312" w:hAnsi="仿宋_GB2312" w:eastAsia="仿宋_GB2312" w:cs="仿宋_GB2312"/>
          <w:color w:val="auto"/>
          <w:kern w:val="2"/>
          <w:sz w:val="32"/>
          <w:szCs w:val="32"/>
          <w:u w:val="none"/>
          <w:vertAlign w:val="baseline"/>
          <w:lang w:val="en-US" w:eastAsia="zh-CN" w:bidi="ar-SA"/>
        </w:rPr>
        <w:t>强化肉及肉制品监管，严厉打击使用“瘦肉精”等禁限用药物、私屠滥宰、屠宰病死畜禽等违法犯罪行为。</w:t>
      </w:r>
      <w:r>
        <w:rPr>
          <w:rFonts w:hint="default" w:ascii="Times New Roman" w:hAnsi="Times New Roman" w:eastAsia="楷体_GB2312" w:cs="Times New Roman"/>
          <w:color w:val="auto"/>
          <w:kern w:val="2"/>
          <w:sz w:val="32"/>
          <w:szCs w:val="32"/>
          <w:u w:val="none"/>
          <w:vertAlign w:val="baseline"/>
          <w:lang w:val="en-US" w:eastAsia="zh-CN" w:bidi="ar-SA"/>
        </w:rPr>
        <w:t>（</w:t>
      </w:r>
      <w:r>
        <w:rPr>
          <w:rFonts w:hint="eastAsia" w:ascii="Times New Roman" w:hAnsi="Times New Roman" w:eastAsia="楷体_GB2312" w:cs="Times New Roman"/>
          <w:color w:val="auto"/>
          <w:kern w:val="2"/>
          <w:sz w:val="32"/>
          <w:szCs w:val="32"/>
          <w:u w:val="none"/>
          <w:vertAlign w:val="baseline"/>
          <w:lang w:val="en-US" w:eastAsia="zh-CN" w:bidi="ar-SA"/>
        </w:rPr>
        <w:t>区</w:t>
      </w:r>
      <w:r>
        <w:rPr>
          <w:rFonts w:hint="default" w:ascii="Times New Roman" w:hAnsi="Times New Roman" w:eastAsia="楷体_GB2312" w:cs="Times New Roman"/>
          <w:color w:val="auto"/>
          <w:kern w:val="2"/>
          <w:sz w:val="32"/>
          <w:szCs w:val="32"/>
          <w:u w:val="none"/>
          <w:vertAlign w:val="baseline"/>
          <w:lang w:val="en-US" w:eastAsia="zh-CN" w:bidi="ar-SA"/>
        </w:rPr>
        <w:t>公安</w:t>
      </w:r>
      <w:r>
        <w:rPr>
          <w:rFonts w:hint="eastAsia" w:ascii="Times New Roman" w:hAnsi="Times New Roman" w:eastAsia="楷体_GB2312" w:cs="Times New Roman"/>
          <w:color w:val="auto"/>
          <w:kern w:val="2"/>
          <w:sz w:val="32"/>
          <w:szCs w:val="32"/>
          <w:u w:val="none"/>
          <w:vertAlign w:val="baseline"/>
          <w:lang w:val="en-US" w:eastAsia="zh-CN" w:bidi="ar-SA"/>
        </w:rPr>
        <w:t>分</w:t>
      </w:r>
      <w:r>
        <w:rPr>
          <w:rFonts w:hint="default" w:ascii="Times New Roman" w:hAnsi="Times New Roman" w:eastAsia="楷体_GB2312" w:cs="Times New Roman"/>
          <w:color w:val="auto"/>
          <w:kern w:val="2"/>
          <w:sz w:val="32"/>
          <w:szCs w:val="32"/>
          <w:u w:val="none"/>
          <w:vertAlign w:val="baseline"/>
          <w:lang w:val="en-US" w:eastAsia="zh-CN" w:bidi="ar-SA"/>
        </w:rPr>
        <w:t>局、</w:t>
      </w:r>
      <w:r>
        <w:rPr>
          <w:rFonts w:hint="eastAsia" w:ascii="Times New Roman" w:hAnsi="Times New Roman" w:eastAsia="楷体_GB2312" w:cs="Times New Roman"/>
          <w:color w:val="auto"/>
          <w:kern w:val="2"/>
          <w:sz w:val="32"/>
          <w:szCs w:val="32"/>
          <w:u w:val="none"/>
          <w:vertAlign w:val="baseline"/>
          <w:lang w:val="en-US" w:eastAsia="zh-CN" w:bidi="ar-SA"/>
        </w:rPr>
        <w:t>区</w:t>
      </w:r>
      <w:r>
        <w:rPr>
          <w:rFonts w:hint="default" w:ascii="Times New Roman" w:hAnsi="Times New Roman" w:eastAsia="楷体_GB2312" w:cs="Times New Roman"/>
          <w:color w:val="auto"/>
          <w:kern w:val="2"/>
          <w:sz w:val="32"/>
          <w:szCs w:val="32"/>
          <w:u w:val="none"/>
          <w:vertAlign w:val="baseline"/>
          <w:lang w:val="en-US" w:eastAsia="zh-CN" w:bidi="ar-SA"/>
        </w:rPr>
        <w:t>农业农村局、</w:t>
      </w:r>
      <w:r>
        <w:rPr>
          <w:rFonts w:hint="eastAsia" w:ascii="Times New Roman" w:hAnsi="Times New Roman" w:eastAsia="楷体_GB2312" w:cs="Times New Roman"/>
          <w:color w:val="auto"/>
          <w:kern w:val="2"/>
          <w:sz w:val="32"/>
          <w:szCs w:val="32"/>
          <w:u w:val="none"/>
          <w:vertAlign w:val="baseline"/>
          <w:lang w:val="en-US" w:eastAsia="zh-CN" w:bidi="ar-SA"/>
        </w:rPr>
        <w:t>区</w:t>
      </w:r>
      <w:r>
        <w:rPr>
          <w:rFonts w:hint="default" w:ascii="Times New Roman" w:hAnsi="Times New Roman" w:eastAsia="楷体_GB2312" w:cs="Times New Roman"/>
          <w:color w:val="auto"/>
          <w:kern w:val="2"/>
          <w:sz w:val="32"/>
          <w:szCs w:val="32"/>
          <w:u w:val="none"/>
          <w:vertAlign w:val="baseline"/>
          <w:lang w:val="en-US" w:eastAsia="zh-CN" w:bidi="ar-SA"/>
        </w:rPr>
        <w:t>市场监管局按职责分工负责）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25</w:t>
      </w:r>
      <w:r>
        <w:rPr>
          <w:rFonts w:hint="eastAsia" w:ascii="楷体_GB2312" w:hAnsi="楷体_GB2312" w:eastAsia="楷体_GB2312" w:cs="楷体_GB2312"/>
          <w:color w:val="auto"/>
          <w:sz w:val="32"/>
          <w:szCs w:val="32"/>
          <w:lang w:val="en-US" w:eastAsia="zh-CN"/>
        </w:rPr>
        <w:t>.严厉打击违法犯罪行为。</w:t>
      </w:r>
      <w:r>
        <w:rPr>
          <w:rFonts w:hint="eastAsia" w:ascii="仿宋_GB2312" w:hAnsi="仿宋_GB2312" w:eastAsia="仿宋_GB2312" w:cs="仿宋_GB2312"/>
          <w:color w:val="auto"/>
          <w:sz w:val="32"/>
          <w:szCs w:val="32"/>
          <w:lang w:val="en-US" w:eastAsia="zh-CN"/>
        </w:rPr>
        <w:t>深入开展“铁拳”行动，聚焦重点领域查办一批违法案件，严打重处性质恶劣的违法行为</w:t>
      </w:r>
      <w:r>
        <w:rPr>
          <w:rFonts w:hint="eastAsia" w:ascii="仿宋_GB2312" w:hAnsi="仿宋_GB2312" w:eastAsia="仿宋_GB2312" w:cs="仿宋_GB2312"/>
          <w:color w:val="auto"/>
          <w:sz w:val="32"/>
          <w:szCs w:val="32"/>
          <w:u w:val="none"/>
          <w:vertAlign w:val="baseline"/>
          <w:lang w:val="en-US" w:eastAsia="zh-CN"/>
        </w:rPr>
        <w:t>。</w:t>
      </w:r>
      <w:r>
        <w:rPr>
          <w:rFonts w:hint="eastAsia" w:ascii="仿宋_GB2312" w:hAnsi="仿宋_GB2312" w:eastAsia="仿宋_GB2312" w:cs="仿宋_GB2312"/>
          <w:color w:val="auto"/>
          <w:sz w:val="32"/>
          <w:szCs w:val="32"/>
          <w:u w:val="none"/>
          <w:vertAlign w:val="baseline"/>
          <w:lang w:val="en-US" w:eastAsia="zh-Hans"/>
        </w:rPr>
        <w:t>落实“处罚到人”要求</w:t>
      </w:r>
      <w:r>
        <w:rPr>
          <w:rFonts w:hint="eastAsia" w:ascii="仿宋_GB2312" w:hAnsi="仿宋_GB2312" w:eastAsia="仿宋_GB2312" w:cs="仿宋_GB2312"/>
          <w:color w:val="auto"/>
          <w:sz w:val="32"/>
          <w:szCs w:val="32"/>
          <w:u w:val="none"/>
          <w:vertAlign w:val="baseline"/>
          <w:lang w:eastAsia="zh-Hans"/>
        </w:rPr>
        <w:t>，</w:t>
      </w:r>
      <w:r>
        <w:rPr>
          <w:rFonts w:hint="eastAsia" w:ascii="仿宋_GB2312" w:hAnsi="仿宋_GB2312" w:eastAsia="仿宋_GB2312" w:cs="仿宋_GB2312"/>
          <w:color w:val="auto"/>
          <w:sz w:val="32"/>
          <w:szCs w:val="32"/>
          <w:u w:val="none"/>
          <w:vertAlign w:val="baseline"/>
          <w:lang w:eastAsia="zh-CN"/>
        </w:rPr>
        <w:t>依法</w:t>
      </w:r>
      <w:r>
        <w:rPr>
          <w:rFonts w:hint="eastAsia" w:ascii="仿宋_GB2312" w:hAnsi="仿宋_GB2312" w:eastAsia="仿宋_GB2312" w:cs="仿宋_GB2312"/>
          <w:color w:val="auto"/>
          <w:sz w:val="32"/>
          <w:szCs w:val="32"/>
          <w:u w:val="none"/>
          <w:vertAlign w:val="baseline"/>
          <w:lang w:val="en-US" w:eastAsia="zh-Hans"/>
        </w:rPr>
        <w:t>实施行业禁</w:t>
      </w:r>
      <w:r>
        <w:rPr>
          <w:rFonts w:hint="eastAsia" w:ascii="仿宋_GB2312" w:hAnsi="仿宋_GB2312" w:eastAsia="仿宋_GB2312" w:cs="仿宋_GB2312"/>
          <w:color w:val="auto"/>
          <w:sz w:val="32"/>
          <w:szCs w:val="32"/>
          <w:u w:val="none"/>
          <w:vertAlign w:val="baseline"/>
          <w:lang w:val="en-US" w:eastAsia="zh-CN"/>
        </w:rPr>
        <w:t>入</w:t>
      </w:r>
      <w:r>
        <w:rPr>
          <w:rFonts w:hint="eastAsia" w:ascii="仿宋_GB2312" w:hAnsi="仿宋_GB2312" w:eastAsia="仿宋_GB2312" w:cs="仿宋_GB2312"/>
          <w:color w:val="auto"/>
          <w:sz w:val="32"/>
          <w:szCs w:val="32"/>
          <w:u w:val="none"/>
          <w:vertAlign w:val="baseline"/>
          <w:lang w:eastAsia="zh-Hans"/>
        </w:rPr>
        <w:t>。</w:t>
      </w:r>
      <w:r>
        <w:rPr>
          <w:rFonts w:hint="default" w:ascii="Times New Roman" w:hAnsi="Times New Roman" w:eastAsia="楷体_GB2312" w:cs="Times New Roman"/>
          <w:color w:val="auto"/>
          <w:sz w:val="32"/>
          <w:szCs w:val="32"/>
          <w:u w:val="none"/>
          <w:vertAlign w:val="baseline"/>
          <w:lang w:eastAsia="zh-CN"/>
        </w:rPr>
        <w:t>（</w:t>
      </w:r>
      <w:r>
        <w:rPr>
          <w:rFonts w:hint="eastAsia" w:ascii="Times New Roman" w:hAnsi="Times New Roman" w:eastAsia="楷体_GB2312" w:cs="Times New Roman"/>
          <w:color w:val="auto"/>
          <w:sz w:val="32"/>
          <w:szCs w:val="32"/>
          <w:u w:val="none"/>
          <w:vertAlign w:val="baseline"/>
          <w:lang w:val="en-US" w:eastAsia="zh-CN"/>
        </w:rPr>
        <w:t>区</w:t>
      </w:r>
      <w:r>
        <w:rPr>
          <w:rFonts w:hint="default" w:ascii="Times New Roman" w:hAnsi="Times New Roman" w:eastAsia="楷体_GB2312" w:cs="Times New Roman"/>
          <w:color w:val="auto"/>
          <w:sz w:val="32"/>
          <w:szCs w:val="32"/>
          <w:u w:val="none"/>
          <w:vertAlign w:val="baseline"/>
          <w:lang w:eastAsia="zh-CN"/>
        </w:rPr>
        <w:t>市场监管局）</w:t>
      </w:r>
      <w:r>
        <w:rPr>
          <w:rFonts w:hint="eastAsia" w:ascii="仿宋_GB2312" w:hAnsi="仿宋_GB2312" w:eastAsia="仿宋_GB2312" w:cs="仿宋_GB2312"/>
          <w:color w:val="auto"/>
          <w:sz w:val="32"/>
          <w:szCs w:val="32"/>
          <w:u w:val="none"/>
          <w:vertAlign w:val="baseline"/>
          <w:lang w:eastAsia="zh-CN"/>
        </w:rPr>
        <w:t>开展</w:t>
      </w:r>
      <w:r>
        <w:rPr>
          <w:rFonts w:hint="eastAsia" w:ascii="仿宋_GB2312" w:hAnsi="仿宋_GB2312" w:eastAsia="仿宋_GB2312" w:cs="仿宋_GB2312"/>
          <w:b w:val="0"/>
          <w:bCs w:val="0"/>
          <w:color w:val="auto"/>
          <w:sz w:val="32"/>
          <w:szCs w:val="32"/>
          <w:highlight w:val="none"/>
          <w:lang w:val="en-US" w:eastAsia="zh-Hans"/>
        </w:rPr>
        <w:t>“昆仑”</w:t>
      </w:r>
      <w:r>
        <w:rPr>
          <w:rFonts w:hint="eastAsia" w:ascii="仿宋_GB2312" w:hAnsi="仿宋_GB2312" w:eastAsia="仿宋_GB2312" w:cs="仿宋_GB2312"/>
          <w:b w:val="0"/>
          <w:bCs w:val="0"/>
          <w:color w:val="auto"/>
          <w:sz w:val="32"/>
          <w:szCs w:val="32"/>
          <w:highlight w:val="none"/>
          <w:lang w:val="en-US" w:eastAsia="zh-CN"/>
        </w:rPr>
        <w:t>专项行动</w:t>
      </w:r>
      <w:r>
        <w:rPr>
          <w:rFonts w:hint="eastAsia" w:ascii="仿宋_GB2312" w:hAnsi="仿宋_GB2312" w:eastAsia="仿宋_GB2312" w:cs="仿宋_GB2312"/>
          <w:b w:val="0"/>
          <w:bCs w:val="0"/>
          <w:color w:val="auto"/>
          <w:sz w:val="32"/>
          <w:szCs w:val="32"/>
          <w:highlight w:val="none"/>
          <w:lang w:eastAsia="zh-CN"/>
        </w:rPr>
        <w:t>，突出打击食用农产品领域多发性</w:t>
      </w:r>
      <w:r>
        <w:rPr>
          <w:rFonts w:hint="eastAsia" w:ascii="仿宋_GB2312" w:hAnsi="仿宋_GB2312" w:eastAsia="仿宋_GB2312" w:cs="仿宋_GB2312"/>
          <w:b w:val="0"/>
          <w:bCs w:val="0"/>
          <w:color w:val="auto"/>
          <w:sz w:val="32"/>
          <w:szCs w:val="32"/>
          <w:highlight w:val="none"/>
          <w:lang w:val="en-US" w:eastAsia="zh-CN"/>
        </w:rPr>
        <w:t>犯罪行为，以及食品非法添加、制售假劣农资和在农村、校园及网络平台销售假劣食品等犯罪行为。组织非法添加新型化学衍生物犯罪集中破案攻坚。</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公安</w:t>
      </w:r>
      <w:r>
        <w:rPr>
          <w:rFonts w:hint="eastAsia" w:ascii="Times New Roman" w:hAnsi="Times New Roman" w:eastAsia="楷体_GB2312" w:cs="Times New Roman"/>
          <w:b w:val="0"/>
          <w:bCs w:val="0"/>
          <w:color w:val="auto"/>
          <w:sz w:val="32"/>
          <w:szCs w:val="32"/>
          <w:highlight w:val="none"/>
          <w:lang w:val="en-US" w:eastAsia="zh-CN"/>
        </w:rPr>
        <w:t>分</w:t>
      </w:r>
      <w:r>
        <w:rPr>
          <w:rFonts w:hint="default" w:ascii="Times New Roman" w:hAnsi="Times New Roman" w:eastAsia="楷体_GB2312" w:cs="Times New Roman"/>
          <w:b w:val="0"/>
          <w:bCs w:val="0"/>
          <w:color w:val="auto"/>
          <w:sz w:val="32"/>
          <w:szCs w:val="32"/>
          <w:highlight w:val="none"/>
          <w:lang w:val="en-US" w:eastAsia="zh-CN"/>
        </w:rPr>
        <w:t>局</w:t>
      </w:r>
      <w:r>
        <w:rPr>
          <w:rFonts w:hint="default" w:ascii="Times New Roman" w:hAnsi="Times New Roman" w:eastAsia="楷体_GB2312" w:cs="Times New Roman"/>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eastAsia="zh-CN"/>
        </w:rPr>
        <w:t>开展进口食品</w:t>
      </w:r>
      <w:r>
        <w:rPr>
          <w:rFonts w:hint="eastAsia" w:ascii="仿宋_GB2312" w:hAnsi="仿宋_GB2312" w:eastAsia="仿宋_GB2312" w:cs="仿宋_GB2312"/>
          <w:b w:val="0"/>
          <w:bCs w:val="0"/>
          <w:color w:val="auto"/>
          <w:sz w:val="32"/>
          <w:szCs w:val="32"/>
          <w:highlight w:val="none"/>
          <w:lang w:val="en-US" w:eastAsia="zh-Hans"/>
        </w:rPr>
        <w:t>“国门守护”行动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严厉打击冻品、农产品等走私违法犯罪活动。</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公安</w:t>
      </w:r>
      <w:r>
        <w:rPr>
          <w:rFonts w:hint="eastAsia" w:ascii="Times New Roman" w:hAnsi="Times New Roman" w:eastAsia="楷体_GB2312" w:cs="Times New Roman"/>
          <w:b w:val="0"/>
          <w:bCs w:val="0"/>
          <w:color w:val="auto"/>
          <w:sz w:val="32"/>
          <w:szCs w:val="32"/>
          <w:highlight w:val="none"/>
          <w:lang w:val="en-US" w:eastAsia="zh-CN"/>
        </w:rPr>
        <w:t>分</w:t>
      </w:r>
      <w:r>
        <w:rPr>
          <w:rFonts w:hint="default" w:ascii="Times New Roman" w:hAnsi="Times New Roman" w:eastAsia="楷体_GB2312" w:cs="Times New Roman"/>
          <w:b w:val="0"/>
          <w:bCs w:val="0"/>
          <w:color w:val="auto"/>
          <w:sz w:val="32"/>
          <w:szCs w:val="32"/>
          <w:highlight w:val="none"/>
          <w:lang w:val="en-US" w:eastAsia="zh-CN"/>
        </w:rPr>
        <w:t>局</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Hans"/>
        </w:rPr>
        <w:t>商务</w:t>
      </w:r>
      <w:r>
        <w:rPr>
          <w:rFonts w:hint="default" w:ascii="Times New Roman" w:hAnsi="Times New Roman" w:eastAsia="楷体_GB2312" w:cs="Times New Roman"/>
          <w:b w:val="0"/>
          <w:bCs w:val="0"/>
          <w:color w:val="auto"/>
          <w:sz w:val="32"/>
          <w:szCs w:val="32"/>
          <w:highlight w:val="none"/>
          <w:lang w:val="en-US" w:eastAsia="zh-CN"/>
        </w:rPr>
        <w:t>局</w:t>
      </w:r>
      <w:r>
        <w:rPr>
          <w:rFonts w:hint="default" w:ascii="Times New Roman" w:hAnsi="Times New Roman" w:eastAsia="楷体_GB2312" w:cs="Times New Roman"/>
          <w:b w:val="0"/>
          <w:bCs w:val="0"/>
          <w:color w:val="auto"/>
          <w:sz w:val="32"/>
          <w:szCs w:val="32"/>
          <w:highlight w:val="none"/>
          <w:lang w:val="en-US" w:eastAsia="zh-Hans"/>
        </w:rPr>
        <w:t>按职责分工负责</w:t>
      </w:r>
      <w:r>
        <w:rPr>
          <w:rFonts w:hint="default" w:ascii="Times New Roman" w:hAnsi="Times New Roman" w:eastAsia="楷体_GB2312" w:cs="Times New Roman"/>
          <w:b w:val="0"/>
          <w:bCs w:val="0"/>
          <w:color w:val="auto"/>
          <w:sz w:val="32"/>
          <w:szCs w:val="32"/>
          <w:highlight w:val="none"/>
          <w:lang w:eastAsia="zh-Hans"/>
        </w:rPr>
        <w:t>）</w:t>
      </w:r>
      <w:r>
        <w:rPr>
          <w:rFonts w:hint="eastAsia" w:ascii="仿宋_GB2312" w:hAnsi="仿宋_GB2312" w:eastAsia="仿宋_GB2312" w:cs="仿宋_GB2312"/>
          <w:color w:val="auto"/>
          <w:sz w:val="32"/>
          <w:szCs w:val="32"/>
          <w:lang w:val="en-US" w:eastAsia="zh-CN"/>
        </w:rPr>
        <w:t>强化行刑衔接，形成打击食品安全违法犯罪合力。</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eastAsia="zh-CN"/>
        </w:rPr>
        <w:t>公安</w:t>
      </w:r>
      <w:r>
        <w:rPr>
          <w:rFonts w:hint="eastAsia" w:ascii="Times New Roman" w:hAnsi="Times New Roman" w:eastAsia="楷体_GB2312" w:cs="Times New Roman"/>
          <w:color w:val="auto"/>
          <w:sz w:val="32"/>
          <w:szCs w:val="32"/>
          <w:lang w:eastAsia="zh-CN"/>
        </w:rPr>
        <w:t>分</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eastAsia="zh-CN"/>
        </w:rPr>
        <w:t>农业农村</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区</w:t>
      </w:r>
      <w:r>
        <w:rPr>
          <w:rFonts w:hint="default" w:ascii="Times New Roman" w:hAnsi="Times New Roman" w:eastAsia="楷体_GB2312" w:cs="Times New Roman"/>
          <w:color w:val="auto"/>
          <w:sz w:val="32"/>
          <w:szCs w:val="32"/>
          <w:lang w:eastAsia="zh-CN"/>
        </w:rPr>
        <w:t>市场监管局</w:t>
      </w:r>
      <w:r>
        <w:rPr>
          <w:rFonts w:hint="default" w:ascii="Times New Roman" w:hAnsi="Times New Roman" w:eastAsia="楷体_GB2312" w:cs="Times New Roman"/>
          <w:color w:val="auto"/>
          <w:sz w:val="32"/>
          <w:szCs w:val="32"/>
          <w:lang w:val="en-US" w:eastAsia="zh-CN"/>
        </w:rPr>
        <w:t>按</w:t>
      </w:r>
      <w:r>
        <w:rPr>
          <w:rFonts w:hint="default" w:ascii="Times New Roman" w:hAnsi="Times New Roman" w:eastAsia="楷体_GB2312" w:cs="Times New Roman"/>
          <w:color w:val="auto"/>
          <w:sz w:val="32"/>
          <w:szCs w:val="32"/>
          <w:lang w:eastAsia="zh-CN"/>
        </w:rPr>
        <w:t>职责分工负责）</w:t>
      </w:r>
    </w:p>
    <w:p>
      <w:pPr>
        <w:pStyle w:val="29"/>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八、积极构建社会共治格局</w:t>
      </w:r>
    </w:p>
    <w:p>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firstLine="640"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shd w:val="clear" w:color="auto" w:fill="auto"/>
          <w:lang w:val="en-US" w:eastAsia="zh-CN"/>
        </w:rPr>
        <w:t>26</w:t>
      </w:r>
      <w:r>
        <w:rPr>
          <w:rFonts w:hint="eastAsia" w:ascii="楷体_GB2312" w:hAnsi="楷体_GB2312" w:eastAsia="楷体_GB2312" w:cs="楷体_GB2312"/>
          <w:color w:val="auto"/>
          <w:sz w:val="32"/>
          <w:szCs w:val="32"/>
          <w:shd w:val="clear" w:color="auto" w:fill="auto"/>
          <w:lang w:val="en-US" w:eastAsia="zh-CN"/>
        </w:rPr>
        <w:t>.</w:t>
      </w:r>
      <w:r>
        <w:rPr>
          <w:rFonts w:hint="eastAsia" w:ascii="楷体_GB2312" w:hAnsi="楷体_GB2312" w:eastAsia="楷体_GB2312" w:cs="楷体_GB2312"/>
          <w:color w:val="auto"/>
          <w:sz w:val="32"/>
          <w:szCs w:val="32"/>
          <w:shd w:val="clear" w:color="auto" w:fill="auto"/>
          <w:lang w:eastAsia="zh-CN"/>
        </w:rPr>
        <w:t>推进反食品浪费工作。</w:t>
      </w:r>
      <w:r>
        <w:rPr>
          <w:rFonts w:hint="default" w:ascii="Times New Roman" w:hAnsi="Times New Roman" w:eastAsia="仿宋_GB2312" w:cs="Times New Roman"/>
          <w:b w:val="0"/>
          <w:i w:val="0"/>
          <w:caps w:val="0"/>
          <w:color w:val="auto"/>
          <w:spacing w:val="0"/>
          <w:sz w:val="32"/>
          <w:szCs w:val="32"/>
          <w:shd w:val="clear" w:color="auto" w:fill="auto"/>
        </w:rPr>
        <w:t>发布</w:t>
      </w:r>
      <w:r>
        <w:rPr>
          <w:rFonts w:hint="default" w:ascii="Times New Roman" w:hAnsi="Times New Roman" w:eastAsia="仿宋_GB2312" w:cs="Times New Roman"/>
          <w:b w:val="0"/>
          <w:i w:val="0"/>
          <w:caps w:val="0"/>
          <w:color w:val="auto"/>
          <w:spacing w:val="0"/>
          <w:sz w:val="32"/>
          <w:szCs w:val="32"/>
          <w:shd w:val="clear" w:color="auto" w:fill="auto"/>
          <w:lang w:eastAsia="zh-CN"/>
        </w:rPr>
        <w:t>防止和减少</w:t>
      </w:r>
      <w:r>
        <w:rPr>
          <w:rFonts w:hint="default" w:ascii="Times New Roman" w:hAnsi="Times New Roman" w:eastAsia="仿宋_GB2312" w:cs="Times New Roman"/>
          <w:b w:val="0"/>
          <w:i w:val="0"/>
          <w:caps w:val="0"/>
          <w:color w:val="auto"/>
          <w:spacing w:val="0"/>
          <w:sz w:val="32"/>
          <w:szCs w:val="32"/>
          <w:shd w:val="clear" w:color="auto" w:fill="auto"/>
        </w:rPr>
        <w:t>餐饮浪费公告</w:t>
      </w:r>
      <w:r>
        <w:rPr>
          <w:rFonts w:hint="default" w:ascii="Times New Roman" w:hAnsi="Times New Roman" w:eastAsia="仿宋_GB2312" w:cs="Times New Roman"/>
          <w:b w:val="0"/>
          <w:i w:val="0"/>
          <w:caps w:val="0"/>
          <w:color w:val="auto"/>
          <w:spacing w:val="0"/>
          <w:sz w:val="32"/>
          <w:szCs w:val="32"/>
          <w:shd w:val="clear" w:color="auto" w:fill="auto"/>
          <w:lang w:eastAsia="zh-CN"/>
        </w:rPr>
        <w:t>。</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发展改革</w:t>
      </w:r>
      <w:r>
        <w:rPr>
          <w:rFonts w:hint="eastAsia" w:ascii="Times New Roman" w:hAnsi="Times New Roman" w:eastAsia="楷体_GB2312" w:cs="Times New Roman"/>
          <w:b w:val="0"/>
          <w:i w:val="0"/>
          <w:caps w:val="0"/>
          <w:color w:val="auto"/>
          <w:spacing w:val="0"/>
          <w:sz w:val="32"/>
          <w:szCs w:val="32"/>
          <w:shd w:val="clear" w:color="auto" w:fill="auto"/>
          <w:lang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牵头，</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商务</w:t>
      </w:r>
      <w:r>
        <w:rPr>
          <w:rFonts w:hint="default" w:ascii="Times New Roman" w:hAnsi="Times New Roman" w:eastAsia="楷体_GB2312" w:cs="Times New Roman"/>
          <w:b w:val="0"/>
          <w:i w:val="0"/>
          <w:caps w:val="0"/>
          <w:color w:val="auto"/>
          <w:spacing w:val="0"/>
          <w:sz w:val="32"/>
          <w:szCs w:val="32"/>
          <w:shd w:val="clear" w:color="auto" w:fill="auto"/>
          <w:lang w:val="en-US"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文化和旅游</w:t>
      </w:r>
      <w:r>
        <w:rPr>
          <w:rFonts w:hint="default" w:ascii="Times New Roman" w:hAnsi="Times New Roman" w:eastAsia="楷体_GB2312" w:cs="Times New Roman"/>
          <w:b w:val="0"/>
          <w:i w:val="0"/>
          <w:caps w:val="0"/>
          <w:color w:val="auto"/>
          <w:spacing w:val="0"/>
          <w:sz w:val="32"/>
          <w:szCs w:val="32"/>
          <w:shd w:val="clear" w:color="auto" w:fill="auto"/>
          <w:lang w:val="en-US"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市场监管局按职责分工负责）</w:t>
      </w:r>
      <w:r>
        <w:rPr>
          <w:rFonts w:hint="eastAsia" w:ascii="仿宋_GB2312" w:hAnsi="仿宋_GB2312" w:eastAsia="仿宋_GB2312" w:cs="仿宋_GB2312"/>
          <w:b w:val="0"/>
          <w:i w:val="0"/>
          <w:caps w:val="0"/>
          <w:color w:val="auto"/>
          <w:spacing w:val="0"/>
          <w:sz w:val="32"/>
          <w:szCs w:val="32"/>
          <w:shd w:val="clear" w:color="auto" w:fill="auto"/>
        </w:rPr>
        <w:t>研究建立餐饮行业反食品浪费制度规范，</w:t>
      </w:r>
      <w:r>
        <w:rPr>
          <w:rFonts w:hint="eastAsia" w:ascii="仿宋_GB2312" w:hAnsi="仿宋_GB2312" w:eastAsia="仿宋_GB2312" w:cs="仿宋_GB2312"/>
          <w:b w:val="0"/>
          <w:i w:val="0"/>
          <w:caps w:val="0"/>
          <w:color w:val="auto"/>
          <w:spacing w:val="0"/>
          <w:sz w:val="32"/>
          <w:szCs w:val="32"/>
          <w:shd w:val="clear" w:color="auto" w:fill="auto"/>
          <w:lang w:eastAsia="zh-CN"/>
        </w:rPr>
        <w:t>推动</w:t>
      </w:r>
      <w:r>
        <w:rPr>
          <w:rFonts w:hint="eastAsia" w:ascii="仿宋_GB2312" w:hAnsi="仿宋_GB2312" w:eastAsia="仿宋_GB2312" w:cs="仿宋_GB2312"/>
          <w:b w:val="0"/>
          <w:i w:val="0"/>
          <w:caps w:val="0"/>
          <w:color w:val="auto"/>
          <w:spacing w:val="0"/>
          <w:sz w:val="32"/>
          <w:szCs w:val="32"/>
          <w:shd w:val="clear" w:color="auto" w:fill="auto"/>
        </w:rPr>
        <w:t>将防止食品浪费要求纳入有关</w:t>
      </w:r>
      <w:r>
        <w:rPr>
          <w:rFonts w:hint="eastAsia" w:ascii="仿宋_GB2312" w:hAnsi="仿宋_GB2312" w:eastAsia="仿宋_GB2312" w:cs="仿宋_GB2312"/>
          <w:b w:val="0"/>
          <w:i w:val="0"/>
          <w:caps w:val="0"/>
          <w:color w:val="auto"/>
          <w:spacing w:val="0"/>
          <w:sz w:val="32"/>
          <w:szCs w:val="32"/>
          <w:shd w:val="clear" w:color="auto" w:fill="auto"/>
          <w:lang w:eastAsia="zh-CN"/>
        </w:rPr>
        <w:t>地方</w:t>
      </w:r>
      <w:r>
        <w:rPr>
          <w:rFonts w:hint="eastAsia" w:ascii="仿宋_GB2312" w:hAnsi="仿宋_GB2312" w:eastAsia="仿宋_GB2312" w:cs="仿宋_GB2312"/>
          <w:b w:val="0"/>
          <w:i w:val="0"/>
          <w:caps w:val="0"/>
          <w:color w:val="auto"/>
          <w:spacing w:val="0"/>
          <w:sz w:val="32"/>
          <w:szCs w:val="32"/>
          <w:shd w:val="clear" w:color="auto" w:fill="auto"/>
        </w:rPr>
        <w:t>标准。</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商务</w:t>
      </w:r>
      <w:r>
        <w:rPr>
          <w:rFonts w:hint="default" w:ascii="Times New Roman" w:hAnsi="Times New Roman" w:eastAsia="楷体_GB2312" w:cs="Times New Roman"/>
          <w:b w:val="0"/>
          <w:i w:val="0"/>
          <w:caps w:val="0"/>
          <w:color w:val="auto"/>
          <w:spacing w:val="0"/>
          <w:sz w:val="32"/>
          <w:szCs w:val="32"/>
          <w:shd w:val="clear" w:color="auto" w:fill="auto"/>
          <w:lang w:val="en-US"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牵头，</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市场监管局配合）</w:t>
      </w:r>
      <w:r>
        <w:rPr>
          <w:rFonts w:hint="eastAsia" w:ascii="仿宋_GB2312" w:hAnsi="仿宋_GB2312" w:eastAsia="仿宋_GB2312" w:cs="仿宋_GB2312"/>
          <w:color w:val="auto"/>
          <w:kern w:val="0"/>
          <w:sz w:val="32"/>
          <w:szCs w:val="32"/>
          <w:lang w:val="en-US" w:eastAsia="zh-CN" w:bidi="ar"/>
        </w:rPr>
        <w:t>加强粮食储备流通过程中的节粮减损指导。</w:t>
      </w:r>
      <w:r>
        <w:rPr>
          <w:rFonts w:hint="default" w:ascii="Times New Roman" w:hAnsi="Times New Roman" w:eastAsia="楷体_GB2312" w:cs="Times New Roman"/>
          <w:color w:val="auto"/>
          <w:kern w:val="0"/>
          <w:sz w:val="32"/>
          <w:szCs w:val="32"/>
          <w:lang w:val="en-US" w:eastAsia="zh-CN" w:bidi="ar"/>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发展改革</w:t>
      </w:r>
      <w:r>
        <w:rPr>
          <w:rFonts w:hint="eastAsia" w:ascii="Times New Roman" w:hAnsi="Times New Roman" w:eastAsia="楷体_GB2312" w:cs="Times New Roman"/>
          <w:b w:val="0"/>
          <w:i w:val="0"/>
          <w:caps w:val="0"/>
          <w:color w:val="auto"/>
          <w:spacing w:val="0"/>
          <w:sz w:val="32"/>
          <w:szCs w:val="32"/>
          <w:shd w:val="clear" w:color="auto" w:fill="auto"/>
          <w:lang w:eastAsia="zh-CN"/>
        </w:rPr>
        <w:t>局</w:t>
      </w:r>
      <w:r>
        <w:rPr>
          <w:rFonts w:hint="default" w:ascii="Times New Roman" w:hAnsi="Times New Roman" w:eastAsia="楷体_GB2312" w:cs="Times New Roman"/>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督促</w:t>
      </w:r>
      <w:r>
        <w:rPr>
          <w:rFonts w:hint="eastAsia" w:ascii="仿宋_GB2312" w:hAnsi="仿宋_GB2312" w:eastAsia="仿宋_GB2312" w:cs="仿宋_GB2312"/>
          <w:color w:val="auto"/>
          <w:sz w:val="32"/>
          <w:szCs w:val="32"/>
          <w:lang w:val="en-US" w:eastAsia="zh-CN"/>
        </w:rPr>
        <w:t>食品销售企业严格落实临近保质期食品销售要求。以婚宴、自助餐、餐饮外卖为重点加强监管执法。指导地方采用捐赠、拍卖、义卖等方式，提升食品抽检合格备份样品再利用效率，减少食品浪费。</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市场监管局）</w:t>
      </w:r>
      <w:r>
        <w:rPr>
          <w:rFonts w:hint="eastAsia" w:ascii="仿宋_GB2312" w:hAnsi="仿宋_GB2312" w:eastAsia="仿宋_GB2312" w:cs="仿宋_GB2312"/>
          <w:b w:val="0"/>
          <w:i w:val="0"/>
          <w:caps w:val="0"/>
          <w:color w:val="auto"/>
          <w:spacing w:val="0"/>
          <w:sz w:val="32"/>
          <w:szCs w:val="32"/>
          <w:shd w:val="clear" w:color="auto" w:fill="auto"/>
          <w:lang w:eastAsia="zh-CN"/>
        </w:rPr>
        <w:t>加强反食品浪费宣传，倡导节俭风尚，推广典型经验，曝光负面案例。</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委宣传部、</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发展改革</w:t>
      </w:r>
      <w:r>
        <w:rPr>
          <w:rFonts w:hint="eastAsia" w:ascii="Times New Roman" w:hAnsi="Times New Roman" w:eastAsia="楷体_GB2312" w:cs="Times New Roman"/>
          <w:b w:val="0"/>
          <w:i w:val="0"/>
          <w:caps w:val="0"/>
          <w:color w:val="auto"/>
          <w:spacing w:val="0"/>
          <w:sz w:val="32"/>
          <w:szCs w:val="32"/>
          <w:shd w:val="clear" w:color="auto" w:fill="auto"/>
          <w:lang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商务</w:t>
      </w:r>
      <w:r>
        <w:rPr>
          <w:rFonts w:hint="default" w:ascii="Times New Roman" w:hAnsi="Times New Roman" w:eastAsia="楷体_GB2312" w:cs="Times New Roman"/>
          <w:b w:val="0"/>
          <w:i w:val="0"/>
          <w:caps w:val="0"/>
          <w:color w:val="auto"/>
          <w:spacing w:val="0"/>
          <w:sz w:val="32"/>
          <w:szCs w:val="32"/>
          <w:shd w:val="clear" w:color="auto" w:fill="auto"/>
          <w:lang w:val="en-US"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文化和旅游</w:t>
      </w:r>
      <w:r>
        <w:rPr>
          <w:rFonts w:hint="default" w:ascii="Times New Roman" w:hAnsi="Times New Roman" w:eastAsia="楷体_GB2312" w:cs="Times New Roman"/>
          <w:b w:val="0"/>
          <w:i w:val="0"/>
          <w:caps w:val="0"/>
          <w:color w:val="auto"/>
          <w:spacing w:val="0"/>
          <w:sz w:val="32"/>
          <w:szCs w:val="32"/>
          <w:shd w:val="clear" w:color="auto" w:fill="auto"/>
          <w:lang w:val="en-US" w:eastAsia="zh-CN"/>
        </w:rPr>
        <w:t>局</w:t>
      </w:r>
      <w:r>
        <w:rPr>
          <w:rFonts w:hint="default" w:ascii="Times New Roman" w:hAnsi="Times New Roman" w:eastAsia="楷体_GB2312" w:cs="Times New Roman"/>
          <w:b w:val="0"/>
          <w:i w:val="0"/>
          <w:caps w:val="0"/>
          <w:color w:val="auto"/>
          <w:spacing w:val="0"/>
          <w:sz w:val="32"/>
          <w:szCs w:val="32"/>
          <w:shd w:val="clear" w:color="auto" w:fill="auto"/>
          <w:lang w:eastAsia="zh-CN"/>
        </w:rPr>
        <w:t>、</w:t>
      </w:r>
      <w:r>
        <w:rPr>
          <w:rFonts w:hint="eastAsia" w:ascii="Times New Roman" w:hAnsi="Times New Roman" w:eastAsia="楷体_GB2312" w:cs="Times New Roman"/>
          <w:b w:val="0"/>
          <w:i w:val="0"/>
          <w:caps w:val="0"/>
          <w:color w:val="auto"/>
          <w:spacing w:val="0"/>
          <w:sz w:val="32"/>
          <w:szCs w:val="32"/>
          <w:shd w:val="clear" w:color="auto" w:fill="auto"/>
          <w:lang w:val="en-US" w:eastAsia="zh-CN"/>
        </w:rPr>
        <w:t>区</w:t>
      </w:r>
      <w:r>
        <w:rPr>
          <w:rFonts w:hint="default" w:ascii="Times New Roman" w:hAnsi="Times New Roman" w:eastAsia="楷体_GB2312" w:cs="Times New Roman"/>
          <w:b w:val="0"/>
          <w:i w:val="0"/>
          <w:caps w:val="0"/>
          <w:color w:val="auto"/>
          <w:spacing w:val="0"/>
          <w:sz w:val="32"/>
          <w:szCs w:val="32"/>
          <w:shd w:val="clear" w:color="auto" w:fill="auto"/>
          <w:lang w:eastAsia="zh-CN"/>
        </w:rPr>
        <w:t>市场监管局按职责分工负责）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27</w:t>
      </w:r>
      <w:r>
        <w:rPr>
          <w:rFonts w:hint="eastAsia" w:ascii="楷体_GB2312" w:hAnsi="楷体_GB2312" w:eastAsia="楷体_GB2312" w:cs="楷体_GB2312"/>
          <w:b w:val="0"/>
          <w:bCs w:val="0"/>
          <w:color w:val="auto"/>
          <w:sz w:val="32"/>
          <w:szCs w:val="32"/>
          <w:highlight w:val="none"/>
          <w:lang w:val="en-US" w:eastAsia="zh-CN"/>
        </w:rPr>
        <w:t>.加强</w:t>
      </w:r>
      <w:r>
        <w:rPr>
          <w:rFonts w:hint="eastAsia" w:ascii="楷体_GB2312" w:hAnsi="楷体_GB2312" w:eastAsia="楷体_GB2312" w:cs="楷体_GB2312"/>
          <w:b w:val="0"/>
          <w:bCs w:val="0"/>
          <w:color w:val="auto"/>
          <w:sz w:val="32"/>
          <w:szCs w:val="32"/>
          <w:highlight w:val="none"/>
          <w:lang w:val="en-US" w:eastAsia="zh-Hans"/>
        </w:rPr>
        <w:t>宣传引导</w:t>
      </w:r>
      <w:r>
        <w:rPr>
          <w:rFonts w:hint="eastAsia" w:ascii="楷体_GB2312" w:hAnsi="楷体_GB2312" w:eastAsia="楷体_GB2312" w:cs="楷体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举办</w:t>
      </w:r>
      <w:r>
        <w:rPr>
          <w:rFonts w:hint="eastAsia" w:ascii="仿宋_GB2312" w:hAnsi="仿宋_GB2312" w:eastAsia="仿宋_GB2312" w:cs="仿宋_GB2312"/>
          <w:b w:val="0"/>
          <w:bCs w:val="0"/>
          <w:color w:val="auto"/>
          <w:sz w:val="32"/>
          <w:szCs w:val="32"/>
          <w:highlight w:val="none"/>
          <w:lang w:val="en-US" w:eastAsia="zh-CN"/>
        </w:rPr>
        <w:t>全区</w:t>
      </w:r>
      <w:r>
        <w:rPr>
          <w:rFonts w:hint="eastAsia" w:ascii="仿宋_GB2312" w:hAnsi="仿宋_GB2312" w:eastAsia="仿宋_GB2312" w:cs="仿宋_GB2312"/>
          <w:b w:val="0"/>
          <w:bCs w:val="0"/>
          <w:color w:val="auto"/>
          <w:sz w:val="32"/>
          <w:szCs w:val="32"/>
          <w:highlight w:val="none"/>
          <w:lang w:val="en-US" w:eastAsia="zh-Hans"/>
        </w:rPr>
        <w:t>食品安全宣传周</w:t>
      </w:r>
      <w:r>
        <w:rPr>
          <w:rFonts w:hint="eastAsia" w:ascii="仿宋_GB2312" w:hAnsi="仿宋_GB2312" w:eastAsia="仿宋_GB2312" w:cs="仿宋_GB2312"/>
          <w:b w:val="0"/>
          <w:bCs w:val="0"/>
          <w:color w:val="auto"/>
          <w:sz w:val="32"/>
          <w:szCs w:val="32"/>
          <w:highlight w:val="none"/>
          <w:lang w:val="en-US" w:eastAsia="zh-CN"/>
        </w:rPr>
        <w:t>活动。</w:t>
      </w:r>
      <w:r>
        <w:rPr>
          <w:rFonts w:hint="eastAsia" w:ascii="仿宋_GB2312" w:hAnsi="仿宋_GB2312" w:eastAsia="仿宋_GB2312" w:cs="仿宋_GB2312"/>
          <w:b w:val="0"/>
          <w:bCs w:val="0"/>
          <w:color w:val="auto"/>
          <w:sz w:val="32"/>
          <w:szCs w:val="32"/>
          <w:highlight w:val="none"/>
          <w:lang w:eastAsia="zh-CN"/>
        </w:rPr>
        <w:t>建立</w:t>
      </w:r>
      <w:r>
        <w:rPr>
          <w:rFonts w:hint="eastAsia" w:ascii="仿宋_GB2312" w:hAnsi="仿宋_GB2312" w:eastAsia="仿宋_GB2312" w:cs="仿宋_GB2312"/>
          <w:b w:val="0"/>
          <w:bCs w:val="0"/>
          <w:color w:val="auto"/>
          <w:sz w:val="32"/>
          <w:szCs w:val="32"/>
          <w:highlight w:val="none"/>
          <w:lang w:val="en-US" w:eastAsia="zh-CN"/>
        </w:rPr>
        <w:t>区市场监管局微博、微信公众号</w:t>
      </w:r>
      <w:r>
        <w:rPr>
          <w:rFonts w:hint="eastAsia" w:ascii="仿宋_GB2312" w:hAnsi="仿宋_GB2312" w:eastAsia="仿宋_GB2312" w:cs="仿宋_GB2312"/>
          <w:b w:val="0"/>
          <w:bCs w:val="0"/>
          <w:color w:val="auto"/>
          <w:sz w:val="32"/>
          <w:szCs w:val="32"/>
          <w:highlight w:val="none"/>
          <w:lang w:eastAsia="zh-CN"/>
        </w:rPr>
        <w:t>权威发声平台，讲好食品安全故事。</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食药安办</w:t>
      </w:r>
      <w:r>
        <w:rPr>
          <w:rFonts w:hint="default" w:ascii="Times New Roman" w:hAnsi="Times New Roman" w:eastAsia="楷体_GB2312" w:cs="Times New Roman"/>
          <w:b w:val="0"/>
          <w:bCs w:val="0"/>
          <w:color w:val="auto"/>
          <w:sz w:val="32"/>
          <w:szCs w:val="32"/>
          <w:highlight w:val="none"/>
          <w:lang w:val="en-US" w:eastAsia="zh-Hans"/>
        </w:rPr>
        <w:t>牵头</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食药安委</w:t>
      </w:r>
      <w:r>
        <w:rPr>
          <w:rFonts w:hint="default" w:ascii="Times New Roman" w:hAnsi="Times New Roman" w:eastAsia="楷体_GB2312" w:cs="Times New Roman"/>
          <w:b w:val="0"/>
          <w:bCs w:val="0"/>
          <w:color w:val="auto"/>
          <w:sz w:val="32"/>
          <w:szCs w:val="32"/>
          <w:highlight w:val="none"/>
          <w:lang w:val="en-US" w:eastAsia="zh-Hans"/>
        </w:rPr>
        <w:t>相关成员单位及有关部门配合</w:t>
      </w:r>
      <w:r>
        <w:rPr>
          <w:rFonts w:hint="default" w:ascii="Times New Roman" w:hAnsi="Times New Roman" w:eastAsia="楷体_GB2312" w:cs="Times New Roman"/>
          <w:b w:val="0"/>
          <w:bCs w:val="0"/>
          <w:color w:val="auto"/>
          <w:sz w:val="32"/>
          <w:szCs w:val="32"/>
          <w:highlight w:val="none"/>
          <w:lang w:eastAsia="zh-Hans"/>
        </w:rPr>
        <w:t>）</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b w:val="0"/>
          <w:bCs w:val="0"/>
          <w:color w:val="auto"/>
          <w:sz w:val="32"/>
          <w:szCs w:val="32"/>
          <w:highlight w:val="none"/>
          <w:lang w:val="en-US" w:eastAsia="zh-Hans"/>
        </w:rPr>
        <w:t>及时报道食品安全工作成效</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宣传先进典型</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开展舆论引导</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提高</w:t>
      </w:r>
      <w:r>
        <w:rPr>
          <w:rFonts w:hint="eastAsia" w:ascii="仿宋_GB2312" w:hAnsi="仿宋_GB2312" w:eastAsia="仿宋_GB2312" w:cs="仿宋_GB2312"/>
          <w:b w:val="0"/>
          <w:bCs w:val="0"/>
          <w:color w:val="auto"/>
          <w:sz w:val="32"/>
          <w:szCs w:val="32"/>
          <w:highlight w:val="none"/>
          <w:lang w:val="en-US" w:eastAsia="zh-CN"/>
        </w:rPr>
        <w:t>群众</w:t>
      </w:r>
      <w:r>
        <w:rPr>
          <w:rFonts w:hint="eastAsia" w:ascii="仿宋_GB2312" w:hAnsi="仿宋_GB2312" w:eastAsia="仿宋_GB2312" w:cs="仿宋_GB2312"/>
          <w:b w:val="0"/>
          <w:bCs w:val="0"/>
          <w:color w:val="auto"/>
          <w:sz w:val="32"/>
          <w:szCs w:val="32"/>
          <w:highlight w:val="none"/>
          <w:lang w:val="en-US" w:eastAsia="zh-Hans"/>
        </w:rPr>
        <w:t>食品安全风险防范意识和辨别能力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食品安全</w:t>
      </w:r>
      <w:r>
        <w:rPr>
          <w:rFonts w:hint="eastAsia" w:ascii="仿宋_GB2312" w:hAnsi="仿宋_GB2312" w:eastAsia="仿宋_GB2312" w:cs="仿宋_GB2312"/>
          <w:color w:val="auto"/>
          <w:sz w:val="32"/>
          <w:szCs w:val="32"/>
        </w:rPr>
        <w:t>主题科普</w:t>
      </w:r>
      <w:r>
        <w:rPr>
          <w:rFonts w:hint="eastAsia" w:ascii="仿宋_GB2312" w:hAnsi="仿宋_GB2312" w:eastAsia="仿宋_GB2312" w:cs="仿宋_GB2312"/>
          <w:color w:val="auto"/>
          <w:sz w:val="32"/>
          <w:szCs w:val="32"/>
          <w:lang w:eastAsia="zh-CN"/>
        </w:rPr>
        <w:t>宣传教育</w:t>
      </w:r>
      <w:r>
        <w:rPr>
          <w:rFonts w:hint="eastAsia" w:ascii="仿宋_GB2312" w:hAnsi="仿宋_GB2312" w:eastAsia="仿宋_GB2312" w:cs="仿宋_GB2312"/>
          <w:color w:val="auto"/>
          <w:sz w:val="32"/>
          <w:szCs w:val="32"/>
        </w:rPr>
        <w:t>活动，普及食品安全健康科普知识</w:t>
      </w:r>
      <w:r>
        <w:rPr>
          <w:rFonts w:hint="eastAsia" w:ascii="仿宋_GB2312" w:hAnsi="仿宋_GB2312" w:eastAsia="仿宋_GB2312" w:cs="仿宋_GB2312"/>
          <w:color w:val="auto"/>
          <w:sz w:val="32"/>
          <w:szCs w:val="32"/>
          <w:lang w:eastAsia="zh-CN"/>
        </w:rPr>
        <w:t>。落实“谁执法谁普法”普法责任制，</w:t>
      </w:r>
      <w:r>
        <w:rPr>
          <w:rFonts w:hint="eastAsia" w:ascii="仿宋_GB2312" w:hAnsi="仿宋_GB2312" w:eastAsia="仿宋_GB2312" w:cs="仿宋_GB2312"/>
          <w:b w:val="0"/>
          <w:bCs w:val="0"/>
          <w:color w:val="auto"/>
          <w:sz w:val="32"/>
          <w:szCs w:val="32"/>
          <w:highlight w:val="none"/>
          <w:lang w:eastAsia="zh-CN"/>
        </w:rPr>
        <w:t>加强食品安全法律法规宣传普及。畅通投诉举报渠道，接受群众监督。</w:t>
      </w:r>
      <w:r>
        <w:rPr>
          <w:rFonts w:hint="default" w:ascii="Times New Roman" w:hAnsi="Times New Roman" w:eastAsia="楷体_GB2312" w:cs="Times New Roman"/>
          <w:b w:val="0"/>
          <w:bCs w:val="0"/>
          <w:color w:val="auto"/>
          <w:sz w:val="32"/>
          <w:szCs w:val="32"/>
          <w:highlight w:val="none"/>
          <w:lang w:eastAsia="zh-Hans"/>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委</w:t>
      </w:r>
      <w:r>
        <w:rPr>
          <w:rFonts w:hint="default" w:ascii="Times New Roman" w:hAnsi="Times New Roman" w:eastAsia="楷体_GB2312" w:cs="Times New Roman"/>
          <w:b w:val="0"/>
          <w:bCs w:val="0"/>
          <w:color w:val="auto"/>
          <w:sz w:val="32"/>
          <w:szCs w:val="32"/>
          <w:highlight w:val="none"/>
          <w:lang w:val="en-US" w:eastAsia="zh-Hans"/>
        </w:rPr>
        <w:t>宣传部</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科协、</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发展改革</w:t>
      </w:r>
      <w:r>
        <w:rPr>
          <w:rFonts w:hint="eastAsia" w:ascii="Times New Roman" w:hAnsi="Times New Roman" w:eastAsia="楷体_GB2312" w:cs="Times New Roman"/>
          <w:b w:val="0"/>
          <w:bCs w:val="0"/>
          <w:color w:val="auto"/>
          <w:sz w:val="32"/>
          <w:szCs w:val="32"/>
          <w:highlight w:val="none"/>
          <w:lang w:val="en-US" w:eastAsia="zh-CN"/>
        </w:rPr>
        <w:t>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区教体局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公安</w:t>
      </w:r>
      <w:r>
        <w:rPr>
          <w:rFonts w:hint="eastAsia" w:ascii="Times New Roman" w:hAnsi="Times New Roman" w:eastAsia="楷体_GB2312" w:cs="Times New Roman"/>
          <w:b w:val="0"/>
          <w:bCs w:val="0"/>
          <w:color w:val="auto"/>
          <w:sz w:val="32"/>
          <w:szCs w:val="32"/>
          <w:highlight w:val="none"/>
          <w:lang w:val="en-US" w:eastAsia="zh-CN"/>
        </w:rPr>
        <w:t>分</w:t>
      </w:r>
      <w:r>
        <w:rPr>
          <w:rFonts w:hint="default" w:ascii="Times New Roman" w:hAnsi="Times New Roman" w:eastAsia="楷体_GB2312" w:cs="Times New Roman"/>
          <w:b w:val="0"/>
          <w:bCs w:val="0"/>
          <w:color w:val="auto"/>
          <w:sz w:val="32"/>
          <w:szCs w:val="32"/>
          <w:highlight w:val="none"/>
          <w:lang w:val="en-US" w:eastAsia="zh-CN"/>
        </w:rPr>
        <w:t>局、</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司法局、</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自然资源局、</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农业农村局、</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文化和旅游局、</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卫生健康</w:t>
      </w:r>
      <w:r>
        <w:rPr>
          <w:rFonts w:hint="eastAsia" w:ascii="Times New Roman" w:hAnsi="Times New Roman" w:eastAsia="楷体_GB2312" w:cs="Times New Roman"/>
          <w:b w:val="0"/>
          <w:bCs w:val="0"/>
          <w:color w:val="auto"/>
          <w:sz w:val="32"/>
          <w:szCs w:val="32"/>
          <w:highlight w:val="none"/>
          <w:lang w:val="en-US" w:eastAsia="zh-CN"/>
        </w:rPr>
        <w:t>局</w:t>
      </w:r>
      <w:r>
        <w:rPr>
          <w:rFonts w:hint="default" w:ascii="Times New Roman" w:hAnsi="Times New Roman" w:eastAsia="楷体_GB2312" w:cs="Times New Roman"/>
          <w:b w:val="0"/>
          <w:bCs w:val="0"/>
          <w:color w:val="auto"/>
          <w:sz w:val="32"/>
          <w:szCs w:val="32"/>
          <w:highlight w:val="none"/>
          <w:lang w:val="en-US" w:eastAsia="zh-CN"/>
        </w:rPr>
        <w:t>、</w:t>
      </w:r>
      <w:r>
        <w:rPr>
          <w:rFonts w:hint="eastAsia" w:ascii="Times New Roman" w:hAnsi="Times New Roman" w:eastAsia="楷体_GB2312" w:cs="Times New Roman"/>
          <w:b w:val="0"/>
          <w:bCs w:val="0"/>
          <w:color w:val="auto"/>
          <w:sz w:val="32"/>
          <w:szCs w:val="32"/>
          <w:highlight w:val="none"/>
          <w:lang w:val="en-US" w:eastAsia="zh-CN"/>
        </w:rPr>
        <w:t>区</w:t>
      </w:r>
      <w:r>
        <w:rPr>
          <w:rFonts w:hint="default" w:ascii="Times New Roman" w:hAnsi="Times New Roman" w:eastAsia="楷体_GB2312" w:cs="Times New Roman"/>
          <w:b w:val="0"/>
          <w:bCs w:val="0"/>
          <w:color w:val="auto"/>
          <w:sz w:val="32"/>
          <w:szCs w:val="32"/>
          <w:highlight w:val="none"/>
          <w:lang w:val="en-US" w:eastAsia="zh-CN"/>
        </w:rPr>
        <w:t>市场监管局</w:t>
      </w:r>
      <w:r>
        <w:rPr>
          <w:rFonts w:hint="default" w:ascii="Times New Roman" w:hAnsi="Times New Roman" w:eastAsia="楷体_GB2312" w:cs="Times New Roman"/>
          <w:b w:val="0"/>
          <w:bCs w:val="0"/>
          <w:color w:val="auto"/>
          <w:sz w:val="32"/>
          <w:szCs w:val="32"/>
          <w:highlight w:val="none"/>
          <w:lang w:val="en-US" w:eastAsia="zh-Hans"/>
        </w:rPr>
        <w:t>按职责分工负责</w:t>
      </w:r>
      <w:r>
        <w:rPr>
          <w:rFonts w:hint="default" w:ascii="Times New Roman" w:hAnsi="Times New Roman" w:eastAsia="楷体_GB2312" w:cs="Times New Roman"/>
          <w:b w:val="0"/>
          <w:bCs w:val="0"/>
          <w:color w:val="auto"/>
          <w:sz w:val="32"/>
          <w:szCs w:val="32"/>
          <w:highlight w:val="none"/>
          <w:lang w:eastAsia="zh-Hans"/>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楷体_GB2312" w:cs="Times New Roman"/>
          <w:color w:val="FF0000"/>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Hans"/>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全</w:t>
      </w:r>
      <w:r>
        <w:rPr>
          <w:rFonts w:hint="eastAsia" w:ascii="Times New Roman" w:hAnsi="Times New Roman" w:eastAsia="方正小标宋简体" w:cs="Times New Roman"/>
          <w:color w:val="auto"/>
          <w:sz w:val="44"/>
          <w:szCs w:val="44"/>
          <w:highlight w:val="none"/>
          <w:lang w:val="en-US" w:eastAsia="zh-CN"/>
        </w:rPr>
        <w:t>区药</w:t>
      </w:r>
      <w:r>
        <w:rPr>
          <w:rFonts w:hint="default" w:ascii="Times New Roman" w:hAnsi="Times New Roman" w:eastAsia="方正小标宋简体" w:cs="Times New Roman"/>
          <w:color w:val="auto"/>
          <w:sz w:val="44"/>
          <w:szCs w:val="44"/>
          <w:highlight w:val="none"/>
          <w:lang w:val="en-US" w:eastAsia="zh-Hans"/>
        </w:rPr>
        <w:t>品安全重点工作安排</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spacing w:line="580" w:lineRule="exact"/>
        <w:ind w:firstLine="640" w:firstLineChars="200"/>
        <w:rPr>
          <w:rStyle w:val="30"/>
          <w:rFonts w:hint="eastAsia" w:ascii="仿宋_GB2312" w:hAnsi="仿宋_GB2312" w:eastAsia="仿宋_GB2312" w:cs="仿宋_GB2312"/>
        </w:rPr>
      </w:pP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全区药品安全工作总的要求是：以习近平新时代中国特色社会主义思想为指导，以全面贯彻党的二十大精神为主线，以“四个最严”为根本遵循，深入开展药品质量提升行动，筑牢药品安全底线，加快推动药品安全现代化治理和医药产业高质量发展，为奋力推进新时代社会主义现代化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建设贡献力量。</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kern w:val="0"/>
          <w:sz w:val="32"/>
          <w:szCs w:val="32"/>
        </w:rPr>
        <w:t>一、</w:t>
      </w:r>
      <w:r>
        <w:rPr>
          <w:rFonts w:ascii="Times New Roman" w:hAnsi="Times New Roman" w:eastAsia="黑体" w:cs="Times New Roman"/>
          <w:sz w:val="32"/>
          <w:szCs w:val="32"/>
        </w:rPr>
        <w:t>完善药品安全治理体系和治理能力</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w:t>
      </w:r>
      <w:r>
        <w:rPr>
          <w:rFonts w:hint="eastAsia" w:ascii="楷体_GB2312" w:hAnsi="楷体_GB2312" w:eastAsia="楷体_GB2312" w:cs="楷体_GB2312"/>
          <w:sz w:val="32"/>
          <w:szCs w:val="32"/>
        </w:rPr>
        <w:t>.落实党政同责。</w:t>
      </w:r>
      <w:r>
        <w:rPr>
          <w:rFonts w:hint="eastAsia" w:ascii="仿宋_GB2312" w:hAnsi="仿宋_GB2312" w:eastAsia="仿宋_GB2312" w:cs="仿宋_GB2312"/>
          <w:sz w:val="32"/>
          <w:szCs w:val="32"/>
        </w:rPr>
        <w:t>严格落实《山东省党政领导干部药品安全责任制规定》，进一步完善药品安全责任约谈、通报等机制，健全完善地方政府负总责，监管部门各负其责、企业负主体责任的药品安全责任体系。</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食药安办牵头，</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食药安委相关成员单位</w:t>
      </w:r>
      <w:r>
        <w:rPr>
          <w:rFonts w:hint="eastAsia" w:ascii="Times New Roman" w:hAnsi="Times New Roman" w:eastAsia="楷体_GB2312" w:cs="Times New Roman"/>
          <w:sz w:val="32"/>
          <w:szCs w:val="32"/>
        </w:rPr>
        <w:t>按</w:t>
      </w:r>
      <w:r>
        <w:rPr>
          <w:rFonts w:ascii="Times New Roman" w:hAnsi="Times New Roman" w:eastAsia="楷体_GB2312" w:cs="Times New Roman"/>
          <w:sz w:val="32"/>
          <w:szCs w:val="32"/>
        </w:rPr>
        <w:t>职责分工负责）</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w:t>
      </w:r>
      <w:r>
        <w:rPr>
          <w:rFonts w:hint="eastAsia" w:ascii="楷体_GB2312" w:hAnsi="楷体_GB2312" w:eastAsia="楷体_GB2312" w:cs="楷体_GB2312"/>
          <w:sz w:val="32"/>
          <w:szCs w:val="32"/>
        </w:rPr>
        <w:t>.完善协调机制。</w:t>
      </w:r>
      <w:r>
        <w:rPr>
          <w:rFonts w:hint="eastAsia" w:ascii="仿宋_GB2312" w:hAnsi="仿宋_GB2312" w:eastAsia="仿宋_GB2312" w:cs="仿宋_GB2312"/>
          <w:sz w:val="32"/>
          <w:szCs w:val="32"/>
        </w:rPr>
        <w:t>积极发挥区食药安委统筹协调作用，健全完善药品质量安全责任体系和疫苗监管长效机制，完善重大药品质量安全事件应急机制，定期组织药品风险状况分析。加强沟通联系，分析通报药品安全形势，研究制定具体措施。建立健全疫苗药品管理协调机制。</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食药安办牵头，</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食药安委相关成员单位</w:t>
      </w:r>
      <w:r>
        <w:rPr>
          <w:rFonts w:hint="eastAsia" w:ascii="Times New Roman" w:hAnsi="Times New Roman" w:eastAsia="楷体_GB2312" w:cs="Times New Roman"/>
          <w:sz w:val="32"/>
          <w:szCs w:val="32"/>
        </w:rPr>
        <w:t>按</w:t>
      </w:r>
      <w:r>
        <w:rPr>
          <w:rFonts w:ascii="Times New Roman" w:hAnsi="Times New Roman" w:eastAsia="楷体_GB2312" w:cs="Times New Roman"/>
          <w:sz w:val="32"/>
          <w:szCs w:val="32"/>
        </w:rPr>
        <w:t>职责分工负责）</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strike/>
          <w:sz w:val="32"/>
          <w:szCs w:val="32"/>
        </w:rPr>
      </w:pPr>
      <w:r>
        <w:rPr>
          <w:rFonts w:ascii="Times New Roman" w:hAnsi="Times New Roman" w:eastAsia="楷体_GB2312" w:cs="Times New Roman"/>
          <w:sz w:val="32"/>
          <w:szCs w:val="32"/>
        </w:rPr>
        <w:t>3</w:t>
      </w:r>
      <w:r>
        <w:rPr>
          <w:rFonts w:hint="eastAsia" w:ascii="楷体_GB2312" w:hAnsi="楷体_GB2312" w:eastAsia="楷体_GB2312" w:cs="楷体_GB2312"/>
          <w:sz w:val="32"/>
          <w:szCs w:val="32"/>
        </w:rPr>
        <w:t>.完善法规制度体系。</w:t>
      </w:r>
      <w:r>
        <w:rPr>
          <w:rFonts w:hint="eastAsia" w:ascii="仿宋_GB2312" w:hAnsi="仿宋_GB2312" w:eastAsia="仿宋_GB2312" w:cs="仿宋_GB2312"/>
          <w:sz w:val="32"/>
          <w:szCs w:val="32"/>
        </w:rPr>
        <w:t>全面落实法律法规要求，做好规范性文件的“立、改、废、释”，构建覆盖药品全生命周期监管机制和制度体系。</w:t>
      </w:r>
      <w:r>
        <w:rPr>
          <w:rFonts w:ascii="Times New Roman" w:hAnsi="Times New Roman" w:eastAsia="楷体_GB2312" w:cs="Times New Roman"/>
          <w:sz w:val="32"/>
          <w:szCs w:val="32"/>
        </w:rPr>
        <w:t>（区食药安办牵头，区食药安委相关成员单位</w:t>
      </w:r>
      <w:r>
        <w:rPr>
          <w:rFonts w:hint="eastAsia" w:ascii="Times New Roman" w:hAnsi="Times New Roman" w:eastAsia="楷体_GB2312" w:cs="Times New Roman"/>
          <w:sz w:val="32"/>
          <w:szCs w:val="32"/>
        </w:rPr>
        <w:t>按职责分工负责</w:t>
      </w:r>
      <w:r>
        <w:rPr>
          <w:rFonts w:ascii="Times New Roman" w:hAnsi="Times New Roman" w:eastAsia="楷体_GB2312" w:cs="Times New Roman"/>
          <w:sz w:val="32"/>
          <w:szCs w:val="32"/>
        </w:rPr>
        <w:t>）</w:t>
      </w:r>
    </w:p>
    <w:p>
      <w:pPr>
        <w:pStyle w:val="7"/>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楷体_GB2312" w:hAnsi="楷体_GB2312" w:eastAsia="楷体_GB2312" w:cs="楷体_GB2312"/>
          <w:bCs/>
          <w:sz w:val="32"/>
          <w:szCs w:val="32"/>
        </w:rPr>
      </w:pPr>
      <w:r>
        <w:rPr>
          <w:rFonts w:ascii="Times New Roman" w:hAnsi="Times New Roman" w:eastAsia="楷体_GB2312" w:cs="Times New Roman"/>
          <w:sz w:val="32"/>
          <w:szCs w:val="32"/>
        </w:rPr>
        <w:t>4</w:t>
      </w:r>
      <w:r>
        <w:rPr>
          <w:rFonts w:hint="eastAsia" w:ascii="楷体_GB2312" w:hAnsi="楷体_GB2312" w:eastAsia="楷体_GB2312" w:cs="楷体_GB2312"/>
          <w:sz w:val="32"/>
          <w:szCs w:val="32"/>
        </w:rPr>
        <w:t>.强化技术支撑。</w:t>
      </w:r>
      <w:r>
        <w:rPr>
          <w:rFonts w:hint="eastAsia" w:ascii="仿宋_GB2312" w:hAnsi="仿宋_GB2312" w:eastAsia="仿宋_GB2312" w:cs="仿宋_GB2312"/>
          <w:sz w:val="32"/>
          <w:szCs w:val="32"/>
        </w:rPr>
        <w:t>按照《淄博市人民政府关于贯彻落实鲁政字</w:t>
      </w:r>
      <w:r>
        <w:rPr>
          <w:rFonts w:ascii="Times New Roman" w:hAnsi="Times New Roman" w:eastAsia="仿宋_GB2312" w:cs="Times New Roman"/>
          <w:sz w:val="32"/>
          <w:szCs w:val="32"/>
        </w:rPr>
        <w:t>〔2021〕230</w:t>
      </w:r>
      <w:r>
        <w:rPr>
          <w:rFonts w:hint="eastAsia" w:ascii="仿宋_GB2312" w:hAnsi="仿宋_GB2312" w:eastAsia="仿宋_GB2312" w:cs="仿宋_GB2312"/>
          <w:sz w:val="32"/>
          <w:szCs w:val="32"/>
        </w:rPr>
        <w:t>号文件要求进一步加强药品监管能力建设有关工作的通知》（淄政字</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103</w:t>
      </w:r>
      <w:r>
        <w:rPr>
          <w:rFonts w:hint="eastAsia" w:ascii="仿宋_GB2312" w:hAnsi="仿宋_GB2312" w:eastAsia="仿宋_GB2312" w:cs="仿宋_GB2312"/>
          <w:sz w:val="32"/>
          <w:szCs w:val="32"/>
        </w:rPr>
        <w:t>号）要求，加强药品不良反应监测能力建设，积极推进药物警戒体系建设。</w:t>
      </w:r>
      <w:r>
        <w:rPr>
          <w:rFonts w:ascii="Times New Roman" w:hAnsi="Times New Roman" w:eastAsia="楷体_GB2312" w:cs="Times New Roman"/>
          <w:sz w:val="32"/>
          <w:szCs w:val="32"/>
        </w:rPr>
        <w:t>（</w:t>
      </w:r>
      <w:r>
        <w:rPr>
          <w:rFonts w:hint="eastAsia" w:ascii="楷体_GB2312" w:hAnsi="楷体_GB2312" w:eastAsia="楷体_GB2312" w:cs="楷体_GB2312"/>
          <w:bCs/>
          <w:sz w:val="32"/>
          <w:szCs w:val="32"/>
        </w:rPr>
        <w:t>区食药安办牵头，区食药安委相关成员单位按职责分工负责</w:t>
      </w:r>
      <w:r>
        <w:rPr>
          <w:rFonts w:ascii="Times New Roman" w:hAnsi="Times New Roman" w:eastAsia="楷体_GB2312" w:cs="Times New Roman"/>
          <w:sz w:val="32"/>
          <w:szCs w:val="32"/>
        </w:rPr>
        <w:t>）</w:t>
      </w:r>
    </w:p>
    <w:p>
      <w:pPr>
        <w:pStyle w:val="7"/>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kern w:val="0"/>
          <w:sz w:val="32"/>
          <w:szCs w:val="32"/>
        </w:rPr>
        <w:t>二、深入开展药品安全</w:t>
      </w:r>
      <w:r>
        <w:rPr>
          <w:rFonts w:hint="eastAsia" w:ascii="Times New Roman" w:hAnsi="Times New Roman" w:eastAsia="黑体" w:cs="Times New Roman"/>
          <w:kern w:val="0"/>
          <w:sz w:val="32"/>
          <w:szCs w:val="32"/>
        </w:rPr>
        <w:t>巩固</w:t>
      </w:r>
      <w:r>
        <w:rPr>
          <w:rFonts w:ascii="Times New Roman" w:hAnsi="Times New Roman" w:eastAsia="黑体" w:cs="Times New Roman"/>
          <w:kern w:val="0"/>
          <w:sz w:val="32"/>
          <w:szCs w:val="32"/>
        </w:rPr>
        <w:t>提升行动</w:t>
      </w:r>
    </w:p>
    <w:p>
      <w:pPr>
        <w:pStyle w:val="7"/>
        <w:keepNext w:val="0"/>
        <w:keepLines w:val="0"/>
        <w:pageBreakBefore w:val="0"/>
        <w:widowControl w:val="0"/>
        <w:kinsoku/>
        <w:wordWrap/>
        <w:overflowPunct/>
        <w:topLinePunct w:val="0"/>
        <w:autoSpaceDE/>
        <w:autoSpaceDN/>
        <w:bidi w:val="0"/>
        <w:spacing w:after="0"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5</w:t>
      </w:r>
      <w:r>
        <w:rPr>
          <w:rFonts w:hint="eastAsia" w:ascii="楷体_GB2312" w:hAnsi="楷体_GB2312" w:eastAsia="楷体_GB2312" w:cs="楷体_GB2312"/>
          <w:sz w:val="32"/>
          <w:szCs w:val="32"/>
        </w:rPr>
        <w:t>.加强防疫药械产品质量监管。</w:t>
      </w:r>
      <w:r>
        <w:rPr>
          <w:rFonts w:hint="eastAsia" w:ascii="仿宋_GB2312" w:hAnsi="仿宋_GB2312" w:eastAsia="仿宋_GB2312" w:cs="仿宋_GB2312"/>
          <w:sz w:val="32"/>
          <w:szCs w:val="32"/>
        </w:rPr>
        <w:t>持续强化新冠病毒治疗药物、退热类药物、抗病毒类药物以及抗原检测试剂等防疫药械监管。</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市场监管局）</w:t>
      </w:r>
      <w:r>
        <w:rPr>
          <w:rFonts w:hint="eastAsia" w:ascii="仿宋_GB2312" w:hAnsi="仿宋_GB2312" w:eastAsia="仿宋_GB2312" w:cs="仿宋_GB2312"/>
          <w:sz w:val="32"/>
          <w:szCs w:val="32"/>
        </w:rPr>
        <w:t>加强新冠病毒疫苗流通质量监管，加大对接种单位的监督检查力度。</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市场监管局牵头，</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配合）</w:t>
      </w:r>
      <w:r>
        <w:rPr>
          <w:rFonts w:hint="eastAsia" w:ascii="仿宋_GB2312" w:hAnsi="仿宋_GB2312" w:eastAsia="仿宋_GB2312" w:cs="仿宋_GB2312"/>
          <w:sz w:val="32"/>
          <w:szCs w:val="32"/>
        </w:rPr>
        <w:t>做好疑似预防接种异常反应监测，提高监测数据及时性、完整性和准确性，提高调查诊断工作质量。</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牵头，</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市场监管局配合）</w:t>
      </w:r>
    </w:p>
    <w:p>
      <w:pPr>
        <w:pStyle w:val="7"/>
        <w:keepNext w:val="0"/>
        <w:keepLines w:val="0"/>
        <w:pageBreakBefore w:val="0"/>
        <w:widowControl w:val="0"/>
        <w:kinsoku/>
        <w:wordWrap/>
        <w:overflowPunct/>
        <w:topLinePunct w:val="0"/>
        <w:autoSpaceDE/>
        <w:autoSpaceDN/>
        <w:bidi w:val="0"/>
        <w:spacing w:after="0"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6</w:t>
      </w:r>
      <w:r>
        <w:rPr>
          <w:rFonts w:hint="eastAsia" w:ascii="楷体_GB2312" w:hAnsi="楷体_GB2312" w:eastAsia="楷体_GB2312" w:cs="楷体_GB2312"/>
          <w:sz w:val="32"/>
          <w:szCs w:val="32"/>
        </w:rPr>
        <w:t>.服务防疫药械产品保产保供。</w:t>
      </w:r>
      <w:r>
        <w:rPr>
          <w:rFonts w:hint="eastAsia" w:ascii="仿宋_GB2312" w:hAnsi="仿宋_GB2312" w:eastAsia="仿宋_GB2312" w:cs="仿宋_GB2312"/>
          <w:sz w:val="32"/>
          <w:szCs w:val="32"/>
        </w:rPr>
        <w:t>服务企业做好扩产增能，指导企业合理安排防疫药械生产销售和供应，避免区域性断供。</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工业和信息化局、</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商务局、</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市场监管局等</w:t>
      </w:r>
      <w:r>
        <w:rPr>
          <w:rFonts w:hint="eastAsia" w:ascii="Times New Roman" w:hAnsi="Times New Roman" w:eastAsia="楷体_GB2312" w:cs="Times New Roman"/>
          <w:sz w:val="32"/>
          <w:szCs w:val="32"/>
        </w:rPr>
        <w:t>按职责</w:t>
      </w:r>
      <w:r>
        <w:rPr>
          <w:rFonts w:ascii="Times New Roman" w:hAnsi="Times New Roman" w:eastAsia="楷体_GB2312" w:cs="Times New Roman"/>
          <w:sz w:val="32"/>
          <w:szCs w:val="32"/>
        </w:rPr>
        <w:t>分工负责）</w:t>
      </w:r>
      <w:r>
        <w:rPr>
          <w:rFonts w:hint="eastAsia" w:ascii="仿宋_GB2312" w:hAnsi="仿宋_GB2312" w:eastAsia="仿宋_GB2312" w:cs="仿宋_GB2312"/>
          <w:sz w:val="32"/>
          <w:szCs w:val="32"/>
        </w:rPr>
        <w:t>从严从快查处涉疫药品和医疗用品领域哄抬价格、囤积居奇、虚假违法广告等违法行为，保障社会秩序稳定。</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市场监管局）</w:t>
      </w:r>
    </w:p>
    <w:p>
      <w:pPr>
        <w:pStyle w:val="7"/>
        <w:keepNext w:val="0"/>
        <w:keepLines w:val="0"/>
        <w:pageBreakBefore w:val="0"/>
        <w:widowControl w:val="0"/>
        <w:kinsoku/>
        <w:wordWrap/>
        <w:overflowPunct/>
        <w:topLinePunct w:val="0"/>
        <w:autoSpaceDE/>
        <w:autoSpaceDN/>
        <w:bidi w:val="0"/>
        <w:spacing w:after="0"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7</w:t>
      </w:r>
      <w:r>
        <w:rPr>
          <w:rFonts w:hint="eastAsia" w:ascii="楷体_GB2312" w:hAnsi="楷体_GB2312" w:eastAsia="楷体_GB2312" w:cs="楷体_GB2312"/>
          <w:sz w:val="32"/>
          <w:szCs w:val="32"/>
        </w:rPr>
        <w:t>.加强药品生产经营监管。</w:t>
      </w:r>
      <w:r>
        <w:rPr>
          <w:rFonts w:ascii="Times New Roman" w:hAnsi="Times New Roman" w:eastAsia="仿宋_GB2312" w:cs="Times New Roman"/>
          <w:sz w:val="32"/>
          <w:szCs w:val="32"/>
        </w:rPr>
        <w:t>提</w:t>
      </w:r>
      <w:r>
        <w:rPr>
          <w:rFonts w:hint="eastAsia" w:ascii="仿宋_GB2312" w:hAnsi="仿宋_GB2312" w:eastAsia="仿宋_GB2312" w:cs="仿宋_GB2312"/>
          <w:sz w:val="32"/>
          <w:szCs w:val="32"/>
        </w:rPr>
        <w:t>高医药企业生产管理水平。推动工业互联网在生物医药企业的应用，强化药品研发、生产等环节智能化管理水平。</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工业和信息化局牵头，相关单位配合）</w:t>
      </w:r>
      <w:r>
        <w:rPr>
          <w:rFonts w:hint="eastAsia" w:ascii="仿宋_GB2312" w:hAnsi="仿宋_GB2312" w:eastAsia="仿宋_GB2312" w:cs="仿宋_GB2312"/>
          <w:sz w:val="32"/>
          <w:szCs w:val="32"/>
        </w:rPr>
        <w:t>强化集采中选产品、血液制品、中药注射剂、特殊药品、医美器械和无菌植入类医疗器械、儿童及特殊化妆品、附条件审批产品等重点高风险品种和经营使用环节质量监管。实施药品经营企业全覆盖检查，推进零售药店网格化监管，严查挂靠经营、非法渠道购销药品、不凭处方销售处方药等违法行为。</w:t>
      </w:r>
      <w:r>
        <w:rPr>
          <w:rFonts w:ascii="Times New Roman" w:hAnsi="Times New Roman" w:eastAsia="楷体_GB2312" w:cs="Times New Roman"/>
          <w:sz w:val="32"/>
          <w:szCs w:val="32"/>
        </w:rPr>
        <w:t>（区市场监管局）</w:t>
      </w:r>
    </w:p>
    <w:p>
      <w:pPr>
        <w:pStyle w:val="7"/>
        <w:keepNext w:val="0"/>
        <w:keepLines w:val="0"/>
        <w:pageBreakBefore w:val="0"/>
        <w:widowControl w:val="0"/>
        <w:kinsoku/>
        <w:wordWrap/>
        <w:overflowPunct/>
        <w:topLinePunct w:val="0"/>
        <w:autoSpaceDE/>
        <w:autoSpaceDN/>
        <w:bidi w:val="0"/>
        <w:spacing w:after="0"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8</w:t>
      </w:r>
      <w:r>
        <w:rPr>
          <w:rFonts w:hint="eastAsia" w:ascii="楷体_GB2312" w:hAnsi="楷体_GB2312" w:eastAsia="楷体_GB2312" w:cs="楷体_GB2312"/>
          <w:sz w:val="32"/>
          <w:szCs w:val="32"/>
        </w:rPr>
        <w:t>.加强药品使用监管。</w:t>
      </w:r>
      <w:r>
        <w:rPr>
          <w:rFonts w:hint="eastAsia" w:ascii="仿宋_GB2312" w:hAnsi="仿宋_GB2312" w:eastAsia="仿宋_GB2312" w:cs="仿宋_GB2312"/>
          <w:sz w:val="32"/>
          <w:szCs w:val="32"/>
        </w:rPr>
        <w:t>强化医疗机构药械临床使用行为的监督管理。</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w:t>
      </w:r>
      <w:r>
        <w:rPr>
          <w:rFonts w:hint="eastAsia" w:ascii="仿宋_GB2312" w:hAnsi="仿宋_GB2312" w:eastAsia="仿宋_GB2312" w:cs="仿宋_GB2312"/>
          <w:sz w:val="32"/>
          <w:szCs w:val="32"/>
        </w:rPr>
        <w:t>加强药械使用环节质量的监督检查，实施“规范化药房（库）”建设工作，严厉打击购销假劣药械、不按规定储存等违法违规行为。</w:t>
      </w:r>
      <w:r>
        <w:rPr>
          <w:rFonts w:ascii="Times New Roman" w:hAnsi="Times New Roman" w:eastAsia="楷体_GB2312" w:cs="Times New Roman"/>
          <w:sz w:val="32"/>
          <w:szCs w:val="32"/>
        </w:rPr>
        <w:t>（区市场监管局牵头，</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医保</w:t>
      </w:r>
      <w:r>
        <w:rPr>
          <w:rFonts w:hint="eastAsia" w:ascii="Times New Roman" w:hAnsi="Times New Roman" w:eastAsia="楷体_GB2312" w:cs="Times New Roman"/>
          <w:sz w:val="32"/>
          <w:szCs w:val="32"/>
          <w:lang w:eastAsia="zh-CN"/>
        </w:rPr>
        <w:t>分</w:t>
      </w:r>
      <w:r>
        <w:rPr>
          <w:rFonts w:ascii="Times New Roman" w:hAnsi="Times New Roman" w:eastAsia="楷体_GB2312" w:cs="Times New Roman"/>
          <w:sz w:val="32"/>
          <w:szCs w:val="32"/>
        </w:rPr>
        <w:t>局配合）</w:t>
      </w:r>
      <w:r>
        <w:rPr>
          <w:rFonts w:hint="eastAsia" w:ascii="仿宋_GB2312" w:hAnsi="仿宋_GB2312" w:eastAsia="仿宋_GB2312" w:cs="仿宋_GB2312"/>
          <w:sz w:val="32"/>
          <w:szCs w:val="32"/>
        </w:rPr>
        <w:t>加强医疗机构药事管理，规范儿童用药、新型抗肿瘤药物、麻精药品、抗菌药物等临床使用管理，促进临床合理安全用药。加强麻精药品购用电子印鉴卡管理，防范流弊案件发生。</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w:t>
      </w:r>
      <w:r>
        <w:rPr>
          <w:rFonts w:hint="eastAsia" w:ascii="仿宋_GB2312" w:hAnsi="仿宋_GB2312" w:eastAsia="仿宋_GB2312" w:cs="仿宋_GB2312"/>
          <w:sz w:val="32"/>
          <w:szCs w:val="32"/>
        </w:rPr>
        <w:t>常态化推进药品耗材集中带量采购，健全完善医药价格监测制度。</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医保</w:t>
      </w:r>
      <w:r>
        <w:rPr>
          <w:rFonts w:hint="eastAsia" w:ascii="Times New Roman" w:hAnsi="Times New Roman" w:eastAsia="楷体_GB2312" w:cs="Times New Roman"/>
          <w:sz w:val="32"/>
          <w:szCs w:val="32"/>
          <w:lang w:eastAsia="zh-CN"/>
        </w:rPr>
        <w:t>分</w:t>
      </w:r>
      <w:r>
        <w:rPr>
          <w:rFonts w:ascii="Times New Roman" w:hAnsi="Times New Roman" w:eastAsia="楷体_GB2312" w:cs="Times New Roman"/>
          <w:sz w:val="32"/>
          <w:szCs w:val="32"/>
        </w:rPr>
        <w:t>局牵头，</w:t>
      </w:r>
      <w:r>
        <w:rPr>
          <w:rFonts w:hint="eastAsia" w:ascii="Times New Roman" w:hAnsi="Times New Roman" w:eastAsia="楷体_GB2312" w:cs="Times New Roman"/>
          <w:sz w:val="32"/>
          <w:szCs w:val="32"/>
          <w:lang w:eastAsia="zh-CN"/>
        </w:rPr>
        <w:t>区卫生健康局</w:t>
      </w:r>
      <w:r>
        <w:rPr>
          <w:rFonts w:ascii="Times New Roman" w:hAnsi="Times New Roman" w:eastAsia="楷体_GB2312" w:cs="Times New Roman"/>
          <w:sz w:val="32"/>
          <w:szCs w:val="32"/>
        </w:rPr>
        <w:t>、区市场监管局配合）</w:t>
      </w:r>
      <w:r>
        <w:rPr>
          <w:rFonts w:hint="eastAsia" w:ascii="仿宋_GB2312" w:hAnsi="仿宋_GB2312" w:eastAsia="仿宋_GB2312" w:cs="仿宋_GB2312"/>
          <w:sz w:val="32"/>
          <w:szCs w:val="32"/>
        </w:rPr>
        <w:t>做好短缺药品监测预警和应对，强化供应保障的监督检查和预警机制。</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、区市场监管局、</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医保</w:t>
      </w:r>
      <w:r>
        <w:rPr>
          <w:rFonts w:hint="eastAsia" w:ascii="Times New Roman" w:hAnsi="Times New Roman" w:eastAsia="楷体_GB2312" w:cs="Times New Roman"/>
          <w:sz w:val="32"/>
          <w:szCs w:val="32"/>
          <w:lang w:eastAsia="zh-CN"/>
        </w:rPr>
        <w:t>分</w:t>
      </w:r>
      <w:r>
        <w:rPr>
          <w:rFonts w:ascii="Times New Roman" w:hAnsi="Times New Roman" w:eastAsia="楷体_GB2312" w:cs="Times New Roman"/>
          <w:sz w:val="32"/>
          <w:szCs w:val="32"/>
        </w:rPr>
        <w:t>局</w:t>
      </w:r>
      <w:r>
        <w:rPr>
          <w:rFonts w:hint="eastAsia" w:ascii="Times New Roman" w:hAnsi="Times New Roman" w:eastAsia="楷体_GB2312" w:cs="Times New Roman"/>
          <w:sz w:val="32"/>
          <w:szCs w:val="32"/>
        </w:rPr>
        <w:t>等按职责</w:t>
      </w:r>
      <w:r>
        <w:rPr>
          <w:rFonts w:ascii="Times New Roman" w:hAnsi="Times New Roman" w:eastAsia="楷体_GB2312" w:cs="Times New Roman"/>
          <w:sz w:val="32"/>
          <w:szCs w:val="32"/>
        </w:rPr>
        <w:t>分工负责）</w:t>
      </w:r>
    </w:p>
    <w:p>
      <w:pPr>
        <w:keepNext w:val="0"/>
        <w:keepLines w:val="0"/>
        <w:pageBreakBefore w:val="0"/>
        <w:widowControl w:val="0"/>
        <w:tabs>
          <w:tab w:val="left" w:pos="5880"/>
        </w:tabs>
        <w:kinsoku/>
        <w:wordWrap/>
        <w:overflowPunct/>
        <w:topLinePunct w:val="0"/>
        <w:autoSpaceDE/>
        <w:autoSpaceDN/>
        <w:bidi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9</w:t>
      </w:r>
      <w:r>
        <w:rPr>
          <w:rFonts w:hint="eastAsia" w:ascii="楷体_GB2312" w:hAnsi="楷体_GB2312" w:eastAsia="楷体_GB2312" w:cs="楷体_GB2312"/>
          <w:sz w:val="32"/>
          <w:szCs w:val="32"/>
        </w:rPr>
        <w:t>.加强网络销售监管</w:t>
      </w:r>
      <w:r>
        <w:rPr>
          <w:rFonts w:ascii="Times New Roman" w:hAnsi="Times New Roman" w:eastAsia="楷体_GB2312" w:cs="Times New Roman"/>
          <w:sz w:val="32"/>
          <w:szCs w:val="32"/>
        </w:rPr>
        <w:t>。</w:t>
      </w:r>
      <w:r>
        <w:rPr>
          <w:rFonts w:hint="eastAsia" w:ascii="仿宋_GB2312" w:hAnsi="仿宋_GB2312" w:eastAsia="仿宋_GB2312" w:cs="仿宋_GB2312"/>
          <w:sz w:val="32"/>
          <w:szCs w:val="32"/>
        </w:rPr>
        <w:t>按照“线上线下一体化监管”原则，坚持“以网管网”，规范药品、医疗器械、化妆品网络销售。加强数据分析，研判网络销售发展趋势和风险点，强化部门间合作，严厉打击药品网络销售违法违规行为。</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区委宣传部</w:t>
      </w:r>
      <w:r>
        <w:rPr>
          <w:rFonts w:ascii="Times New Roman" w:hAnsi="Times New Roman" w:eastAsia="楷体_GB2312" w:cs="Times New Roman"/>
          <w:sz w:val="32"/>
          <w:szCs w:val="32"/>
        </w:rPr>
        <w:t>、区市场监管局</w:t>
      </w:r>
      <w:r>
        <w:rPr>
          <w:rFonts w:hint="eastAsia" w:ascii="Times New Roman" w:hAnsi="Times New Roman" w:eastAsia="楷体_GB2312" w:cs="Times New Roman"/>
          <w:sz w:val="32"/>
          <w:szCs w:val="32"/>
        </w:rPr>
        <w:t>按职责</w:t>
      </w:r>
      <w:r>
        <w:rPr>
          <w:rFonts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10</w:t>
      </w:r>
      <w:r>
        <w:rPr>
          <w:rFonts w:hint="eastAsia" w:ascii="楷体_GB2312" w:hAnsi="楷体_GB2312" w:eastAsia="楷体_GB2312" w:cs="楷体_GB2312"/>
          <w:sz w:val="32"/>
          <w:szCs w:val="32"/>
        </w:rPr>
        <w:t>.加强疫苗监管。</w:t>
      </w:r>
      <w:r>
        <w:rPr>
          <w:rFonts w:hint="eastAsia" w:ascii="仿宋_GB2312" w:hAnsi="仿宋_GB2312" w:eastAsia="仿宋_GB2312" w:cs="仿宋_GB2312"/>
          <w:sz w:val="32"/>
          <w:szCs w:val="32"/>
        </w:rPr>
        <w:t>开展疫苗流通质量安全专项检查，持续强化对全区疫苗配送企业、疾控机构、接种单位的联合检查。</w:t>
      </w:r>
      <w:r>
        <w:rPr>
          <w:rFonts w:hint="eastAsia" w:ascii="楷体_GB2312" w:hAnsi="楷体_GB2312" w:eastAsia="楷体_GB2312" w:cs="楷体_GB2312"/>
          <w:sz w:val="32"/>
          <w:szCs w:val="32"/>
        </w:rPr>
        <w:t>（区市场监管局牵头，区</w:t>
      </w:r>
      <w:r>
        <w:rPr>
          <w:rFonts w:hint="eastAsia" w:ascii="楷体_GB2312" w:hAnsi="楷体_GB2312" w:eastAsia="楷体_GB2312" w:cs="楷体_GB2312"/>
          <w:sz w:val="32"/>
          <w:szCs w:val="32"/>
          <w:lang w:eastAsia="zh-CN"/>
        </w:rPr>
        <w:t>卫生健康局</w:t>
      </w:r>
      <w:r>
        <w:rPr>
          <w:rFonts w:hint="eastAsia" w:ascii="楷体_GB2312" w:hAnsi="楷体_GB2312" w:eastAsia="楷体_GB2312" w:cs="楷体_GB2312"/>
          <w:sz w:val="32"/>
          <w:szCs w:val="32"/>
        </w:rPr>
        <w:t>配合）</w:t>
      </w:r>
      <w:r>
        <w:rPr>
          <w:rFonts w:hint="eastAsia" w:ascii="仿宋_GB2312" w:hAnsi="仿宋_GB2312" w:eastAsia="仿宋_GB2312" w:cs="仿宋_GB2312"/>
          <w:sz w:val="32"/>
          <w:szCs w:val="32"/>
        </w:rPr>
        <w:t>加强疫苗预防接种监督管理，强化预防接种规范化管理和疑似预防接种异常反应监测，完善疑似预防接种异常反应应急救治和补偿。</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牵头，区市场监管局配合）</w:t>
      </w:r>
      <w:r>
        <w:rPr>
          <w:rFonts w:hint="eastAsia" w:ascii="仿宋_GB2312" w:hAnsi="仿宋_GB2312" w:eastAsia="仿宋_GB2312" w:cs="仿宋_GB2312"/>
          <w:sz w:val="32"/>
          <w:szCs w:val="32"/>
        </w:rPr>
        <w:t>建立部门间信息共享机制，全面实施疫苗药品电子追溯制度，实现全过程可追溯。</w:t>
      </w:r>
      <w:r>
        <w:rPr>
          <w:rFonts w:ascii="Times New Roman" w:hAnsi="Times New Roman" w:eastAsia="楷体_GB2312" w:cs="Times New Roman"/>
          <w:sz w:val="32"/>
          <w:szCs w:val="32"/>
        </w:rPr>
        <w:t>（区市场监管局牵头，</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区大数据信息服务中心</w:t>
      </w:r>
      <w:r>
        <w:rPr>
          <w:rFonts w:ascii="Times New Roman" w:hAnsi="Times New Roman" w:eastAsia="楷体_GB2312" w:cs="Times New Roman"/>
          <w:sz w:val="32"/>
          <w:szCs w:val="32"/>
        </w:rPr>
        <w:t>配合）</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11</w:t>
      </w:r>
      <w:r>
        <w:rPr>
          <w:rFonts w:hint="eastAsia" w:ascii="楷体_GB2312" w:hAnsi="楷体_GB2312" w:eastAsia="楷体_GB2312" w:cs="楷体_GB2312"/>
          <w:sz w:val="32"/>
          <w:szCs w:val="32"/>
        </w:rPr>
        <w:t>.深化重点治理。</w:t>
      </w:r>
      <w:r>
        <w:rPr>
          <w:rFonts w:hint="eastAsia" w:ascii="仿宋_GB2312" w:hAnsi="仿宋_GB2312" w:eastAsia="仿宋_GB2312" w:cs="仿宋_GB2312"/>
          <w:sz w:val="32"/>
          <w:szCs w:val="32"/>
        </w:rPr>
        <w:t>加大重点产品、重点区域监管，持续加强农村和城乡结合部药品安全监管，将单体药店、乡镇卫生院和村卫生室作为重点，全方位排查风险隐患。</w:t>
      </w:r>
      <w:r>
        <w:rPr>
          <w:rFonts w:ascii="Times New Roman" w:hAnsi="Times New Roman" w:eastAsia="楷体_GB2312" w:cs="Times New Roman"/>
          <w:sz w:val="32"/>
          <w:szCs w:val="32"/>
        </w:rPr>
        <w:t>（区市场监管局牵头,</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等部门配合）</w:t>
      </w:r>
      <w:r>
        <w:rPr>
          <w:rFonts w:hint="eastAsia" w:ascii="仿宋_GB2312" w:hAnsi="仿宋_GB2312" w:eastAsia="仿宋_GB2312" w:cs="仿宋_GB2312"/>
          <w:sz w:val="32"/>
          <w:szCs w:val="32"/>
        </w:rPr>
        <w:t>加强寄递环节治理。督促寄递企业落实管理主体责任，加强寄递渠道查验，严格落实“实名收寄、收寄验视、过机安检”制度，严防禁寄物品流入寄递渠道。</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邮政管理局</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聚焦群众用量大且医保基金使用占比高的重点药品，强化医保基金使用日常监管，严厉打击各类欺诈骗保违规违法行为。</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医保</w:t>
      </w:r>
      <w:r>
        <w:rPr>
          <w:rFonts w:hint="eastAsia" w:ascii="Times New Roman" w:hAnsi="Times New Roman" w:eastAsia="楷体_GB2312" w:cs="Times New Roman"/>
          <w:sz w:val="32"/>
          <w:szCs w:val="32"/>
          <w:lang w:eastAsia="zh-CN"/>
        </w:rPr>
        <w:t>分</w:t>
      </w:r>
      <w:r>
        <w:rPr>
          <w:rFonts w:ascii="Times New Roman" w:hAnsi="Times New Roman" w:eastAsia="楷体_GB2312" w:cs="Times New Roman"/>
          <w:sz w:val="32"/>
          <w:szCs w:val="32"/>
        </w:rPr>
        <w:t>局牵头，各相关单位配合）</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12</w:t>
      </w:r>
      <w:r>
        <w:rPr>
          <w:rFonts w:hint="eastAsia" w:ascii="楷体_GB2312" w:hAnsi="楷体_GB2312" w:eastAsia="楷体_GB2312" w:cs="楷体_GB2312"/>
          <w:sz w:val="32"/>
          <w:szCs w:val="32"/>
        </w:rPr>
        <w:t>.强化案件查办。</w:t>
      </w:r>
      <w:r>
        <w:rPr>
          <w:rFonts w:hint="eastAsia" w:ascii="仿宋_GB2312" w:hAnsi="仿宋_GB2312" w:eastAsia="仿宋_GB2312" w:cs="仿宋_GB2312"/>
          <w:sz w:val="32"/>
          <w:szCs w:val="32"/>
        </w:rPr>
        <w:t>加大对制售假药劣药、网络非法销售、虚假违法药品广告、商标侵权、假冒专利等违法违规行为的打击力度，落实违法行为处罚到人要求。</w:t>
      </w:r>
      <w:r>
        <w:rPr>
          <w:rFonts w:ascii="Times New Roman" w:hAnsi="Times New Roman" w:eastAsia="楷体_GB2312" w:cs="Times New Roman"/>
          <w:sz w:val="32"/>
          <w:szCs w:val="32"/>
        </w:rPr>
        <w:t>（区市场监管局</w:t>
      </w:r>
      <w:r>
        <w:rPr>
          <w:rFonts w:hint="eastAsia" w:ascii="Times New Roman" w:hAnsi="Times New Roman" w:eastAsia="楷体_GB2312" w:cs="Times New Roman"/>
          <w:sz w:val="32"/>
          <w:szCs w:val="32"/>
        </w:rPr>
        <w:t>牵头</w:t>
      </w:r>
      <w:r>
        <w:rPr>
          <w:rFonts w:ascii="Times New Roman" w:hAnsi="Times New Roman" w:eastAsia="楷体_GB2312" w:cs="Times New Roman"/>
          <w:sz w:val="32"/>
          <w:szCs w:val="32"/>
        </w:rPr>
        <w:t>，各相关单位配合）</w:t>
      </w:r>
      <w:r>
        <w:rPr>
          <w:rFonts w:hint="eastAsia" w:ascii="仿宋_GB2312" w:hAnsi="仿宋_GB2312" w:eastAsia="仿宋_GB2312" w:cs="仿宋_GB2312"/>
          <w:sz w:val="32"/>
          <w:szCs w:val="32"/>
        </w:rPr>
        <w:t>持续开展“昆仑”专项行动，对各类危害药品安全犯罪活动保持高压严打态势。及时依法起诉、审理危害药品安全犯罪案件，达到“查处一案、警示一片、治理一域”的综合效果。</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公安</w:t>
      </w:r>
      <w:r>
        <w:rPr>
          <w:rFonts w:hint="eastAsia" w:ascii="Times New Roman" w:hAnsi="Times New Roman" w:eastAsia="楷体_GB2312" w:cs="Times New Roman"/>
          <w:sz w:val="32"/>
          <w:szCs w:val="32"/>
          <w:lang w:eastAsia="zh-CN"/>
        </w:rPr>
        <w:t>分</w:t>
      </w:r>
      <w:r>
        <w:rPr>
          <w:rFonts w:ascii="Times New Roman" w:hAnsi="Times New Roman" w:eastAsia="楷体_GB2312" w:cs="Times New Roman"/>
          <w:sz w:val="32"/>
          <w:szCs w:val="32"/>
        </w:rPr>
        <w:t>局、</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法院、</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检察院</w:t>
      </w:r>
      <w:r>
        <w:rPr>
          <w:rFonts w:hint="eastAsia" w:ascii="Times New Roman" w:hAnsi="Times New Roman" w:eastAsia="楷体_GB2312" w:cs="Times New Roman"/>
          <w:sz w:val="32"/>
          <w:szCs w:val="32"/>
        </w:rPr>
        <w:t>按</w:t>
      </w:r>
      <w:r>
        <w:rPr>
          <w:rFonts w:ascii="Times New Roman" w:hAnsi="Times New Roman" w:eastAsia="楷体_GB2312" w:cs="Times New Roman"/>
          <w:sz w:val="32"/>
          <w:szCs w:val="32"/>
        </w:rPr>
        <w:t>职责</w:t>
      </w:r>
      <w:r>
        <w:rPr>
          <w:rFonts w:hint="eastAsia" w:ascii="Times New Roman" w:hAnsi="Times New Roman" w:eastAsia="楷体_GB2312" w:cs="Times New Roman"/>
          <w:sz w:val="32"/>
          <w:szCs w:val="32"/>
        </w:rPr>
        <w:t>分工</w:t>
      </w:r>
      <w:r>
        <w:rPr>
          <w:rFonts w:ascii="Times New Roman" w:hAnsi="Times New Roman" w:eastAsia="楷体_GB2312" w:cs="Times New Roman"/>
          <w:sz w:val="32"/>
          <w:szCs w:val="32"/>
        </w:rPr>
        <w:t>负责，各</w:t>
      </w:r>
      <w:r>
        <w:rPr>
          <w:rFonts w:hint="eastAsia" w:ascii="Times New Roman" w:hAnsi="Times New Roman" w:eastAsia="楷体_GB2312" w:cs="Times New Roman"/>
          <w:sz w:val="32"/>
          <w:szCs w:val="32"/>
        </w:rPr>
        <w:t>相关</w:t>
      </w:r>
      <w:r>
        <w:rPr>
          <w:rFonts w:ascii="Times New Roman" w:hAnsi="Times New Roman" w:eastAsia="楷体_GB2312" w:cs="Times New Roman"/>
          <w:sz w:val="32"/>
          <w:szCs w:val="32"/>
        </w:rPr>
        <w:t>单位配合）</w:t>
      </w:r>
      <w:r>
        <w:rPr>
          <w:rFonts w:hint="eastAsia" w:ascii="仿宋_GB2312" w:hAnsi="仿宋_GB2312" w:eastAsia="仿宋_GB2312" w:cs="仿宋_GB2312"/>
          <w:sz w:val="32"/>
          <w:szCs w:val="32"/>
        </w:rPr>
        <w:t>建立健全案件移送、证据转换、检验认定、信息共享、案情通报、联合督办、行刑衔接等协作机制，形成打击合力。</w:t>
      </w:r>
      <w:r>
        <w:rPr>
          <w:rFonts w:ascii="Times New Roman" w:hAnsi="Times New Roman" w:eastAsia="楷体_GB2312" w:cs="Times New Roman"/>
          <w:sz w:val="32"/>
          <w:szCs w:val="32"/>
        </w:rPr>
        <w:t>（各</w:t>
      </w:r>
      <w:r>
        <w:rPr>
          <w:rFonts w:hint="eastAsia" w:ascii="Times New Roman" w:hAnsi="Times New Roman" w:eastAsia="楷体_GB2312" w:cs="Times New Roman"/>
          <w:sz w:val="32"/>
          <w:szCs w:val="32"/>
        </w:rPr>
        <w:t>相关</w:t>
      </w:r>
      <w:r>
        <w:rPr>
          <w:rFonts w:ascii="Times New Roman" w:hAnsi="Times New Roman" w:eastAsia="楷体_GB2312" w:cs="Times New Roman"/>
          <w:sz w:val="32"/>
          <w:szCs w:val="32"/>
        </w:rPr>
        <w:t>单位</w:t>
      </w:r>
      <w:r>
        <w:rPr>
          <w:rFonts w:hint="eastAsia" w:ascii="Times New Roman" w:hAnsi="Times New Roman" w:eastAsia="楷体_GB2312" w:cs="Times New Roman"/>
          <w:sz w:val="32"/>
          <w:szCs w:val="32"/>
        </w:rPr>
        <w:t>按</w:t>
      </w:r>
      <w:r>
        <w:rPr>
          <w:rFonts w:ascii="Times New Roman" w:hAnsi="Times New Roman" w:eastAsia="楷体_GB2312" w:cs="Times New Roman"/>
          <w:sz w:val="32"/>
          <w:szCs w:val="32"/>
        </w:rPr>
        <w:t>职责</w:t>
      </w:r>
      <w:r>
        <w:rPr>
          <w:rFonts w:hint="eastAsia" w:ascii="Times New Roman" w:hAnsi="Times New Roman" w:eastAsia="楷体_GB2312" w:cs="Times New Roman"/>
          <w:sz w:val="32"/>
          <w:szCs w:val="32"/>
        </w:rPr>
        <w:t>分工</w:t>
      </w:r>
      <w:r>
        <w:rPr>
          <w:rFonts w:ascii="Times New Roman" w:hAnsi="Times New Roman" w:eastAsia="楷体_GB2312" w:cs="Times New Roman"/>
          <w:sz w:val="32"/>
          <w:szCs w:val="32"/>
        </w:rPr>
        <w:t>负责）</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三、健全完善药品安全风险防控机制</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楷体_GB2312" w:hAnsi="楷体_GB2312" w:eastAsia="楷体_GB2312" w:cs="楷体_GB2312"/>
          <w:sz w:val="32"/>
          <w:szCs w:val="32"/>
        </w:rPr>
      </w:pPr>
      <w:r>
        <w:rPr>
          <w:rFonts w:ascii="Times New Roman" w:hAnsi="Times New Roman" w:eastAsia="楷体_GB2312" w:cs="Times New Roman"/>
          <w:sz w:val="32"/>
          <w:szCs w:val="32"/>
        </w:rPr>
        <w:t>13</w:t>
      </w:r>
      <w:r>
        <w:rPr>
          <w:rFonts w:hint="eastAsia" w:ascii="楷体_GB2312" w:hAnsi="楷体_GB2312" w:eastAsia="楷体_GB2312" w:cs="楷体_GB2312"/>
          <w:sz w:val="32"/>
          <w:szCs w:val="32"/>
        </w:rPr>
        <w:t>.提升智慧监管能力。</w:t>
      </w:r>
      <w:r>
        <w:rPr>
          <w:rFonts w:hint="eastAsia" w:ascii="仿宋_GB2312" w:hAnsi="仿宋_GB2312" w:eastAsia="仿宋_GB2312" w:cs="仿宋_GB2312"/>
          <w:sz w:val="32"/>
          <w:szCs w:val="32"/>
        </w:rPr>
        <w:t>推动监管向数字化治理转型，加快推进药品追溯体系建设，推动零售连锁企业做到重点品种</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扫码。推动实施医疗器械唯一标识“三医”全链条应用。完善“智慧药监”一体化平台功能，实现监管信息互联互通。深入推进化妆品网格化分类分级智慧监管工作。</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卫生健康局</w:t>
      </w:r>
      <w:r>
        <w:rPr>
          <w:rFonts w:hint="eastAsia" w:ascii="楷体_GB2312" w:hAnsi="楷体_GB2312" w:eastAsia="楷体_GB2312" w:cs="楷体_GB2312"/>
          <w:sz w:val="32"/>
          <w:szCs w:val="32"/>
        </w:rPr>
        <w:t>、区市场监管局、区医保</w:t>
      </w:r>
      <w:r>
        <w:rPr>
          <w:rFonts w:hint="eastAsia" w:ascii="楷体_GB2312" w:hAnsi="楷体_GB2312" w:eastAsia="楷体_GB2312" w:cs="楷体_GB2312"/>
          <w:sz w:val="32"/>
          <w:szCs w:val="32"/>
          <w:lang w:eastAsia="zh-CN"/>
        </w:rPr>
        <w:t>分</w:t>
      </w:r>
      <w:r>
        <w:rPr>
          <w:rFonts w:hint="eastAsia" w:ascii="楷体_GB2312" w:hAnsi="楷体_GB2312" w:eastAsia="楷体_GB2312" w:cs="楷体_GB2312"/>
          <w:sz w:val="32"/>
          <w:szCs w:val="32"/>
        </w:rPr>
        <w:t>局按职责分工负责)</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楷体_GB2312" w:hAnsi="楷体_GB2312" w:eastAsia="楷体_GB2312" w:cs="楷体_GB2312"/>
          <w:sz w:val="32"/>
          <w:szCs w:val="32"/>
        </w:rPr>
      </w:pPr>
      <w:r>
        <w:rPr>
          <w:rFonts w:ascii="Times New Roman" w:hAnsi="Times New Roman" w:eastAsia="楷体_GB2312" w:cs="Times New Roman"/>
          <w:sz w:val="32"/>
          <w:szCs w:val="32"/>
        </w:rPr>
        <w:t>14</w:t>
      </w:r>
      <w:r>
        <w:rPr>
          <w:rFonts w:hint="eastAsia" w:ascii="楷体_GB2312" w:hAnsi="楷体_GB2312" w:eastAsia="楷体_GB2312" w:cs="楷体_GB2312"/>
          <w:sz w:val="32"/>
          <w:szCs w:val="32"/>
        </w:rPr>
        <w:t>.完善信用监管体系。</w:t>
      </w:r>
      <w:r>
        <w:rPr>
          <w:rFonts w:hint="eastAsia" w:ascii="仿宋_GB2312" w:hAnsi="仿宋_GB2312" w:eastAsia="仿宋_GB2312" w:cs="仿宋_GB2312"/>
          <w:sz w:val="32"/>
          <w:szCs w:val="32"/>
        </w:rPr>
        <w:t>开展事中信用风险分类与精准化差异化监管，提升信用信息管理水平，加快信用档案建设。</w:t>
      </w:r>
      <w:r>
        <w:rPr>
          <w:rFonts w:ascii="Times New Roman" w:hAnsi="Times New Roman" w:eastAsia="楷体_GB2312" w:cs="Times New Roman"/>
          <w:sz w:val="32"/>
          <w:szCs w:val="32"/>
        </w:rPr>
        <w:t>（区市场监管局牵头，</w:t>
      </w:r>
      <w:r>
        <w:rPr>
          <w:rFonts w:hint="eastAsia" w:ascii="Times New Roman" w:hAnsi="Times New Roman" w:eastAsia="楷体_GB2312" w:cs="Times New Roman"/>
          <w:sz w:val="32"/>
          <w:szCs w:val="32"/>
        </w:rPr>
        <w:t>区</w:t>
      </w:r>
      <w:r>
        <w:rPr>
          <w:rFonts w:hint="eastAsia" w:ascii="Times New Roman" w:hAnsi="Times New Roman" w:eastAsia="楷体_GB2312" w:cs="Times New Roman"/>
          <w:sz w:val="32"/>
          <w:szCs w:val="32"/>
          <w:lang w:eastAsia="zh-CN"/>
        </w:rPr>
        <w:t>卫生健康局</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医保</w:t>
      </w:r>
      <w:r>
        <w:rPr>
          <w:rFonts w:hint="eastAsia" w:ascii="Times New Roman" w:hAnsi="Times New Roman" w:eastAsia="楷体_GB2312" w:cs="Times New Roman"/>
          <w:sz w:val="32"/>
          <w:szCs w:val="32"/>
          <w:lang w:eastAsia="zh-CN"/>
        </w:rPr>
        <w:t>分</w:t>
      </w:r>
      <w:r>
        <w:rPr>
          <w:rFonts w:ascii="Times New Roman" w:hAnsi="Times New Roman" w:eastAsia="楷体_GB2312" w:cs="Times New Roman"/>
          <w:sz w:val="32"/>
          <w:szCs w:val="32"/>
        </w:rPr>
        <w:t>局配合）</w:t>
      </w:r>
      <w:r>
        <w:rPr>
          <w:rFonts w:hint="eastAsia" w:ascii="仿宋_GB2312" w:hAnsi="仿宋_GB2312" w:eastAsia="仿宋_GB2312" w:cs="仿宋_GB2312"/>
          <w:sz w:val="32"/>
          <w:szCs w:val="32"/>
        </w:rPr>
        <w:t>依法依规实施事后联合奖惩，建立信用评价机制，推动实现信用信息政府部门间互通共享。</w:t>
      </w:r>
      <w:r>
        <w:rPr>
          <w:rFonts w:hint="eastAsia" w:ascii="楷体_GB2312" w:hAnsi="楷体_GB2312" w:eastAsia="楷体_GB2312" w:cs="楷体_GB2312"/>
          <w:sz w:val="32"/>
          <w:szCs w:val="32"/>
        </w:rPr>
        <w:t>（区发展改革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牵头，区</w:t>
      </w:r>
      <w:r>
        <w:rPr>
          <w:rFonts w:hint="eastAsia" w:ascii="楷体_GB2312" w:hAnsi="楷体_GB2312" w:eastAsia="楷体_GB2312" w:cs="楷体_GB2312"/>
          <w:sz w:val="32"/>
          <w:szCs w:val="32"/>
          <w:lang w:eastAsia="zh-CN"/>
        </w:rPr>
        <w:t>卫生健康局</w:t>
      </w:r>
      <w:r>
        <w:rPr>
          <w:rFonts w:hint="eastAsia" w:ascii="楷体_GB2312" w:hAnsi="楷体_GB2312" w:eastAsia="楷体_GB2312" w:cs="楷体_GB2312"/>
          <w:sz w:val="32"/>
          <w:szCs w:val="32"/>
        </w:rPr>
        <w:t>、区市场监管局、区医保</w:t>
      </w:r>
      <w:r>
        <w:rPr>
          <w:rFonts w:hint="eastAsia" w:ascii="楷体_GB2312" w:hAnsi="楷体_GB2312" w:eastAsia="楷体_GB2312" w:cs="楷体_GB2312"/>
          <w:sz w:val="32"/>
          <w:szCs w:val="32"/>
          <w:lang w:eastAsia="zh-CN"/>
        </w:rPr>
        <w:t>分</w:t>
      </w:r>
      <w:r>
        <w:rPr>
          <w:rFonts w:hint="eastAsia" w:ascii="楷体_GB2312" w:hAnsi="楷体_GB2312" w:eastAsia="楷体_GB2312" w:cs="楷体_GB2312"/>
          <w:sz w:val="32"/>
          <w:szCs w:val="32"/>
        </w:rPr>
        <w:t>局、区大数据信息服务中心配合）</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15</w:t>
      </w:r>
      <w:r>
        <w:rPr>
          <w:rFonts w:hint="eastAsia" w:ascii="楷体_GB2312" w:hAnsi="楷体_GB2312" w:eastAsia="楷体_GB2312" w:cs="楷体_GB2312"/>
          <w:sz w:val="32"/>
          <w:szCs w:val="32"/>
        </w:rPr>
        <w:t>.完善应急管理机制。</w:t>
      </w:r>
      <w:r>
        <w:rPr>
          <w:rFonts w:hint="eastAsia" w:ascii="仿宋_GB2312" w:hAnsi="仿宋_GB2312" w:eastAsia="仿宋_GB2312" w:cs="仿宋_GB2312"/>
          <w:sz w:val="32"/>
          <w:szCs w:val="32"/>
        </w:rPr>
        <w:t>强化舆情监测和分析研判，加强网上药品安全舆情应对处置，统一协调及时发布权威信息，主动发声，回应社会关切，加强网上正面宣传引导，确保涉药舆情事件迅速妥当处置。</w:t>
      </w:r>
      <w:r>
        <w:rPr>
          <w:rFonts w:hint="eastAsia" w:ascii="楷体_GB2312" w:hAnsi="楷体_GB2312" w:eastAsia="楷体_GB2312" w:cs="楷体_GB2312"/>
          <w:sz w:val="32"/>
          <w:szCs w:val="32"/>
        </w:rPr>
        <w:t>（</w:t>
      </w:r>
      <w:r>
        <w:rPr>
          <w:rFonts w:hint="eastAsia" w:ascii="楷体_GB2312" w:hAnsi="楷体_GB2312" w:eastAsia="楷体_GB2312" w:cs="楷体_GB2312"/>
          <w:color w:val="auto"/>
          <w:sz w:val="32"/>
          <w:szCs w:val="32"/>
          <w:u w:val="none"/>
        </w:rPr>
        <w:t>区委宣传部、</w:t>
      </w:r>
      <w:r>
        <w:rPr>
          <w:rFonts w:hint="eastAsia" w:ascii="楷体_GB2312" w:hAnsi="楷体_GB2312" w:eastAsia="楷体_GB2312" w:cs="楷体_GB2312"/>
          <w:sz w:val="32"/>
          <w:szCs w:val="32"/>
        </w:rPr>
        <w:t>区</w:t>
      </w:r>
      <w:r>
        <w:rPr>
          <w:rFonts w:hint="eastAsia" w:ascii="楷体_GB2312" w:hAnsi="楷体_GB2312" w:eastAsia="楷体_GB2312" w:cs="楷体_GB2312"/>
          <w:sz w:val="32"/>
          <w:szCs w:val="32"/>
          <w:lang w:eastAsia="zh-CN"/>
        </w:rPr>
        <w:t>卫生健康局</w:t>
      </w:r>
      <w:r>
        <w:rPr>
          <w:rFonts w:hint="eastAsia" w:ascii="楷体_GB2312" w:hAnsi="楷体_GB2312" w:eastAsia="楷体_GB2312" w:cs="楷体_GB2312"/>
          <w:sz w:val="32"/>
          <w:szCs w:val="32"/>
        </w:rPr>
        <w:t>、区市场监管局按职责分工负责）</w:t>
      </w:r>
      <w:r>
        <w:rPr>
          <w:rFonts w:hint="eastAsia" w:ascii="仿宋_GB2312" w:hAnsi="仿宋_GB2312" w:eastAsia="仿宋_GB2312" w:cs="仿宋_GB2312"/>
          <w:sz w:val="32"/>
          <w:szCs w:val="32"/>
        </w:rPr>
        <w:t>制定本级政府药品、疫苗安全事件应急预案，定期组织开展应急演练。</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区</w:t>
      </w:r>
      <w:r>
        <w:rPr>
          <w:rFonts w:hint="eastAsia" w:ascii="Times New Roman" w:hAnsi="Times New Roman" w:eastAsia="楷体_GB2312" w:cs="Times New Roman"/>
          <w:sz w:val="32"/>
          <w:szCs w:val="32"/>
        </w:rPr>
        <w:t>食药安</w:t>
      </w:r>
      <w:r>
        <w:rPr>
          <w:rFonts w:hint="eastAsia" w:ascii="Times New Roman" w:hAnsi="Times New Roman" w:eastAsia="楷体_GB2312" w:cs="Times New Roman"/>
          <w:sz w:val="32"/>
          <w:szCs w:val="32"/>
          <w:lang w:eastAsia="zh-CN"/>
        </w:rPr>
        <w:t>办</w:t>
      </w:r>
      <w:r>
        <w:rPr>
          <w:rFonts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rPr>
          <w:rStyle w:val="30"/>
          <w:rFonts w:ascii="Times New Roman" w:hAnsi="Times New Roman" w:eastAsia="楷体_GB2312" w:cs="Times New Roman"/>
        </w:rPr>
      </w:pPr>
      <w:r>
        <w:rPr>
          <w:rFonts w:ascii="Times New Roman" w:hAnsi="Times New Roman" w:eastAsia="楷体_GB2312" w:cs="Times New Roman"/>
          <w:sz w:val="32"/>
          <w:szCs w:val="32"/>
        </w:rPr>
        <w:t>16</w:t>
      </w:r>
      <w:r>
        <w:rPr>
          <w:rFonts w:hint="eastAsia" w:ascii="楷体_GB2312" w:hAnsi="楷体_GB2312" w:eastAsia="楷体_GB2312" w:cs="楷体_GB2312"/>
          <w:sz w:val="32"/>
          <w:szCs w:val="32"/>
        </w:rPr>
        <w:t>.完善社会共治体系。</w:t>
      </w:r>
      <w:r>
        <w:rPr>
          <w:rFonts w:hint="eastAsia" w:ascii="仿宋_GB2312" w:hAnsi="仿宋_GB2312" w:eastAsia="仿宋_GB2312" w:cs="仿宋_GB2312"/>
          <w:sz w:val="32"/>
          <w:szCs w:val="32"/>
        </w:rPr>
        <w:t>实施质量安全知识考核制度，加强对企业关键人员法律法规和操作规程的考核。</w:t>
      </w:r>
      <w:r>
        <w:rPr>
          <w:rFonts w:ascii="Times New Roman" w:hAnsi="Times New Roman" w:eastAsia="楷体_GB2312" w:cs="Times New Roman"/>
          <w:sz w:val="32"/>
          <w:szCs w:val="32"/>
        </w:rPr>
        <w:t>（区市场监管局，有关部门配合）</w:t>
      </w:r>
      <w:r>
        <w:rPr>
          <w:rFonts w:hint="eastAsia" w:ascii="仿宋_GB2312" w:hAnsi="仿宋_GB2312" w:eastAsia="仿宋_GB2312" w:cs="仿宋_GB2312"/>
          <w:sz w:val="32"/>
          <w:szCs w:val="32"/>
        </w:rPr>
        <w:t>加强行业自律，规范会员行为。落实有奖举报制度，发挥企业内部“吹哨人”作用。</w:t>
      </w:r>
      <w:r>
        <w:rPr>
          <w:rFonts w:ascii="Times New Roman" w:hAnsi="Times New Roman" w:eastAsia="楷体_GB2312" w:cs="Times New Roman"/>
          <w:sz w:val="32"/>
          <w:szCs w:val="32"/>
        </w:rPr>
        <w:t>（区市场监管局牵头）</w:t>
      </w:r>
      <w:r>
        <w:rPr>
          <w:rFonts w:hint="eastAsia" w:ascii="仿宋_GB2312" w:hAnsi="仿宋_GB2312" w:eastAsia="仿宋_GB2312" w:cs="仿宋_GB2312"/>
          <w:sz w:val="32"/>
          <w:szCs w:val="32"/>
        </w:rPr>
        <w:t>加大普法宣传和科普力度，组织好安全用药月、医疗器械宣传周、化妆品安全科普宣传周等活动，促进区内媒体履行公益宣传义务，引导社会公众积极参与药品安全社会共治。</w:t>
      </w:r>
      <w:r>
        <w:rPr>
          <w:rFonts w:ascii="Times New Roman" w:hAnsi="Times New Roman" w:eastAsia="楷体_GB2312" w:cs="Times New Roman"/>
          <w:sz w:val="32"/>
          <w:szCs w:val="32"/>
        </w:rPr>
        <w:t>（区食药安办牵头，区食药安委成员单位</w:t>
      </w:r>
      <w:r>
        <w:rPr>
          <w:rFonts w:hint="eastAsia" w:ascii="Times New Roman" w:hAnsi="Times New Roman" w:eastAsia="楷体_GB2312" w:cs="Times New Roman"/>
          <w:sz w:val="32"/>
          <w:szCs w:val="32"/>
        </w:rPr>
        <w:t>按职责</w:t>
      </w:r>
      <w:r>
        <w:rPr>
          <w:rFonts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spacing w:line="580" w:lineRule="exact"/>
        <w:ind w:firstLine="640" w:firstLineChars="200"/>
        <w:textAlignment w:val="baseline"/>
        <w:rPr>
          <w:rStyle w:val="30"/>
          <w:rFonts w:ascii="Times New Roman" w:hAnsi="Times New Roman" w:eastAsia="黑体" w:cs="Times New Roman"/>
        </w:rPr>
      </w:pPr>
      <w:r>
        <w:rPr>
          <w:rStyle w:val="30"/>
          <w:rFonts w:ascii="Times New Roman" w:hAnsi="Times New Roman" w:eastAsia="黑体" w:cs="Times New Roman"/>
        </w:rPr>
        <w:t>四、促进医药产业高质量发展</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17</w:t>
      </w:r>
      <w:r>
        <w:rPr>
          <w:rFonts w:hint="eastAsia" w:ascii="楷体_GB2312" w:hAnsi="楷体_GB2312" w:eastAsia="楷体_GB2312" w:cs="楷体_GB2312"/>
          <w:sz w:val="32"/>
          <w:szCs w:val="32"/>
        </w:rPr>
        <w:t>.落实服务发展措施。</w:t>
      </w:r>
      <w:r>
        <w:rPr>
          <w:rFonts w:hint="eastAsia" w:ascii="仿宋_GB2312" w:hAnsi="仿宋_GB2312" w:eastAsia="仿宋_GB2312" w:cs="仿宋_GB2312"/>
          <w:sz w:val="32"/>
          <w:szCs w:val="32"/>
        </w:rPr>
        <w:t>落实新医药产业发展行动计划和促进新医药产业加快发展的若干政策，加强政策宣贯，制定申报指南，开展</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年新医药产业加快发展专项资金申报工作。</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工业和信息化局牵头、</w:t>
      </w:r>
      <w:r>
        <w:rPr>
          <w:rFonts w:hint="eastAsia" w:ascii="Times New Roman" w:hAnsi="Times New Roman" w:eastAsia="楷体_GB2312" w:cs="Times New Roman"/>
          <w:sz w:val="32"/>
          <w:szCs w:val="32"/>
        </w:rPr>
        <w:t>区</w:t>
      </w:r>
      <w:r>
        <w:rPr>
          <w:rFonts w:ascii="Times New Roman" w:hAnsi="Times New Roman" w:eastAsia="楷体_GB2312" w:cs="Times New Roman"/>
          <w:sz w:val="32"/>
          <w:szCs w:val="32"/>
        </w:rPr>
        <w:t>财政局配合）</w:t>
      </w:r>
      <w:r>
        <w:rPr>
          <w:rFonts w:hint="eastAsia" w:ascii="仿宋_GB2312" w:hAnsi="仿宋_GB2312" w:eastAsia="仿宋_GB2312" w:cs="仿宋_GB2312"/>
          <w:sz w:val="32"/>
          <w:szCs w:val="32"/>
        </w:rPr>
        <w:t>聚焦“保安全、守底线，促发展、拉高线”，以企业需求为导向，组织开展“服务走在监管前 你点我讲 你点我办”“办实事解难题 医药企业面对面”助企服务系列活动。</w:t>
      </w:r>
      <w:r>
        <w:rPr>
          <w:rFonts w:ascii="Times New Roman" w:hAnsi="Times New Roman" w:eastAsia="楷体_GB2312" w:cs="Times New Roman"/>
          <w:sz w:val="32"/>
          <w:szCs w:val="32"/>
        </w:rPr>
        <w:t>（区市场监管局、</w:t>
      </w:r>
      <w:r>
        <w:rPr>
          <w:rFonts w:hint="eastAsia" w:ascii="Times New Roman" w:hAnsi="Times New Roman" w:eastAsia="楷体_GB2312" w:cs="Times New Roman"/>
          <w:sz w:val="32"/>
          <w:szCs w:val="32"/>
        </w:rPr>
        <w:t>区食药安委</w:t>
      </w:r>
      <w:r>
        <w:rPr>
          <w:rFonts w:hint="eastAsia" w:ascii="Times New Roman" w:hAnsi="Times New Roman" w:eastAsia="楷体_GB2312" w:cs="Times New Roman"/>
          <w:sz w:val="32"/>
          <w:szCs w:val="32"/>
          <w:lang w:eastAsia="zh-CN"/>
        </w:rPr>
        <w:t>成员单位</w:t>
      </w:r>
      <w:r>
        <w:rPr>
          <w:rFonts w:hint="eastAsia" w:ascii="Times New Roman" w:hAnsi="Times New Roman" w:eastAsia="楷体_GB2312" w:cs="Times New Roman"/>
          <w:sz w:val="32"/>
          <w:szCs w:val="32"/>
        </w:rPr>
        <w:t>按职责</w:t>
      </w:r>
      <w:r>
        <w:rPr>
          <w:rFonts w:ascii="Times New Roman" w:hAnsi="Times New Roman" w:eastAsia="楷体_GB2312" w:cs="Times New Roman"/>
          <w:sz w:val="32"/>
          <w:szCs w:val="32"/>
        </w:rPr>
        <w:t>分工负责）</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sectPr>
          <w:pgSz w:w="11900" w:h="16840"/>
          <w:pgMar w:top="2098" w:right="1474" w:bottom="1984" w:left="1588" w:header="720" w:footer="720" w:gutter="0"/>
          <w:pgNumType w:fmt="decimal"/>
          <w:cols w:space="0" w:num="1"/>
          <w:rtlGutter w:val="0"/>
          <w:docGrid w:linePitch="299" w:charSpace="0"/>
        </w:sect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eastAsia" w:eastAsia="楷体_GB2312" w:cs="宋体"/>
          <w:kern w:val="0"/>
          <w:sz w:val="32"/>
          <w:szCs w:val="32"/>
          <w:lang w:eastAsia="zh-CN"/>
        </w:rPr>
      </w:pPr>
    </w:p>
    <w:p>
      <w:pPr>
        <w:pStyle w:val="2"/>
        <w:rPr>
          <w:rFonts w:ascii="Times New Roman" w:hAnsi="Times New Roman" w:eastAsia="楷体_GB2312" w:cs="Times New Roman"/>
          <w:sz w:val="32"/>
          <w:szCs w:val="32"/>
        </w:rPr>
      </w:pPr>
    </w:p>
    <w:p>
      <w:pPr>
        <w:pStyle w:val="2"/>
        <w:rPr>
          <w:rFonts w:ascii="Times New Roman" w:hAnsi="Times New Roman" w:eastAsia="楷体_GB2312" w:cs="Times New Roman"/>
          <w:sz w:val="32"/>
          <w:szCs w:val="32"/>
        </w:rPr>
      </w:pPr>
    </w:p>
    <w:p>
      <w:pPr>
        <w:pStyle w:val="2"/>
        <w:rPr>
          <w:rFonts w:ascii="Times New Roman" w:hAnsi="Times New Roman" w:eastAsia="楷体_GB2312" w:cs="Times New Roman"/>
          <w:sz w:val="32"/>
          <w:szCs w:val="32"/>
        </w:rPr>
      </w:pPr>
    </w:p>
    <w:p>
      <w:pPr>
        <w:pStyle w:val="2"/>
        <w:rPr>
          <w:rFonts w:ascii="Times New Roman" w:hAnsi="Times New Roman" w:eastAsia="楷体_GB2312" w:cs="Times New Roman"/>
          <w:sz w:val="32"/>
          <w:szCs w:val="32"/>
        </w:rPr>
      </w:pPr>
    </w:p>
    <w:p>
      <w:pPr>
        <w:pStyle w:val="2"/>
        <w:rPr>
          <w:rFonts w:ascii="Times New Roman" w:hAnsi="Times New Roman" w:eastAsia="楷体_GB2312" w:cs="Times New Roman"/>
          <w:sz w:val="32"/>
          <w:szCs w:val="32"/>
        </w:rPr>
      </w:pPr>
    </w:p>
    <w:p>
      <w:pPr>
        <w:pStyle w:val="2"/>
        <w:rPr>
          <w:rFonts w:ascii="Times New Roman" w:hAnsi="Times New Roman" w:eastAsia="楷体_GB2312" w:cs="Times New Roman"/>
          <w:sz w:val="32"/>
          <w:szCs w:val="32"/>
        </w:rPr>
      </w:pPr>
    </w:p>
    <w:p>
      <w:pPr>
        <w:spacing w:line="580" w:lineRule="exact"/>
        <w:ind w:right="-59" w:rightChars="-28" w:firstLine="280" w:firstLineChars="100"/>
        <w:rPr>
          <w:rFonts w:hint="eastAsia" w:ascii="仿宋_GB2312" w:hAnsi="仿宋_GB2312" w:eastAsia="仿宋_GB2312" w:cs="仿宋_GB2312"/>
          <w:color w:val="auto"/>
          <w:sz w:val="28"/>
          <w:szCs w:val="28"/>
          <w:lang w:val="en-US" w:eastAsia="zh-CN"/>
        </w:rPr>
      </w:pPr>
    </w:p>
    <w:p>
      <w:pPr>
        <w:spacing w:line="580" w:lineRule="exact"/>
        <w:ind w:right="-59" w:rightChars="-28" w:firstLine="210" w:firstLineChars="100"/>
        <w:rPr>
          <w:rFonts w:hint="default" w:ascii="Times New Roman" w:hAnsi="Times New Roman" w:eastAsia="仿宋_GB2312" w:cs="Times New Roman"/>
          <w:color w:val="0000FF"/>
          <w:lang w:eastAsia="zh-CN"/>
        </w:rPr>
      </w:pPr>
      <w:r>
        <w:rPr>
          <w:rFonts w:hint="default"/>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462280</wp:posOffset>
                </wp:positionV>
                <wp:extent cx="5535295" cy="0"/>
                <wp:effectExtent l="0" t="9525" r="8255" b="9525"/>
                <wp:wrapNone/>
                <wp:docPr id="4" name="直接连接符 4"/>
                <wp:cNvGraphicFramePr/>
                <a:graphic xmlns:a="http://schemas.openxmlformats.org/drawingml/2006/main">
                  <a:graphicData uri="http://schemas.microsoft.com/office/word/2010/wordprocessingShape">
                    <wps:wsp>
                      <wps:cNvCnPr/>
                      <wps:spPr>
                        <a:xfrm>
                          <a:off x="0" y="0"/>
                          <a:ext cx="55352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36.4pt;height:0pt;width:435.85pt;z-index:251660288;mso-width-relative:page;mso-height-relative:page;" filled="f" stroked="t" coordsize="21600,21600" o:gfxdata="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DPTjDUAAAABwEAAA8AAAAAAAAA&#10;AQAgAAAAIgAAAGRycy9kb3ducmV2LnhtbFBLAQIUABQAAAAIAIdO4kDS9UGN3AEAAJcDAAAOAAAA&#10;AAAAAAEAIAAAACMBAABkcnMvZTJvRG9jLnhtbFBLBQYAAAAABgAGAFkBAABx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1905</wp:posOffset>
                </wp:positionV>
                <wp:extent cx="5535295" cy="0"/>
                <wp:effectExtent l="0" t="9525" r="8255" b="9525"/>
                <wp:wrapNone/>
                <wp:docPr id="3" name="直接连接符 3"/>
                <wp:cNvGraphicFramePr/>
                <a:graphic xmlns:a="http://schemas.openxmlformats.org/drawingml/2006/main">
                  <a:graphicData uri="http://schemas.microsoft.com/office/word/2010/wordprocessingShape">
                    <wps:wsp>
                      <wps:cNvCnPr/>
                      <wps:spPr>
                        <a:xfrm>
                          <a:off x="0" y="0"/>
                          <a:ext cx="55352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0.15pt;height:0pt;width:435.85pt;z-index:251661312;mso-width-relative:page;mso-height-relative:page;" filled="f" stroked="t" coordsize="21600,21600" o:gfxdata="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5HEWfRAAAAAwEAAA8AAAAAAAAAAQAg&#10;AAAAIgAAAGRycy9kb3ducmV2LnhtbFBLAQIUABQAAAAIAIdO4kBcLCJC3AEAAJcDAAAOAAAAAAAA&#10;AAEAIAAAACABAABkcnMvZTJvRG9jLnhtbFBLBQYAAAAABgAGAFkBAABu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淄川区</w:t>
      </w:r>
      <w:r>
        <w:rPr>
          <w:rFonts w:hint="eastAsia" w:ascii="仿宋_GB2312" w:hAnsi="仿宋_GB2312" w:eastAsia="仿宋_GB2312" w:cs="仿宋_GB2312"/>
          <w:color w:val="auto"/>
          <w:sz w:val="28"/>
          <w:szCs w:val="28"/>
        </w:rPr>
        <w:t>食品</w:t>
      </w:r>
      <w:r>
        <w:rPr>
          <w:rFonts w:hint="eastAsia" w:ascii="仿宋_GB2312" w:hAnsi="仿宋_GB2312" w:eastAsia="仿宋_GB2312" w:cs="仿宋_GB2312"/>
          <w:color w:val="auto"/>
          <w:sz w:val="28"/>
          <w:szCs w:val="28"/>
          <w:lang w:eastAsia="zh-CN"/>
        </w:rPr>
        <w:t>药品</w:t>
      </w:r>
      <w:r>
        <w:rPr>
          <w:rFonts w:hint="eastAsia" w:ascii="仿宋_GB2312" w:hAnsi="仿宋_GB2312" w:eastAsia="仿宋_GB2312" w:cs="仿宋_GB2312"/>
          <w:color w:val="auto"/>
          <w:sz w:val="28"/>
          <w:szCs w:val="28"/>
        </w:rPr>
        <w:t xml:space="preserve">安全委员会办公室  </w:t>
      </w:r>
      <w:r>
        <w:rPr>
          <w:rFonts w:hint="default" w:ascii="Times New Roman" w:hAnsi="Times New Roman" w:eastAsia="仿宋_GB2312" w:cs="Times New Roman"/>
          <w:color w:val="0000FF"/>
          <w:sz w:val="28"/>
          <w:szCs w:val="28"/>
        </w:rPr>
        <w:t xml:space="preserve">   </w:t>
      </w:r>
      <w:r>
        <w:rPr>
          <w:rFonts w:hint="default" w:ascii="Times New Roman" w:hAnsi="Times New Roman" w:eastAsia="仿宋_GB2312" w:cs="Times New Roman"/>
          <w:color w:val="0000FF"/>
          <w:sz w:val="28"/>
          <w:szCs w:val="28"/>
          <w:lang w:val="en-US" w:eastAsia="zh-CN"/>
        </w:rPr>
        <w:t xml:space="preserve">   </w:t>
      </w:r>
      <w:r>
        <w:rPr>
          <w:rFonts w:hint="eastAsia" w:ascii="Times New Roman" w:hAnsi="Times New Roman" w:eastAsia="仿宋_GB2312" w:cs="Times New Roman"/>
          <w:color w:val="0000FF"/>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日印发</w:t>
      </w:r>
      <w:r>
        <w:rPr>
          <w:rFonts w:hint="default" w:ascii="Times New Roman" w:hAnsi="Times New Roman" w:eastAsia="仿宋_GB2312" w:cs="Times New Roman"/>
          <w:color w:val="0000FF"/>
          <w:sz w:val="32"/>
          <w:szCs w:val="32"/>
        </w:rPr>
        <w:t xml:space="preserve">  </w:t>
      </w:r>
    </w:p>
    <w:sectPr>
      <w:footerReference r:id="rId5" w:type="default"/>
      <w:pgSz w:w="11900" w:h="16840"/>
      <w:pgMar w:top="2211" w:right="1474" w:bottom="1984" w:left="1588" w:header="720" w:footer="850" w:gutter="0"/>
      <w:pgNumType w:fmt="decimal"/>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8191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4.5pt;mso-position-horizontal:outside;mso-position-horizontal-relative:margin;z-index:251662336;mso-width-relative:page;mso-height-relative:page;" filled="f" stroked="f" coordsize="21600,21600" o:gfxdata="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JiRb0wAAAAUBAAAPAAAAAAAA&#10;AAEAIAAAACIAAABkcnMvZG93bnJldi54bWxQSwECFAAUAAAACACHTuJA8eRIGBcCAAAUBAAADgAA&#10;AAAAAAABACAAAAAiAQAAZHJzL2Uyb0RvYy54bWxQSwUGAAAAAAYABgBZAQAAqwUAAAAA&#10;">
              <v:fill on="f" focussize="0,0"/>
              <v:stroke on="f" weight="0.5pt"/>
              <v:imagedata o:title=""/>
              <o:lock v:ext="edit" aspectratio="f"/>
              <v:textbox inset="0mm,0mm,0mm,0mm" style="mso-fit-shape-to-text:t;">
                <w:txbxContent>
                  <w:p>
                    <w:pPr>
                      <w:pStyle w:val="11"/>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25"/>
    <w:rsid w:val="00007DE2"/>
    <w:rsid w:val="000228C3"/>
    <w:rsid w:val="00024044"/>
    <w:rsid w:val="0002536F"/>
    <w:rsid w:val="000258DA"/>
    <w:rsid w:val="0007533D"/>
    <w:rsid w:val="00085408"/>
    <w:rsid w:val="000858BB"/>
    <w:rsid w:val="000A02F7"/>
    <w:rsid w:val="000A2197"/>
    <w:rsid w:val="000B0F76"/>
    <w:rsid w:val="000E102F"/>
    <w:rsid w:val="000E5094"/>
    <w:rsid w:val="000F3E9D"/>
    <w:rsid w:val="00101EC2"/>
    <w:rsid w:val="00103BB4"/>
    <w:rsid w:val="001332AC"/>
    <w:rsid w:val="00173974"/>
    <w:rsid w:val="001A50A2"/>
    <w:rsid w:val="001B75DA"/>
    <w:rsid w:val="001F1619"/>
    <w:rsid w:val="0022479A"/>
    <w:rsid w:val="002B17E4"/>
    <w:rsid w:val="002E4EAC"/>
    <w:rsid w:val="00317355"/>
    <w:rsid w:val="00325392"/>
    <w:rsid w:val="00346598"/>
    <w:rsid w:val="00393CEE"/>
    <w:rsid w:val="003C20A0"/>
    <w:rsid w:val="003C7F00"/>
    <w:rsid w:val="003F54A7"/>
    <w:rsid w:val="004251B4"/>
    <w:rsid w:val="00426CBC"/>
    <w:rsid w:val="00433D7C"/>
    <w:rsid w:val="00435343"/>
    <w:rsid w:val="004615B3"/>
    <w:rsid w:val="004B4210"/>
    <w:rsid w:val="004F6583"/>
    <w:rsid w:val="00507C0C"/>
    <w:rsid w:val="00517E22"/>
    <w:rsid w:val="005345E4"/>
    <w:rsid w:val="00546141"/>
    <w:rsid w:val="00557FAF"/>
    <w:rsid w:val="005D35A5"/>
    <w:rsid w:val="005D7FE5"/>
    <w:rsid w:val="005E2DC5"/>
    <w:rsid w:val="006107BD"/>
    <w:rsid w:val="00613594"/>
    <w:rsid w:val="0062187C"/>
    <w:rsid w:val="006246FB"/>
    <w:rsid w:val="00626B22"/>
    <w:rsid w:val="0067720B"/>
    <w:rsid w:val="00695BCE"/>
    <w:rsid w:val="0069695B"/>
    <w:rsid w:val="006B75D1"/>
    <w:rsid w:val="006D5499"/>
    <w:rsid w:val="006D73D8"/>
    <w:rsid w:val="006F0C4F"/>
    <w:rsid w:val="006F7702"/>
    <w:rsid w:val="00705A1B"/>
    <w:rsid w:val="007159FF"/>
    <w:rsid w:val="00715CA7"/>
    <w:rsid w:val="0072024A"/>
    <w:rsid w:val="00721F02"/>
    <w:rsid w:val="00744629"/>
    <w:rsid w:val="00754009"/>
    <w:rsid w:val="0079530A"/>
    <w:rsid w:val="007C14F6"/>
    <w:rsid w:val="007C747F"/>
    <w:rsid w:val="007D7039"/>
    <w:rsid w:val="007E5F29"/>
    <w:rsid w:val="007F4989"/>
    <w:rsid w:val="00806001"/>
    <w:rsid w:val="00814B8F"/>
    <w:rsid w:val="00821980"/>
    <w:rsid w:val="0083705F"/>
    <w:rsid w:val="008434E6"/>
    <w:rsid w:val="00847AE2"/>
    <w:rsid w:val="008539B7"/>
    <w:rsid w:val="00864141"/>
    <w:rsid w:val="008900A9"/>
    <w:rsid w:val="008A0998"/>
    <w:rsid w:val="008B6199"/>
    <w:rsid w:val="008B6DD2"/>
    <w:rsid w:val="008C4B2E"/>
    <w:rsid w:val="008F1368"/>
    <w:rsid w:val="009011D3"/>
    <w:rsid w:val="009163CC"/>
    <w:rsid w:val="00916759"/>
    <w:rsid w:val="0093312E"/>
    <w:rsid w:val="0094476D"/>
    <w:rsid w:val="00951EF6"/>
    <w:rsid w:val="00977643"/>
    <w:rsid w:val="00983DE4"/>
    <w:rsid w:val="0099342F"/>
    <w:rsid w:val="009A2845"/>
    <w:rsid w:val="009A7E1A"/>
    <w:rsid w:val="009C0884"/>
    <w:rsid w:val="009C1BCC"/>
    <w:rsid w:val="00A06DF8"/>
    <w:rsid w:val="00A22173"/>
    <w:rsid w:val="00A34C16"/>
    <w:rsid w:val="00A44FB4"/>
    <w:rsid w:val="00A45655"/>
    <w:rsid w:val="00A615F0"/>
    <w:rsid w:val="00A761CF"/>
    <w:rsid w:val="00A82D30"/>
    <w:rsid w:val="00A83042"/>
    <w:rsid w:val="00A905BF"/>
    <w:rsid w:val="00A949C4"/>
    <w:rsid w:val="00AA2E53"/>
    <w:rsid w:val="00B03A5E"/>
    <w:rsid w:val="00B221B5"/>
    <w:rsid w:val="00B2226E"/>
    <w:rsid w:val="00B22744"/>
    <w:rsid w:val="00B2538A"/>
    <w:rsid w:val="00B27914"/>
    <w:rsid w:val="00B30425"/>
    <w:rsid w:val="00B34034"/>
    <w:rsid w:val="00B476FC"/>
    <w:rsid w:val="00B538B3"/>
    <w:rsid w:val="00B5699B"/>
    <w:rsid w:val="00B62DD1"/>
    <w:rsid w:val="00B703B1"/>
    <w:rsid w:val="00BB17AE"/>
    <w:rsid w:val="00BB2B2A"/>
    <w:rsid w:val="00BC1A91"/>
    <w:rsid w:val="00BC682A"/>
    <w:rsid w:val="00BD5C5B"/>
    <w:rsid w:val="00BE222A"/>
    <w:rsid w:val="00C13585"/>
    <w:rsid w:val="00C27CA0"/>
    <w:rsid w:val="00C47FAE"/>
    <w:rsid w:val="00C86C18"/>
    <w:rsid w:val="00C9402C"/>
    <w:rsid w:val="00CA7915"/>
    <w:rsid w:val="00CB4AD8"/>
    <w:rsid w:val="00CC5022"/>
    <w:rsid w:val="00CE7214"/>
    <w:rsid w:val="00D34D3D"/>
    <w:rsid w:val="00D42145"/>
    <w:rsid w:val="00D60295"/>
    <w:rsid w:val="00D751F0"/>
    <w:rsid w:val="00D82A59"/>
    <w:rsid w:val="00D8498B"/>
    <w:rsid w:val="00D93A0B"/>
    <w:rsid w:val="00DA18DE"/>
    <w:rsid w:val="00DA4610"/>
    <w:rsid w:val="00DC421B"/>
    <w:rsid w:val="00DC7B91"/>
    <w:rsid w:val="00DE0B38"/>
    <w:rsid w:val="00DF4708"/>
    <w:rsid w:val="00E103C1"/>
    <w:rsid w:val="00E21DA4"/>
    <w:rsid w:val="00E41E12"/>
    <w:rsid w:val="00E54A74"/>
    <w:rsid w:val="00E72685"/>
    <w:rsid w:val="00EA00E8"/>
    <w:rsid w:val="00EA329F"/>
    <w:rsid w:val="00EC6178"/>
    <w:rsid w:val="00ED3FF7"/>
    <w:rsid w:val="00EF1B4A"/>
    <w:rsid w:val="00F259F9"/>
    <w:rsid w:val="00F3584D"/>
    <w:rsid w:val="00F55986"/>
    <w:rsid w:val="00F64DB5"/>
    <w:rsid w:val="00F7725C"/>
    <w:rsid w:val="00F81D5A"/>
    <w:rsid w:val="00F93B9D"/>
    <w:rsid w:val="00F97B00"/>
    <w:rsid w:val="00FC0FFF"/>
    <w:rsid w:val="00FE2C66"/>
    <w:rsid w:val="00FF395F"/>
    <w:rsid w:val="00FF4CA0"/>
    <w:rsid w:val="013C5A96"/>
    <w:rsid w:val="030761E0"/>
    <w:rsid w:val="033A2E74"/>
    <w:rsid w:val="03B50DDB"/>
    <w:rsid w:val="041B2080"/>
    <w:rsid w:val="045C24A8"/>
    <w:rsid w:val="04C92495"/>
    <w:rsid w:val="05355DE6"/>
    <w:rsid w:val="058E5441"/>
    <w:rsid w:val="064F1B9B"/>
    <w:rsid w:val="069125B4"/>
    <w:rsid w:val="06BB5016"/>
    <w:rsid w:val="06EF1F4F"/>
    <w:rsid w:val="0701190B"/>
    <w:rsid w:val="074A34B1"/>
    <w:rsid w:val="076C3471"/>
    <w:rsid w:val="07A1083A"/>
    <w:rsid w:val="08007153"/>
    <w:rsid w:val="08066414"/>
    <w:rsid w:val="081E205B"/>
    <w:rsid w:val="082E66AB"/>
    <w:rsid w:val="083314B0"/>
    <w:rsid w:val="089517F6"/>
    <w:rsid w:val="08B950A2"/>
    <w:rsid w:val="08BB7D04"/>
    <w:rsid w:val="08F23C72"/>
    <w:rsid w:val="093162E5"/>
    <w:rsid w:val="094B3248"/>
    <w:rsid w:val="095C62BC"/>
    <w:rsid w:val="09CA388F"/>
    <w:rsid w:val="0A142918"/>
    <w:rsid w:val="0A842E14"/>
    <w:rsid w:val="0B0C7D15"/>
    <w:rsid w:val="0C5A6457"/>
    <w:rsid w:val="0D020F52"/>
    <w:rsid w:val="0D0D7B7A"/>
    <w:rsid w:val="0D404429"/>
    <w:rsid w:val="0D720CCF"/>
    <w:rsid w:val="0D9534D1"/>
    <w:rsid w:val="0E847035"/>
    <w:rsid w:val="0FA41793"/>
    <w:rsid w:val="0FD926E3"/>
    <w:rsid w:val="108901B3"/>
    <w:rsid w:val="11066A7E"/>
    <w:rsid w:val="11A15944"/>
    <w:rsid w:val="12136B28"/>
    <w:rsid w:val="12230232"/>
    <w:rsid w:val="12BB6DF0"/>
    <w:rsid w:val="13096015"/>
    <w:rsid w:val="13907BBE"/>
    <w:rsid w:val="145411FC"/>
    <w:rsid w:val="15540FE6"/>
    <w:rsid w:val="15A82C28"/>
    <w:rsid w:val="16786676"/>
    <w:rsid w:val="168318FA"/>
    <w:rsid w:val="17B47F13"/>
    <w:rsid w:val="18F71A31"/>
    <w:rsid w:val="193E30A7"/>
    <w:rsid w:val="1CC530B3"/>
    <w:rsid w:val="1D591BF6"/>
    <w:rsid w:val="1D81663F"/>
    <w:rsid w:val="1E8B68B7"/>
    <w:rsid w:val="1E947D3E"/>
    <w:rsid w:val="1EA24581"/>
    <w:rsid w:val="1EC5629A"/>
    <w:rsid w:val="1FD46C72"/>
    <w:rsid w:val="201033DE"/>
    <w:rsid w:val="20F0776C"/>
    <w:rsid w:val="216D3003"/>
    <w:rsid w:val="21734C3A"/>
    <w:rsid w:val="22402C50"/>
    <w:rsid w:val="228229BD"/>
    <w:rsid w:val="22EF721C"/>
    <w:rsid w:val="23862713"/>
    <w:rsid w:val="241A105F"/>
    <w:rsid w:val="243331CF"/>
    <w:rsid w:val="245C61DD"/>
    <w:rsid w:val="24624C22"/>
    <w:rsid w:val="24A303D5"/>
    <w:rsid w:val="24F54C31"/>
    <w:rsid w:val="2538279B"/>
    <w:rsid w:val="254273FA"/>
    <w:rsid w:val="2546480E"/>
    <w:rsid w:val="25A145E0"/>
    <w:rsid w:val="25C6422B"/>
    <w:rsid w:val="26092FD7"/>
    <w:rsid w:val="269603B4"/>
    <w:rsid w:val="26A55B7E"/>
    <w:rsid w:val="26D63476"/>
    <w:rsid w:val="26EB0053"/>
    <w:rsid w:val="27434CE0"/>
    <w:rsid w:val="274F4E07"/>
    <w:rsid w:val="276C7727"/>
    <w:rsid w:val="28441ADC"/>
    <w:rsid w:val="28EE58EC"/>
    <w:rsid w:val="29E524F0"/>
    <w:rsid w:val="2A4A09CB"/>
    <w:rsid w:val="2A7A0BFE"/>
    <w:rsid w:val="2A9C1C59"/>
    <w:rsid w:val="2AA30A89"/>
    <w:rsid w:val="2AB525DA"/>
    <w:rsid w:val="2AD62774"/>
    <w:rsid w:val="2BA24F5F"/>
    <w:rsid w:val="2BAF76E8"/>
    <w:rsid w:val="2BDE5C9B"/>
    <w:rsid w:val="2CA43DB8"/>
    <w:rsid w:val="2CB12F30"/>
    <w:rsid w:val="2CB506EE"/>
    <w:rsid w:val="2D802722"/>
    <w:rsid w:val="2DBA041B"/>
    <w:rsid w:val="2E6214AD"/>
    <w:rsid w:val="2E663E87"/>
    <w:rsid w:val="2E861486"/>
    <w:rsid w:val="2F54416A"/>
    <w:rsid w:val="2F7354C8"/>
    <w:rsid w:val="2FE04BB9"/>
    <w:rsid w:val="30163B0D"/>
    <w:rsid w:val="30443709"/>
    <w:rsid w:val="30617A91"/>
    <w:rsid w:val="306D5209"/>
    <w:rsid w:val="30C06162"/>
    <w:rsid w:val="31937F88"/>
    <w:rsid w:val="33EE229A"/>
    <w:rsid w:val="34430661"/>
    <w:rsid w:val="34BF6D6A"/>
    <w:rsid w:val="34C834DD"/>
    <w:rsid w:val="34D044FD"/>
    <w:rsid w:val="35B61EF5"/>
    <w:rsid w:val="360111C9"/>
    <w:rsid w:val="36A72032"/>
    <w:rsid w:val="36C01C3A"/>
    <w:rsid w:val="36C82612"/>
    <w:rsid w:val="374C5D78"/>
    <w:rsid w:val="37850E3A"/>
    <w:rsid w:val="37B015F3"/>
    <w:rsid w:val="37B12DD8"/>
    <w:rsid w:val="37D53CE1"/>
    <w:rsid w:val="38160294"/>
    <w:rsid w:val="385D44BE"/>
    <w:rsid w:val="38847947"/>
    <w:rsid w:val="3A5E3009"/>
    <w:rsid w:val="3AB369BE"/>
    <w:rsid w:val="3AF13744"/>
    <w:rsid w:val="3BD75A12"/>
    <w:rsid w:val="3D2B2360"/>
    <w:rsid w:val="3D622AA1"/>
    <w:rsid w:val="3D986427"/>
    <w:rsid w:val="3DD04F7A"/>
    <w:rsid w:val="3DD673C1"/>
    <w:rsid w:val="3E6C695D"/>
    <w:rsid w:val="3F3609A9"/>
    <w:rsid w:val="3F6A54B4"/>
    <w:rsid w:val="3F7B6016"/>
    <w:rsid w:val="404A3F26"/>
    <w:rsid w:val="40E669E3"/>
    <w:rsid w:val="4247382B"/>
    <w:rsid w:val="426413C4"/>
    <w:rsid w:val="42715F5A"/>
    <w:rsid w:val="42A41341"/>
    <w:rsid w:val="42B9414B"/>
    <w:rsid w:val="42E230EB"/>
    <w:rsid w:val="42FE1E77"/>
    <w:rsid w:val="442024A5"/>
    <w:rsid w:val="445349BF"/>
    <w:rsid w:val="44B1037E"/>
    <w:rsid w:val="45BD2983"/>
    <w:rsid w:val="45C465C7"/>
    <w:rsid w:val="45F03FE5"/>
    <w:rsid w:val="467B4928"/>
    <w:rsid w:val="47752C91"/>
    <w:rsid w:val="483600C4"/>
    <w:rsid w:val="48AE670F"/>
    <w:rsid w:val="490434F9"/>
    <w:rsid w:val="494E01EE"/>
    <w:rsid w:val="496D3645"/>
    <w:rsid w:val="49A968BB"/>
    <w:rsid w:val="4A015621"/>
    <w:rsid w:val="4A102DCC"/>
    <w:rsid w:val="4A8D0F5D"/>
    <w:rsid w:val="4AE036B2"/>
    <w:rsid w:val="4B28069D"/>
    <w:rsid w:val="4BDE2087"/>
    <w:rsid w:val="4C1A17CA"/>
    <w:rsid w:val="4CFA3584"/>
    <w:rsid w:val="4D5A4A02"/>
    <w:rsid w:val="4D7A7C6E"/>
    <w:rsid w:val="4EB577AC"/>
    <w:rsid w:val="4ECB511C"/>
    <w:rsid w:val="50F7032A"/>
    <w:rsid w:val="515112FD"/>
    <w:rsid w:val="51BE1B28"/>
    <w:rsid w:val="52F63FF7"/>
    <w:rsid w:val="537B6077"/>
    <w:rsid w:val="53920955"/>
    <w:rsid w:val="53F96D2D"/>
    <w:rsid w:val="544246E2"/>
    <w:rsid w:val="54637919"/>
    <w:rsid w:val="54806A17"/>
    <w:rsid w:val="558E588D"/>
    <w:rsid w:val="56844710"/>
    <w:rsid w:val="576015CE"/>
    <w:rsid w:val="576E7839"/>
    <w:rsid w:val="58426309"/>
    <w:rsid w:val="587D7904"/>
    <w:rsid w:val="5A085D31"/>
    <w:rsid w:val="5A4B61AB"/>
    <w:rsid w:val="5A854E54"/>
    <w:rsid w:val="5AAF7BF4"/>
    <w:rsid w:val="5AB1757E"/>
    <w:rsid w:val="5ABB705A"/>
    <w:rsid w:val="5D406068"/>
    <w:rsid w:val="5D4D31CC"/>
    <w:rsid w:val="5DF06E54"/>
    <w:rsid w:val="5F305294"/>
    <w:rsid w:val="5FAA43D5"/>
    <w:rsid w:val="603B7384"/>
    <w:rsid w:val="606877D2"/>
    <w:rsid w:val="60F177FB"/>
    <w:rsid w:val="61462683"/>
    <w:rsid w:val="620E0B6F"/>
    <w:rsid w:val="625A561C"/>
    <w:rsid w:val="638B53B0"/>
    <w:rsid w:val="63FC559B"/>
    <w:rsid w:val="64F44F8D"/>
    <w:rsid w:val="65392B85"/>
    <w:rsid w:val="656E6386"/>
    <w:rsid w:val="65B27D39"/>
    <w:rsid w:val="65B9276C"/>
    <w:rsid w:val="665873F1"/>
    <w:rsid w:val="6696190F"/>
    <w:rsid w:val="677161C4"/>
    <w:rsid w:val="68332D57"/>
    <w:rsid w:val="68B54380"/>
    <w:rsid w:val="69485EF0"/>
    <w:rsid w:val="69BF61E0"/>
    <w:rsid w:val="69E12B04"/>
    <w:rsid w:val="6A10012A"/>
    <w:rsid w:val="6A515478"/>
    <w:rsid w:val="6AC45C6F"/>
    <w:rsid w:val="6BC254C7"/>
    <w:rsid w:val="6C3D6CEF"/>
    <w:rsid w:val="6C985F08"/>
    <w:rsid w:val="6D44417C"/>
    <w:rsid w:val="6D9C51D0"/>
    <w:rsid w:val="6DB0107F"/>
    <w:rsid w:val="6DD6297A"/>
    <w:rsid w:val="6E3121DB"/>
    <w:rsid w:val="6E667F16"/>
    <w:rsid w:val="6F770C56"/>
    <w:rsid w:val="6F772983"/>
    <w:rsid w:val="70B1650D"/>
    <w:rsid w:val="70D97A95"/>
    <w:rsid w:val="7127453A"/>
    <w:rsid w:val="713F4BEE"/>
    <w:rsid w:val="7372004E"/>
    <w:rsid w:val="738B75DE"/>
    <w:rsid w:val="73BE3998"/>
    <w:rsid w:val="73D658CC"/>
    <w:rsid w:val="74285128"/>
    <w:rsid w:val="744D4448"/>
    <w:rsid w:val="74A742D8"/>
    <w:rsid w:val="75EE2F14"/>
    <w:rsid w:val="75F15235"/>
    <w:rsid w:val="75FC4E55"/>
    <w:rsid w:val="76216901"/>
    <w:rsid w:val="776770CC"/>
    <w:rsid w:val="77B1260A"/>
    <w:rsid w:val="78545784"/>
    <w:rsid w:val="78670A3C"/>
    <w:rsid w:val="7870336E"/>
    <w:rsid w:val="789920E5"/>
    <w:rsid w:val="795B1D32"/>
    <w:rsid w:val="79B406BD"/>
    <w:rsid w:val="7A97132E"/>
    <w:rsid w:val="7AF07D87"/>
    <w:rsid w:val="7B126D76"/>
    <w:rsid w:val="7B44526F"/>
    <w:rsid w:val="7BB805DE"/>
    <w:rsid w:val="7BC054BE"/>
    <w:rsid w:val="7DE731EA"/>
    <w:rsid w:val="7DF4314D"/>
    <w:rsid w:val="7E091FA4"/>
    <w:rsid w:val="7E0A5442"/>
    <w:rsid w:val="7EF84EBA"/>
    <w:rsid w:val="7F005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line="840" w:lineRule="atLeast"/>
      <w:jc w:val="center"/>
      <w:outlineLvl w:val="0"/>
    </w:pPr>
    <w:rPr>
      <w:rFonts w:hint="eastAsia" w:ascii="微软雅黑" w:hAnsi="微软雅黑" w:eastAsia="微软雅黑" w:cs="Times New Roman"/>
      <w:kern w:val="44"/>
      <w:sz w:val="57"/>
      <w:szCs w:val="57"/>
    </w:rPr>
  </w:style>
  <w:style w:type="paragraph" w:styleId="5">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15">
    <w:name w:val="Default Paragraph Font"/>
    <w:link w:val="16"/>
    <w:semiHidden/>
    <w:unhideWhenUsed/>
    <w:qFormat/>
    <w:uiPriority w:val="1"/>
    <w:rPr>
      <w:rFonts w:ascii="Verdana" w:hAnsi="Verdana"/>
      <w:kern w:val="0"/>
      <w:sz w:val="20"/>
      <w:szCs w:val="20"/>
      <w:lang w:eastAsia="en-US"/>
    </w:rPr>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
    <w:unhideWhenUsed/>
    <w:qFormat/>
    <w:uiPriority w:val="99"/>
    <w:pPr>
      <w:ind w:firstLine="420" w:firstLineChars="200"/>
    </w:pPr>
    <w:rPr>
      <w:rFonts w:ascii="Times New Roman" w:hAnsi="Times New Roman" w:eastAsia="宋体" w:cs="Times New Roman"/>
      <w:szCs w:val="21"/>
    </w:rPr>
  </w:style>
  <w:style w:type="paragraph" w:styleId="3">
    <w:name w:val="Body Text Indent"/>
    <w:basedOn w:val="1"/>
    <w:link w:val="22"/>
    <w:semiHidden/>
    <w:unhideWhenUsed/>
    <w:qFormat/>
    <w:uiPriority w:val="99"/>
    <w:pPr>
      <w:spacing w:after="120"/>
      <w:ind w:left="420" w:leftChars="200"/>
    </w:pPr>
  </w:style>
  <w:style w:type="paragraph" w:styleId="6">
    <w:name w:val="table of authorities"/>
    <w:basedOn w:val="1"/>
    <w:next w:val="1"/>
    <w:semiHidden/>
    <w:qFormat/>
    <w:uiPriority w:val="99"/>
    <w:pPr>
      <w:ind w:left="200" w:leftChars="200"/>
    </w:pPr>
    <w:rPr>
      <w:rFonts w:ascii="Calibri" w:hAnsi="Calibri" w:eastAsia="宋体" w:cs="Times New Roman"/>
    </w:rPr>
  </w:style>
  <w:style w:type="paragraph" w:styleId="7">
    <w:name w:val="Body Text"/>
    <w:basedOn w:val="1"/>
    <w:qFormat/>
    <w:uiPriority w:val="0"/>
    <w:pPr>
      <w:spacing w:after="140" w:line="276" w:lineRule="auto"/>
    </w:pPr>
  </w:style>
  <w:style w:type="paragraph" w:styleId="8">
    <w:name w:val="Plain Text"/>
    <w:basedOn w:val="1"/>
    <w:qFormat/>
    <w:uiPriority w:val="0"/>
    <w:rPr>
      <w:rFonts w:ascii="宋体" w:hAnsi="Courier New"/>
    </w:rPr>
  </w:style>
  <w:style w:type="paragraph" w:styleId="9">
    <w:name w:val="Body Text Indent 2"/>
    <w:basedOn w:val="1"/>
    <w:next w:val="5"/>
    <w:qFormat/>
    <w:uiPriority w:val="0"/>
    <w:pPr>
      <w:spacing w:after="120" w:afterLines="0" w:line="480" w:lineRule="auto"/>
      <w:ind w:left="420" w:leftChars="200"/>
    </w:pPr>
  </w:style>
  <w:style w:type="paragraph" w:styleId="10">
    <w:name w:val="Balloon Text"/>
    <w:basedOn w:val="1"/>
    <w:link w:val="24"/>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Autospacing="1" w:afterAutospacing="1"/>
      <w:jc w:val="left"/>
    </w:pPr>
    <w:rPr>
      <w:rFonts w:ascii="宋体" w:hAnsi="宋体" w:cs="宋体"/>
      <w:kern w:val="0"/>
      <w:sz w:val="24"/>
      <w:szCs w:val="24"/>
    </w:rPr>
  </w:style>
  <w:style w:type="paragraph" w:customStyle="1" w:styleId="16">
    <w:name w:val=" Char"/>
    <w:basedOn w:val="1"/>
    <w:link w:val="15"/>
    <w:qFormat/>
    <w:uiPriority w:val="0"/>
    <w:pPr>
      <w:widowControl/>
      <w:spacing w:after="160" w:line="240" w:lineRule="exact"/>
      <w:jc w:val="left"/>
    </w:pPr>
    <w:rPr>
      <w:rFonts w:ascii="Verdana" w:hAnsi="Verdana"/>
      <w:kern w:val="0"/>
      <w:sz w:val="20"/>
      <w:szCs w:val="20"/>
      <w:lang w:eastAsia="en-US"/>
    </w:rPr>
  </w:style>
  <w:style w:type="character" w:styleId="17">
    <w:name w:val="Emphasis"/>
    <w:basedOn w:val="15"/>
    <w:qFormat/>
    <w:uiPriority w:val="20"/>
    <w:rPr>
      <w:i/>
    </w:rPr>
  </w:style>
  <w:style w:type="character" w:styleId="18">
    <w:name w:val="Hyperlink"/>
    <w:basedOn w:val="15"/>
    <w:qFormat/>
    <w:uiPriority w:val="0"/>
    <w:rPr>
      <w:color w:val="0000FF"/>
      <w:u w:val="single"/>
    </w:rPr>
  </w:style>
  <w:style w:type="paragraph" w:customStyle="1" w:styleId="19">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0">
    <w:name w:val="页眉 Char"/>
    <w:basedOn w:val="15"/>
    <w:link w:val="12"/>
    <w:semiHidden/>
    <w:qFormat/>
    <w:uiPriority w:val="99"/>
    <w:rPr>
      <w:sz w:val="18"/>
      <w:szCs w:val="18"/>
    </w:rPr>
  </w:style>
  <w:style w:type="character" w:customStyle="1" w:styleId="21">
    <w:name w:val="页脚 Char"/>
    <w:basedOn w:val="15"/>
    <w:link w:val="11"/>
    <w:qFormat/>
    <w:uiPriority w:val="99"/>
    <w:rPr>
      <w:sz w:val="18"/>
      <w:szCs w:val="18"/>
    </w:rPr>
  </w:style>
  <w:style w:type="character" w:customStyle="1" w:styleId="22">
    <w:name w:val="正文文本缩进 Char"/>
    <w:basedOn w:val="15"/>
    <w:link w:val="3"/>
    <w:semiHidden/>
    <w:qFormat/>
    <w:uiPriority w:val="99"/>
  </w:style>
  <w:style w:type="character" w:customStyle="1" w:styleId="23">
    <w:name w:val="正文首行缩进 2 Char"/>
    <w:basedOn w:val="22"/>
    <w:link w:val="2"/>
    <w:qFormat/>
    <w:uiPriority w:val="99"/>
    <w:rPr>
      <w:rFonts w:ascii="Times New Roman" w:hAnsi="Times New Roman" w:eastAsia="宋体" w:cs="Times New Roman"/>
      <w:szCs w:val="21"/>
    </w:rPr>
  </w:style>
  <w:style w:type="character" w:customStyle="1" w:styleId="24">
    <w:name w:val="批注框文本 Char"/>
    <w:basedOn w:val="15"/>
    <w:link w:val="10"/>
    <w:semiHidden/>
    <w:qFormat/>
    <w:uiPriority w:val="99"/>
    <w:rPr>
      <w:kern w:val="2"/>
      <w:sz w:val="18"/>
      <w:szCs w:val="18"/>
    </w:rPr>
  </w:style>
  <w:style w:type="paragraph" w:customStyle="1" w:styleId="25">
    <w:name w:val="正文首行缩进 21"/>
    <w:basedOn w:val="26"/>
    <w:qFormat/>
    <w:uiPriority w:val="0"/>
    <w:pPr>
      <w:ind w:firstLine="420" w:firstLineChars="200"/>
    </w:pPr>
  </w:style>
  <w:style w:type="paragraph" w:customStyle="1" w:styleId="26">
    <w:name w:val="正文文本缩进1"/>
    <w:basedOn w:val="1"/>
    <w:qFormat/>
    <w:uiPriority w:val="0"/>
    <w:pPr>
      <w:ind w:left="420" w:leftChars="200"/>
    </w:pPr>
  </w:style>
  <w:style w:type="paragraph" w:customStyle="1" w:styleId="27">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8">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9">
    <w:name w:val="Heading3"/>
    <w:basedOn w:val="1"/>
    <w:next w:val="1"/>
    <w:qFormat/>
    <w:uiPriority w:val="0"/>
    <w:pPr>
      <w:spacing w:beforeAutospacing="1" w:afterAutospacing="1"/>
      <w:jc w:val="both"/>
      <w:textAlignment w:val="baseline"/>
    </w:pPr>
    <w:rPr>
      <w:rFonts w:ascii="宋体" w:hAnsi="宋体" w:eastAsia="宋体"/>
      <w:kern w:val="2"/>
      <w:sz w:val="18"/>
      <w:szCs w:val="18"/>
      <w:lang w:val="en-US" w:eastAsia="zh-CN" w:bidi="ar-SA"/>
    </w:rPr>
  </w:style>
  <w:style w:type="character" w:customStyle="1" w:styleId="30">
    <w:name w:val="NormalCharacter"/>
    <w:link w:val="31"/>
    <w:semiHidden/>
    <w:qFormat/>
    <w:uiPriority w:val="0"/>
    <w:rPr>
      <w:kern w:val="0"/>
      <w:sz w:val="32"/>
      <w:szCs w:val="32"/>
    </w:rPr>
  </w:style>
  <w:style w:type="paragraph" w:customStyle="1" w:styleId="31">
    <w:name w:val="UserStyle_3"/>
    <w:basedOn w:val="1"/>
    <w:link w:val="30"/>
    <w:qFormat/>
    <w:uiPriority w:val="0"/>
    <w:pPr>
      <w:tabs>
        <w:tab w:val="left" w:pos="360"/>
      </w:tabs>
    </w:pPr>
    <w:rPr>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9075</Words>
  <Characters>9238</Characters>
  <Lines>44</Lines>
  <Paragraphs>12</Paragraphs>
  <TotalTime>76</TotalTime>
  <ScaleCrop>false</ScaleCrop>
  <LinksUpToDate>false</LinksUpToDate>
  <CharactersWithSpaces>9280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2021-02-23T05:55:00Z</dcterms:created>
  <dc:creator>李忠祥</dc:creator>
  <cp:lastModifiedBy>Administrator</cp:lastModifiedBy>
  <cp:lastPrinted>2023-08-15T01:09:00Z</cp:lastPrinted>
  <dcterms:modified xsi:type="dcterms:W3CDTF">2023-08-15T02:16:23Z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