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bookmarkStart w:id="0" w:name="_GoBack"/>
      <w:r>
        <w:rPr>
          <w:rFonts w:ascii="方正小标宋简体" w:eastAsia="方正小标宋简体" w:hAnsi="方正小标宋简体" w:cs="方正小标宋简体" w:hint="eastAsia"/>
          <w:color w:val="000000"/>
          <w:sz w:val="44"/>
          <w:szCs w:val="44"/>
        </w:rPr>
        <w:t>淄川区司法局202</w:t>
      </w:r>
      <w:r>
        <w:rPr>
          <w:rFonts w:ascii="方正小标宋简体" w:eastAsia="方正小标宋简体" w:hAnsi="方正小标宋简体" w:cs="方正小标宋简体"/>
          <w:color w:val="000000"/>
          <w:sz w:val="44"/>
          <w:szCs w:val="44"/>
        </w:rPr>
        <w:t>5</w:t>
      </w:r>
      <w:r>
        <w:rPr>
          <w:rFonts w:ascii="方正小标宋简体" w:eastAsia="方正小标宋简体" w:hAnsi="方正小标宋简体" w:cs="方正小标宋简体" w:hint="eastAsia"/>
          <w:color w:val="000000"/>
          <w:sz w:val="44"/>
          <w:szCs w:val="44"/>
        </w:rPr>
        <w:t>年度部门联合</w:t>
      </w:r>
      <w:r>
        <w:rPr>
          <w:rFonts w:ascii="方正小标宋简体" w:eastAsia="方正小标宋简体" w:hAnsi="方正小标宋简体" w:cs="方正小标宋简体" w:hint="eastAsia"/>
          <w:color w:val="000000"/>
          <w:sz w:val="44"/>
          <w:szCs w:val="44"/>
          <w:lang w:val="zh-CN" w:bidi="zh-CN"/>
        </w:rPr>
        <w:t>“双</w:t>
      </w:r>
      <w:r>
        <w:rPr>
          <w:rFonts w:ascii="方正小标宋简体" w:eastAsia="方正小标宋简体" w:hAnsi="方正小标宋简体" w:cs="方正小标宋简体" w:hint="eastAsia"/>
          <w:color w:val="000000"/>
          <w:sz w:val="44"/>
          <w:szCs w:val="44"/>
        </w:rPr>
        <w:t>随机、一公开”抽查事项清单</w:t>
      </w:r>
      <w:bookmarkEnd w:id="0"/>
    </w:p>
    <w:p w:rsidR="00A76453" w:rsidRDefault="00A76453" w:rsidP="00A76453">
      <w:pPr>
        <w:adjustRightInd w:val="0"/>
        <w:snapToGrid w:val="0"/>
        <w:spacing w:line="520" w:lineRule="exact"/>
        <w:jc w:val="center"/>
        <w:rPr>
          <w:rFonts w:ascii="方正小标宋简体" w:eastAsia="方正小标宋简体" w:hAnsi="方正小标宋简体" w:cs="方正小标宋简体"/>
          <w:color w:val="000000"/>
          <w:sz w:val="44"/>
          <w:szCs w:val="44"/>
        </w:rPr>
      </w:pPr>
    </w:p>
    <w:tbl>
      <w:tblPr>
        <w:tblStyle w:val="a3"/>
        <w:tblW w:w="15730" w:type="dxa"/>
        <w:tblLook w:val="04A0" w:firstRow="1" w:lastRow="0" w:firstColumn="1" w:lastColumn="0" w:noHBand="0" w:noVBand="1"/>
      </w:tblPr>
      <w:tblGrid>
        <w:gridCol w:w="496"/>
        <w:gridCol w:w="512"/>
        <w:gridCol w:w="674"/>
        <w:gridCol w:w="1099"/>
        <w:gridCol w:w="1601"/>
        <w:gridCol w:w="496"/>
        <w:gridCol w:w="535"/>
        <w:gridCol w:w="614"/>
        <w:gridCol w:w="614"/>
        <w:gridCol w:w="8522"/>
        <w:gridCol w:w="567"/>
      </w:tblGrid>
      <w:tr w:rsidR="00A76453" w:rsidRPr="000068F8" w:rsidTr="00A76453">
        <w:tc>
          <w:tcPr>
            <w:tcW w:w="496"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rPr>
            </w:pPr>
            <w:r w:rsidRPr="000068F8">
              <w:rPr>
                <w:rFonts w:ascii="黑体" w:eastAsia="黑体" w:hAnsi="黑体"/>
                <w:bCs/>
                <w:color w:val="000000"/>
                <w:sz w:val="28"/>
                <w:szCs w:val="28"/>
              </w:rPr>
              <w:t>序号</w:t>
            </w:r>
          </w:p>
        </w:tc>
        <w:tc>
          <w:tcPr>
            <w:tcW w:w="512"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lang w:val="en-US" w:eastAsia="zh-CN"/>
              </w:rPr>
            </w:pPr>
            <w:r w:rsidRPr="000068F8">
              <w:rPr>
                <w:rFonts w:ascii="黑体" w:eastAsia="黑体" w:hAnsi="黑体" w:hint="eastAsia"/>
                <w:bCs/>
                <w:color w:val="000000"/>
                <w:sz w:val="28"/>
                <w:szCs w:val="28"/>
                <w:lang w:val="en-US" w:eastAsia="zh-CN"/>
              </w:rPr>
              <w:t>牵头科室</w:t>
            </w:r>
          </w:p>
        </w:tc>
        <w:tc>
          <w:tcPr>
            <w:tcW w:w="674"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rPr>
            </w:pPr>
            <w:r w:rsidRPr="000068F8">
              <w:rPr>
                <w:rFonts w:ascii="黑体" w:eastAsia="黑体" w:hAnsi="黑体"/>
                <w:bCs/>
                <w:color w:val="000000"/>
                <w:sz w:val="28"/>
                <w:szCs w:val="28"/>
              </w:rPr>
              <w:t>抽查事项</w:t>
            </w:r>
          </w:p>
        </w:tc>
        <w:tc>
          <w:tcPr>
            <w:tcW w:w="1099"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lang w:eastAsia="zh-CN"/>
              </w:rPr>
            </w:pPr>
            <w:r w:rsidRPr="000068F8">
              <w:rPr>
                <w:rFonts w:ascii="黑体" w:eastAsia="黑体" w:hAnsi="黑体" w:hint="eastAsia"/>
                <w:bCs/>
                <w:color w:val="000000"/>
                <w:sz w:val="28"/>
                <w:szCs w:val="28"/>
                <w:lang w:eastAsia="zh-CN"/>
              </w:rPr>
              <w:t>抽查频次</w:t>
            </w:r>
          </w:p>
        </w:tc>
        <w:tc>
          <w:tcPr>
            <w:tcW w:w="1601"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lang w:eastAsia="zh-CN"/>
              </w:rPr>
            </w:pPr>
            <w:r w:rsidRPr="000068F8">
              <w:rPr>
                <w:rFonts w:ascii="黑体" w:eastAsia="黑体" w:hAnsi="黑体" w:hint="eastAsia"/>
                <w:bCs/>
                <w:color w:val="000000"/>
                <w:sz w:val="28"/>
                <w:szCs w:val="28"/>
                <w:lang w:eastAsia="zh-CN"/>
              </w:rPr>
              <w:t>抽查内容</w:t>
            </w:r>
          </w:p>
        </w:tc>
        <w:tc>
          <w:tcPr>
            <w:tcW w:w="496"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lang w:eastAsia="zh-CN"/>
              </w:rPr>
            </w:pPr>
            <w:r w:rsidRPr="000068F8">
              <w:rPr>
                <w:rFonts w:ascii="黑体" w:eastAsia="黑体" w:hAnsi="黑体" w:hint="eastAsia"/>
                <w:bCs/>
                <w:color w:val="000000"/>
                <w:sz w:val="28"/>
                <w:szCs w:val="28"/>
                <w:lang w:eastAsia="zh-CN"/>
              </w:rPr>
              <w:t>抽查时间</w:t>
            </w:r>
          </w:p>
        </w:tc>
        <w:tc>
          <w:tcPr>
            <w:tcW w:w="535" w:type="dxa"/>
            <w:vAlign w:val="center"/>
          </w:tcPr>
          <w:p w:rsidR="00A76453" w:rsidRPr="000068F8" w:rsidRDefault="00A76453" w:rsidP="006E5648">
            <w:pPr>
              <w:pStyle w:val="Other1"/>
              <w:adjustRightInd w:val="0"/>
              <w:snapToGrid w:val="0"/>
              <w:spacing w:line="520" w:lineRule="exact"/>
              <w:jc w:val="center"/>
              <w:rPr>
                <w:rFonts w:ascii="黑体" w:eastAsia="黑体" w:hAnsi="黑体"/>
                <w:sz w:val="28"/>
                <w:szCs w:val="28"/>
              </w:rPr>
            </w:pPr>
            <w:r w:rsidRPr="000068F8">
              <w:rPr>
                <w:rFonts w:ascii="黑体" w:eastAsia="黑体" w:hAnsi="黑体"/>
                <w:bCs/>
                <w:color w:val="000000"/>
                <w:sz w:val="28"/>
                <w:szCs w:val="28"/>
              </w:rPr>
              <w:t>检查主体</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黑体" w:eastAsia="黑体" w:hAnsi="黑体"/>
                <w:bCs/>
                <w:color w:val="000000"/>
                <w:sz w:val="28"/>
                <w:szCs w:val="28"/>
              </w:rPr>
            </w:pPr>
            <w:r w:rsidRPr="000068F8">
              <w:rPr>
                <w:rFonts w:ascii="黑体" w:eastAsia="黑体" w:hAnsi="黑体" w:cs="黑体"/>
                <w:color w:val="000000"/>
                <w:kern w:val="0"/>
                <w:sz w:val="28"/>
                <w:szCs w:val="28"/>
                <w:lang w:bidi="ar"/>
              </w:rPr>
              <w:t>抽查对象</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黑体" w:eastAsia="黑体" w:hAnsi="黑体"/>
                <w:bCs/>
                <w:color w:val="000000"/>
                <w:sz w:val="28"/>
                <w:szCs w:val="28"/>
              </w:rPr>
            </w:pPr>
            <w:r w:rsidRPr="000068F8">
              <w:rPr>
                <w:rFonts w:ascii="黑体" w:eastAsia="黑体" w:hAnsi="黑体" w:cs="黑体"/>
                <w:color w:val="000000"/>
                <w:kern w:val="0"/>
                <w:sz w:val="28"/>
                <w:szCs w:val="28"/>
                <w:lang w:bidi="ar"/>
              </w:rPr>
              <w:t>抽查方式</w:t>
            </w:r>
          </w:p>
        </w:tc>
        <w:tc>
          <w:tcPr>
            <w:tcW w:w="8522" w:type="dxa"/>
            <w:vAlign w:val="center"/>
          </w:tcPr>
          <w:p w:rsidR="00A76453" w:rsidRPr="000068F8" w:rsidRDefault="00A76453" w:rsidP="006E5648">
            <w:pPr>
              <w:widowControl/>
              <w:adjustRightInd w:val="0"/>
              <w:snapToGrid w:val="0"/>
              <w:spacing w:line="520" w:lineRule="exact"/>
              <w:jc w:val="center"/>
              <w:textAlignment w:val="center"/>
              <w:rPr>
                <w:rFonts w:ascii="黑体" w:eastAsia="黑体" w:hAnsi="黑体"/>
                <w:bCs/>
                <w:color w:val="000000"/>
                <w:sz w:val="28"/>
                <w:szCs w:val="28"/>
              </w:rPr>
            </w:pPr>
            <w:r w:rsidRPr="000068F8">
              <w:rPr>
                <w:rFonts w:ascii="黑体" w:eastAsia="黑体" w:hAnsi="黑体" w:cs="黑体"/>
                <w:color w:val="000000"/>
                <w:kern w:val="0"/>
                <w:sz w:val="28"/>
                <w:szCs w:val="28"/>
                <w:lang w:bidi="ar"/>
              </w:rPr>
              <w:t>抽查依据</w:t>
            </w:r>
          </w:p>
        </w:tc>
        <w:tc>
          <w:tcPr>
            <w:tcW w:w="567" w:type="dxa"/>
          </w:tcPr>
          <w:p w:rsidR="00A76453" w:rsidRPr="000068F8" w:rsidRDefault="00A76453" w:rsidP="006E5648">
            <w:pPr>
              <w:widowControl/>
              <w:adjustRightInd w:val="0"/>
              <w:snapToGrid w:val="0"/>
              <w:spacing w:line="520" w:lineRule="exact"/>
              <w:jc w:val="center"/>
              <w:textAlignment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参检单位</w:t>
            </w:r>
          </w:p>
        </w:tc>
      </w:tr>
      <w:tr w:rsidR="00A76453" w:rsidRPr="000068F8" w:rsidTr="00A76453">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1</w:t>
            </w:r>
          </w:p>
        </w:tc>
        <w:tc>
          <w:tcPr>
            <w:tcW w:w="512"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律师工作科</w:t>
            </w:r>
          </w:p>
        </w:tc>
        <w:tc>
          <w:tcPr>
            <w:tcW w:w="674" w:type="dxa"/>
            <w:vAlign w:val="center"/>
          </w:tcPr>
          <w:p w:rsidR="00A76453" w:rsidRPr="000068F8" w:rsidRDefault="00A76453" w:rsidP="006E5648">
            <w:pPr>
              <w:widowControl/>
              <w:adjustRightInd w:val="0"/>
              <w:snapToGrid w:val="0"/>
              <w:spacing w:line="520" w:lineRule="exact"/>
              <w:jc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对律师事务所及其律师的执业活</w:t>
            </w:r>
            <w:r w:rsidRPr="000068F8">
              <w:rPr>
                <w:rFonts w:ascii="仿宋_GB2312" w:eastAsia="仿宋_GB2312" w:hAnsi="宋体" w:cs="宋体" w:hint="eastAsia"/>
                <w:color w:val="000000"/>
                <w:kern w:val="0"/>
                <w:sz w:val="28"/>
                <w:szCs w:val="28"/>
                <w:lang w:bidi="ar"/>
              </w:rPr>
              <w:lastRenderedPageBreak/>
              <w:t>动的监管</w:t>
            </w:r>
          </w:p>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p>
        </w:tc>
        <w:tc>
          <w:tcPr>
            <w:tcW w:w="1099"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全年抽查比例不超过</w:t>
            </w:r>
            <w:r>
              <w:rPr>
                <w:rFonts w:ascii="仿宋_GB2312" w:eastAsia="仿宋_GB2312"/>
                <w:color w:val="000000"/>
                <w:kern w:val="0"/>
                <w:sz w:val="28"/>
                <w:szCs w:val="28"/>
                <w:lang w:val="en-US" w:eastAsia="zh-CN" w:bidi="ar"/>
              </w:rPr>
              <w:t>10</w:t>
            </w:r>
            <w:r w:rsidRPr="000068F8">
              <w:rPr>
                <w:rFonts w:ascii="仿宋_GB2312" w:eastAsia="仿宋_GB2312" w:hint="eastAsia"/>
                <w:color w:val="000000"/>
                <w:kern w:val="0"/>
                <w:sz w:val="28"/>
                <w:szCs w:val="28"/>
                <w:lang w:val="en-US" w:eastAsia="zh-CN" w:bidi="ar"/>
              </w:rPr>
              <w:t>%，对同一单位的检查每年不超过1次</w:t>
            </w:r>
          </w:p>
        </w:tc>
        <w:tc>
          <w:tcPr>
            <w:tcW w:w="1601"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律师事务所规范化管理（主要检查律师事务所遵守宪法和法律、履行法定职责、实行自律管理的情况）</w:t>
            </w:r>
          </w:p>
        </w:tc>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3月—12月</w:t>
            </w:r>
          </w:p>
        </w:tc>
        <w:tc>
          <w:tcPr>
            <w:tcW w:w="535"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区司法局</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律师事务所</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现场检查</w:t>
            </w:r>
          </w:p>
        </w:tc>
        <w:tc>
          <w:tcPr>
            <w:tcW w:w="8522" w:type="dxa"/>
            <w:vAlign w:val="center"/>
          </w:tcPr>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1.《律师法》第四条：“司法行政部门依照本法对律师、律师事务所和律师协会进行监督、指导。”</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2.《律师事务所管理办法》（司法部令第133号）第五条：“司法行政机关依照《律师法》和本办法的规定对律师事务所进行监督、指导。司法行政机关、律师协会应当结合监督管理职责，加强对律师行业党的建设的指导。”；第七十一条：“司法行政机关应当加强对实施许可和管理活动的层级监督，按照规定建立有关工作的统计、请示、报告、督办等制度。负责律师事务所许可实施、年度检查考核或者奖励、处罚的司法行政机关，应当及时将有关许可决定、考核结果或者奖惩情况通报下级司法行政机关，并报送上一级司法行政机关。”</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3.《律师事务所年度检查考核办法》（司法部令第121号）第六条：“对律师事务所进行年度检查考核，主要检查考核律师事务所遵守宪法和法律、履行法定职责、实行自律管理的情况，具体包括</w:t>
            </w:r>
            <w:r w:rsidRPr="000068F8">
              <w:rPr>
                <w:rFonts w:ascii="仿宋_GB2312" w:eastAsia="仿宋_GB2312" w:hAnsi="宋体" w:cs="宋体" w:hint="eastAsia"/>
                <w:color w:val="000000"/>
                <w:kern w:val="0"/>
                <w:sz w:val="28"/>
                <w:szCs w:val="28"/>
                <w:lang w:bidi="ar"/>
              </w:rPr>
              <w:lastRenderedPageBreak/>
              <w:t>下列内容：（一）律师队伍建设情况；（二）业务活动开展情况；（三）律师执业表现情况；（四）内部管理情况；（五）受行政奖惩、行业奖惩的情况；（六）履行律师协会会员义务的情况；（七）省、自治区、直辖市司法行政机关根据需要认为应当检查考核的其他事项。”</w:t>
            </w:r>
          </w:p>
        </w:tc>
        <w:tc>
          <w:tcPr>
            <w:tcW w:w="567" w:type="dxa"/>
            <w:vAlign w:val="center"/>
          </w:tcPr>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Pr>
                <w:rFonts w:ascii="仿宋_GB2312" w:eastAsia="仿宋_GB2312" w:hAnsi="宋体" w:cs="宋体" w:hint="eastAsia"/>
                <w:color w:val="000000"/>
                <w:kern w:val="0"/>
                <w:sz w:val="28"/>
                <w:szCs w:val="28"/>
                <w:lang w:bidi="ar"/>
              </w:rPr>
              <w:lastRenderedPageBreak/>
              <w:t>淄川区人力资源与社会保障局</w:t>
            </w:r>
          </w:p>
        </w:tc>
      </w:tr>
      <w:tr w:rsidR="00A76453" w:rsidRPr="000068F8" w:rsidTr="00A76453">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2</w:t>
            </w:r>
          </w:p>
        </w:tc>
        <w:tc>
          <w:tcPr>
            <w:tcW w:w="512"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律师工作科</w:t>
            </w:r>
          </w:p>
        </w:tc>
        <w:tc>
          <w:tcPr>
            <w:tcW w:w="674"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基层法律服务所和执业人员的日常</w:t>
            </w:r>
            <w:r w:rsidRPr="000068F8">
              <w:rPr>
                <w:rFonts w:ascii="仿宋_GB2312" w:eastAsia="仿宋_GB2312" w:hint="eastAsia"/>
                <w:color w:val="000000"/>
                <w:kern w:val="0"/>
                <w:sz w:val="28"/>
                <w:szCs w:val="28"/>
                <w:lang w:val="en-US" w:eastAsia="zh-CN" w:bidi="ar"/>
              </w:rPr>
              <w:lastRenderedPageBreak/>
              <w:t>监管</w:t>
            </w:r>
          </w:p>
        </w:tc>
        <w:tc>
          <w:tcPr>
            <w:tcW w:w="1099"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全年抽查比例不超过</w:t>
            </w:r>
            <w:r>
              <w:rPr>
                <w:rFonts w:ascii="仿宋_GB2312" w:eastAsia="仿宋_GB2312"/>
                <w:color w:val="000000"/>
                <w:kern w:val="0"/>
                <w:sz w:val="28"/>
                <w:szCs w:val="28"/>
                <w:lang w:val="en-US" w:eastAsia="zh-CN" w:bidi="ar"/>
              </w:rPr>
              <w:t>10</w:t>
            </w:r>
            <w:r w:rsidRPr="000068F8">
              <w:rPr>
                <w:rFonts w:ascii="仿宋_GB2312" w:eastAsia="仿宋_GB2312" w:hint="eastAsia"/>
                <w:color w:val="000000"/>
                <w:kern w:val="0"/>
                <w:sz w:val="28"/>
                <w:szCs w:val="28"/>
                <w:lang w:val="en-US" w:eastAsia="zh-CN" w:bidi="ar"/>
              </w:rPr>
              <w:t>%，对同一单位的检查每年不超过1次</w:t>
            </w:r>
          </w:p>
        </w:tc>
        <w:tc>
          <w:tcPr>
            <w:tcW w:w="1601"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基层法律服务所内部管理、队伍建设、业务活动开展情况和基层法律服务执业人员执业规范情况</w:t>
            </w:r>
          </w:p>
        </w:tc>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3月—12月</w:t>
            </w:r>
          </w:p>
        </w:tc>
        <w:tc>
          <w:tcPr>
            <w:tcW w:w="535"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区司法局</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基层法律服务所及基层法律服务工</w:t>
            </w:r>
            <w:r w:rsidRPr="000068F8">
              <w:rPr>
                <w:rFonts w:ascii="仿宋_GB2312" w:eastAsia="仿宋_GB2312" w:hAnsi="宋体" w:cs="宋体" w:hint="eastAsia"/>
                <w:color w:val="000000"/>
                <w:kern w:val="0"/>
                <w:sz w:val="28"/>
                <w:szCs w:val="28"/>
                <w:lang w:bidi="ar"/>
              </w:rPr>
              <w:lastRenderedPageBreak/>
              <w:t>作者</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lastRenderedPageBreak/>
              <w:t>现场检查</w:t>
            </w:r>
          </w:p>
        </w:tc>
        <w:tc>
          <w:tcPr>
            <w:tcW w:w="8522" w:type="dxa"/>
            <w:vAlign w:val="center"/>
          </w:tcPr>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1.《基层法律服务所管理办法》（司法部令第59号）第五条：“司法行政机关依照本办法对基层法律服务所进行管理和指导。”；第四十条：“基层法律服务所的日常执业活动和内部管理工作，由住所地的县级司法行政机关和所在乡镇、街道司法所负责指导和监督。县级司法行政机关和乡镇、街道司法所可以对基层法律服务所定期进行检查或者发现问题随时进行检查，可以要求基层法律服务所报告工作、说明情况、提交有关材料。基层法律服务所及其从业人员不得拒绝。”</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2.《基层法律服务工作者管理办法》（司法部令第60号）第四条：“司法行政机关依照本办法对基层法律服务工作者进行管理和指导。”；第五十三条：“基层法律服务工作者的日常执业活动和遵守职业道德、执业纪律的情况，由所在地的县级司法行政机关和所在乡镇、街道司法所负责检查和监督。县级司法行政机关和乡镇、街道司法所可以对基层法律服务工作者的执业情况进行检查或者发现问题随时进行检查，可以要求有关人员报告工作、说明情况、提</w:t>
            </w:r>
            <w:r w:rsidRPr="000068F8">
              <w:rPr>
                <w:rFonts w:ascii="仿宋_GB2312" w:eastAsia="仿宋_GB2312" w:hAnsi="宋体" w:cs="宋体" w:hint="eastAsia"/>
                <w:color w:val="000000"/>
                <w:kern w:val="0"/>
                <w:sz w:val="28"/>
                <w:szCs w:val="28"/>
                <w:lang w:bidi="ar"/>
              </w:rPr>
              <w:lastRenderedPageBreak/>
              <w:t>交有关材料。基层法律服务工作者及其所在的基层法律服务所不得拒绝。”；第五十九条：“司法行政机关应当建立对基层法律服务工作者执业的投诉监督制度，设立投诉电话，投诉信箱，受理当事人和其他公民对基层法律服务工作者违纪行为的投诉，并且应当将查处结果告知投诉人。”</w:t>
            </w:r>
          </w:p>
        </w:tc>
        <w:tc>
          <w:tcPr>
            <w:tcW w:w="567" w:type="dxa"/>
          </w:tcPr>
          <w:p w:rsidR="00A76453" w:rsidRPr="000068F8" w:rsidRDefault="00053A4F"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Pr>
                <w:rFonts w:ascii="仿宋_GB2312" w:eastAsia="仿宋_GB2312" w:hAnsi="宋体" w:cs="宋体" w:hint="eastAsia"/>
                <w:color w:val="000000"/>
                <w:kern w:val="0"/>
                <w:sz w:val="28"/>
                <w:szCs w:val="28"/>
                <w:lang w:bidi="ar"/>
              </w:rPr>
              <w:lastRenderedPageBreak/>
              <w:t>淄川区人力资源与社会保障局</w:t>
            </w:r>
          </w:p>
        </w:tc>
      </w:tr>
      <w:tr w:rsidR="00A76453" w:rsidRPr="000068F8" w:rsidTr="00A76453">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color w:val="000000"/>
                <w:kern w:val="0"/>
                <w:sz w:val="28"/>
                <w:szCs w:val="28"/>
                <w:lang w:val="en-US" w:eastAsia="zh-CN" w:bidi="ar"/>
              </w:rPr>
              <w:lastRenderedPageBreak/>
              <w:t>3</w:t>
            </w:r>
          </w:p>
        </w:tc>
        <w:tc>
          <w:tcPr>
            <w:tcW w:w="512"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律师工作科</w:t>
            </w:r>
          </w:p>
        </w:tc>
        <w:tc>
          <w:tcPr>
            <w:tcW w:w="674"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对司法鉴定机构及其司法鉴定人的</w:t>
            </w:r>
            <w:r w:rsidRPr="000068F8">
              <w:rPr>
                <w:rFonts w:ascii="仿宋_GB2312" w:eastAsia="仿宋_GB2312" w:hint="eastAsia"/>
                <w:color w:val="000000"/>
                <w:kern w:val="0"/>
                <w:sz w:val="28"/>
                <w:szCs w:val="28"/>
                <w:lang w:val="en-US" w:eastAsia="zh-CN" w:bidi="ar"/>
              </w:rPr>
              <w:lastRenderedPageBreak/>
              <w:t>执业活动的监管</w:t>
            </w:r>
          </w:p>
        </w:tc>
        <w:tc>
          <w:tcPr>
            <w:tcW w:w="1099" w:type="dxa"/>
            <w:vAlign w:val="center"/>
          </w:tcPr>
          <w:p w:rsidR="00A76453" w:rsidRPr="000068F8" w:rsidRDefault="00A76453" w:rsidP="00053A4F">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全年抽查比例不超过</w:t>
            </w:r>
            <w:r w:rsidR="00053A4F">
              <w:rPr>
                <w:rFonts w:ascii="仿宋_GB2312" w:eastAsia="仿宋_GB2312"/>
                <w:color w:val="000000"/>
                <w:kern w:val="0"/>
                <w:sz w:val="28"/>
                <w:szCs w:val="28"/>
                <w:lang w:val="en-US" w:eastAsia="zh-CN" w:bidi="ar"/>
              </w:rPr>
              <w:t>50</w:t>
            </w:r>
            <w:r w:rsidRPr="000068F8">
              <w:rPr>
                <w:rFonts w:ascii="仿宋_GB2312" w:eastAsia="仿宋_GB2312" w:hint="eastAsia"/>
                <w:color w:val="000000"/>
                <w:kern w:val="0"/>
                <w:sz w:val="28"/>
                <w:szCs w:val="28"/>
                <w:lang w:val="en-US" w:eastAsia="zh-CN" w:bidi="ar"/>
              </w:rPr>
              <w:t>%，对同一单位的检查每年不超过1次</w:t>
            </w:r>
          </w:p>
        </w:tc>
        <w:tc>
          <w:tcPr>
            <w:tcW w:w="1601"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遵守法律、法规和规章情况；执行司法鉴定程序、技术标准和操作规范情况；业务开展和鉴定质量情况；恪守职业道德和执业纪律情</w:t>
            </w:r>
            <w:r w:rsidRPr="000068F8">
              <w:rPr>
                <w:rFonts w:ascii="仿宋_GB2312" w:eastAsia="仿宋_GB2312" w:hint="eastAsia"/>
                <w:color w:val="000000"/>
                <w:kern w:val="0"/>
                <w:sz w:val="28"/>
                <w:szCs w:val="28"/>
                <w:lang w:val="en-US" w:eastAsia="zh-CN" w:bidi="ar"/>
              </w:rPr>
              <w:lastRenderedPageBreak/>
              <w:t>况；制定和执行管理制度情况；法律、法规和规章规定的其他事项</w:t>
            </w:r>
          </w:p>
        </w:tc>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3月—12月</w:t>
            </w:r>
          </w:p>
        </w:tc>
        <w:tc>
          <w:tcPr>
            <w:tcW w:w="535"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区司法局</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司法鉴定机构及司法鉴定人</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现场检查</w:t>
            </w:r>
          </w:p>
        </w:tc>
        <w:tc>
          <w:tcPr>
            <w:tcW w:w="8522" w:type="dxa"/>
            <w:vAlign w:val="center"/>
          </w:tcPr>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1.《山东省司法鉴定条例》第四十六条：“司法行政部门应当就下列事项，对司法鉴定机构、司法鉴定人进行监督、检查：（一）遵守法律、法规、规章情况；（二）执行司法鉴定程序、技术标准和操作规范情况；（三）业务开展和鉴定质量情况；（四）恪守职业道德和执业纪律情况；（五）制定和执行管理制度情况；（六）法律、法规、规章规定的其他事项。司法行政部门依法履行监督、检查职责，可以采取现场检查、调阅有关资料等措施。”</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2.《司法鉴定机构登记管理办法》（司法部令第95号）第三十四条：“司法行政机关应当就下列事项，对司法鉴定机构进行监督、检查：(一)遵守法律、法规和规章的情况；(二)遵守司法鉴定程序、技术标准和技术操作规范的情况；(三)所属司法鉴定人执业的情况；(四)法律、法规和规章规定的其他事项。”</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3.《司法鉴定人登记管理办法》（司法部令第96号）第二十四条：“司法行政机关应当就下列事项，对司法鉴定人进行监督、检查：(一)遵守法律、法规和规章的情况；(二)遵守司法鉴定程序、技术</w:t>
            </w:r>
            <w:r w:rsidRPr="000068F8">
              <w:rPr>
                <w:rFonts w:ascii="仿宋_GB2312" w:eastAsia="仿宋_GB2312" w:hAnsi="宋体" w:cs="宋体" w:hint="eastAsia"/>
                <w:color w:val="000000"/>
                <w:kern w:val="0"/>
                <w:sz w:val="28"/>
                <w:szCs w:val="28"/>
                <w:lang w:bidi="ar"/>
              </w:rPr>
              <w:lastRenderedPageBreak/>
              <w:t>标准和技术操作规范的情况；(三)遵守执业规则、职业道德和职业纪律的情况；(四)遵守所在司法鉴定机构内部管理制度的情况；(五)法律、法规和规章规定的其他事项。”</w:t>
            </w:r>
          </w:p>
        </w:tc>
        <w:tc>
          <w:tcPr>
            <w:tcW w:w="567" w:type="dxa"/>
          </w:tcPr>
          <w:p w:rsidR="00A76453" w:rsidRPr="000068F8" w:rsidRDefault="00053A4F"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Pr>
                <w:rFonts w:ascii="仿宋_GB2312" w:eastAsia="仿宋_GB2312" w:hAnsi="宋体" w:cs="宋体" w:hint="eastAsia"/>
                <w:color w:val="000000"/>
                <w:kern w:val="0"/>
                <w:sz w:val="28"/>
                <w:szCs w:val="28"/>
                <w:lang w:bidi="ar"/>
              </w:rPr>
              <w:lastRenderedPageBreak/>
              <w:t>淄川区人力资源与社会保障局</w:t>
            </w:r>
          </w:p>
        </w:tc>
      </w:tr>
      <w:tr w:rsidR="00A76453" w:rsidRPr="000068F8" w:rsidTr="00A76453">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color w:val="000000"/>
                <w:kern w:val="0"/>
                <w:sz w:val="28"/>
                <w:szCs w:val="28"/>
                <w:lang w:val="en-US" w:eastAsia="zh-CN" w:bidi="ar"/>
              </w:rPr>
              <w:lastRenderedPageBreak/>
              <w:t>4</w:t>
            </w:r>
          </w:p>
        </w:tc>
        <w:tc>
          <w:tcPr>
            <w:tcW w:w="512"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公共法律服务管理科</w:t>
            </w:r>
          </w:p>
        </w:tc>
        <w:tc>
          <w:tcPr>
            <w:tcW w:w="674" w:type="dxa"/>
            <w:vAlign w:val="center"/>
          </w:tcPr>
          <w:p w:rsidR="00A76453" w:rsidRPr="000068F8" w:rsidRDefault="00A76453" w:rsidP="006E5648">
            <w:pPr>
              <w:widowControl/>
              <w:adjustRightInd w:val="0"/>
              <w:snapToGrid w:val="0"/>
              <w:spacing w:line="520" w:lineRule="exact"/>
              <w:jc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对公证机构及其公证员的执</w:t>
            </w:r>
            <w:r w:rsidRPr="000068F8">
              <w:rPr>
                <w:rFonts w:ascii="仿宋_GB2312" w:eastAsia="仿宋_GB2312" w:hAnsi="宋体" w:cs="宋体" w:hint="eastAsia"/>
                <w:color w:val="000000"/>
                <w:kern w:val="0"/>
                <w:sz w:val="28"/>
                <w:szCs w:val="28"/>
                <w:lang w:bidi="ar"/>
              </w:rPr>
              <w:lastRenderedPageBreak/>
              <w:t>业活动的监管</w:t>
            </w:r>
          </w:p>
        </w:tc>
        <w:tc>
          <w:tcPr>
            <w:tcW w:w="1099" w:type="dxa"/>
            <w:vAlign w:val="center"/>
          </w:tcPr>
          <w:p w:rsidR="00A76453" w:rsidRPr="000068F8" w:rsidRDefault="00A76453" w:rsidP="00053A4F">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全年抽查比例不超过</w:t>
            </w:r>
            <w:r w:rsidR="00053A4F">
              <w:rPr>
                <w:rFonts w:ascii="仿宋_GB2312" w:eastAsia="仿宋_GB2312"/>
                <w:color w:val="000000"/>
                <w:kern w:val="0"/>
                <w:sz w:val="28"/>
                <w:szCs w:val="28"/>
                <w:lang w:val="en-US" w:eastAsia="zh-CN" w:bidi="ar"/>
              </w:rPr>
              <w:t>50</w:t>
            </w:r>
            <w:r w:rsidRPr="000068F8">
              <w:rPr>
                <w:rFonts w:ascii="仿宋_GB2312" w:eastAsia="仿宋_GB2312" w:hint="eastAsia"/>
                <w:color w:val="000000"/>
                <w:kern w:val="0"/>
                <w:sz w:val="28"/>
                <w:szCs w:val="28"/>
                <w:lang w:val="en-US" w:eastAsia="zh-CN" w:bidi="ar"/>
              </w:rPr>
              <w:t>%，对同一单位的检查每年不超过1次</w:t>
            </w:r>
          </w:p>
        </w:tc>
        <w:tc>
          <w:tcPr>
            <w:tcW w:w="1601"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遵守《公证法》《公证机构执业管理办法》《公证员执业管理办法》等法律、法规、规章情况。业务开展和</w:t>
            </w:r>
            <w:r w:rsidRPr="000068F8">
              <w:rPr>
                <w:rFonts w:ascii="仿宋_GB2312" w:eastAsia="仿宋_GB2312" w:hint="eastAsia"/>
                <w:color w:val="000000"/>
                <w:kern w:val="0"/>
                <w:sz w:val="28"/>
                <w:szCs w:val="28"/>
                <w:lang w:val="en-US" w:eastAsia="zh-CN" w:bidi="ar"/>
              </w:rPr>
              <w:lastRenderedPageBreak/>
              <w:t>公证质量情况。恪守职业道德和遵守执业纪律情况。制定和执行管理制度情况。</w:t>
            </w:r>
          </w:p>
        </w:tc>
        <w:tc>
          <w:tcPr>
            <w:tcW w:w="496"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lastRenderedPageBreak/>
              <w:t>3月—12月</w:t>
            </w:r>
          </w:p>
        </w:tc>
        <w:tc>
          <w:tcPr>
            <w:tcW w:w="535" w:type="dxa"/>
            <w:vAlign w:val="center"/>
          </w:tcPr>
          <w:p w:rsidR="00A76453" w:rsidRPr="000068F8" w:rsidRDefault="00A76453" w:rsidP="006E5648">
            <w:pPr>
              <w:pStyle w:val="Other1"/>
              <w:adjustRightInd w:val="0"/>
              <w:snapToGrid w:val="0"/>
              <w:spacing w:line="520" w:lineRule="exact"/>
              <w:jc w:val="center"/>
              <w:rPr>
                <w:rFonts w:ascii="仿宋_GB2312" w:eastAsia="仿宋_GB2312"/>
                <w:color w:val="000000"/>
                <w:kern w:val="0"/>
                <w:sz w:val="28"/>
                <w:szCs w:val="28"/>
                <w:lang w:val="en-US" w:eastAsia="zh-CN" w:bidi="ar"/>
              </w:rPr>
            </w:pPr>
            <w:r w:rsidRPr="000068F8">
              <w:rPr>
                <w:rFonts w:ascii="仿宋_GB2312" w:eastAsia="仿宋_GB2312" w:hint="eastAsia"/>
                <w:color w:val="000000"/>
                <w:kern w:val="0"/>
                <w:sz w:val="28"/>
                <w:szCs w:val="28"/>
                <w:lang w:val="en-US" w:eastAsia="zh-CN" w:bidi="ar"/>
              </w:rPr>
              <w:t>区司法局</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公证机构及公证员</w:t>
            </w:r>
          </w:p>
        </w:tc>
        <w:tc>
          <w:tcPr>
            <w:tcW w:w="614" w:type="dxa"/>
            <w:vAlign w:val="center"/>
          </w:tcPr>
          <w:p w:rsidR="00A76453" w:rsidRPr="000068F8" w:rsidRDefault="00A76453" w:rsidP="006E5648">
            <w:pPr>
              <w:widowControl/>
              <w:adjustRightInd w:val="0"/>
              <w:snapToGrid w:val="0"/>
              <w:spacing w:line="520" w:lineRule="exact"/>
              <w:jc w:val="center"/>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现场检查</w:t>
            </w:r>
          </w:p>
        </w:tc>
        <w:tc>
          <w:tcPr>
            <w:tcW w:w="8522" w:type="dxa"/>
            <w:vAlign w:val="center"/>
          </w:tcPr>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1.《公证法》第五条：“司法行政部门依照本法规定对公证机构、公证员和公证协会进行监督、指导。”</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2.《公证程序规则》（司法部令第103号）第八条：“司法行政机关依照《公证法》和本规则规定，对公证机构和公证员的执业活动和遵守程序规则的情况进行监督、指导。”</w:t>
            </w:r>
          </w:p>
          <w:p w:rsidR="00A76453" w:rsidRPr="000068F8" w:rsidRDefault="00A76453"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sidRPr="000068F8">
              <w:rPr>
                <w:rFonts w:ascii="仿宋_GB2312" w:eastAsia="仿宋_GB2312" w:hAnsi="宋体" w:cs="宋体" w:hint="eastAsia"/>
                <w:color w:val="000000"/>
                <w:kern w:val="0"/>
                <w:sz w:val="28"/>
                <w:szCs w:val="28"/>
                <w:lang w:bidi="ar"/>
              </w:rPr>
              <w:t>3.《公证机构执业管理办法》（司法部令第101号）第二十四条：“司法行政机关依法对公证机构的组织建设、队伍建设、执业活动、质量控制、内部管理等情况进行监督。”；第二十五条：“省、自治区、直辖市司法行政机关对公证机构的下列事项实施监督：（一）公证机构保持法定设立条件的情况；（二）公证机构执行应当报批或者备案事项的情况；（三）公证机构和公证员的执业</w:t>
            </w:r>
            <w:r w:rsidRPr="000068F8">
              <w:rPr>
                <w:rFonts w:ascii="仿宋_GB2312" w:eastAsia="仿宋_GB2312" w:hAnsi="宋体" w:cs="宋体" w:hint="eastAsia"/>
                <w:color w:val="000000"/>
                <w:kern w:val="0"/>
                <w:sz w:val="28"/>
                <w:szCs w:val="28"/>
                <w:lang w:bidi="ar"/>
              </w:rPr>
              <w:lastRenderedPageBreak/>
              <w:t>情况；（四）公证质量的监控情况；（五）法律、法规和司法部规定的其他监督检查事项。”</w:t>
            </w:r>
          </w:p>
        </w:tc>
        <w:tc>
          <w:tcPr>
            <w:tcW w:w="567" w:type="dxa"/>
          </w:tcPr>
          <w:p w:rsidR="00A76453" w:rsidRPr="000068F8" w:rsidRDefault="00053A4F" w:rsidP="006E5648">
            <w:pPr>
              <w:widowControl/>
              <w:adjustRightInd w:val="0"/>
              <w:snapToGrid w:val="0"/>
              <w:spacing w:line="520" w:lineRule="exact"/>
              <w:jc w:val="left"/>
              <w:textAlignment w:val="center"/>
              <w:rPr>
                <w:rFonts w:ascii="仿宋_GB2312" w:eastAsia="仿宋_GB2312" w:hAnsi="宋体" w:cs="宋体"/>
                <w:color w:val="000000"/>
                <w:kern w:val="0"/>
                <w:sz w:val="28"/>
                <w:szCs w:val="28"/>
                <w:lang w:bidi="ar"/>
              </w:rPr>
            </w:pPr>
            <w:r>
              <w:rPr>
                <w:rFonts w:ascii="仿宋_GB2312" w:eastAsia="仿宋_GB2312" w:hAnsi="宋体" w:cs="宋体" w:hint="eastAsia"/>
                <w:color w:val="000000"/>
                <w:kern w:val="0"/>
                <w:sz w:val="28"/>
                <w:szCs w:val="28"/>
                <w:lang w:bidi="ar"/>
              </w:rPr>
              <w:lastRenderedPageBreak/>
              <w:t>淄川区人力资源与社会保</w:t>
            </w:r>
            <w:r>
              <w:rPr>
                <w:rFonts w:ascii="仿宋_GB2312" w:eastAsia="仿宋_GB2312" w:hAnsi="宋体" w:cs="宋体" w:hint="eastAsia"/>
                <w:color w:val="000000"/>
                <w:kern w:val="0"/>
                <w:sz w:val="28"/>
                <w:szCs w:val="28"/>
                <w:lang w:bidi="ar"/>
              </w:rPr>
              <w:lastRenderedPageBreak/>
              <w:t>障局</w:t>
            </w:r>
          </w:p>
        </w:tc>
      </w:tr>
    </w:tbl>
    <w:p w:rsidR="007023A3" w:rsidRDefault="007023A3" w:rsidP="005C0A8A">
      <w:pPr>
        <w:adjustRightInd w:val="0"/>
        <w:snapToGrid w:val="0"/>
        <w:spacing w:line="520" w:lineRule="exact"/>
      </w:pPr>
    </w:p>
    <w:sectPr w:rsidR="007023A3">
      <w:pgSz w:w="16838" w:h="11906" w:orient="landscape"/>
      <w:pgMar w:top="612" w:right="590" w:bottom="612" w:left="59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47" w:rsidRDefault="00862247" w:rsidP="007A4BEF">
      <w:r>
        <w:separator/>
      </w:r>
    </w:p>
  </w:endnote>
  <w:endnote w:type="continuationSeparator" w:id="0">
    <w:p w:rsidR="00862247" w:rsidRDefault="00862247" w:rsidP="007A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47" w:rsidRDefault="00862247" w:rsidP="007A4BEF">
      <w:r>
        <w:separator/>
      </w:r>
    </w:p>
  </w:footnote>
  <w:footnote w:type="continuationSeparator" w:id="0">
    <w:p w:rsidR="00862247" w:rsidRDefault="00862247" w:rsidP="007A4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FF"/>
    <w:rsid w:val="00005E57"/>
    <w:rsid w:val="000068F8"/>
    <w:rsid w:val="00053A4F"/>
    <w:rsid w:val="000745D5"/>
    <w:rsid w:val="00102DB5"/>
    <w:rsid w:val="001127CB"/>
    <w:rsid w:val="001178B4"/>
    <w:rsid w:val="00122C0D"/>
    <w:rsid w:val="001334AB"/>
    <w:rsid w:val="001616DF"/>
    <w:rsid w:val="00162BE9"/>
    <w:rsid w:val="001D08DF"/>
    <w:rsid w:val="001D6D1C"/>
    <w:rsid w:val="00270288"/>
    <w:rsid w:val="002C2D3A"/>
    <w:rsid w:val="002F142D"/>
    <w:rsid w:val="00314690"/>
    <w:rsid w:val="00342175"/>
    <w:rsid w:val="00346635"/>
    <w:rsid w:val="00350CD3"/>
    <w:rsid w:val="003535C3"/>
    <w:rsid w:val="003743A4"/>
    <w:rsid w:val="004113B3"/>
    <w:rsid w:val="00426389"/>
    <w:rsid w:val="0049405E"/>
    <w:rsid w:val="004B244E"/>
    <w:rsid w:val="004C178F"/>
    <w:rsid w:val="00525235"/>
    <w:rsid w:val="005C0A8A"/>
    <w:rsid w:val="005D1F13"/>
    <w:rsid w:val="005E4D5E"/>
    <w:rsid w:val="006328EA"/>
    <w:rsid w:val="006441F1"/>
    <w:rsid w:val="00644849"/>
    <w:rsid w:val="00654032"/>
    <w:rsid w:val="006860DE"/>
    <w:rsid w:val="006D404E"/>
    <w:rsid w:val="006D5628"/>
    <w:rsid w:val="007023A3"/>
    <w:rsid w:val="00724D14"/>
    <w:rsid w:val="0074049B"/>
    <w:rsid w:val="0077418B"/>
    <w:rsid w:val="00795310"/>
    <w:rsid w:val="007A14F4"/>
    <w:rsid w:val="007A4BEF"/>
    <w:rsid w:val="00820670"/>
    <w:rsid w:val="00833073"/>
    <w:rsid w:val="00862247"/>
    <w:rsid w:val="008955C1"/>
    <w:rsid w:val="00897C18"/>
    <w:rsid w:val="008B41A9"/>
    <w:rsid w:val="008B6827"/>
    <w:rsid w:val="008C2556"/>
    <w:rsid w:val="008D5F4B"/>
    <w:rsid w:val="008F5D51"/>
    <w:rsid w:val="00965F69"/>
    <w:rsid w:val="00983B80"/>
    <w:rsid w:val="009C128B"/>
    <w:rsid w:val="00A16349"/>
    <w:rsid w:val="00A7576E"/>
    <w:rsid w:val="00A76453"/>
    <w:rsid w:val="00A83894"/>
    <w:rsid w:val="00AC2C07"/>
    <w:rsid w:val="00B27E45"/>
    <w:rsid w:val="00BB4C2C"/>
    <w:rsid w:val="00BD50B5"/>
    <w:rsid w:val="00BF5CAC"/>
    <w:rsid w:val="00C14448"/>
    <w:rsid w:val="00C363E9"/>
    <w:rsid w:val="00C44E54"/>
    <w:rsid w:val="00C6391C"/>
    <w:rsid w:val="00C72A6A"/>
    <w:rsid w:val="00C76E7E"/>
    <w:rsid w:val="00C93631"/>
    <w:rsid w:val="00CA5206"/>
    <w:rsid w:val="00CB7C58"/>
    <w:rsid w:val="00CD6614"/>
    <w:rsid w:val="00D22CF0"/>
    <w:rsid w:val="00D24D48"/>
    <w:rsid w:val="00D56534"/>
    <w:rsid w:val="00D7181F"/>
    <w:rsid w:val="00D943CB"/>
    <w:rsid w:val="00DA21FF"/>
    <w:rsid w:val="00DA5A4E"/>
    <w:rsid w:val="00E36FBD"/>
    <w:rsid w:val="00E61500"/>
    <w:rsid w:val="00E67118"/>
    <w:rsid w:val="00E826E5"/>
    <w:rsid w:val="00E8696B"/>
    <w:rsid w:val="00EB3C3E"/>
    <w:rsid w:val="00F01BC0"/>
    <w:rsid w:val="00F36546"/>
    <w:rsid w:val="00F531F7"/>
    <w:rsid w:val="00F624AF"/>
    <w:rsid w:val="00F6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1B2B6"/>
  <w15:chartTrackingRefBased/>
  <w15:docId w15:val="{569083F8-96B0-404B-B1C5-D9A14901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D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her1">
    <w:name w:val="Other|1"/>
    <w:basedOn w:val="a"/>
    <w:qFormat/>
    <w:rsid w:val="000745D5"/>
    <w:pPr>
      <w:spacing w:line="305" w:lineRule="exact"/>
    </w:pPr>
    <w:rPr>
      <w:rFonts w:ascii="宋体" w:hAnsi="宋体" w:cs="宋体"/>
      <w:sz w:val="22"/>
      <w:szCs w:val="22"/>
      <w:lang w:val="zh-TW" w:eastAsia="zh-TW" w:bidi="zh-TW"/>
    </w:rPr>
  </w:style>
  <w:style w:type="table" w:styleId="a3">
    <w:name w:val="Table Grid"/>
    <w:basedOn w:val="a1"/>
    <w:uiPriority w:val="39"/>
    <w:rsid w:val="0011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8F8"/>
    <w:rPr>
      <w:sz w:val="18"/>
      <w:szCs w:val="18"/>
    </w:rPr>
  </w:style>
  <w:style w:type="character" w:customStyle="1" w:styleId="a5">
    <w:name w:val="批注框文本 字符"/>
    <w:basedOn w:val="a0"/>
    <w:link w:val="a4"/>
    <w:uiPriority w:val="99"/>
    <w:semiHidden/>
    <w:rsid w:val="000068F8"/>
    <w:rPr>
      <w:rFonts w:ascii="Calibri" w:eastAsia="宋体" w:hAnsi="Calibri" w:cs="Times New Roman"/>
      <w:sz w:val="18"/>
      <w:szCs w:val="18"/>
    </w:rPr>
  </w:style>
  <w:style w:type="paragraph" w:styleId="a6">
    <w:name w:val="header"/>
    <w:basedOn w:val="a"/>
    <w:link w:val="a7"/>
    <w:uiPriority w:val="99"/>
    <w:unhideWhenUsed/>
    <w:rsid w:val="007A4BE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A4BEF"/>
    <w:rPr>
      <w:rFonts w:ascii="Calibri" w:eastAsia="宋体" w:hAnsi="Calibri" w:cs="Times New Roman"/>
      <w:sz w:val="18"/>
      <w:szCs w:val="18"/>
    </w:rPr>
  </w:style>
  <w:style w:type="paragraph" w:styleId="a8">
    <w:name w:val="footer"/>
    <w:basedOn w:val="a"/>
    <w:link w:val="a9"/>
    <w:uiPriority w:val="99"/>
    <w:unhideWhenUsed/>
    <w:rsid w:val="007A4BEF"/>
    <w:pPr>
      <w:tabs>
        <w:tab w:val="center" w:pos="4153"/>
        <w:tab w:val="right" w:pos="8306"/>
      </w:tabs>
      <w:snapToGrid w:val="0"/>
      <w:jc w:val="left"/>
    </w:pPr>
    <w:rPr>
      <w:sz w:val="18"/>
      <w:szCs w:val="18"/>
    </w:rPr>
  </w:style>
  <w:style w:type="character" w:customStyle="1" w:styleId="a9">
    <w:name w:val="页脚 字符"/>
    <w:basedOn w:val="a0"/>
    <w:link w:val="a8"/>
    <w:uiPriority w:val="99"/>
    <w:rsid w:val="007A4B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淄川区司法局</dc:creator>
  <cp:keywords/>
  <dc:description/>
  <cp:lastModifiedBy>淄川区司法局</cp:lastModifiedBy>
  <cp:revision>17</cp:revision>
  <cp:lastPrinted>2025-03-12T08:31:00Z</cp:lastPrinted>
  <dcterms:created xsi:type="dcterms:W3CDTF">2022-03-25T07:01:00Z</dcterms:created>
  <dcterms:modified xsi:type="dcterms:W3CDTF">2025-03-18T01:35:00Z</dcterms:modified>
</cp:coreProperties>
</file>