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A5556">
      <w:pPr>
        <w:adjustRightInd w:val="0"/>
        <w:snapToGrid w:val="0"/>
        <w:spacing w:line="52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淄川区司法局202</w:t>
      </w:r>
      <w:r>
        <w:rPr>
          <w:rFonts w:hint="eastAsia"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rPr>
        <w:t>年度系统内部</w:t>
      </w:r>
      <w:r>
        <w:rPr>
          <w:rFonts w:hint="eastAsia" w:ascii="方正小标宋简体" w:hAnsi="方正小标宋简体" w:eastAsia="方正小标宋简体" w:cs="方正小标宋简体"/>
          <w:color w:val="000000"/>
          <w:sz w:val="44"/>
          <w:szCs w:val="44"/>
          <w:lang w:val="zh-CN" w:bidi="zh-CN"/>
        </w:rPr>
        <w:t>“双</w:t>
      </w:r>
      <w:r>
        <w:rPr>
          <w:rFonts w:hint="eastAsia" w:ascii="方正小标宋简体" w:hAnsi="方正小标宋简体" w:eastAsia="方正小标宋简体" w:cs="方正小标宋简体"/>
          <w:color w:val="000000"/>
          <w:sz w:val="44"/>
          <w:szCs w:val="44"/>
        </w:rPr>
        <w:t>随机、一公开”抽查事项清单</w:t>
      </w:r>
    </w:p>
    <w:p w14:paraId="40161F36">
      <w:pPr>
        <w:adjustRightInd w:val="0"/>
        <w:snapToGrid w:val="0"/>
        <w:spacing w:line="520" w:lineRule="exact"/>
        <w:jc w:val="center"/>
        <w:rPr>
          <w:rFonts w:ascii="方正小标宋简体" w:hAnsi="方正小标宋简体" w:eastAsia="方正小标宋简体" w:cs="方正小标宋简体"/>
          <w:color w:val="000000"/>
          <w:sz w:val="44"/>
          <w:szCs w:val="44"/>
        </w:rPr>
      </w:pPr>
    </w:p>
    <w:tbl>
      <w:tblPr>
        <w:tblStyle w:val="6"/>
        <w:tblW w:w="15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523"/>
        <w:gridCol w:w="807"/>
        <w:gridCol w:w="1123"/>
        <w:gridCol w:w="2205"/>
        <w:gridCol w:w="776"/>
        <w:gridCol w:w="564"/>
        <w:gridCol w:w="701"/>
        <w:gridCol w:w="701"/>
        <w:gridCol w:w="7756"/>
        <w:gridCol w:w="24"/>
      </w:tblGrid>
      <w:tr w14:paraId="3309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Align w:val="center"/>
          </w:tcPr>
          <w:p w14:paraId="7691357E">
            <w:pPr>
              <w:pStyle w:val="8"/>
              <w:adjustRightInd w:val="0"/>
              <w:snapToGrid w:val="0"/>
              <w:spacing w:line="520" w:lineRule="exact"/>
              <w:jc w:val="center"/>
              <w:rPr>
                <w:rFonts w:ascii="黑体" w:hAnsi="黑体" w:eastAsia="黑体"/>
                <w:sz w:val="28"/>
                <w:szCs w:val="28"/>
              </w:rPr>
            </w:pPr>
            <w:r>
              <w:rPr>
                <w:rFonts w:ascii="黑体" w:hAnsi="黑体" w:eastAsia="黑体"/>
                <w:bCs/>
                <w:color w:val="000000"/>
                <w:sz w:val="28"/>
                <w:szCs w:val="28"/>
              </w:rPr>
              <w:t>序号</w:t>
            </w:r>
          </w:p>
        </w:tc>
        <w:tc>
          <w:tcPr>
            <w:tcW w:w="523" w:type="dxa"/>
            <w:vAlign w:val="center"/>
          </w:tcPr>
          <w:p w14:paraId="6B9DFFB4">
            <w:pPr>
              <w:pStyle w:val="8"/>
              <w:adjustRightInd w:val="0"/>
              <w:snapToGrid w:val="0"/>
              <w:spacing w:line="520" w:lineRule="exact"/>
              <w:jc w:val="center"/>
              <w:rPr>
                <w:rFonts w:ascii="黑体" w:hAnsi="黑体" w:eastAsia="黑体"/>
                <w:sz w:val="28"/>
                <w:szCs w:val="28"/>
                <w:lang w:val="en-US" w:eastAsia="zh-CN"/>
              </w:rPr>
            </w:pPr>
            <w:r>
              <w:rPr>
                <w:rFonts w:hint="eastAsia" w:ascii="黑体" w:hAnsi="黑体" w:eastAsia="黑体"/>
                <w:bCs/>
                <w:color w:val="000000"/>
                <w:sz w:val="28"/>
                <w:szCs w:val="28"/>
                <w:lang w:val="en-US" w:eastAsia="zh-CN"/>
              </w:rPr>
              <w:t>牵头科室</w:t>
            </w:r>
          </w:p>
        </w:tc>
        <w:tc>
          <w:tcPr>
            <w:tcW w:w="807" w:type="dxa"/>
            <w:vAlign w:val="center"/>
          </w:tcPr>
          <w:p w14:paraId="502EAC97">
            <w:pPr>
              <w:pStyle w:val="8"/>
              <w:adjustRightInd w:val="0"/>
              <w:snapToGrid w:val="0"/>
              <w:spacing w:line="520" w:lineRule="exact"/>
              <w:jc w:val="center"/>
              <w:rPr>
                <w:rFonts w:ascii="黑体" w:hAnsi="黑体" w:eastAsia="黑体"/>
                <w:sz w:val="28"/>
                <w:szCs w:val="28"/>
              </w:rPr>
            </w:pPr>
            <w:r>
              <w:rPr>
                <w:rFonts w:ascii="黑体" w:hAnsi="黑体" w:eastAsia="黑体"/>
                <w:bCs/>
                <w:color w:val="000000"/>
                <w:sz w:val="28"/>
                <w:szCs w:val="28"/>
              </w:rPr>
              <w:t>抽查事项</w:t>
            </w:r>
          </w:p>
        </w:tc>
        <w:tc>
          <w:tcPr>
            <w:tcW w:w="1123" w:type="dxa"/>
            <w:vAlign w:val="center"/>
          </w:tcPr>
          <w:p w14:paraId="3A185A5A">
            <w:pPr>
              <w:pStyle w:val="8"/>
              <w:adjustRightInd w:val="0"/>
              <w:snapToGrid w:val="0"/>
              <w:spacing w:line="520" w:lineRule="exact"/>
              <w:jc w:val="center"/>
              <w:rPr>
                <w:rFonts w:ascii="黑体" w:hAnsi="黑体" w:eastAsia="黑体"/>
                <w:sz w:val="28"/>
                <w:szCs w:val="28"/>
                <w:lang w:eastAsia="zh-CN"/>
              </w:rPr>
            </w:pPr>
            <w:r>
              <w:rPr>
                <w:rFonts w:hint="eastAsia" w:ascii="黑体" w:hAnsi="黑体" w:eastAsia="黑体"/>
                <w:bCs/>
                <w:color w:val="000000"/>
                <w:sz w:val="28"/>
                <w:szCs w:val="28"/>
                <w:lang w:eastAsia="zh-CN"/>
              </w:rPr>
              <w:t>抽查频次</w:t>
            </w:r>
          </w:p>
        </w:tc>
        <w:tc>
          <w:tcPr>
            <w:tcW w:w="2205" w:type="dxa"/>
            <w:vAlign w:val="center"/>
          </w:tcPr>
          <w:p w14:paraId="576D5669">
            <w:pPr>
              <w:pStyle w:val="8"/>
              <w:adjustRightInd w:val="0"/>
              <w:snapToGrid w:val="0"/>
              <w:spacing w:line="520" w:lineRule="exact"/>
              <w:jc w:val="center"/>
              <w:rPr>
                <w:rFonts w:ascii="黑体" w:hAnsi="黑体" w:eastAsia="黑体"/>
                <w:sz w:val="28"/>
                <w:szCs w:val="28"/>
                <w:lang w:eastAsia="zh-CN"/>
              </w:rPr>
            </w:pPr>
            <w:r>
              <w:rPr>
                <w:rFonts w:hint="eastAsia" w:ascii="黑体" w:hAnsi="黑体" w:eastAsia="黑体"/>
                <w:bCs/>
                <w:color w:val="000000"/>
                <w:sz w:val="28"/>
                <w:szCs w:val="28"/>
                <w:lang w:eastAsia="zh-CN"/>
              </w:rPr>
              <w:t>抽查内容</w:t>
            </w:r>
          </w:p>
        </w:tc>
        <w:tc>
          <w:tcPr>
            <w:tcW w:w="776" w:type="dxa"/>
            <w:vAlign w:val="center"/>
          </w:tcPr>
          <w:p w14:paraId="25CDDE39">
            <w:pPr>
              <w:pStyle w:val="8"/>
              <w:adjustRightInd w:val="0"/>
              <w:snapToGrid w:val="0"/>
              <w:spacing w:line="520" w:lineRule="exact"/>
              <w:jc w:val="center"/>
              <w:rPr>
                <w:rFonts w:ascii="黑体" w:hAnsi="黑体" w:eastAsia="黑体"/>
                <w:sz w:val="28"/>
                <w:szCs w:val="28"/>
                <w:lang w:eastAsia="zh-CN"/>
              </w:rPr>
            </w:pPr>
            <w:r>
              <w:rPr>
                <w:rFonts w:hint="eastAsia" w:ascii="黑体" w:hAnsi="黑体" w:eastAsia="黑体"/>
                <w:bCs/>
                <w:color w:val="000000"/>
                <w:sz w:val="28"/>
                <w:szCs w:val="28"/>
                <w:lang w:eastAsia="zh-CN"/>
              </w:rPr>
              <w:t>抽查时间</w:t>
            </w:r>
          </w:p>
        </w:tc>
        <w:tc>
          <w:tcPr>
            <w:tcW w:w="564" w:type="dxa"/>
            <w:vAlign w:val="center"/>
          </w:tcPr>
          <w:p w14:paraId="623DD13B">
            <w:pPr>
              <w:pStyle w:val="8"/>
              <w:adjustRightInd w:val="0"/>
              <w:snapToGrid w:val="0"/>
              <w:spacing w:line="520" w:lineRule="exact"/>
              <w:jc w:val="center"/>
              <w:rPr>
                <w:rFonts w:ascii="黑体" w:hAnsi="黑体" w:eastAsia="黑体"/>
                <w:sz w:val="28"/>
                <w:szCs w:val="28"/>
              </w:rPr>
            </w:pPr>
            <w:r>
              <w:rPr>
                <w:rFonts w:ascii="黑体" w:hAnsi="黑体" w:eastAsia="黑体"/>
                <w:bCs/>
                <w:color w:val="000000"/>
                <w:sz w:val="28"/>
                <w:szCs w:val="28"/>
              </w:rPr>
              <w:t>检查主体</w:t>
            </w:r>
          </w:p>
        </w:tc>
        <w:tc>
          <w:tcPr>
            <w:tcW w:w="701" w:type="dxa"/>
            <w:vAlign w:val="center"/>
          </w:tcPr>
          <w:p w14:paraId="28416E10">
            <w:pPr>
              <w:widowControl/>
              <w:adjustRightInd w:val="0"/>
              <w:snapToGrid w:val="0"/>
              <w:spacing w:line="520" w:lineRule="exact"/>
              <w:jc w:val="center"/>
              <w:textAlignment w:val="center"/>
              <w:rPr>
                <w:rFonts w:ascii="黑体" w:hAnsi="黑体" w:eastAsia="黑体"/>
                <w:bCs/>
                <w:color w:val="000000"/>
                <w:sz w:val="28"/>
                <w:szCs w:val="28"/>
              </w:rPr>
            </w:pPr>
            <w:r>
              <w:rPr>
                <w:rFonts w:ascii="黑体" w:hAnsi="黑体" w:eastAsia="黑体" w:cs="黑体"/>
                <w:color w:val="000000"/>
                <w:kern w:val="0"/>
                <w:sz w:val="28"/>
                <w:szCs w:val="28"/>
                <w:lang w:bidi="ar"/>
              </w:rPr>
              <w:t>抽查对象</w:t>
            </w:r>
          </w:p>
        </w:tc>
        <w:tc>
          <w:tcPr>
            <w:tcW w:w="701" w:type="dxa"/>
            <w:vAlign w:val="center"/>
          </w:tcPr>
          <w:p w14:paraId="62FEF1DB">
            <w:pPr>
              <w:widowControl/>
              <w:adjustRightInd w:val="0"/>
              <w:snapToGrid w:val="0"/>
              <w:spacing w:line="520" w:lineRule="exact"/>
              <w:jc w:val="center"/>
              <w:textAlignment w:val="center"/>
              <w:rPr>
                <w:rFonts w:ascii="黑体" w:hAnsi="黑体" w:eastAsia="黑体"/>
                <w:bCs/>
                <w:color w:val="000000"/>
                <w:sz w:val="28"/>
                <w:szCs w:val="28"/>
              </w:rPr>
            </w:pPr>
            <w:r>
              <w:rPr>
                <w:rFonts w:ascii="黑体" w:hAnsi="黑体" w:eastAsia="黑体" w:cs="黑体"/>
                <w:color w:val="000000"/>
                <w:kern w:val="0"/>
                <w:sz w:val="28"/>
                <w:szCs w:val="28"/>
                <w:lang w:bidi="ar"/>
              </w:rPr>
              <w:t>抽查方式</w:t>
            </w:r>
          </w:p>
        </w:tc>
        <w:tc>
          <w:tcPr>
            <w:tcW w:w="7780" w:type="dxa"/>
            <w:gridSpan w:val="2"/>
            <w:vAlign w:val="center"/>
          </w:tcPr>
          <w:p w14:paraId="6BB57813">
            <w:pPr>
              <w:widowControl/>
              <w:adjustRightInd w:val="0"/>
              <w:snapToGrid w:val="0"/>
              <w:spacing w:line="520" w:lineRule="exact"/>
              <w:jc w:val="center"/>
              <w:textAlignment w:val="center"/>
              <w:rPr>
                <w:rFonts w:ascii="黑体" w:hAnsi="黑体" w:eastAsia="黑体"/>
                <w:bCs/>
                <w:color w:val="000000"/>
                <w:sz w:val="28"/>
                <w:szCs w:val="28"/>
              </w:rPr>
            </w:pPr>
            <w:r>
              <w:rPr>
                <w:rFonts w:ascii="黑体" w:hAnsi="黑体" w:eastAsia="黑体" w:cs="黑体"/>
                <w:color w:val="000000"/>
                <w:kern w:val="0"/>
                <w:sz w:val="28"/>
                <w:szCs w:val="28"/>
                <w:lang w:bidi="ar"/>
              </w:rPr>
              <w:t>抽查依据</w:t>
            </w:r>
          </w:p>
        </w:tc>
      </w:tr>
      <w:tr w14:paraId="6BE6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497" w:type="dxa"/>
            <w:vAlign w:val="center"/>
          </w:tcPr>
          <w:p w14:paraId="30913630">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ascii="仿宋_GB2312" w:eastAsia="仿宋_GB2312"/>
                <w:color w:val="000000"/>
                <w:kern w:val="0"/>
                <w:sz w:val="28"/>
                <w:szCs w:val="28"/>
                <w:lang w:val="en-US" w:eastAsia="zh-CN" w:bidi="ar"/>
              </w:rPr>
              <w:t>1</w:t>
            </w:r>
          </w:p>
        </w:tc>
        <w:tc>
          <w:tcPr>
            <w:tcW w:w="523" w:type="dxa"/>
            <w:vAlign w:val="center"/>
          </w:tcPr>
          <w:p w14:paraId="7BCD5C74">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普法与依法治理科</w:t>
            </w:r>
          </w:p>
        </w:tc>
        <w:tc>
          <w:tcPr>
            <w:tcW w:w="807" w:type="dxa"/>
            <w:vAlign w:val="center"/>
          </w:tcPr>
          <w:p w14:paraId="374CA64C">
            <w:pPr>
              <w:widowControl/>
              <w:adjustRightInd w:val="0"/>
              <w:snapToGrid w:val="0"/>
              <w:spacing w:line="520" w:lineRule="exact"/>
              <w:jc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对法治宣传教育规划实施的检查</w:t>
            </w:r>
          </w:p>
        </w:tc>
        <w:tc>
          <w:tcPr>
            <w:tcW w:w="1123" w:type="dxa"/>
            <w:vAlign w:val="center"/>
          </w:tcPr>
          <w:p w14:paraId="111B8789">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全年抽查比例不低于5%，每年抽查1次</w:t>
            </w:r>
          </w:p>
        </w:tc>
        <w:tc>
          <w:tcPr>
            <w:tcW w:w="2205" w:type="dxa"/>
            <w:vAlign w:val="center"/>
          </w:tcPr>
          <w:p w14:paraId="226AA587">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本行政区域法治宣传教育规划实施情况的检查</w:t>
            </w:r>
          </w:p>
        </w:tc>
        <w:tc>
          <w:tcPr>
            <w:tcW w:w="776" w:type="dxa"/>
            <w:vAlign w:val="center"/>
          </w:tcPr>
          <w:p w14:paraId="320BD203">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3月—12月</w:t>
            </w:r>
          </w:p>
        </w:tc>
        <w:tc>
          <w:tcPr>
            <w:tcW w:w="564" w:type="dxa"/>
            <w:vAlign w:val="center"/>
          </w:tcPr>
          <w:p w14:paraId="51453EDB">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区司法局</w:t>
            </w:r>
          </w:p>
        </w:tc>
        <w:tc>
          <w:tcPr>
            <w:tcW w:w="701" w:type="dxa"/>
            <w:vAlign w:val="center"/>
          </w:tcPr>
          <w:p w14:paraId="3E83D3AB">
            <w:pPr>
              <w:widowControl/>
              <w:adjustRightInd w:val="0"/>
              <w:snapToGrid w:val="0"/>
              <w:spacing w:line="520" w:lineRule="exact"/>
              <w:jc w:val="center"/>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企业和其他社会组织</w:t>
            </w:r>
          </w:p>
        </w:tc>
        <w:tc>
          <w:tcPr>
            <w:tcW w:w="701" w:type="dxa"/>
            <w:vAlign w:val="center"/>
          </w:tcPr>
          <w:p w14:paraId="15218EB9">
            <w:pPr>
              <w:widowControl/>
              <w:adjustRightInd w:val="0"/>
              <w:snapToGrid w:val="0"/>
              <w:spacing w:line="520" w:lineRule="exact"/>
              <w:jc w:val="center"/>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现场检查</w:t>
            </w:r>
          </w:p>
        </w:tc>
        <w:tc>
          <w:tcPr>
            <w:tcW w:w="7756" w:type="dxa"/>
            <w:vAlign w:val="center"/>
          </w:tcPr>
          <w:p w14:paraId="21811F8D">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山东省法治宣传教育条例》（2017年9月通过）第十一条“县级以上人民政府司法行政部门根据全民普法依法治理工作领导机构的要求，开展下列工作:(一)执行有关法治宣传教育的法律、法规、规章、决议、决定;(二)组织、指导和检查法治宣传教育规划的实施;(三)制定并组织实施本行政区域法治宣传教育年度计划;(四)组织法治宣传教育培训和考试;(五)开展调查研究，总结推广法治宣传教育典型经验;(六)按照规定对法治宣传教育工作情况进行考核、表彰和奖励;(七)法治宣传教育的其他工作。”</w:t>
            </w:r>
          </w:p>
        </w:tc>
      </w:tr>
    </w:tbl>
    <w:p w14:paraId="4EB73B9E">
      <w:pPr>
        <w:adjustRightInd w:val="0"/>
        <w:snapToGrid w:val="0"/>
        <w:spacing w:line="520" w:lineRule="exact"/>
        <w:jc w:val="center"/>
        <w:rPr>
          <w:rFonts w:ascii="方正小标宋简体" w:hAnsi="方正小标宋简体" w:eastAsia="方正小标宋简体" w:cs="方正小标宋简体"/>
          <w:color w:val="000000"/>
          <w:sz w:val="44"/>
          <w:szCs w:val="44"/>
        </w:rPr>
      </w:pPr>
    </w:p>
    <w:p w14:paraId="4EBFC030">
      <w:pPr>
        <w:adjustRightInd w:val="0"/>
        <w:snapToGrid w:val="0"/>
        <w:spacing w:line="520" w:lineRule="exact"/>
        <w:jc w:val="center"/>
        <w:rPr>
          <w:rFonts w:ascii="方正小标宋简体" w:hAnsi="方正小标宋简体" w:eastAsia="方正小标宋简体" w:cs="方正小标宋简体"/>
          <w:color w:val="000000"/>
          <w:sz w:val="44"/>
          <w:szCs w:val="44"/>
        </w:rPr>
      </w:pPr>
    </w:p>
    <w:p w14:paraId="305B8FC8">
      <w:pPr>
        <w:adjustRightInd w:val="0"/>
        <w:snapToGrid w:val="0"/>
        <w:spacing w:line="520" w:lineRule="exact"/>
        <w:jc w:val="center"/>
        <w:rPr>
          <w:rFonts w:ascii="方正小标宋简体" w:hAnsi="方正小标宋简体" w:eastAsia="方正小标宋简体" w:cs="方正小标宋简体"/>
          <w:color w:val="000000"/>
          <w:sz w:val="44"/>
          <w:szCs w:val="44"/>
        </w:rPr>
      </w:pPr>
    </w:p>
    <w:p w14:paraId="4D8EB70E">
      <w:pPr>
        <w:adjustRightInd w:val="0"/>
        <w:snapToGrid w:val="0"/>
        <w:spacing w:line="520" w:lineRule="exact"/>
        <w:jc w:val="center"/>
        <w:rPr>
          <w:rFonts w:ascii="方正小标宋简体" w:hAnsi="方正小标宋简体" w:eastAsia="方正小标宋简体" w:cs="方正小标宋简体"/>
          <w:color w:val="000000"/>
          <w:sz w:val="44"/>
          <w:szCs w:val="44"/>
        </w:rPr>
      </w:pPr>
    </w:p>
    <w:p w14:paraId="2C4DE9D1">
      <w:pPr>
        <w:adjustRightInd w:val="0"/>
        <w:snapToGrid w:val="0"/>
        <w:spacing w:line="520" w:lineRule="exact"/>
      </w:pPr>
      <w:bookmarkStart w:id="0" w:name="_GoBack"/>
      <w:bookmarkEnd w:id="0"/>
    </w:p>
    <w:sectPr>
      <w:pgSz w:w="16838" w:h="11906" w:orient="landscape"/>
      <w:pgMar w:top="612" w:right="590" w:bottom="612" w:left="59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1FF"/>
    <w:rsid w:val="00005E57"/>
    <w:rsid w:val="000068F8"/>
    <w:rsid w:val="00053A4F"/>
    <w:rsid w:val="000745D5"/>
    <w:rsid w:val="00102DB5"/>
    <w:rsid w:val="001127CB"/>
    <w:rsid w:val="001178B4"/>
    <w:rsid w:val="00122C0D"/>
    <w:rsid w:val="001334AB"/>
    <w:rsid w:val="001616DF"/>
    <w:rsid w:val="00162BE9"/>
    <w:rsid w:val="001D08DF"/>
    <w:rsid w:val="001D6D1C"/>
    <w:rsid w:val="00270288"/>
    <w:rsid w:val="002C2D3A"/>
    <w:rsid w:val="002F142D"/>
    <w:rsid w:val="00314690"/>
    <w:rsid w:val="00342175"/>
    <w:rsid w:val="00346635"/>
    <w:rsid w:val="00350CD3"/>
    <w:rsid w:val="003535C3"/>
    <w:rsid w:val="003743A4"/>
    <w:rsid w:val="004113B3"/>
    <w:rsid w:val="00426389"/>
    <w:rsid w:val="0049405E"/>
    <w:rsid w:val="004B244E"/>
    <w:rsid w:val="004C178F"/>
    <w:rsid w:val="00525235"/>
    <w:rsid w:val="005C0A8A"/>
    <w:rsid w:val="005D1F13"/>
    <w:rsid w:val="005E4D5E"/>
    <w:rsid w:val="006328EA"/>
    <w:rsid w:val="006441F1"/>
    <w:rsid w:val="00644849"/>
    <w:rsid w:val="006860DE"/>
    <w:rsid w:val="006D404E"/>
    <w:rsid w:val="006D5628"/>
    <w:rsid w:val="007023A3"/>
    <w:rsid w:val="00724D14"/>
    <w:rsid w:val="0074049B"/>
    <w:rsid w:val="0077418B"/>
    <w:rsid w:val="00795310"/>
    <w:rsid w:val="007A14F4"/>
    <w:rsid w:val="007A4BEF"/>
    <w:rsid w:val="00820670"/>
    <w:rsid w:val="00833073"/>
    <w:rsid w:val="008955C1"/>
    <w:rsid w:val="00897C18"/>
    <w:rsid w:val="008B41A9"/>
    <w:rsid w:val="008B6827"/>
    <w:rsid w:val="008C2556"/>
    <w:rsid w:val="008D5F4B"/>
    <w:rsid w:val="008F5D51"/>
    <w:rsid w:val="00965F69"/>
    <w:rsid w:val="00983B80"/>
    <w:rsid w:val="009C128B"/>
    <w:rsid w:val="00A16349"/>
    <w:rsid w:val="00A7576E"/>
    <w:rsid w:val="00A76453"/>
    <w:rsid w:val="00A83894"/>
    <w:rsid w:val="00AC2C07"/>
    <w:rsid w:val="00B27E45"/>
    <w:rsid w:val="00BB4C2C"/>
    <w:rsid w:val="00BD50B5"/>
    <w:rsid w:val="00BF5CAC"/>
    <w:rsid w:val="00C14448"/>
    <w:rsid w:val="00C363E9"/>
    <w:rsid w:val="00C44E54"/>
    <w:rsid w:val="00C6391C"/>
    <w:rsid w:val="00C72A6A"/>
    <w:rsid w:val="00C76E7E"/>
    <w:rsid w:val="00C93631"/>
    <w:rsid w:val="00CA5206"/>
    <w:rsid w:val="00CB7C58"/>
    <w:rsid w:val="00CD6614"/>
    <w:rsid w:val="00D22CF0"/>
    <w:rsid w:val="00D24D48"/>
    <w:rsid w:val="00D56534"/>
    <w:rsid w:val="00D7181F"/>
    <w:rsid w:val="00D943CB"/>
    <w:rsid w:val="00DA21FF"/>
    <w:rsid w:val="00DA5A4E"/>
    <w:rsid w:val="00E36FBD"/>
    <w:rsid w:val="00E61500"/>
    <w:rsid w:val="00E67118"/>
    <w:rsid w:val="00E826E5"/>
    <w:rsid w:val="00E8696B"/>
    <w:rsid w:val="00EB3C3E"/>
    <w:rsid w:val="00F01BC0"/>
    <w:rsid w:val="00F36546"/>
    <w:rsid w:val="00F531F7"/>
    <w:rsid w:val="00F624AF"/>
    <w:rsid w:val="00F62DD9"/>
    <w:rsid w:val="29633AAD"/>
    <w:rsid w:val="2CF354AD"/>
    <w:rsid w:val="57C21C42"/>
    <w:rsid w:val="5E3929A4"/>
    <w:rsid w:val="5FF023A6"/>
    <w:rsid w:val="7AB9D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Other|1"/>
    <w:basedOn w:val="1"/>
    <w:qFormat/>
    <w:uiPriority w:val="0"/>
    <w:pPr>
      <w:spacing w:line="305" w:lineRule="exact"/>
    </w:pPr>
    <w:rPr>
      <w:rFonts w:ascii="宋体" w:hAnsi="宋体" w:cs="宋体"/>
      <w:sz w:val="22"/>
      <w:szCs w:val="22"/>
      <w:lang w:val="zh-TW" w:eastAsia="zh-TW" w:bidi="zh-TW"/>
    </w:rPr>
  </w:style>
  <w:style w:type="character" w:customStyle="1" w:styleId="9">
    <w:name w:val="批注框文本 字符"/>
    <w:basedOn w:val="7"/>
    <w:link w:val="2"/>
    <w:semiHidden/>
    <w:qFormat/>
    <w:uiPriority w:val="99"/>
    <w:rPr>
      <w:rFonts w:ascii="Calibri" w:hAnsi="Calibri" w:eastAsia="宋体" w:cs="Times New Roman"/>
      <w:sz w:val="18"/>
      <w:szCs w:val="18"/>
    </w:rPr>
  </w:style>
  <w:style w:type="character" w:customStyle="1" w:styleId="10">
    <w:name w:val="页眉 字符"/>
    <w:basedOn w:val="7"/>
    <w:link w:val="4"/>
    <w:qFormat/>
    <w:uiPriority w:val="99"/>
    <w:rPr>
      <w:rFonts w:ascii="Calibri" w:hAnsi="Calibri" w:eastAsia="宋体" w:cs="Times New Roman"/>
      <w:sz w:val="18"/>
      <w:szCs w:val="18"/>
    </w:rPr>
  </w:style>
  <w:style w:type="character" w:customStyle="1" w:styleId="11">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3104</Words>
  <Characters>3175</Characters>
  <Lines>23</Lines>
  <Paragraphs>6</Paragraphs>
  <TotalTime>7</TotalTime>
  <ScaleCrop>false</ScaleCrop>
  <LinksUpToDate>false</LinksUpToDate>
  <CharactersWithSpaces>3183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2022-03-25T15:01:00Z</dcterms:created>
  <dc:creator>淄川区司法局</dc:creator>
  <cp:lastModifiedBy>欣宝</cp:lastModifiedBy>
  <cp:lastPrinted>2025-03-12T16:31:00Z</cp:lastPrinted>
  <dcterms:modified xsi:type="dcterms:W3CDTF">2026-03-16T06:37:42Z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33BA56A57FCB4C39AF9DADC081CD32AB_13</vt:lpwstr>
  </property>
  <property fmtid="{D5CDD505-2E9C-101B-9397-08002B2CF9AE}" pid="4" name="KSOTemplateDocerSaveRecord">
    <vt:lpwstr>eyJoZGlkIjoiN2UzMDhiNmQxZWNkZmVlNzQzZjQ3MWU4MzZkNGZhYzIiLCJ1c2VySWQiOiI0MDUxOTk2NzgifQ==</vt:lpwstr>
  </property>
</Properties>
</file>