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淄博市淄川区审计局</w:t>
      </w:r>
    </w:p>
    <w:p>
      <w:pPr>
        <w:widowControl/>
        <w:shd w:val="clear" w:color="auto" w:fill="FFFFFF"/>
        <w:spacing w:line="560"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2022年政府信息公开工作年度报告</w:t>
      </w:r>
    </w:p>
    <w:p>
      <w:pPr>
        <w:widowControl/>
        <w:shd w:val="clear" w:color="auto" w:fill="FFFFFF"/>
        <w:spacing w:line="560" w:lineRule="exact"/>
        <w:jc w:val="center"/>
        <w:rPr>
          <w:rFonts w:hint="default" w:ascii="Times New Roman" w:hAnsi="Times New Roman" w:eastAsia="仿宋_GB2312" w:cs="Times New Roman"/>
          <w:color w:val="000000" w:themeColor="text1"/>
          <w:kern w:val="0"/>
          <w:sz w:val="44"/>
          <w:szCs w:val="44"/>
          <w14:textFill>
            <w14:solidFill>
              <w14:schemeClr w14:val="tx1"/>
            </w14:solidFill>
          </w14:textFill>
        </w:rPr>
      </w:pPr>
    </w:p>
    <w:p>
      <w:pPr>
        <w:pStyle w:val="5"/>
        <w:widowControl/>
        <w:spacing w:before="0" w:beforeAutospacing="0" w:after="0" w:afterAutospacing="0" w:line="560" w:lineRule="exact"/>
        <w:ind w:firstLine="640"/>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2022年1月1日至2022年12月31日。</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如对报告内容有疑问，请与淄博市淄川区审计局联系（</w:t>
      </w:r>
      <w:r>
        <w:rPr>
          <w:rFonts w:hint="default" w:ascii="Times New Roman" w:hAnsi="Times New Roman" w:eastAsia="仿宋_GB2312" w:cs="Times New Roman"/>
          <w:i w:val="0"/>
          <w:caps w:val="0"/>
          <w:color w:val="000000"/>
          <w:spacing w:val="0"/>
          <w:sz w:val="32"/>
          <w:szCs w:val="32"/>
          <w:shd w:val="clear" w:fill="FFFFFF"/>
        </w:rPr>
        <w:t>地址：山东省淄博市淄川区般阳路72号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电话：0533-5181418</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邮箱：zc_qsjjadmin@zb.shandong.cn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pStyle w:val="10"/>
        <w:widowControl/>
        <w:numPr>
          <w:ilvl w:val="0"/>
          <w:numId w:val="1"/>
        </w:numPr>
        <w:shd w:val="clear" w:color="auto" w:fill="FFFFFF"/>
        <w:spacing w:line="560" w:lineRule="exact"/>
        <w:ind w:firstLineChars="0"/>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Cs/>
          <w:color w:val="000000" w:themeColor="text1"/>
          <w:kern w:val="0"/>
          <w:sz w:val="32"/>
          <w:szCs w:val="32"/>
          <w14:textFill>
            <w14:solidFill>
              <w14:schemeClr w14:val="tx1"/>
            </w14:solidFill>
          </w14:textFill>
        </w:rPr>
        <w:t>总体情况</w:t>
      </w:r>
    </w:p>
    <w:p>
      <w:pPr>
        <w:pStyle w:val="5"/>
        <w:shd w:val="clear" w:color="auto" w:fill="FFFFFF"/>
        <w:snapToGrid w:val="0"/>
        <w:spacing w:before="0" w:beforeAutospacing="0" w:after="0" w:afterAutospacing="0" w:line="560" w:lineRule="exact"/>
        <w:ind w:firstLine="640" w:firstLineChars="200"/>
        <w:jc w:val="both"/>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年来，我局严格按照区委、区政府的部署要求，按照区委“我在一线、实干淄川”要求，持续擦亮“党建引领、实干强审”品牌，将政府信息公开工作与党建、党风廉政建设、审计业务等工作相结合，进一步推进政府信息公开工作规范化。现将我局2022年度政府信息公开工作情况报告如下：</w:t>
      </w:r>
    </w:p>
    <w:p>
      <w:pPr>
        <w:pStyle w:val="5"/>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1.主动公开情况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2022年我局共主动公开信息36条，政府信息公开严格遵循政府信息公开保密审查制度，确保信息公开安全。</w:t>
      </w:r>
    </w:p>
    <w:p>
      <w:pPr>
        <w:pStyle w:val="5"/>
        <w:shd w:val="clear" w:color="auto" w:fill="FFFFFF"/>
        <w:spacing w:before="0" w:beforeAutospacing="0" w:after="0" w:afterAutospacing="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drawing>
          <wp:inline distT="0" distB="0" distL="0" distR="0">
            <wp:extent cx="5274310" cy="50863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b="1245"/>
                    <a:stretch>
                      <a:fillRect/>
                    </a:stretch>
                  </pic:blipFill>
                  <pic:spPr>
                    <a:xfrm>
                      <a:off x="0" y="0"/>
                      <a:ext cx="5274310" cy="5086350"/>
                    </a:xfrm>
                    <a:prstGeom prst="rect">
                      <a:avLst/>
                    </a:prstGeom>
                    <a:ln>
                      <a:noFill/>
                    </a:ln>
                  </pic:spPr>
                </pic:pic>
              </a:graphicData>
            </a:graphic>
          </wp:inline>
        </w:drawing>
      </w:r>
    </w:p>
    <w:p>
      <w:pPr>
        <w:pStyle w:val="5"/>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2.依申请公开情况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2022年我局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未收到依申请公开事项</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5"/>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3.政府信息管理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我局坚持政府信息公开和审计业务深度融合发展的思路，完善了政府信息公开保密审查机制，针对审计工作的特点，按照公开要求，围绕重点工作，及时公开相关信息。</w:t>
      </w:r>
    </w:p>
    <w:p>
      <w:pPr>
        <w:pStyle w:val="5"/>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4.政府信息公开平台建设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我局通过区政府门户网站，及时发布审计信息、预决算公开和工作动态等信息。同时设立“淄博市淄川区审计局”微信公众号，将审计动态信息及时上传公众号，并利用各大网站、报刊等媒体，及时宣传审计工作亮点，深挖品牌内涵，提升审计工作知名度。</w:t>
      </w:r>
    </w:p>
    <w:p>
      <w:pPr>
        <w:pStyle w:val="5"/>
        <w:shd w:val="clear" w:color="auto" w:fill="FFFFFF"/>
        <w:spacing w:before="0" w:beforeAutospacing="0" w:after="0" w:afterAutospacing="0"/>
        <w:ind w:firstLine="64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drawing>
          <wp:inline distT="0" distB="0" distL="0" distR="0">
            <wp:extent cx="4895850" cy="57816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95850" cy="5781675"/>
                    </a:xfrm>
                    <a:prstGeom prst="rect">
                      <a:avLst/>
                    </a:prstGeom>
                    <a:noFill/>
                    <a:ln>
                      <a:noFill/>
                    </a:ln>
                  </pic:spPr>
                </pic:pic>
              </a:graphicData>
            </a:graphic>
          </wp:inline>
        </w:drawing>
      </w:r>
    </w:p>
    <w:p>
      <w:pPr>
        <w:pStyle w:val="5"/>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5.监督保障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我局建立了以局长为第一责任人，各分管领导分工负责，科室负责人具体抓落实的政府信息公开机构，把政府信息公开工作纳入局目标管理，落实工作任务，明确工作责任，构建覆盖全、责任清、任务明的监督保障机制。</w:t>
      </w:r>
    </w:p>
    <w:p>
      <w:pPr>
        <w:widowControl/>
        <w:numPr>
          <w:ilvl w:val="0"/>
          <w:numId w:val="2"/>
        </w:numPr>
        <w:shd w:val="clear" w:color="auto" w:fill="FFFFFF"/>
        <w:spacing w:line="560" w:lineRule="exact"/>
        <w:ind w:firstLine="482"/>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主动公开政府信息情况</w:t>
      </w:r>
    </w:p>
    <w:tbl>
      <w:tblPr>
        <w:tblStyle w:val="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hint="default" w:ascii="Times New Roman" w:hAnsi="Times New Roman" w:eastAsia="仿宋_GB2312" w:cs="Times New Roman"/>
                <w:color w:val="000000" w:themeColor="text1"/>
                <w14:textFill>
                  <w14:solidFill>
                    <w14:schemeClr w14:val="tx1"/>
                  </w14:solidFill>
                </w14:textFill>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bl>
    <w:p>
      <w:pPr>
        <w:widowControl/>
        <w:shd w:val="clear" w:color="auto" w:fill="FFFFFF"/>
        <w:spacing w:after="240" w:line="560" w:lineRule="exact"/>
        <w:ind w:firstLine="482"/>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三、收到和处理政府信息公开申请情况</w:t>
      </w:r>
    </w:p>
    <w:tbl>
      <w:tblPr>
        <w:tblStyle w:val="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仿宋_GB2312" w:cs="Times New Roman"/>
                <w:color w:val="000000" w:themeColor="text1"/>
                <w14:textFill>
                  <w14:solidFill>
                    <w14:schemeClr w14:val="tx1"/>
                  </w14:solidFill>
                </w14:textFill>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bl>
    <w:p>
      <w:pPr>
        <w:widowControl/>
        <w:shd w:val="clear" w:color="auto" w:fill="FFFFFF"/>
        <w:ind w:firstLine="480"/>
        <w:rPr>
          <w:rFonts w:hint="default" w:ascii="Times New Roman" w:hAnsi="Times New Roman" w:eastAsia="仿宋_GB2312" w:cs="Times New Roman"/>
          <w:color w:val="000000" w:themeColor="text1"/>
          <w:kern w:val="0"/>
          <w:sz w:val="24"/>
          <w:szCs w:val="24"/>
          <w14:textFill>
            <w14:solidFill>
              <w14:schemeClr w14:val="tx1"/>
            </w14:solidFill>
          </w14:textFill>
        </w:rPr>
      </w:pPr>
    </w:p>
    <w:p>
      <w:pPr>
        <w:widowControl/>
        <w:numPr>
          <w:ilvl w:val="0"/>
          <w:numId w:val="3"/>
        </w:numPr>
        <w:shd w:val="clear" w:color="auto" w:fill="FFFFFF"/>
        <w:ind w:firstLine="480"/>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因政府信息公开工作被申请行政复议、提起行政诉讼情况</w:t>
      </w:r>
    </w:p>
    <w:p>
      <w:pPr>
        <w:widowControl/>
        <w:shd w:val="clear" w:color="auto" w:fill="FFFFFF"/>
        <w:rPr>
          <w:rFonts w:hint="default" w:ascii="Times New Roman" w:hAnsi="Times New Roman" w:eastAsia="仿宋_GB2312" w:cs="Times New Roman"/>
          <w:bCs/>
          <w:color w:val="000000" w:themeColor="text1"/>
          <w:kern w:val="0"/>
          <w:sz w:val="32"/>
          <w:szCs w:val="32"/>
          <w14:textFill>
            <w14:solidFill>
              <w14:schemeClr w14:val="tx1"/>
            </w14:solidFill>
          </w14:textFill>
        </w:rPr>
      </w:pPr>
    </w:p>
    <w:tbl>
      <w:tblPr>
        <w:tblStyle w:val="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0</w:t>
            </w:r>
          </w:p>
        </w:tc>
      </w:tr>
    </w:tbl>
    <w:p>
      <w:pPr>
        <w:widowControl/>
        <w:shd w:val="clear" w:color="auto" w:fill="FFFFFF"/>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p>
      <w:pPr>
        <w:widowControl/>
        <w:shd w:val="clear" w:color="auto" w:fill="FFFFFF"/>
        <w:spacing w:line="560" w:lineRule="exact"/>
        <w:ind w:firstLine="48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五、政府信息公开工作存在的主要问题及改进情况</w:t>
      </w:r>
    </w:p>
    <w:p>
      <w:pPr>
        <w:widowControl/>
        <w:shd w:val="clear" w:color="auto" w:fill="FFFFFF"/>
        <w:spacing w:line="560" w:lineRule="exact"/>
        <w:ind w:firstLine="480"/>
        <w:rPr>
          <w:rStyle w:val="9"/>
          <w:rFonts w:hint="default" w:ascii="Times New Roman" w:hAnsi="Times New Roman" w:eastAsia="仿宋_GB2312" w:cs="Times New Roman"/>
          <w:i w:val="0"/>
          <w:iCs w:val="0"/>
          <w:color w:val="000000" w:themeColor="text1"/>
          <w:sz w:val="32"/>
          <w:szCs w:val="32"/>
          <w:shd w:val="clear" w:color="auto" w:fill="FFFFFF"/>
          <w14:textFill>
            <w14:solidFill>
              <w14:schemeClr w14:val="tx1"/>
            </w14:solidFill>
          </w14:textFill>
        </w:rPr>
      </w:pPr>
      <w:r>
        <w:rPr>
          <w:rStyle w:val="9"/>
          <w:rFonts w:hint="default" w:ascii="Times New Roman" w:hAnsi="Times New Roman" w:eastAsia="仿宋_GB2312" w:cs="Times New Roman"/>
          <w:i w:val="0"/>
          <w:iCs w:val="0"/>
          <w:color w:val="000000" w:themeColor="text1"/>
          <w:sz w:val="32"/>
          <w:szCs w:val="32"/>
          <w:shd w:val="clear" w:color="auto" w:fill="FFFFFF"/>
          <w14:textFill>
            <w14:solidFill>
              <w14:schemeClr w14:val="tx1"/>
            </w14:solidFill>
          </w14:textFill>
        </w:rPr>
        <w:t>（一）主要问题</w:t>
      </w:r>
      <w:r>
        <w:rPr>
          <w:rStyle w:val="9"/>
          <w:rFonts w:hint="default" w:ascii="Times New Roman" w:hAnsi="Times New Roman" w:eastAsia="仿宋_GB2312" w:cs="Times New Roman"/>
          <w:i w:val="0"/>
          <w:iCs w:val="0"/>
          <w:color w:val="000000" w:themeColor="text1"/>
          <w:sz w:val="32"/>
          <w:szCs w:val="32"/>
          <w:shd w:val="clear" w:color="auto" w:fill="FFFFFF"/>
          <w:lang w:eastAsia="zh-CN"/>
          <w14:textFill>
            <w14:solidFill>
              <w14:schemeClr w14:val="tx1"/>
            </w14:solidFill>
          </w14:textFill>
        </w:rPr>
        <w:t>。</w:t>
      </w:r>
      <w:r>
        <w:rPr>
          <w:rStyle w:val="9"/>
          <w:rFonts w:hint="default" w:ascii="Times New Roman" w:hAnsi="Times New Roman" w:eastAsia="仿宋_GB2312" w:cs="Times New Roman"/>
          <w:i w:val="0"/>
          <w:iCs w:val="0"/>
          <w:color w:val="000000" w:themeColor="text1"/>
          <w:sz w:val="32"/>
          <w:szCs w:val="32"/>
          <w:shd w:val="clear" w:color="auto" w:fill="FFFFFF"/>
          <w14:textFill>
            <w14:solidFill>
              <w14:schemeClr w14:val="tx1"/>
            </w14:solidFill>
          </w14:textFill>
        </w:rPr>
        <w:t>一是部分科室工作人员政府信息公开意识不强，提供政府公开信息不够及时全面；二是信息公开内容广度和深度还不够；三是政府信息公开人员培训工作需要进一步加强。</w:t>
      </w:r>
    </w:p>
    <w:p>
      <w:pPr>
        <w:widowControl/>
        <w:shd w:val="clear" w:color="auto" w:fill="FFFFFF"/>
        <w:spacing w:line="560" w:lineRule="exact"/>
        <w:ind w:firstLine="480"/>
        <w:rPr>
          <w:rStyle w:val="9"/>
          <w:rFonts w:hint="default" w:ascii="Times New Roman" w:hAnsi="Times New Roman" w:eastAsia="仿宋_GB2312" w:cs="Times New Roman"/>
          <w:i w:val="0"/>
          <w:iCs w:val="0"/>
          <w:color w:val="000000" w:themeColor="text1"/>
          <w:sz w:val="32"/>
          <w:szCs w:val="32"/>
          <w:shd w:val="clear" w:color="auto" w:fill="FFFFFF"/>
          <w14:textFill>
            <w14:solidFill>
              <w14:schemeClr w14:val="tx1"/>
            </w14:solidFill>
          </w14:textFill>
        </w:rPr>
      </w:pPr>
      <w:r>
        <w:rPr>
          <w:rStyle w:val="9"/>
          <w:rFonts w:hint="default" w:ascii="Times New Roman" w:hAnsi="Times New Roman" w:eastAsia="仿宋_GB2312" w:cs="Times New Roman"/>
          <w:i w:val="0"/>
          <w:iCs w:val="0"/>
          <w:color w:val="000000" w:themeColor="text1"/>
          <w:sz w:val="32"/>
          <w:szCs w:val="32"/>
          <w:shd w:val="clear" w:color="auto" w:fill="FFFFFF"/>
          <w14:textFill>
            <w14:solidFill>
              <w14:schemeClr w14:val="tx1"/>
            </w14:solidFill>
          </w14:textFill>
        </w:rPr>
        <w:t>（二）改进措施</w:t>
      </w:r>
      <w:r>
        <w:rPr>
          <w:rStyle w:val="9"/>
          <w:rFonts w:hint="default" w:ascii="Times New Roman" w:hAnsi="Times New Roman" w:eastAsia="仿宋_GB2312" w:cs="Times New Roman"/>
          <w:i w:val="0"/>
          <w:iCs w:val="0"/>
          <w:color w:val="000000" w:themeColor="text1"/>
          <w:sz w:val="32"/>
          <w:szCs w:val="32"/>
          <w:shd w:val="clear" w:color="auto" w:fill="FFFFFF"/>
          <w:lang w:eastAsia="zh-CN"/>
          <w14:textFill>
            <w14:solidFill>
              <w14:schemeClr w14:val="tx1"/>
            </w14:solidFill>
          </w14:textFill>
        </w:rPr>
        <w:t>。</w:t>
      </w:r>
      <w:r>
        <w:rPr>
          <w:rStyle w:val="9"/>
          <w:rFonts w:hint="default" w:ascii="Times New Roman" w:hAnsi="Times New Roman" w:eastAsia="仿宋_GB2312" w:cs="Times New Roman"/>
          <w:i w:val="0"/>
          <w:iCs w:val="0"/>
          <w:color w:val="000000" w:themeColor="text1"/>
          <w:sz w:val="32"/>
          <w:szCs w:val="32"/>
          <w:shd w:val="clear" w:color="auto" w:fill="FFFFFF"/>
          <w14:textFill>
            <w14:solidFill>
              <w14:schemeClr w14:val="tx1"/>
            </w14:solidFill>
          </w14:textFill>
        </w:rPr>
        <w:t>一是提升认识。按照“公开</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为</w:t>
      </w:r>
      <w:r>
        <w:rPr>
          <w:rStyle w:val="9"/>
          <w:rFonts w:hint="default" w:ascii="Times New Roman" w:hAnsi="Times New Roman" w:eastAsia="仿宋_GB2312" w:cs="Times New Roman"/>
          <w:i w:val="0"/>
          <w:iCs w:val="0"/>
          <w:color w:val="000000" w:themeColor="text1"/>
          <w:sz w:val="32"/>
          <w:szCs w:val="32"/>
          <w:shd w:val="clear" w:color="auto" w:fill="FFFFFF"/>
          <w14:textFill>
            <w14:solidFill>
              <w14:schemeClr w14:val="tx1"/>
            </w14:solidFill>
          </w14:textFill>
        </w:rPr>
        <w:t>常态</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、不</w:t>
      </w:r>
      <w:r>
        <w:rPr>
          <w:rStyle w:val="9"/>
          <w:rFonts w:hint="default" w:ascii="Times New Roman" w:hAnsi="Times New Roman" w:eastAsia="仿宋_GB2312" w:cs="Times New Roman"/>
          <w:i w:val="0"/>
          <w:iCs w:val="0"/>
          <w:color w:val="000000" w:themeColor="text1"/>
          <w:sz w:val="32"/>
          <w:szCs w:val="32"/>
          <w:shd w:val="clear" w:color="auto" w:fill="FFFFFF"/>
          <w14:textFill>
            <w14:solidFill>
              <w14:schemeClr w14:val="tx1"/>
            </w14:solidFill>
          </w14:textFill>
        </w:rPr>
        <w:t>公开</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为例外”的原则，提升科室人员对</w:t>
      </w:r>
      <w:r>
        <w:rPr>
          <w:rStyle w:val="9"/>
          <w:rFonts w:hint="default" w:ascii="Times New Roman" w:hAnsi="Times New Roman" w:eastAsia="仿宋_GB2312" w:cs="Times New Roman"/>
          <w:i w:val="0"/>
          <w:iCs w:val="0"/>
          <w:color w:val="000000" w:themeColor="text1"/>
          <w:sz w:val="32"/>
          <w:szCs w:val="32"/>
          <w:shd w:val="clear" w:color="auto" w:fill="FFFFFF"/>
          <w14:textFill>
            <w14:solidFill>
              <w14:schemeClr w14:val="tx1"/>
            </w14:solidFill>
          </w14:textFill>
        </w:rPr>
        <w:t>重点</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政府信息</w:t>
      </w:r>
      <w:r>
        <w:rPr>
          <w:rStyle w:val="9"/>
          <w:rFonts w:hint="default" w:ascii="Times New Roman" w:hAnsi="Times New Roman" w:eastAsia="仿宋_GB2312" w:cs="Times New Roman"/>
          <w:i w:val="0"/>
          <w:iCs w:val="0"/>
          <w:color w:val="000000" w:themeColor="text1"/>
          <w:sz w:val="32"/>
          <w:szCs w:val="32"/>
          <w:shd w:val="clear" w:color="auto" w:fill="FFFFFF"/>
          <w14:textFill>
            <w14:solidFill>
              <w14:schemeClr w14:val="tx1"/>
            </w14:solidFill>
          </w14:textFill>
        </w:rPr>
        <w:t>工作及时公开的意识，持续推进政府信息公开标准化规范化，规范公开流程。二是丰富政府信息公开内容。围绕中心工作，针对社会关心、民众关注的审计工作信息进行重点公开，丰富公开内容，并严格按照程序开展公开工作，提升公开质量。三是强化培训。及时组织相关培训活动，积极引导政务公开业务人员学习相关政策文件精神，开展好政府公开信息的收集、整理工作。</w:t>
      </w:r>
    </w:p>
    <w:p>
      <w:pPr>
        <w:widowControl/>
        <w:shd w:val="clear" w:color="auto" w:fill="FFFFFF"/>
        <w:spacing w:line="560" w:lineRule="exact"/>
        <w:ind w:firstLine="640" w:firstLineChars="20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六、其他需要报告的事项</w:t>
      </w:r>
    </w:p>
    <w:p>
      <w:pPr>
        <w:pStyle w:val="5"/>
        <w:shd w:val="clear" w:color="auto" w:fill="FFFFFF"/>
        <w:spacing w:before="0" w:beforeAutospacing="0" w:after="0" w:afterAutospacing="0" w:line="600" w:lineRule="atLeas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收取信息处理费情况。</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按照《国务院办公厅关于印发</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政府信息公开信息处理费管理办法</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的通知》（国办函〔2020〕109号）和《山东省人民政府办公厅关于做好政府信息公开信息处理费管理工作有关事项的通知》（鲁政办字〔2020〕179号）收取信息处理费。</w:t>
      </w:r>
      <w:r>
        <w:rPr>
          <w:rFonts w:hint="default" w:ascii="Times New Roman" w:hAnsi="Times New Roman" w:eastAsia="仿宋_GB2312" w:cs="Times New Roman"/>
          <w:color w:val="000000" w:themeColor="text1"/>
          <w:sz w:val="32"/>
          <w:szCs w:val="32"/>
          <w14:textFill>
            <w14:solidFill>
              <w14:schemeClr w14:val="tx1"/>
            </w14:solidFill>
          </w14:textFill>
        </w:rPr>
        <w:t>2022年本机关依申请公开政府信息未收取任何费用。</w:t>
      </w:r>
    </w:p>
    <w:p>
      <w:pPr>
        <w:pStyle w:val="5"/>
        <w:shd w:val="clear" w:color="auto" w:fill="FFFFFF"/>
        <w:spacing w:before="0" w:beforeAutospacing="0" w:after="0" w:afterAutospacing="0" w:line="600" w:lineRule="atLeast"/>
        <w:ind w:firstLine="64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2、落实上级年度政务公开工作要点情况。按照《淄川区人民政府办公室关于印发2022年淄川区政务公开工作实施方案的通知》，</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形成责任分工表，将责任具体到科室，</w:t>
      </w:r>
      <w:r>
        <w:rPr>
          <w:rFonts w:hint="default" w:ascii="Times New Roman" w:hAnsi="Times New Roman" w:eastAsia="仿宋_GB2312" w:cs="Times New Roman"/>
          <w:color w:val="000000" w:themeColor="text1"/>
          <w:sz w:val="32"/>
          <w:szCs w:val="32"/>
          <w14:textFill>
            <w14:solidFill>
              <w14:schemeClr w14:val="tx1"/>
            </w14:solidFill>
          </w14:textFill>
        </w:rPr>
        <w:t>认真做好</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审计领域信息公开工作。加强对政务公开工作的监督检查，不断完善政务信息公开考核机制，强化责任意识，加强工作人员管理，严肃工作纪律，切实提高政务公开工作效能。</w:t>
      </w:r>
    </w:p>
    <w:p>
      <w:pPr>
        <w:pStyle w:val="5"/>
        <w:shd w:val="clear" w:color="auto" w:fill="FFFFFF"/>
        <w:spacing w:before="0" w:beforeAutospacing="0" w:after="0" w:afterAutospacing="0" w:line="600" w:lineRule="atLeast"/>
        <w:ind w:firstLine="64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3、人大代表建议和政协提案办理结果公开情况。淄川区审计局2022年未收到人大政协建议提案，未有上级建议提案办理任务。 </w:t>
      </w:r>
    </w:p>
    <w:p>
      <w:pPr>
        <w:numPr>
          <w:ilvl w:val="0"/>
          <w:numId w:val="0"/>
        </w:numPr>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4、政务公开工作创新情况</w:t>
      </w:r>
      <w:r>
        <w:rPr>
          <w:rFonts w:hint="eastAsia"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进一步推动政务公开与审计业务相融合，及时公开相关审计信息。</w:t>
      </w:r>
    </w:p>
    <w:p>
      <w:pPr>
        <w:numPr>
          <w:ilvl w:val="0"/>
          <w:numId w:val="0"/>
        </w:numPr>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5、年报数据统计需要说明的事项</w:t>
      </w:r>
      <w:r>
        <w:rPr>
          <w:rFonts w:hint="eastAsia"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无</w:t>
      </w:r>
    </w:p>
    <w:p>
      <w:pPr>
        <w:pStyle w:val="5"/>
        <w:shd w:val="clear" w:color="auto" w:fill="FFFFFF"/>
        <w:spacing w:before="0" w:beforeAutospacing="0" w:after="0" w:afterAutospacing="0" w:line="600" w:lineRule="atLeast"/>
        <w:ind w:firstLine="64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widowControl/>
        <w:shd w:val="clear" w:color="auto" w:fill="FFFFFF"/>
        <w:spacing w:line="560" w:lineRule="exact"/>
        <w:ind w:firstLine="480"/>
        <w:jc w:val="righ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560" w:lineRule="exact"/>
        <w:ind w:firstLine="480"/>
        <w:jc w:val="righ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淄川区审计局</w:t>
      </w:r>
    </w:p>
    <w:p>
      <w:pPr>
        <w:widowControl/>
        <w:shd w:val="clear" w:color="auto" w:fill="FFFFFF"/>
        <w:spacing w:line="560" w:lineRule="exact"/>
        <w:ind w:firstLine="480"/>
        <w:jc w:val="righ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2023年1月12日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9F83E"/>
    <w:multiLevelType w:val="singleLevel"/>
    <w:tmpl w:val="9979F83E"/>
    <w:lvl w:ilvl="0" w:tentative="0">
      <w:start w:val="4"/>
      <w:numFmt w:val="chineseCounting"/>
      <w:suff w:val="nothing"/>
      <w:lvlText w:val="%1、"/>
      <w:lvlJc w:val="left"/>
      <w:rPr>
        <w:rFonts w:hint="eastAsia"/>
      </w:rPr>
    </w:lvl>
  </w:abstractNum>
  <w:abstractNum w:abstractNumId="1">
    <w:nsid w:val="2B6B5B65"/>
    <w:multiLevelType w:val="singleLevel"/>
    <w:tmpl w:val="2B6B5B65"/>
    <w:lvl w:ilvl="0" w:tentative="0">
      <w:start w:val="2"/>
      <w:numFmt w:val="chineseCounting"/>
      <w:suff w:val="nothing"/>
      <w:lvlText w:val="%1、"/>
      <w:lvlJc w:val="left"/>
      <w:rPr>
        <w:rFonts w:hint="eastAsia"/>
      </w:rPr>
    </w:lvl>
  </w:abstractNum>
  <w:abstractNum w:abstractNumId="2">
    <w:nsid w:val="31956A0A"/>
    <w:multiLevelType w:val="multilevel"/>
    <w:tmpl w:val="31956A0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2Y2MDg4OWRkMDhiZTZlMTc4MDJmYmE4NDg4YjEifQ=="/>
  </w:docVars>
  <w:rsids>
    <w:rsidRoot w:val="00C82C11"/>
    <w:rsid w:val="00032ADB"/>
    <w:rsid w:val="00033ECC"/>
    <w:rsid w:val="00073E26"/>
    <w:rsid w:val="000A5E54"/>
    <w:rsid w:val="000F1F70"/>
    <w:rsid w:val="000F2BD8"/>
    <w:rsid w:val="001255D6"/>
    <w:rsid w:val="001326CD"/>
    <w:rsid w:val="0013522D"/>
    <w:rsid w:val="00163054"/>
    <w:rsid w:val="001B00E4"/>
    <w:rsid w:val="001C77A4"/>
    <w:rsid w:val="001F5D87"/>
    <w:rsid w:val="00211ED9"/>
    <w:rsid w:val="00243501"/>
    <w:rsid w:val="002511E2"/>
    <w:rsid w:val="00266E38"/>
    <w:rsid w:val="00287F1A"/>
    <w:rsid w:val="002B5A0E"/>
    <w:rsid w:val="002E4C4C"/>
    <w:rsid w:val="00304220"/>
    <w:rsid w:val="00354858"/>
    <w:rsid w:val="00380DBA"/>
    <w:rsid w:val="003B3EA9"/>
    <w:rsid w:val="00411E1D"/>
    <w:rsid w:val="00452694"/>
    <w:rsid w:val="004542C9"/>
    <w:rsid w:val="00490E85"/>
    <w:rsid w:val="004C75BC"/>
    <w:rsid w:val="005115F6"/>
    <w:rsid w:val="005828B3"/>
    <w:rsid w:val="005C34DC"/>
    <w:rsid w:val="005D5E17"/>
    <w:rsid w:val="005E5006"/>
    <w:rsid w:val="00643861"/>
    <w:rsid w:val="006714E3"/>
    <w:rsid w:val="00671643"/>
    <w:rsid w:val="0067262F"/>
    <w:rsid w:val="006C0DA2"/>
    <w:rsid w:val="006C2D7E"/>
    <w:rsid w:val="006C56E7"/>
    <w:rsid w:val="006D618A"/>
    <w:rsid w:val="006F11D3"/>
    <w:rsid w:val="0072342B"/>
    <w:rsid w:val="00763F1D"/>
    <w:rsid w:val="007706E2"/>
    <w:rsid w:val="00797625"/>
    <w:rsid w:val="007C57D0"/>
    <w:rsid w:val="007D388A"/>
    <w:rsid w:val="007F1FF8"/>
    <w:rsid w:val="00815A3C"/>
    <w:rsid w:val="008328F2"/>
    <w:rsid w:val="00886FF2"/>
    <w:rsid w:val="008D0481"/>
    <w:rsid w:val="008D52E0"/>
    <w:rsid w:val="008F3FE1"/>
    <w:rsid w:val="0090450C"/>
    <w:rsid w:val="009134D9"/>
    <w:rsid w:val="009400D8"/>
    <w:rsid w:val="00945055"/>
    <w:rsid w:val="009458DC"/>
    <w:rsid w:val="009A1034"/>
    <w:rsid w:val="009A450A"/>
    <w:rsid w:val="009A68DB"/>
    <w:rsid w:val="009D0384"/>
    <w:rsid w:val="009E4873"/>
    <w:rsid w:val="00A31674"/>
    <w:rsid w:val="00A414B7"/>
    <w:rsid w:val="00A43731"/>
    <w:rsid w:val="00A7395B"/>
    <w:rsid w:val="00A96E2C"/>
    <w:rsid w:val="00AB4A8E"/>
    <w:rsid w:val="00AC1195"/>
    <w:rsid w:val="00AE154C"/>
    <w:rsid w:val="00B15F7B"/>
    <w:rsid w:val="00B234B1"/>
    <w:rsid w:val="00B410E2"/>
    <w:rsid w:val="00B43A1F"/>
    <w:rsid w:val="00B52BBF"/>
    <w:rsid w:val="00B57D4A"/>
    <w:rsid w:val="00B6208E"/>
    <w:rsid w:val="00B85878"/>
    <w:rsid w:val="00B86A26"/>
    <w:rsid w:val="00BB3D68"/>
    <w:rsid w:val="00BF3DAD"/>
    <w:rsid w:val="00C101AF"/>
    <w:rsid w:val="00C14961"/>
    <w:rsid w:val="00C45997"/>
    <w:rsid w:val="00C4722D"/>
    <w:rsid w:val="00C578B8"/>
    <w:rsid w:val="00C6773B"/>
    <w:rsid w:val="00C7713E"/>
    <w:rsid w:val="00C82C11"/>
    <w:rsid w:val="00CD239E"/>
    <w:rsid w:val="00CF09E4"/>
    <w:rsid w:val="00D111BE"/>
    <w:rsid w:val="00D202F0"/>
    <w:rsid w:val="00D22AFC"/>
    <w:rsid w:val="00D27BF1"/>
    <w:rsid w:val="00D66EB2"/>
    <w:rsid w:val="00D84C28"/>
    <w:rsid w:val="00DA5C12"/>
    <w:rsid w:val="00DF7E8E"/>
    <w:rsid w:val="00E1328D"/>
    <w:rsid w:val="00E13BEA"/>
    <w:rsid w:val="00E55811"/>
    <w:rsid w:val="00E603B4"/>
    <w:rsid w:val="00EA2708"/>
    <w:rsid w:val="00EF4F0B"/>
    <w:rsid w:val="00F01AB1"/>
    <w:rsid w:val="00F541B9"/>
    <w:rsid w:val="00FF538D"/>
    <w:rsid w:val="03F05962"/>
    <w:rsid w:val="156B3B06"/>
    <w:rsid w:val="205F667C"/>
    <w:rsid w:val="226A6373"/>
    <w:rsid w:val="28350EE0"/>
    <w:rsid w:val="2BCF3D57"/>
    <w:rsid w:val="35874472"/>
    <w:rsid w:val="3D036550"/>
    <w:rsid w:val="3D4758C4"/>
    <w:rsid w:val="44B42D14"/>
    <w:rsid w:val="47222EC2"/>
    <w:rsid w:val="4A1F0512"/>
    <w:rsid w:val="560F62ED"/>
    <w:rsid w:val="63913B8C"/>
    <w:rsid w:val="6DE32618"/>
    <w:rsid w:val="71D81E6B"/>
    <w:rsid w:val="78DC2D0E"/>
    <w:rsid w:val="7A4723A8"/>
    <w:rsid w:val="7C6C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rFonts w:ascii="Calibri" w:hAnsi="Calibri" w:eastAsia="宋体" w:cs="Times New Roman"/>
      <w:sz w:val="18"/>
      <w:szCs w:val="18"/>
    </w:rPr>
  </w:style>
  <w:style w:type="character" w:customStyle="1" w:styleId="12">
    <w:name w:val="页脚 字符"/>
    <w:basedOn w:val="8"/>
    <w:link w:val="3"/>
    <w:qFormat/>
    <w:uiPriority w:val="99"/>
    <w:rPr>
      <w:rFonts w:ascii="Calibri" w:hAnsi="Calibri" w:eastAsia="宋体" w:cs="Times New Roman"/>
      <w:sz w:val="18"/>
      <w:szCs w:val="18"/>
    </w:rPr>
  </w:style>
  <w:style w:type="character" w:customStyle="1" w:styleId="13">
    <w:name w:val="批注框文本 字符"/>
    <w:basedOn w:val="8"/>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2334</Words>
  <Characters>2405</Characters>
  <Lines>20</Lines>
  <Paragraphs>5</Paragraphs>
  <TotalTime>0</TotalTime>
  <ScaleCrop>false</ScaleCrop>
  <LinksUpToDate>false</LinksUpToDate>
  <CharactersWithSpaces>2444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2021-01-26T09:23:00Z</dcterms:created>
  <dc:creator>Administrator</dc:creator>
  <cp:lastModifiedBy>银杏果</cp:lastModifiedBy>
  <cp:lastPrinted>2023-01-13T08:30:00Z</cp:lastPrinted>
  <dcterms:modified xsi:type="dcterms:W3CDTF">2023-02-13T01:34:05Z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F184D45F2F72450EAC8479B6FAEB26E7</vt:lpwstr>
  </property>
</Properties>
</file>