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center"/>
        <w:rPr>
          <w:rFonts w:hint="default" w:ascii="Times New Roman" w:hAnsi="Times New Roman" w:eastAsia="方正小标宋简体" w:cs="Times New Roman"/>
          <w:bCs/>
          <w:color w:val="000000" w:themeColor="text1"/>
          <w:kern w:val="0"/>
          <w:sz w:val="44"/>
          <w:szCs w:val="44"/>
          <w14:textFill>
            <w14:solidFill>
              <w14:schemeClr w14:val="tx1"/>
            </w14:solidFill>
          </w14:textFill>
        </w:rPr>
      </w:pPr>
      <w:r>
        <w:rPr>
          <w:rFonts w:hint="default" w:ascii="Times New Roman" w:hAnsi="Times New Roman" w:eastAsia="方正小标宋简体" w:cs="Times New Roman"/>
          <w:bCs/>
          <w:color w:val="000000" w:themeColor="text1"/>
          <w:kern w:val="0"/>
          <w:sz w:val="44"/>
          <w:szCs w:val="44"/>
          <w14:textFill>
            <w14:solidFill>
              <w14:schemeClr w14:val="tx1"/>
            </w14:solidFill>
          </w14:textFill>
        </w:rPr>
        <w:t>淄博市淄川区审计局</w:t>
      </w:r>
    </w:p>
    <w:p>
      <w:pPr>
        <w:widowControl/>
        <w:shd w:val="clear" w:color="auto" w:fill="FFFFFF"/>
        <w:spacing w:line="560" w:lineRule="exact"/>
        <w:jc w:val="center"/>
        <w:rPr>
          <w:rFonts w:hint="default" w:ascii="Times New Roman" w:hAnsi="Times New Roman" w:eastAsia="方正小标宋简体" w:cs="Times New Roman"/>
          <w:bCs/>
          <w:color w:val="000000" w:themeColor="text1"/>
          <w:kern w:val="0"/>
          <w:sz w:val="44"/>
          <w:szCs w:val="44"/>
          <w14:textFill>
            <w14:solidFill>
              <w14:schemeClr w14:val="tx1"/>
            </w14:solidFill>
          </w14:textFill>
        </w:rPr>
      </w:pPr>
      <w:r>
        <w:rPr>
          <w:rFonts w:hint="default" w:ascii="Times New Roman" w:hAnsi="Times New Roman" w:eastAsia="方正小标宋简体" w:cs="Times New Roman"/>
          <w:bCs/>
          <w:color w:val="000000" w:themeColor="text1"/>
          <w:kern w:val="0"/>
          <w:sz w:val="44"/>
          <w:szCs w:val="44"/>
          <w14:textFill>
            <w14:solidFill>
              <w14:schemeClr w14:val="tx1"/>
            </w14:solidFill>
          </w14:textFill>
        </w:rPr>
        <w:t>2022年政府信息公开工作年度报告</w:t>
      </w:r>
    </w:p>
    <w:p>
      <w:pPr>
        <w:widowControl/>
        <w:shd w:val="clear" w:color="auto" w:fill="FFFFFF"/>
        <w:spacing w:line="560" w:lineRule="exact"/>
        <w:jc w:val="center"/>
        <w:rPr>
          <w:rFonts w:hint="default" w:ascii="Times New Roman" w:hAnsi="Times New Roman" w:eastAsia="仿宋_GB2312" w:cs="Times New Roman"/>
          <w:color w:val="000000" w:themeColor="text1"/>
          <w:kern w:val="0"/>
          <w:sz w:val="44"/>
          <w:szCs w:val="44"/>
          <w14:textFill>
            <w14:solidFill>
              <w14:schemeClr w14:val="tx1"/>
            </w14:solidFill>
          </w14:textFill>
        </w:rPr>
      </w:pPr>
    </w:p>
    <w:p>
      <w:pPr>
        <w:pStyle w:val="5"/>
        <w:widowControl/>
        <w:spacing w:before="0" w:beforeAutospacing="0" w:after="0" w:afterAutospacing="0" w:line="560" w:lineRule="exact"/>
        <w:ind w:firstLine="640"/>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pPr>
      <w:r>
        <w:rPr>
          <w:rFonts w:ascii="仿宋_GB2312" w:hAnsi="宋体" w:eastAsia="仿宋_GB2312" w:cs="仿宋_GB2312"/>
          <w:i w:val="0"/>
          <w:caps w:val="0"/>
          <w:color w:val="000000"/>
          <w:spacing w:val="0"/>
          <w:sz w:val="32"/>
          <w:szCs w:val="32"/>
          <w:shd w:val="clear" w:fill="FFFFFF"/>
        </w:rPr>
        <w:t>本年度报告根据《中华人民共和国政府信息公开条例》和《国务院办公厅政府信息与政务公开办公室关于印发</w:t>
      </w:r>
      <w:r>
        <w:rPr>
          <w:rFonts w:hint="eastAsia" w:ascii="仿宋_GB2312" w:hAnsi="宋体" w:eastAsia="仿宋_GB2312" w:cs="仿宋_GB2312"/>
          <w:i w:val="0"/>
          <w:caps w:val="0"/>
          <w:color w:val="000000"/>
          <w:spacing w:val="0"/>
          <w:sz w:val="32"/>
          <w:szCs w:val="32"/>
          <w:shd w:val="clear" w:fill="FFFFFF"/>
        </w:rPr>
        <w:t>&lt;中华人民共和国政府信息公开工作年度报告格式</w:t>
      </w:r>
      <w:r>
        <w:rPr>
          <w:rFonts w:hint="default" w:ascii="Times New Roman" w:hAnsi="Times New Roman" w:eastAsia="宋体" w:cs="Times New Roman"/>
          <w:i w:val="0"/>
          <w:caps w:val="0"/>
          <w:color w:val="000000"/>
          <w:spacing w:val="0"/>
          <w:sz w:val="32"/>
          <w:szCs w:val="32"/>
          <w:shd w:val="clear" w:fill="FFFFFF"/>
        </w:rPr>
        <w:t>&gt;</w:t>
      </w:r>
      <w:r>
        <w:rPr>
          <w:rFonts w:hint="eastAsia" w:ascii="仿宋_GB2312" w:hAnsi="宋体" w:eastAsia="仿宋_GB2312" w:cs="仿宋_GB2312"/>
          <w:i w:val="0"/>
          <w:caps w:val="0"/>
          <w:color w:val="000000"/>
          <w:spacing w:val="0"/>
          <w:sz w:val="32"/>
          <w:szCs w:val="32"/>
          <w:shd w:val="clear" w:fill="FFFFFF"/>
        </w:rPr>
        <w:t>的通知》（国办公开办函〔</w:t>
      </w:r>
      <w:r>
        <w:rPr>
          <w:rFonts w:hint="default" w:ascii="Times New Roman" w:hAnsi="Times New Roman" w:eastAsia="宋体" w:cs="Times New Roman"/>
          <w:i w:val="0"/>
          <w:caps w:val="0"/>
          <w:color w:val="000000"/>
          <w:spacing w:val="0"/>
          <w:sz w:val="32"/>
          <w:szCs w:val="32"/>
          <w:shd w:val="clear" w:fill="FFFFFF"/>
        </w:rPr>
        <w:t>2021</w:t>
      </w:r>
      <w:r>
        <w:rPr>
          <w:rFonts w:hint="eastAsia" w:ascii="仿宋_GB2312" w:hAnsi="宋体" w:eastAsia="仿宋_GB2312" w:cs="仿宋_GB2312"/>
          <w:i w:val="0"/>
          <w:caps w:val="0"/>
          <w:color w:val="000000"/>
          <w:spacing w:val="0"/>
          <w:sz w:val="32"/>
          <w:szCs w:val="32"/>
          <w:shd w:val="clear" w:fill="FFFFFF"/>
        </w:rPr>
        <w:t>〕</w:t>
      </w:r>
      <w:r>
        <w:rPr>
          <w:rFonts w:hint="default" w:ascii="Times New Roman" w:hAnsi="Times New Roman" w:eastAsia="宋体" w:cs="Times New Roman"/>
          <w:i w:val="0"/>
          <w:caps w:val="0"/>
          <w:color w:val="000000"/>
          <w:spacing w:val="0"/>
          <w:sz w:val="32"/>
          <w:szCs w:val="32"/>
          <w:shd w:val="clear" w:fill="FFFFFF"/>
        </w:rPr>
        <w:t>30</w:t>
      </w:r>
      <w:r>
        <w:rPr>
          <w:rFonts w:hint="eastAsia" w:ascii="仿宋_GB2312" w:hAnsi="宋体" w:eastAsia="仿宋_GB2312" w:cs="仿宋_GB2312"/>
          <w:i w:val="0"/>
          <w:caps w:val="0"/>
          <w:color w:val="000000"/>
          <w:spacing w:val="0"/>
          <w:sz w:val="32"/>
          <w:szCs w:val="32"/>
          <w:shd w:val="clear" w:fill="FFFFFF"/>
        </w:rPr>
        <w:t>号）相关要求编制。</w:t>
      </w:r>
      <w:bookmarkStart w:id="0" w:name="_GoBack"/>
      <w:bookmarkEnd w:id="0"/>
      <w:r>
        <w:rPr>
          <w:rFonts w:hint="default" w:ascii="Times New Roman" w:hAnsi="Times New Roman" w:eastAsia="仿宋_GB2312" w:cs="Times New Roman"/>
          <w:color w:val="000000" w:themeColor="text1"/>
          <w:sz w:val="32"/>
          <w:szCs w:val="32"/>
          <w14:textFill>
            <w14:solidFill>
              <w14:schemeClr w14:val="tx1"/>
            </w14:solidFill>
          </w14:textFill>
        </w:rPr>
        <w:t>本报告由总体情况、主动公开政府信息情况、收到和处理政府信息公开申请情况、因政府信息公开工作被申请行政复议和提起行政诉讼情况、存在的主要问题及改进情况、其他需要报告的事项组成。本报告所列数据统计期限为2022年1月1日至2022年12月31日。</w:t>
      </w:r>
      <w:r>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t>如对报告内容有疑问，请与淄博市淄川区审计局联系（</w:t>
      </w:r>
      <w:r>
        <w:rPr>
          <w:rFonts w:hint="default" w:ascii="Times New Roman" w:hAnsi="Times New Roman" w:eastAsia="仿宋_GB2312" w:cs="Times New Roman"/>
          <w:i w:val="0"/>
          <w:caps w:val="0"/>
          <w:color w:val="000000"/>
          <w:spacing w:val="0"/>
          <w:sz w:val="32"/>
          <w:szCs w:val="32"/>
          <w:shd w:val="clear" w:fill="FFFFFF"/>
        </w:rPr>
        <w:t>地址：山东省淄博市淄川区般阳路72号</w:t>
      </w:r>
      <w:r>
        <w:rPr>
          <w:rFonts w:hint="default"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邮编：255100</w:t>
      </w:r>
      <w:r>
        <w:rPr>
          <w:rFonts w:hint="default"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电话：0533-5181418</w:t>
      </w:r>
      <w:r>
        <w:rPr>
          <w:rFonts w:hint="default"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邮箱：zc_qsjjadmin@zb.shandong.cn</w:t>
      </w:r>
      <w:r>
        <w:rPr>
          <w:rFonts w:hint="default" w:ascii="Times New Roman" w:hAnsi="Times New Roman" w:eastAsia="仿宋_GB2312" w:cs="Times New Roman"/>
          <w:i w:val="0"/>
          <w:caps w:val="0"/>
          <w:color w:val="000000"/>
          <w:spacing w:val="0"/>
          <w:sz w:val="32"/>
          <w:szCs w:val="32"/>
          <w:shd w:val="clear" w:fill="FFFFFF"/>
          <w:lang w:eastAsia="zh-CN"/>
        </w:rPr>
        <w:t>）。</w:t>
      </w:r>
    </w:p>
    <w:p>
      <w:pPr>
        <w:pStyle w:val="10"/>
        <w:widowControl/>
        <w:numPr>
          <w:ilvl w:val="0"/>
          <w:numId w:val="1"/>
        </w:numPr>
        <w:shd w:val="clear" w:color="auto" w:fill="FFFFFF"/>
        <w:spacing w:line="560" w:lineRule="exact"/>
        <w:ind w:firstLineChars="0"/>
        <w:rPr>
          <w:rFonts w:hint="default" w:ascii="Times New Roman" w:hAnsi="Times New Roman" w:eastAsia="黑体" w:cs="Times New Roman"/>
          <w:color w:val="000000" w:themeColor="text1"/>
          <w:kern w:val="0"/>
          <w:sz w:val="32"/>
          <w:szCs w:val="32"/>
          <w14:textFill>
            <w14:solidFill>
              <w14:schemeClr w14:val="tx1"/>
            </w14:solidFill>
          </w14:textFill>
        </w:rPr>
      </w:pPr>
      <w:r>
        <w:rPr>
          <w:rFonts w:hint="default" w:ascii="Times New Roman" w:hAnsi="Times New Roman" w:eastAsia="黑体" w:cs="Times New Roman"/>
          <w:bCs/>
          <w:color w:val="000000" w:themeColor="text1"/>
          <w:kern w:val="0"/>
          <w:sz w:val="32"/>
          <w:szCs w:val="32"/>
          <w14:textFill>
            <w14:solidFill>
              <w14:schemeClr w14:val="tx1"/>
            </w14:solidFill>
          </w14:textFill>
        </w:rPr>
        <w:t>总体情况</w:t>
      </w:r>
    </w:p>
    <w:p>
      <w:pPr>
        <w:pStyle w:val="5"/>
        <w:shd w:val="clear" w:color="auto" w:fill="FFFFFF"/>
        <w:snapToGrid w:val="0"/>
        <w:spacing w:before="0" w:beforeAutospacing="0" w:after="0" w:afterAutospacing="0" w:line="560" w:lineRule="exact"/>
        <w:ind w:firstLine="640" w:firstLineChars="200"/>
        <w:jc w:val="both"/>
        <w:rPr>
          <w:rFonts w:hint="default" w:ascii="Times New Roman" w:hAnsi="Times New Roman" w:eastAsia="仿宋_GB2312" w:cs="Times New Roman"/>
          <w:color w:val="000000" w:themeColor="text1"/>
          <w:sz w:val="21"/>
          <w:szCs w:val="21"/>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一年来，我局严格按照区委、区政府的部署要求，按照区委“我在一线、实干淄川”要求，持续擦亮“党建引领、实干强审”品牌，将政府信息公开工作与党建、党风廉政建设、审计业务等工作相结合，进一步推进政府信息公开工作规范化。现将我局2022年度政府信息公开工作情况报告如下：</w:t>
      </w:r>
    </w:p>
    <w:p>
      <w:pPr>
        <w:pStyle w:val="5"/>
        <w:shd w:val="clear" w:color="auto" w:fill="FFFFFF"/>
        <w:spacing w:before="0" w:beforeAutospacing="0" w:after="0" w:afterAutospacing="0"/>
        <w:ind w:firstLine="640" w:firstLineChars="200"/>
        <w:jc w:val="both"/>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1.主动公开情况</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2022年我局共主动公开信息36条，政府信息公开严格遵循政府信息公开保密审查制度，确保信息公开安全。</w:t>
      </w:r>
    </w:p>
    <w:p>
      <w:pPr>
        <w:pStyle w:val="5"/>
        <w:shd w:val="clear" w:color="auto" w:fill="FFFFFF"/>
        <w:spacing w:before="0" w:beforeAutospacing="0" w:after="0" w:afterAutospacing="0"/>
        <w:jc w:val="center"/>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drawing>
          <wp:inline distT="0" distB="0" distL="0" distR="0">
            <wp:extent cx="5274310" cy="508635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rcRect b="1245"/>
                    <a:stretch>
                      <a:fillRect/>
                    </a:stretch>
                  </pic:blipFill>
                  <pic:spPr>
                    <a:xfrm>
                      <a:off x="0" y="0"/>
                      <a:ext cx="5274310" cy="5086350"/>
                    </a:xfrm>
                    <a:prstGeom prst="rect">
                      <a:avLst/>
                    </a:prstGeom>
                    <a:ln>
                      <a:noFill/>
                    </a:ln>
                  </pic:spPr>
                </pic:pic>
              </a:graphicData>
            </a:graphic>
          </wp:inline>
        </w:drawing>
      </w:r>
    </w:p>
    <w:p>
      <w:pPr>
        <w:pStyle w:val="5"/>
        <w:shd w:val="clear" w:color="auto" w:fill="FFFFFF"/>
        <w:spacing w:before="0" w:beforeAutospacing="0" w:after="0" w:afterAutospacing="0"/>
        <w:ind w:firstLine="640" w:firstLineChars="200"/>
        <w:jc w:val="both"/>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2.依申请公开情况</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2022年我局</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未收到依申请公开事项</w:t>
      </w:r>
      <w:r>
        <w:rPr>
          <w:rFonts w:hint="default" w:ascii="Times New Roman" w:hAnsi="Times New Roman" w:eastAsia="仿宋_GB2312" w:cs="Times New Roman"/>
          <w:color w:val="000000" w:themeColor="text1"/>
          <w:sz w:val="32"/>
          <w:szCs w:val="32"/>
          <w14:textFill>
            <w14:solidFill>
              <w14:schemeClr w14:val="tx1"/>
            </w14:solidFill>
          </w14:textFill>
        </w:rPr>
        <w:t>。</w:t>
      </w:r>
    </w:p>
    <w:p>
      <w:pPr>
        <w:pStyle w:val="5"/>
        <w:shd w:val="clear" w:color="auto" w:fill="FFFFFF"/>
        <w:spacing w:before="0" w:beforeAutospacing="0" w:after="0" w:afterAutospacing="0"/>
        <w:ind w:firstLine="640" w:firstLineChars="200"/>
        <w:jc w:val="both"/>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3.政府信息管理</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我局坚持政府信息公开和审计业务深度融合发展的思路，完善了政府信息公开保密审查机制，针对审计工作的特点，按照公开要求，围绕重点工作，及时公开相关信息。</w:t>
      </w:r>
    </w:p>
    <w:p>
      <w:pPr>
        <w:pStyle w:val="5"/>
        <w:shd w:val="clear" w:color="auto" w:fill="FFFFFF"/>
        <w:spacing w:before="0" w:beforeAutospacing="0" w:after="0" w:afterAutospacing="0"/>
        <w:ind w:firstLine="640" w:firstLineChars="200"/>
        <w:jc w:val="both"/>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4.政府信息公开平台建设</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我局通过区政府门户网站，及时发布审计信息、预决算公开和工作动态等信息。同时设立“淄博市淄川区审计局”微信公众号，将审计动态信息及时上传公众号，并利用各大网站、报刊等媒体，及时宣传审计工作亮点，深挖品牌内涵，提升审计工作知名度。</w:t>
      </w:r>
    </w:p>
    <w:p>
      <w:pPr>
        <w:pStyle w:val="5"/>
        <w:shd w:val="clear" w:color="auto" w:fill="FFFFFF"/>
        <w:spacing w:before="0" w:beforeAutospacing="0" w:after="0" w:afterAutospacing="0"/>
        <w:ind w:firstLine="640"/>
        <w:jc w:val="both"/>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drawing>
          <wp:inline distT="0" distB="0" distL="0" distR="0">
            <wp:extent cx="4895850" cy="57816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895850" cy="5781675"/>
                    </a:xfrm>
                    <a:prstGeom prst="rect">
                      <a:avLst/>
                    </a:prstGeom>
                    <a:noFill/>
                    <a:ln>
                      <a:noFill/>
                    </a:ln>
                  </pic:spPr>
                </pic:pic>
              </a:graphicData>
            </a:graphic>
          </wp:inline>
        </w:drawing>
      </w:r>
    </w:p>
    <w:p>
      <w:pPr>
        <w:pStyle w:val="5"/>
        <w:shd w:val="clear" w:color="auto" w:fill="FFFFFF"/>
        <w:spacing w:before="0" w:beforeAutospacing="0" w:after="0" w:afterAutospacing="0"/>
        <w:ind w:firstLine="640" w:firstLineChars="200"/>
        <w:jc w:val="both"/>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5.监督保障</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我局建立了以局长为第一责任人，各分管领导分工负责，科室负责人具体抓落实的政府信息公开机构，把政府信息公开工作纳入局目标管理，落实工作任务，明确工作责任，构建覆盖全、责任清、任务明的监督保障机制。</w:t>
      </w:r>
    </w:p>
    <w:p>
      <w:pPr>
        <w:widowControl/>
        <w:numPr>
          <w:ilvl w:val="0"/>
          <w:numId w:val="2"/>
        </w:numPr>
        <w:shd w:val="clear" w:color="auto" w:fill="FFFFFF"/>
        <w:spacing w:line="560" w:lineRule="exact"/>
        <w:ind w:firstLine="482"/>
        <w:rPr>
          <w:rFonts w:hint="eastAsia" w:ascii="黑体" w:hAnsi="黑体" w:eastAsia="黑体" w:cs="黑体"/>
          <w:bCs/>
          <w:color w:val="000000" w:themeColor="text1"/>
          <w:kern w:val="0"/>
          <w:sz w:val="32"/>
          <w:szCs w:val="32"/>
          <w14:textFill>
            <w14:solidFill>
              <w14:schemeClr w14:val="tx1"/>
            </w14:solidFill>
          </w14:textFill>
        </w:rPr>
      </w:pPr>
      <w:r>
        <w:rPr>
          <w:rFonts w:hint="eastAsia" w:ascii="黑体" w:hAnsi="黑体" w:eastAsia="黑体" w:cs="黑体"/>
          <w:bCs/>
          <w:color w:val="000000" w:themeColor="text1"/>
          <w:kern w:val="0"/>
          <w:sz w:val="32"/>
          <w:szCs w:val="32"/>
          <w14:textFill>
            <w14:solidFill>
              <w14:schemeClr w14:val="tx1"/>
            </w14:solidFill>
          </w14:textFill>
        </w:rPr>
        <w:t>主动公开政府信息情况</w:t>
      </w:r>
    </w:p>
    <w:tbl>
      <w:tblPr>
        <w:tblStyle w:val="6"/>
        <w:tblW w:w="88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0"/>
        <w:gridCol w:w="2180"/>
        <w:gridCol w:w="2180"/>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shd w:val="clear" w:color="auto" w:fill="C5D9F0"/>
          </w:tcPr>
          <w:p>
            <w:pPr>
              <w:jc w:val="center"/>
              <w:rPr>
                <w:rFonts w:hint="default" w:ascii="Times New Roman" w:hAnsi="Times New Roman" w:eastAsia="仿宋_GB2312" w:cs="Times New Roman"/>
                <w:color w:val="000000" w:themeColor="text1"/>
                <w14:textFill>
                  <w14:solidFill>
                    <w14:schemeClr w14:val="tx1"/>
                  </w14:solidFill>
                </w14:textFill>
              </w:rPr>
            </w:pPr>
          </w:p>
        </w:tc>
        <w:tc>
          <w:tcPr>
            <w:tcW w:w="6682" w:type="dxa"/>
            <w:gridSpan w:val="3"/>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第二十条第（ 一）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信息内容</w:t>
            </w:r>
          </w:p>
        </w:tc>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本年制发件数</w:t>
            </w:r>
          </w:p>
        </w:tc>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本年废止件数</w:t>
            </w:r>
          </w:p>
        </w:tc>
        <w:tc>
          <w:tcPr>
            <w:tcW w:w="232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规章</w:t>
            </w:r>
          </w:p>
        </w:tc>
        <w:tc>
          <w:tcPr>
            <w:tcW w:w="2180" w:type="dxa"/>
            <w:tcBorders>
              <w:top w:val="single" w:color="auto" w:sz="4" w:space="0"/>
              <w:left w:val="single" w:color="auto" w:sz="4" w:space="0"/>
              <w:bottom w:val="single" w:color="auto" w:sz="4" w:space="0"/>
              <w:right w:val="single" w:color="auto" w:sz="4" w:space="0"/>
              <w:tl2br w:val="nil"/>
              <w:tr2bl w:val="nil"/>
            </w:tcBorders>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2180" w:type="dxa"/>
            <w:tcBorders>
              <w:top w:val="single" w:color="auto" w:sz="4" w:space="0"/>
              <w:left w:val="single" w:color="auto" w:sz="4" w:space="0"/>
              <w:bottom w:val="single" w:color="auto" w:sz="4" w:space="0"/>
              <w:right w:val="single" w:color="auto" w:sz="4" w:space="0"/>
              <w:tl2br w:val="nil"/>
              <w:tr2bl w:val="nil"/>
            </w:tcBorders>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2322" w:type="dxa"/>
            <w:tcBorders>
              <w:top w:val="single" w:color="auto" w:sz="4" w:space="0"/>
              <w:left w:val="single" w:color="auto" w:sz="4" w:space="0"/>
              <w:bottom w:val="single" w:color="auto" w:sz="4" w:space="0"/>
              <w:right w:val="single" w:color="auto" w:sz="4" w:space="0"/>
              <w:tl2br w:val="nil"/>
              <w:tr2bl w:val="nil"/>
            </w:tcBorders>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行政规范性文件</w:t>
            </w:r>
          </w:p>
        </w:tc>
        <w:tc>
          <w:tcPr>
            <w:tcW w:w="2180" w:type="dxa"/>
            <w:tcBorders>
              <w:top w:val="single" w:color="auto" w:sz="4" w:space="0"/>
              <w:left w:val="single" w:color="auto" w:sz="4" w:space="0"/>
              <w:bottom w:val="single" w:color="auto" w:sz="4" w:space="0"/>
              <w:right w:val="single" w:color="auto" w:sz="4" w:space="0"/>
              <w:tl2br w:val="nil"/>
              <w:tr2bl w:val="nil"/>
            </w:tcBorders>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2180" w:type="dxa"/>
            <w:tcBorders>
              <w:top w:val="single" w:color="auto" w:sz="4" w:space="0"/>
              <w:left w:val="single" w:color="auto" w:sz="4" w:space="0"/>
              <w:bottom w:val="single" w:color="auto" w:sz="4" w:space="0"/>
              <w:right w:val="single" w:color="auto" w:sz="4" w:space="0"/>
              <w:tl2br w:val="nil"/>
              <w:tr2bl w:val="nil"/>
            </w:tcBorders>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2322" w:type="dxa"/>
            <w:tcBorders>
              <w:top w:val="single" w:color="auto" w:sz="4" w:space="0"/>
              <w:left w:val="single" w:color="auto" w:sz="4" w:space="0"/>
              <w:bottom w:val="single" w:color="auto" w:sz="4" w:space="0"/>
              <w:right w:val="single" w:color="auto" w:sz="4" w:space="0"/>
              <w:tl2br w:val="nil"/>
              <w:tr2bl w:val="nil"/>
            </w:tcBorders>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第二十条第（ 五）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行政许可</w:t>
            </w:r>
          </w:p>
        </w:tc>
        <w:tc>
          <w:tcPr>
            <w:tcW w:w="6682" w:type="dxa"/>
            <w:gridSpan w:val="3"/>
            <w:tcBorders>
              <w:top w:val="single" w:color="auto" w:sz="4" w:space="0"/>
              <w:left w:val="single" w:color="auto" w:sz="4" w:space="0"/>
              <w:bottom w:val="single" w:color="auto" w:sz="4" w:space="0"/>
              <w:right w:val="single" w:color="auto" w:sz="4" w:space="0"/>
              <w:tl2br w:val="nil"/>
              <w:tr2bl w:val="nil"/>
            </w:tcBorders>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第二十条第（ 六）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行政处罚</w:t>
            </w:r>
          </w:p>
        </w:tc>
        <w:tc>
          <w:tcPr>
            <w:tcW w:w="6682" w:type="dxa"/>
            <w:gridSpan w:val="3"/>
            <w:tcBorders>
              <w:top w:val="single" w:color="auto" w:sz="4" w:space="0"/>
              <w:left w:val="single" w:color="auto" w:sz="4" w:space="0"/>
              <w:bottom w:val="single" w:color="auto" w:sz="4" w:space="0"/>
              <w:right w:val="single" w:color="auto" w:sz="4" w:space="0"/>
              <w:tl2br w:val="nil"/>
              <w:tr2bl w:val="nil"/>
            </w:tcBorders>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行政强制</w:t>
            </w:r>
          </w:p>
        </w:tc>
        <w:tc>
          <w:tcPr>
            <w:tcW w:w="6682" w:type="dxa"/>
            <w:gridSpan w:val="3"/>
            <w:tcBorders>
              <w:top w:val="single" w:color="auto" w:sz="4" w:space="0"/>
              <w:left w:val="single" w:color="auto" w:sz="4" w:space="0"/>
              <w:bottom w:val="single" w:color="auto" w:sz="4" w:space="0"/>
              <w:right w:val="single" w:color="auto" w:sz="4" w:space="0"/>
              <w:tl2br w:val="nil"/>
              <w:tr2bl w:val="nil"/>
            </w:tcBorders>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第二十条第（ 八）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行政事业性收费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r>
    </w:tbl>
    <w:p>
      <w:pPr>
        <w:widowControl/>
        <w:shd w:val="clear" w:color="auto" w:fill="FFFFFF"/>
        <w:spacing w:after="240" w:line="560" w:lineRule="exact"/>
        <w:ind w:firstLine="482"/>
        <w:rPr>
          <w:rFonts w:hint="eastAsia"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bCs/>
          <w:color w:val="000000" w:themeColor="text1"/>
          <w:kern w:val="0"/>
          <w:sz w:val="32"/>
          <w:szCs w:val="32"/>
          <w14:textFill>
            <w14:solidFill>
              <w14:schemeClr w14:val="tx1"/>
            </w14:solidFill>
          </w14:textFill>
        </w:rPr>
        <w:t>三、收到和处理政府信息公开申请情况</w:t>
      </w:r>
    </w:p>
    <w:tbl>
      <w:tblPr>
        <w:tblStyle w:val="6"/>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866"/>
        <w:gridCol w:w="3075"/>
        <w:gridCol w:w="666"/>
        <w:gridCol w:w="666"/>
        <w:gridCol w:w="666"/>
        <w:gridCol w:w="666"/>
        <w:gridCol w:w="666"/>
        <w:gridCol w:w="666"/>
        <w:gridCol w:w="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4577"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（本列数据的勾稽关系为：第一项加第二项之和，等于第三项加第四项之和）</w:t>
            </w:r>
          </w:p>
        </w:tc>
        <w:tc>
          <w:tcPr>
            <w:tcW w:w="4665" w:type="dxa"/>
            <w:gridSpan w:val="7"/>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4577"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themeColor="text1"/>
                <w14:textFill>
                  <w14:solidFill>
                    <w14:schemeClr w14:val="tx1"/>
                  </w14:solidFill>
                </w14:textFill>
              </w:rPr>
            </w:pPr>
          </w:p>
        </w:tc>
        <w:tc>
          <w:tcPr>
            <w:tcW w:w="6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自然人</w:t>
            </w:r>
          </w:p>
        </w:tc>
        <w:tc>
          <w:tcPr>
            <w:tcW w:w="3330"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法人或其他组织</w:t>
            </w:r>
          </w:p>
        </w:tc>
        <w:tc>
          <w:tcPr>
            <w:tcW w:w="66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4577"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themeColor="text1"/>
                <w14:textFill>
                  <w14:solidFill>
                    <w14:schemeClr w14:val="tx1"/>
                  </w14:solidFill>
                </w14:textFill>
              </w:rPr>
            </w:pPr>
          </w:p>
        </w:tc>
        <w:tc>
          <w:tcPr>
            <w:tcW w:w="6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商业企业</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科研机构</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社会公益组织</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法律服务机构</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其他</w:t>
            </w:r>
          </w:p>
        </w:tc>
        <w:tc>
          <w:tcPr>
            <w:tcW w:w="66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一、本年新收政府信息公开申请数量</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二、上年结转政府信息公开申请数量</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3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三、本年度办理结果</w:t>
            </w:r>
          </w:p>
        </w:tc>
        <w:tc>
          <w:tcPr>
            <w:tcW w:w="3941"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 一） 予以公开</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themeColor="text1"/>
                <w14:textFill>
                  <w14:solidFill>
                    <w14:schemeClr w14:val="tx1"/>
                  </w14:solidFill>
                </w14:textFill>
              </w:rPr>
            </w:pPr>
          </w:p>
        </w:tc>
        <w:tc>
          <w:tcPr>
            <w:tcW w:w="3941"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（二）部分公开（区分处理的，只计这一情形，不计其他情形）</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themeColor="text1"/>
                <w14:textFill>
                  <w14:solidFill>
                    <w14:schemeClr w14:val="tx1"/>
                  </w14:solidFill>
                </w14:textFill>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 三） 不予公开</w:t>
            </w: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1. 属于国家秘密</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themeColor="text1"/>
                <w14:textFill>
                  <w14:solidFill>
                    <w14:schemeClr w14:val="tx1"/>
                  </w14:solidFill>
                </w14:textFill>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themeColor="text1"/>
                <w14:textFill>
                  <w14:solidFill>
                    <w14:schemeClr w14:val="tx1"/>
                  </w14:solidFill>
                </w14:textFill>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2. 其他法律行政法规禁止公开</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themeColor="text1"/>
                <w14:textFill>
                  <w14:solidFill>
                    <w14:schemeClr w14:val="tx1"/>
                  </w14:solidFill>
                </w14:textFill>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themeColor="text1"/>
                <w14:textFill>
                  <w14:solidFill>
                    <w14:schemeClr w14:val="tx1"/>
                  </w14:solidFill>
                </w14:textFill>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3.危及“三安全一稳定”</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themeColor="text1"/>
                <w14:textFill>
                  <w14:solidFill>
                    <w14:schemeClr w14:val="tx1"/>
                  </w14:solidFill>
                </w14:textFill>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themeColor="text1"/>
                <w14:textFill>
                  <w14:solidFill>
                    <w14:schemeClr w14:val="tx1"/>
                  </w14:solidFill>
                </w14:textFill>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4. 保护第三方合法权益</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themeColor="text1"/>
                <w14:textFill>
                  <w14:solidFill>
                    <w14:schemeClr w14:val="tx1"/>
                  </w14:solidFill>
                </w14:textFill>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themeColor="text1"/>
                <w14:textFill>
                  <w14:solidFill>
                    <w14:schemeClr w14:val="tx1"/>
                  </w14:solidFill>
                </w14:textFill>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5. 属于三类内部事务信息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themeColor="text1"/>
                <w14:textFill>
                  <w14:solidFill>
                    <w14:schemeClr w14:val="tx1"/>
                  </w14:solidFill>
                </w14:textFill>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themeColor="text1"/>
                <w14:textFill>
                  <w14:solidFill>
                    <w14:schemeClr w14:val="tx1"/>
                  </w14:solidFill>
                </w14:textFill>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6. 属于四类过程性信息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themeColor="text1"/>
                <w14:textFill>
                  <w14:solidFill>
                    <w14:schemeClr w14:val="tx1"/>
                  </w14:solidFill>
                </w14:textFill>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themeColor="text1"/>
                <w14:textFill>
                  <w14:solidFill>
                    <w14:schemeClr w14:val="tx1"/>
                  </w14:solidFill>
                </w14:textFill>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7. 属于行政执法案卷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themeColor="text1"/>
                <w14:textFill>
                  <w14:solidFill>
                    <w14:schemeClr w14:val="tx1"/>
                  </w14:solidFill>
                </w14:textFill>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themeColor="text1"/>
                <w14:textFill>
                  <w14:solidFill>
                    <w14:schemeClr w14:val="tx1"/>
                  </w14:solidFill>
                </w14:textFill>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8. 属于行政查询事项</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themeColor="text1"/>
                <w14:textFill>
                  <w14:solidFill>
                    <w14:schemeClr w14:val="tx1"/>
                  </w14:solidFill>
                </w14:textFill>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 四） 无法提供</w:t>
            </w: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1. 本机关不掌握相关政府信息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themeColor="text1"/>
                <w14:textFill>
                  <w14:solidFill>
                    <w14:schemeClr w14:val="tx1"/>
                  </w14:solidFill>
                </w14:textFill>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themeColor="text1"/>
                <w14:textFill>
                  <w14:solidFill>
                    <w14:schemeClr w14:val="tx1"/>
                  </w14:solidFill>
                </w14:textFill>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2. 没有现成信息需要另行制作</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themeColor="text1"/>
                <w14:textFill>
                  <w14:solidFill>
                    <w14:schemeClr w14:val="tx1"/>
                  </w14:solidFill>
                </w14:textFill>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themeColor="text1"/>
                <w14:textFill>
                  <w14:solidFill>
                    <w14:schemeClr w14:val="tx1"/>
                  </w14:solidFill>
                </w14:textFill>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3. 补正后申请内容仍不明确</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themeColor="text1"/>
                <w14:textFill>
                  <w14:solidFill>
                    <w14:schemeClr w14:val="tx1"/>
                  </w14:solidFill>
                </w14:textFill>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 五） 不予处理</w:t>
            </w: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1. 信访举报投诉类申请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themeColor="text1"/>
                <w14:textFill>
                  <w14:solidFill>
                    <w14:schemeClr w14:val="tx1"/>
                  </w14:solidFill>
                </w14:textFill>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themeColor="text1"/>
                <w14:textFill>
                  <w14:solidFill>
                    <w14:schemeClr w14:val="tx1"/>
                  </w14:solidFill>
                </w14:textFill>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2. 重复申请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themeColor="text1"/>
                <w14:textFill>
                  <w14:solidFill>
                    <w14:schemeClr w14:val="tx1"/>
                  </w14:solidFill>
                </w14:textFill>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themeColor="text1"/>
                <w14:textFill>
                  <w14:solidFill>
                    <w14:schemeClr w14:val="tx1"/>
                  </w14:solidFill>
                </w14:textFill>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3. 要求提供公开出版物</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themeColor="text1"/>
                <w14:textFill>
                  <w14:solidFill>
                    <w14:schemeClr w14:val="tx1"/>
                  </w14:solidFill>
                </w14:textFill>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themeColor="text1"/>
                <w14:textFill>
                  <w14:solidFill>
                    <w14:schemeClr w14:val="tx1"/>
                  </w14:solidFill>
                </w14:textFill>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4. 无正当理由大量反复申请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themeColor="text1"/>
                <w14:textFill>
                  <w14:solidFill>
                    <w14:schemeClr w14:val="tx1"/>
                  </w14:solidFill>
                </w14:textFill>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themeColor="text1"/>
                <w14:textFill>
                  <w14:solidFill>
                    <w14:schemeClr w14:val="tx1"/>
                  </w14:solidFill>
                </w14:textFill>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5. 要求行政机关确认或重新出具已获取信息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themeColor="text1"/>
                <w14:textFill>
                  <w14:solidFill>
                    <w14:schemeClr w14:val="tx1"/>
                  </w14:solidFill>
                </w14:textFill>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 六） 其他处理</w:t>
            </w: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1. 申请人无正当理由逾期不补正、行政机关不再处理其政府信息公开申请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hint="default" w:ascii="Times New Roman" w:hAnsi="Times New Roman" w:eastAsia="仿宋_GB2312" w:cs="Times New Roman"/>
                <w:color w:val="000000" w:themeColor="text1"/>
                <w14:textFill>
                  <w14:solidFill>
                    <w14:schemeClr w14:val="tx1"/>
                  </w14:solidFill>
                </w14:textFill>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hint="default" w:ascii="Times New Roman" w:hAnsi="Times New Roman" w:eastAsia="仿宋_GB2312" w:cs="Times New Roman"/>
                <w:color w:val="000000" w:themeColor="text1"/>
                <w14:textFill>
                  <w14:solidFill>
                    <w14:schemeClr w14:val="tx1"/>
                  </w14:solidFill>
                </w14:textFill>
              </w:rPr>
            </w:pPr>
          </w:p>
        </w:tc>
        <w:tc>
          <w:tcPr>
            <w:tcW w:w="3075" w:type="dxa"/>
            <w:tcBorders>
              <w:top w:val="single" w:color="auto" w:sz="4" w:space="0"/>
              <w:left w:val="single" w:color="auto" w:sz="4" w:space="0"/>
              <w:bottom w:val="single" w:color="auto" w:sz="4" w:space="0"/>
              <w:right w:val="single" w:color="auto" w:sz="4" w:space="0"/>
              <w:tl2br w:val="nil"/>
              <w:tr2bl w:val="nil"/>
            </w:tcBorders>
          </w:tcPr>
          <w:p>
            <w:pPr>
              <w:jc w:val="left"/>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2. 申请人逾期未按收费通知要求缴纳费用、行政机关不再处理其政府信息公开申请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hint="default" w:ascii="Times New Roman" w:hAnsi="Times New Roman" w:eastAsia="仿宋_GB2312" w:cs="Times New Roman"/>
                <w:color w:val="000000" w:themeColor="text1"/>
                <w14:textFill>
                  <w14:solidFill>
                    <w14:schemeClr w14:val="tx1"/>
                  </w14:solidFill>
                </w14:textFill>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hint="default" w:ascii="Times New Roman" w:hAnsi="Times New Roman" w:eastAsia="仿宋_GB2312" w:cs="Times New Roman"/>
                <w:color w:val="000000" w:themeColor="text1"/>
                <w14:textFill>
                  <w14:solidFill>
                    <w14:schemeClr w14:val="tx1"/>
                  </w14:solidFill>
                </w14:textFill>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3. 其他</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hint="default" w:ascii="Times New Roman" w:hAnsi="Times New Roman" w:eastAsia="仿宋_GB2312" w:cs="Times New Roman"/>
                <w:color w:val="000000" w:themeColor="text1"/>
                <w14:textFill>
                  <w14:solidFill>
                    <w14:schemeClr w14:val="tx1"/>
                  </w14:solidFill>
                </w14:textFill>
              </w:rPr>
            </w:pPr>
          </w:p>
        </w:tc>
        <w:tc>
          <w:tcPr>
            <w:tcW w:w="3941"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 七） 总计</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四、结转下年度继续办理</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r>
    </w:tbl>
    <w:p>
      <w:pPr>
        <w:widowControl/>
        <w:shd w:val="clear" w:color="auto" w:fill="FFFFFF"/>
        <w:ind w:firstLine="480"/>
        <w:rPr>
          <w:rFonts w:hint="default" w:ascii="Times New Roman" w:hAnsi="Times New Roman" w:eastAsia="仿宋_GB2312" w:cs="Times New Roman"/>
          <w:color w:val="000000" w:themeColor="text1"/>
          <w:kern w:val="0"/>
          <w:sz w:val="24"/>
          <w:szCs w:val="24"/>
          <w14:textFill>
            <w14:solidFill>
              <w14:schemeClr w14:val="tx1"/>
            </w14:solidFill>
          </w14:textFill>
        </w:rPr>
      </w:pPr>
    </w:p>
    <w:p>
      <w:pPr>
        <w:widowControl/>
        <w:numPr>
          <w:ilvl w:val="0"/>
          <w:numId w:val="3"/>
        </w:numPr>
        <w:shd w:val="clear" w:color="auto" w:fill="FFFFFF"/>
        <w:ind w:firstLine="480"/>
        <w:rPr>
          <w:rFonts w:hint="default" w:ascii="Times New Roman" w:hAnsi="Times New Roman" w:eastAsia="仿宋_GB2312" w:cs="Times New Roman"/>
          <w:bCs/>
          <w:color w:val="000000" w:themeColor="text1"/>
          <w:kern w:val="0"/>
          <w:sz w:val="32"/>
          <w:szCs w:val="32"/>
          <w14:textFill>
            <w14:solidFill>
              <w14:schemeClr w14:val="tx1"/>
            </w14:solidFill>
          </w14:textFill>
        </w:rPr>
      </w:pPr>
      <w:r>
        <w:rPr>
          <w:rFonts w:hint="default" w:ascii="Times New Roman" w:hAnsi="Times New Roman" w:eastAsia="仿宋_GB2312" w:cs="Times New Roman"/>
          <w:bCs/>
          <w:color w:val="000000" w:themeColor="text1"/>
          <w:kern w:val="0"/>
          <w:sz w:val="32"/>
          <w:szCs w:val="32"/>
          <w14:textFill>
            <w14:solidFill>
              <w14:schemeClr w14:val="tx1"/>
            </w14:solidFill>
          </w14:textFill>
        </w:rPr>
        <w:t>因政府信息公开工作被申请行政复议、提起行政诉讼情况</w:t>
      </w:r>
    </w:p>
    <w:p>
      <w:pPr>
        <w:widowControl/>
        <w:shd w:val="clear" w:color="auto" w:fill="FFFFFF"/>
        <w:rPr>
          <w:rFonts w:hint="default" w:ascii="Times New Roman" w:hAnsi="Times New Roman" w:eastAsia="仿宋_GB2312" w:cs="Times New Roman"/>
          <w:bCs/>
          <w:color w:val="000000" w:themeColor="text1"/>
          <w:kern w:val="0"/>
          <w:sz w:val="32"/>
          <w:szCs w:val="32"/>
          <w14:textFill>
            <w14:solidFill>
              <w14:schemeClr w14:val="tx1"/>
            </w14:solidFill>
          </w14:textFill>
        </w:rPr>
      </w:pPr>
    </w:p>
    <w:tbl>
      <w:tblPr>
        <w:tblStyle w:val="6"/>
        <w:tblW w:w="89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8"/>
        <w:gridCol w:w="598"/>
        <w:gridCol w:w="598"/>
        <w:gridCol w:w="598"/>
        <w:gridCol w:w="598"/>
        <w:gridCol w:w="598"/>
        <w:gridCol w:w="598"/>
        <w:gridCol w:w="598"/>
        <w:gridCol w:w="598"/>
        <w:gridCol w:w="598"/>
        <w:gridCol w:w="598"/>
        <w:gridCol w:w="598"/>
        <w:gridCol w:w="598"/>
        <w:gridCol w:w="598"/>
        <w:gridCol w:w="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2990"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行政复议</w:t>
            </w:r>
          </w:p>
        </w:tc>
        <w:tc>
          <w:tcPr>
            <w:tcW w:w="5992" w:type="dxa"/>
            <w:gridSpan w:val="10"/>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结果维持</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结果纠正</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其他结果</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尚未审结</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总计</w:t>
            </w:r>
          </w:p>
        </w:tc>
        <w:tc>
          <w:tcPr>
            <w:tcW w:w="2990"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未经复议直接起诉</w:t>
            </w:r>
          </w:p>
        </w:tc>
        <w:tc>
          <w:tcPr>
            <w:tcW w:w="3002"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结果维持</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结果纠正</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其他结果</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尚未审结</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总计</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结果维持</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结果纠正</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其他结果</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尚未审结</w:t>
            </w:r>
          </w:p>
        </w:tc>
        <w:tc>
          <w:tcPr>
            <w:tcW w:w="61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c>
          <w:tcPr>
            <w:tcW w:w="61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0</w:t>
            </w:r>
          </w:p>
        </w:tc>
      </w:tr>
    </w:tbl>
    <w:p>
      <w:pPr>
        <w:widowControl/>
        <w:shd w:val="clear" w:color="auto" w:fill="FFFFFF"/>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p>
      <w:pPr>
        <w:widowControl/>
        <w:shd w:val="clear" w:color="auto" w:fill="FFFFFF"/>
        <w:spacing w:line="560" w:lineRule="exact"/>
        <w:ind w:firstLine="480"/>
        <w:rPr>
          <w:rFonts w:hint="eastAsia"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bCs/>
          <w:color w:val="000000" w:themeColor="text1"/>
          <w:kern w:val="0"/>
          <w:sz w:val="32"/>
          <w:szCs w:val="32"/>
          <w14:textFill>
            <w14:solidFill>
              <w14:schemeClr w14:val="tx1"/>
            </w14:solidFill>
          </w14:textFill>
        </w:rPr>
        <w:t>五、政府信息公开工作存在的主要问题及改进情况</w:t>
      </w:r>
    </w:p>
    <w:p>
      <w:pPr>
        <w:widowControl/>
        <w:shd w:val="clear" w:color="auto" w:fill="FFFFFF"/>
        <w:spacing w:line="560" w:lineRule="exact"/>
        <w:ind w:firstLine="480"/>
        <w:rPr>
          <w:rStyle w:val="9"/>
          <w:rFonts w:hint="default" w:ascii="Times New Roman" w:hAnsi="Times New Roman" w:eastAsia="仿宋_GB2312" w:cs="Times New Roman"/>
          <w:i w:val="0"/>
          <w:iCs w:val="0"/>
          <w:color w:val="000000" w:themeColor="text1"/>
          <w:sz w:val="32"/>
          <w:szCs w:val="32"/>
          <w:shd w:val="clear" w:color="auto" w:fill="FFFFFF"/>
          <w14:textFill>
            <w14:solidFill>
              <w14:schemeClr w14:val="tx1"/>
            </w14:solidFill>
          </w14:textFill>
        </w:rPr>
      </w:pPr>
      <w:r>
        <w:rPr>
          <w:rStyle w:val="9"/>
          <w:rFonts w:hint="default" w:ascii="Times New Roman" w:hAnsi="Times New Roman" w:eastAsia="仿宋_GB2312" w:cs="Times New Roman"/>
          <w:i w:val="0"/>
          <w:iCs w:val="0"/>
          <w:color w:val="000000" w:themeColor="text1"/>
          <w:sz w:val="32"/>
          <w:szCs w:val="32"/>
          <w:shd w:val="clear" w:color="auto" w:fill="FFFFFF"/>
          <w14:textFill>
            <w14:solidFill>
              <w14:schemeClr w14:val="tx1"/>
            </w14:solidFill>
          </w14:textFill>
        </w:rPr>
        <w:t>（一）主要问题</w:t>
      </w:r>
      <w:r>
        <w:rPr>
          <w:rStyle w:val="9"/>
          <w:rFonts w:hint="default" w:ascii="Times New Roman" w:hAnsi="Times New Roman" w:eastAsia="仿宋_GB2312" w:cs="Times New Roman"/>
          <w:i w:val="0"/>
          <w:iCs w:val="0"/>
          <w:color w:val="000000" w:themeColor="text1"/>
          <w:sz w:val="32"/>
          <w:szCs w:val="32"/>
          <w:shd w:val="clear" w:color="auto" w:fill="FFFFFF"/>
          <w:lang w:eastAsia="zh-CN"/>
          <w14:textFill>
            <w14:solidFill>
              <w14:schemeClr w14:val="tx1"/>
            </w14:solidFill>
          </w14:textFill>
        </w:rPr>
        <w:t>。</w:t>
      </w:r>
      <w:r>
        <w:rPr>
          <w:rStyle w:val="9"/>
          <w:rFonts w:hint="default" w:ascii="Times New Roman" w:hAnsi="Times New Roman" w:eastAsia="仿宋_GB2312" w:cs="Times New Roman"/>
          <w:i w:val="0"/>
          <w:iCs w:val="0"/>
          <w:color w:val="000000" w:themeColor="text1"/>
          <w:sz w:val="32"/>
          <w:szCs w:val="32"/>
          <w:shd w:val="clear" w:color="auto" w:fill="FFFFFF"/>
          <w14:textFill>
            <w14:solidFill>
              <w14:schemeClr w14:val="tx1"/>
            </w14:solidFill>
          </w14:textFill>
        </w:rPr>
        <w:t>一是部分科室工作人员政府信息公开意识不强，提供政府公开信息不够及时全面；二是信息公开内容广度和深度还不够；三是政府信息公开人员培训工作需要进一步加强。</w:t>
      </w:r>
    </w:p>
    <w:p>
      <w:pPr>
        <w:widowControl/>
        <w:shd w:val="clear" w:color="auto" w:fill="FFFFFF"/>
        <w:spacing w:line="560" w:lineRule="exact"/>
        <w:ind w:firstLine="480"/>
        <w:rPr>
          <w:rStyle w:val="9"/>
          <w:rFonts w:hint="default" w:ascii="Times New Roman" w:hAnsi="Times New Roman" w:eastAsia="仿宋_GB2312" w:cs="Times New Roman"/>
          <w:i w:val="0"/>
          <w:iCs w:val="0"/>
          <w:color w:val="000000" w:themeColor="text1"/>
          <w:sz w:val="32"/>
          <w:szCs w:val="32"/>
          <w:shd w:val="clear" w:color="auto" w:fill="FFFFFF"/>
          <w14:textFill>
            <w14:solidFill>
              <w14:schemeClr w14:val="tx1"/>
            </w14:solidFill>
          </w14:textFill>
        </w:rPr>
      </w:pPr>
      <w:r>
        <w:rPr>
          <w:rStyle w:val="9"/>
          <w:rFonts w:hint="default" w:ascii="Times New Roman" w:hAnsi="Times New Roman" w:eastAsia="仿宋_GB2312" w:cs="Times New Roman"/>
          <w:i w:val="0"/>
          <w:iCs w:val="0"/>
          <w:color w:val="000000" w:themeColor="text1"/>
          <w:sz w:val="32"/>
          <w:szCs w:val="32"/>
          <w:shd w:val="clear" w:color="auto" w:fill="FFFFFF"/>
          <w14:textFill>
            <w14:solidFill>
              <w14:schemeClr w14:val="tx1"/>
            </w14:solidFill>
          </w14:textFill>
        </w:rPr>
        <w:t>（二）改进措施</w:t>
      </w:r>
      <w:r>
        <w:rPr>
          <w:rStyle w:val="9"/>
          <w:rFonts w:hint="default" w:ascii="Times New Roman" w:hAnsi="Times New Roman" w:eastAsia="仿宋_GB2312" w:cs="Times New Roman"/>
          <w:i w:val="0"/>
          <w:iCs w:val="0"/>
          <w:color w:val="000000" w:themeColor="text1"/>
          <w:sz w:val="32"/>
          <w:szCs w:val="32"/>
          <w:shd w:val="clear" w:color="auto" w:fill="FFFFFF"/>
          <w:lang w:eastAsia="zh-CN"/>
          <w14:textFill>
            <w14:solidFill>
              <w14:schemeClr w14:val="tx1"/>
            </w14:solidFill>
          </w14:textFill>
        </w:rPr>
        <w:t>。</w:t>
      </w:r>
      <w:r>
        <w:rPr>
          <w:rStyle w:val="9"/>
          <w:rFonts w:hint="default" w:ascii="Times New Roman" w:hAnsi="Times New Roman" w:eastAsia="仿宋_GB2312" w:cs="Times New Roman"/>
          <w:i w:val="0"/>
          <w:iCs w:val="0"/>
          <w:color w:val="000000" w:themeColor="text1"/>
          <w:sz w:val="32"/>
          <w:szCs w:val="32"/>
          <w:shd w:val="clear" w:color="auto" w:fill="FFFFFF"/>
          <w14:textFill>
            <w14:solidFill>
              <w14:schemeClr w14:val="tx1"/>
            </w14:solidFill>
          </w14:textFill>
        </w:rPr>
        <w:t>一是提升认识。按照“公开</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为</w:t>
      </w:r>
      <w:r>
        <w:rPr>
          <w:rStyle w:val="9"/>
          <w:rFonts w:hint="default" w:ascii="Times New Roman" w:hAnsi="Times New Roman" w:eastAsia="仿宋_GB2312" w:cs="Times New Roman"/>
          <w:i w:val="0"/>
          <w:iCs w:val="0"/>
          <w:color w:val="000000" w:themeColor="text1"/>
          <w:sz w:val="32"/>
          <w:szCs w:val="32"/>
          <w:shd w:val="clear" w:color="auto" w:fill="FFFFFF"/>
          <w14:textFill>
            <w14:solidFill>
              <w14:schemeClr w14:val="tx1"/>
            </w14:solidFill>
          </w14:textFill>
        </w:rPr>
        <w:t>常态</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、不</w:t>
      </w:r>
      <w:r>
        <w:rPr>
          <w:rStyle w:val="9"/>
          <w:rFonts w:hint="default" w:ascii="Times New Roman" w:hAnsi="Times New Roman" w:eastAsia="仿宋_GB2312" w:cs="Times New Roman"/>
          <w:i w:val="0"/>
          <w:iCs w:val="0"/>
          <w:color w:val="000000" w:themeColor="text1"/>
          <w:sz w:val="32"/>
          <w:szCs w:val="32"/>
          <w:shd w:val="clear" w:color="auto" w:fill="FFFFFF"/>
          <w14:textFill>
            <w14:solidFill>
              <w14:schemeClr w14:val="tx1"/>
            </w14:solidFill>
          </w14:textFill>
        </w:rPr>
        <w:t>公开</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为例外”的原则，提升科室人员对</w:t>
      </w:r>
      <w:r>
        <w:rPr>
          <w:rStyle w:val="9"/>
          <w:rFonts w:hint="default" w:ascii="Times New Roman" w:hAnsi="Times New Roman" w:eastAsia="仿宋_GB2312" w:cs="Times New Roman"/>
          <w:i w:val="0"/>
          <w:iCs w:val="0"/>
          <w:color w:val="000000" w:themeColor="text1"/>
          <w:sz w:val="32"/>
          <w:szCs w:val="32"/>
          <w:shd w:val="clear" w:color="auto" w:fill="FFFFFF"/>
          <w14:textFill>
            <w14:solidFill>
              <w14:schemeClr w14:val="tx1"/>
            </w14:solidFill>
          </w14:textFill>
        </w:rPr>
        <w:t>重点</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政府信息</w:t>
      </w:r>
      <w:r>
        <w:rPr>
          <w:rStyle w:val="9"/>
          <w:rFonts w:hint="default" w:ascii="Times New Roman" w:hAnsi="Times New Roman" w:eastAsia="仿宋_GB2312" w:cs="Times New Roman"/>
          <w:i w:val="0"/>
          <w:iCs w:val="0"/>
          <w:color w:val="000000" w:themeColor="text1"/>
          <w:sz w:val="32"/>
          <w:szCs w:val="32"/>
          <w:shd w:val="clear" w:color="auto" w:fill="FFFFFF"/>
          <w14:textFill>
            <w14:solidFill>
              <w14:schemeClr w14:val="tx1"/>
            </w14:solidFill>
          </w14:textFill>
        </w:rPr>
        <w:t>工作及时公开的意识，持续推进政府信息公开标准化规范化，规范公开流程。二是丰富政府信息公开内容。围绕中心工作，针对社会关心、民众关注的审计工作信息进行重点公开，丰富公开内容，并严格按照程序开展公开工作，提升公开质量。三是强化培训。及时组织相关培训活动，积极引导政务公开业务人员学习相关政策文件精神，开展好政府公开信息的收集、整理工作。</w:t>
      </w:r>
    </w:p>
    <w:p>
      <w:pPr>
        <w:widowControl/>
        <w:shd w:val="clear" w:color="auto" w:fill="FFFFFF"/>
        <w:spacing w:line="560" w:lineRule="exact"/>
        <w:ind w:firstLine="640" w:firstLineChars="200"/>
        <w:rPr>
          <w:rFonts w:hint="eastAsia"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bCs/>
          <w:color w:val="000000" w:themeColor="text1"/>
          <w:kern w:val="0"/>
          <w:sz w:val="32"/>
          <w:szCs w:val="32"/>
          <w14:textFill>
            <w14:solidFill>
              <w14:schemeClr w14:val="tx1"/>
            </w14:solidFill>
          </w14:textFill>
        </w:rPr>
        <w:t>六、其他需要报告的事项</w:t>
      </w:r>
    </w:p>
    <w:p>
      <w:pPr>
        <w:pStyle w:val="5"/>
        <w:shd w:val="clear" w:color="auto" w:fill="FFFFFF"/>
        <w:spacing w:before="0" w:beforeAutospacing="0" w:after="0" w:afterAutospacing="0" w:line="600" w:lineRule="atLeast"/>
        <w:ind w:firstLine="64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1、</w:t>
      </w:r>
      <w:r>
        <w:rPr>
          <w:rFonts w:hint="default" w:ascii="Times New Roman" w:hAnsi="Times New Roman" w:eastAsia="仿宋_GB2312" w:cs="Times New Roman"/>
          <w:color w:val="000000" w:themeColor="text1"/>
          <w:sz w:val="32"/>
          <w:szCs w:val="32"/>
          <w14:textFill>
            <w14:solidFill>
              <w14:schemeClr w14:val="tx1"/>
            </w14:solidFill>
          </w14:textFill>
        </w:rPr>
        <w:t>收取信息处理费情况。</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按照《国务院办公厅关于印发</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政府信息公开信息处理费管理办法</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的通知》（国办函〔2020〕109号）和《山东省人民政府办公厅关于做好政府信息公开信息处理费管理工作有关事项的通知》（鲁政办字〔2020〕179号）收取信息处理费。</w:t>
      </w:r>
      <w:r>
        <w:rPr>
          <w:rFonts w:hint="default" w:ascii="Times New Roman" w:hAnsi="Times New Roman" w:eastAsia="仿宋_GB2312" w:cs="Times New Roman"/>
          <w:color w:val="000000" w:themeColor="text1"/>
          <w:sz w:val="32"/>
          <w:szCs w:val="32"/>
          <w14:textFill>
            <w14:solidFill>
              <w14:schemeClr w14:val="tx1"/>
            </w14:solidFill>
          </w14:textFill>
        </w:rPr>
        <w:t>2022年本机关依申请公开政府信息未收取任何费用。</w:t>
      </w:r>
    </w:p>
    <w:p>
      <w:pPr>
        <w:pStyle w:val="5"/>
        <w:shd w:val="clear" w:color="auto" w:fill="FFFFFF"/>
        <w:spacing w:before="0" w:beforeAutospacing="0" w:after="0" w:afterAutospacing="0" w:line="600" w:lineRule="atLeast"/>
        <w:ind w:firstLine="640"/>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2、落实上级年度政务公开工作要点情况。按照《淄川区人民政府办公室关于印发2022年淄川区政务公开工作实施方案的通知》，</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形成责任分工表，将责任具体到科室，</w:t>
      </w:r>
      <w:r>
        <w:rPr>
          <w:rFonts w:hint="default" w:ascii="Times New Roman" w:hAnsi="Times New Roman" w:eastAsia="仿宋_GB2312" w:cs="Times New Roman"/>
          <w:color w:val="000000" w:themeColor="text1"/>
          <w:sz w:val="32"/>
          <w:szCs w:val="32"/>
          <w14:textFill>
            <w14:solidFill>
              <w14:schemeClr w14:val="tx1"/>
            </w14:solidFill>
          </w14:textFill>
        </w:rPr>
        <w:t>认真做好</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审计领域信息公开工作。加强对政务公开工作的监督检查，不断完善政务信息公开考核机制，强化责任意识，加强工作人员管理，严肃工作纪律，切实提高政务公开工作效能。</w:t>
      </w:r>
    </w:p>
    <w:p>
      <w:pPr>
        <w:pStyle w:val="5"/>
        <w:shd w:val="clear" w:color="auto" w:fill="FFFFFF"/>
        <w:spacing w:before="0" w:beforeAutospacing="0" w:after="0" w:afterAutospacing="0" w:line="600" w:lineRule="atLeast"/>
        <w:ind w:firstLine="640"/>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3、人大代表建议和政协提案办理结果公开情况。淄川区审计局2022年未收到人大政协建议提案，未有上级建议提案办理任务。 </w:t>
      </w:r>
    </w:p>
    <w:p>
      <w:pPr>
        <w:numPr>
          <w:ilvl w:val="0"/>
          <w:numId w:val="0"/>
        </w:numPr>
        <w:ind w:left="0" w:leftChars="0"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4、政务公开工作创新情况</w:t>
      </w:r>
      <w:r>
        <w:rPr>
          <w:rFonts w:hint="eastAsia" w:ascii="Times New Roman" w:hAnsi="Times New Roman" w:eastAsia="楷体_GB2312" w:cs="Times New Roman"/>
          <w:sz w:val="32"/>
          <w:szCs w:val="32"/>
          <w:lang w:val="en-US" w:eastAsia="zh-CN"/>
        </w:rPr>
        <w:t>。</w:t>
      </w:r>
      <w:r>
        <w:rPr>
          <w:rFonts w:hint="default" w:ascii="Times New Roman" w:hAnsi="Times New Roman" w:eastAsia="仿宋_GB2312" w:cs="Times New Roman"/>
          <w:sz w:val="32"/>
          <w:szCs w:val="32"/>
          <w:lang w:val="en-US" w:eastAsia="zh-CN"/>
        </w:rPr>
        <w:t>进一步推动政务公开与审计业务相融合，及时公开相关审计信息。</w:t>
      </w:r>
    </w:p>
    <w:p>
      <w:pPr>
        <w:numPr>
          <w:ilvl w:val="0"/>
          <w:numId w:val="0"/>
        </w:numPr>
        <w:ind w:left="0" w:leftChars="0"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5、年报数据统计需要说明的事项</w:t>
      </w:r>
      <w:r>
        <w:rPr>
          <w:rFonts w:hint="eastAsia" w:ascii="Times New Roman" w:hAnsi="Times New Roman" w:eastAsia="楷体_GB2312" w:cs="Times New Roman"/>
          <w:sz w:val="32"/>
          <w:szCs w:val="32"/>
          <w:lang w:val="en-US" w:eastAsia="zh-CN"/>
        </w:rPr>
        <w:t>。</w:t>
      </w:r>
      <w:r>
        <w:rPr>
          <w:rFonts w:hint="default" w:ascii="Times New Roman" w:hAnsi="Times New Roman" w:eastAsia="仿宋_GB2312" w:cs="Times New Roman"/>
          <w:sz w:val="32"/>
          <w:szCs w:val="32"/>
          <w:lang w:val="en-US" w:eastAsia="zh-CN"/>
        </w:rPr>
        <w:t>无</w:t>
      </w:r>
    </w:p>
    <w:p>
      <w:pPr>
        <w:pStyle w:val="5"/>
        <w:shd w:val="clear" w:color="auto" w:fill="FFFFFF"/>
        <w:spacing w:before="0" w:beforeAutospacing="0" w:after="0" w:afterAutospacing="0" w:line="600" w:lineRule="atLeast"/>
        <w:ind w:firstLine="640"/>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p>
    <w:p>
      <w:pPr>
        <w:widowControl/>
        <w:shd w:val="clear" w:color="auto" w:fill="FFFFFF"/>
        <w:spacing w:line="560" w:lineRule="exact"/>
        <w:ind w:firstLine="480"/>
        <w:jc w:val="right"/>
        <w:rPr>
          <w:rFonts w:hint="default" w:ascii="Times New Roman" w:hAnsi="Times New Roman" w:eastAsia="仿宋_GB2312" w:cs="Times New Roman"/>
          <w:color w:val="000000" w:themeColor="text1"/>
          <w:kern w:val="0"/>
          <w:sz w:val="32"/>
          <w:szCs w:val="32"/>
          <w14:textFill>
            <w14:solidFill>
              <w14:schemeClr w14:val="tx1"/>
            </w14:solidFill>
          </w14:textFill>
        </w:rPr>
      </w:pPr>
    </w:p>
    <w:p>
      <w:pPr>
        <w:widowControl/>
        <w:shd w:val="clear" w:color="auto" w:fill="FFFFFF"/>
        <w:spacing w:line="560" w:lineRule="exact"/>
        <w:ind w:firstLine="480"/>
        <w:jc w:val="right"/>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淄川区审计局</w:t>
      </w:r>
    </w:p>
    <w:p>
      <w:pPr>
        <w:widowControl/>
        <w:shd w:val="clear" w:color="auto" w:fill="FFFFFF"/>
        <w:spacing w:line="560" w:lineRule="exact"/>
        <w:ind w:firstLine="480"/>
        <w:jc w:val="right"/>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2023年1月12日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79F83E"/>
    <w:multiLevelType w:val="singleLevel"/>
    <w:tmpl w:val="9979F83E"/>
    <w:lvl w:ilvl="0" w:tentative="0">
      <w:start w:val="4"/>
      <w:numFmt w:val="chineseCounting"/>
      <w:suff w:val="nothing"/>
      <w:lvlText w:val="%1、"/>
      <w:lvlJc w:val="left"/>
      <w:rPr>
        <w:rFonts w:hint="eastAsia"/>
      </w:rPr>
    </w:lvl>
  </w:abstractNum>
  <w:abstractNum w:abstractNumId="1">
    <w:nsid w:val="2B6B5B65"/>
    <w:multiLevelType w:val="singleLevel"/>
    <w:tmpl w:val="2B6B5B65"/>
    <w:lvl w:ilvl="0" w:tentative="0">
      <w:start w:val="2"/>
      <w:numFmt w:val="chineseCounting"/>
      <w:suff w:val="nothing"/>
      <w:lvlText w:val="%1、"/>
      <w:lvlJc w:val="left"/>
      <w:rPr>
        <w:rFonts w:hint="eastAsia"/>
      </w:rPr>
    </w:lvl>
  </w:abstractNum>
  <w:abstractNum w:abstractNumId="2">
    <w:nsid w:val="31956A0A"/>
    <w:multiLevelType w:val="multilevel"/>
    <w:tmpl w:val="31956A0A"/>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FhN2Y2MDg4OWRkMDhiZTZlMTc4MDJmYmE4NDg4YjEifQ=="/>
  </w:docVars>
  <w:rsids>
    <w:rsidRoot w:val="00C82C11"/>
    <w:rsid w:val="00032ADB"/>
    <w:rsid w:val="00033ECC"/>
    <w:rsid w:val="00073E26"/>
    <w:rsid w:val="000A5E54"/>
    <w:rsid w:val="000F1F70"/>
    <w:rsid w:val="000F2BD8"/>
    <w:rsid w:val="001255D6"/>
    <w:rsid w:val="001326CD"/>
    <w:rsid w:val="0013522D"/>
    <w:rsid w:val="00163054"/>
    <w:rsid w:val="001B00E4"/>
    <w:rsid w:val="001C77A4"/>
    <w:rsid w:val="001F5D87"/>
    <w:rsid w:val="00211ED9"/>
    <w:rsid w:val="00243501"/>
    <w:rsid w:val="002511E2"/>
    <w:rsid w:val="00266E38"/>
    <w:rsid w:val="00287F1A"/>
    <w:rsid w:val="002B5A0E"/>
    <w:rsid w:val="002E4C4C"/>
    <w:rsid w:val="00304220"/>
    <w:rsid w:val="00354858"/>
    <w:rsid w:val="00380DBA"/>
    <w:rsid w:val="003B3EA9"/>
    <w:rsid w:val="00411E1D"/>
    <w:rsid w:val="00452694"/>
    <w:rsid w:val="004542C9"/>
    <w:rsid w:val="00490E85"/>
    <w:rsid w:val="004C75BC"/>
    <w:rsid w:val="005115F6"/>
    <w:rsid w:val="005828B3"/>
    <w:rsid w:val="005C34DC"/>
    <w:rsid w:val="005D5E17"/>
    <w:rsid w:val="005E5006"/>
    <w:rsid w:val="00643861"/>
    <w:rsid w:val="006714E3"/>
    <w:rsid w:val="00671643"/>
    <w:rsid w:val="0067262F"/>
    <w:rsid w:val="006C0DA2"/>
    <w:rsid w:val="006C2D7E"/>
    <w:rsid w:val="006C56E7"/>
    <w:rsid w:val="006D618A"/>
    <w:rsid w:val="006F11D3"/>
    <w:rsid w:val="0072342B"/>
    <w:rsid w:val="00763F1D"/>
    <w:rsid w:val="007706E2"/>
    <w:rsid w:val="00797625"/>
    <w:rsid w:val="007C57D0"/>
    <w:rsid w:val="007D388A"/>
    <w:rsid w:val="007F1FF8"/>
    <w:rsid w:val="00815A3C"/>
    <w:rsid w:val="008328F2"/>
    <w:rsid w:val="00886FF2"/>
    <w:rsid w:val="008D0481"/>
    <w:rsid w:val="008D52E0"/>
    <w:rsid w:val="008F3FE1"/>
    <w:rsid w:val="0090450C"/>
    <w:rsid w:val="009134D9"/>
    <w:rsid w:val="009400D8"/>
    <w:rsid w:val="00945055"/>
    <w:rsid w:val="009458DC"/>
    <w:rsid w:val="009A1034"/>
    <w:rsid w:val="009A450A"/>
    <w:rsid w:val="009A68DB"/>
    <w:rsid w:val="009D0384"/>
    <w:rsid w:val="009E4873"/>
    <w:rsid w:val="00A31674"/>
    <w:rsid w:val="00A414B7"/>
    <w:rsid w:val="00A43731"/>
    <w:rsid w:val="00A7395B"/>
    <w:rsid w:val="00A96E2C"/>
    <w:rsid w:val="00AB4A8E"/>
    <w:rsid w:val="00AC1195"/>
    <w:rsid w:val="00AE154C"/>
    <w:rsid w:val="00B15F7B"/>
    <w:rsid w:val="00B234B1"/>
    <w:rsid w:val="00B410E2"/>
    <w:rsid w:val="00B43A1F"/>
    <w:rsid w:val="00B52BBF"/>
    <w:rsid w:val="00B57D4A"/>
    <w:rsid w:val="00B6208E"/>
    <w:rsid w:val="00B85878"/>
    <w:rsid w:val="00B86A26"/>
    <w:rsid w:val="00BB3D68"/>
    <w:rsid w:val="00BF3DAD"/>
    <w:rsid w:val="00C101AF"/>
    <w:rsid w:val="00C14961"/>
    <w:rsid w:val="00C45997"/>
    <w:rsid w:val="00C4722D"/>
    <w:rsid w:val="00C578B8"/>
    <w:rsid w:val="00C6773B"/>
    <w:rsid w:val="00C7713E"/>
    <w:rsid w:val="00C82C11"/>
    <w:rsid w:val="00CD239E"/>
    <w:rsid w:val="00CF09E4"/>
    <w:rsid w:val="00D111BE"/>
    <w:rsid w:val="00D202F0"/>
    <w:rsid w:val="00D22AFC"/>
    <w:rsid w:val="00D27BF1"/>
    <w:rsid w:val="00D66EB2"/>
    <w:rsid w:val="00D84C28"/>
    <w:rsid w:val="00DA5C12"/>
    <w:rsid w:val="00DF7E8E"/>
    <w:rsid w:val="00E1328D"/>
    <w:rsid w:val="00E13BEA"/>
    <w:rsid w:val="00E55811"/>
    <w:rsid w:val="00E603B4"/>
    <w:rsid w:val="00EA2708"/>
    <w:rsid w:val="00EF4F0B"/>
    <w:rsid w:val="00F01AB1"/>
    <w:rsid w:val="00F541B9"/>
    <w:rsid w:val="00FF538D"/>
    <w:rsid w:val="03F05962"/>
    <w:rsid w:val="156B3B06"/>
    <w:rsid w:val="205F667C"/>
    <w:rsid w:val="226A6373"/>
    <w:rsid w:val="28350EE0"/>
    <w:rsid w:val="2BCF3D57"/>
    <w:rsid w:val="35874472"/>
    <w:rsid w:val="3D036550"/>
    <w:rsid w:val="3D4758C4"/>
    <w:rsid w:val="44B42D14"/>
    <w:rsid w:val="47222EC2"/>
    <w:rsid w:val="4A1F0512"/>
    <w:rsid w:val="560F62ED"/>
    <w:rsid w:val="63913B8C"/>
    <w:rsid w:val="6DE32618"/>
    <w:rsid w:val="71D81E6B"/>
    <w:rsid w:val="78DC2D0E"/>
    <w:rsid w:val="7A4723A8"/>
    <w:rsid w:val="7C6C13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Emphasis"/>
    <w:basedOn w:val="8"/>
    <w:qFormat/>
    <w:uiPriority w:val="20"/>
    <w:rPr>
      <w:i/>
      <w:iCs/>
    </w:rPr>
  </w:style>
  <w:style w:type="paragraph" w:styleId="10">
    <w:name w:val="List Paragraph"/>
    <w:basedOn w:val="1"/>
    <w:qFormat/>
    <w:uiPriority w:val="34"/>
    <w:pPr>
      <w:ind w:firstLine="420" w:firstLineChars="200"/>
    </w:pPr>
  </w:style>
  <w:style w:type="character" w:customStyle="1" w:styleId="11">
    <w:name w:val="页眉 字符"/>
    <w:basedOn w:val="8"/>
    <w:link w:val="4"/>
    <w:qFormat/>
    <w:uiPriority w:val="99"/>
    <w:rPr>
      <w:rFonts w:ascii="Calibri" w:hAnsi="Calibri" w:eastAsia="宋体" w:cs="Times New Roman"/>
      <w:sz w:val="18"/>
      <w:szCs w:val="18"/>
    </w:rPr>
  </w:style>
  <w:style w:type="character" w:customStyle="1" w:styleId="12">
    <w:name w:val="页脚 字符"/>
    <w:basedOn w:val="8"/>
    <w:link w:val="3"/>
    <w:qFormat/>
    <w:uiPriority w:val="99"/>
    <w:rPr>
      <w:rFonts w:ascii="Calibri" w:hAnsi="Calibri" w:eastAsia="宋体" w:cs="Times New Roman"/>
      <w:sz w:val="18"/>
      <w:szCs w:val="18"/>
    </w:rPr>
  </w:style>
  <w:style w:type="character" w:customStyle="1" w:styleId="13">
    <w:name w:val="批注框文本 字符"/>
    <w:basedOn w:val="8"/>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2334</Words>
  <Characters>2405</Characters>
  <Lines>20</Lines>
  <Paragraphs>5</Paragraphs>
  <TotalTime>0</TotalTime>
  <ScaleCrop>false</ScaleCrop>
  <LinksUpToDate>false</LinksUpToDate>
  <CharactersWithSpaces>2444</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2021-01-26T09:23:00Z</dcterms:created>
  <dc:creator>Administrator</dc:creator>
  <cp:lastModifiedBy>银杏果</cp:lastModifiedBy>
  <cp:lastPrinted>2023-01-13T08:30:00Z</cp:lastPrinted>
  <dcterms:modified xsi:type="dcterms:W3CDTF">2023-02-13T01:34:05Z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F184D45F2F72450EAC8479B6FAEB26E7</vt:lpwstr>
  </property>
</Properties>
</file>