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hd w:val="clear" w:color="auto" w:fill="FFFFFF" w:themeFill="background1"/>
        <w:spacing w:line="560" w:lineRule="exact"/>
        <w:jc w:val="center"/>
        <w:rPr>
          <w:rFonts w:hint="eastAsia" w:ascii="仿宋_GB2312" w:hAnsi="仿宋_GB2312" w:eastAsia="仿宋_GB2312" w:cs="仿宋_GB2312"/>
          <w:bCs/>
          <w:kern w:val="0"/>
          <w:sz w:val="44"/>
          <w:szCs w:val="44"/>
        </w:rPr>
      </w:pPr>
      <w:r>
        <w:rPr>
          <w:rFonts w:hint="eastAsia" w:ascii="仿宋_GB2312" w:hAnsi="仿宋_GB2312" w:eastAsia="仿宋_GB2312" w:cs="仿宋_GB2312"/>
          <w:bCs/>
          <w:kern w:val="0"/>
          <w:sz w:val="44"/>
          <w:szCs w:val="44"/>
          <w:lang w:val="en-US" w:eastAsia="zh-CN"/>
        </w:rPr>
        <w:t>淄博市</w:t>
      </w:r>
      <w:r>
        <w:rPr>
          <w:rFonts w:hint="eastAsia" w:ascii="仿宋_GB2312" w:hAnsi="仿宋_GB2312" w:eastAsia="仿宋_GB2312" w:cs="仿宋_GB2312"/>
          <w:bCs/>
          <w:kern w:val="0"/>
          <w:sz w:val="44"/>
          <w:szCs w:val="44"/>
        </w:rPr>
        <w:t>淄川区水利局</w:t>
      </w:r>
    </w:p>
    <w:p>
      <w:pPr>
        <w:widowControl/>
        <w:shd w:val="clear" w:color="auto" w:fill="FFFFFF" w:themeFill="background1"/>
        <w:spacing w:line="560" w:lineRule="exact"/>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bCs/>
          <w:kern w:val="0"/>
          <w:sz w:val="44"/>
          <w:szCs w:val="44"/>
        </w:rPr>
        <w:t>20</w:t>
      </w:r>
      <w:r>
        <w:rPr>
          <w:rFonts w:hint="eastAsia" w:ascii="仿宋_GB2312" w:hAnsi="仿宋_GB2312" w:eastAsia="仿宋_GB2312" w:cs="仿宋_GB2312"/>
          <w:bCs/>
          <w:kern w:val="0"/>
          <w:sz w:val="44"/>
          <w:szCs w:val="44"/>
          <w:lang w:val="en-US" w:eastAsia="zh-CN"/>
        </w:rPr>
        <w:t>23</w:t>
      </w:r>
      <w:r>
        <w:rPr>
          <w:rFonts w:hint="eastAsia" w:ascii="仿宋_GB2312" w:hAnsi="仿宋_GB2312" w:eastAsia="仿宋_GB2312" w:cs="仿宋_GB2312"/>
          <w:bCs/>
          <w:kern w:val="0"/>
          <w:sz w:val="44"/>
          <w:szCs w:val="44"/>
        </w:rPr>
        <w:t>年政府信息公开工作年度报告</w:t>
      </w:r>
    </w:p>
    <w:p>
      <w:pPr>
        <w:shd w:val="clear" w:fill="FFFFFF" w:themeFill="background1"/>
        <w:rPr>
          <w:rFonts w:hint="eastAsia" w:ascii="仿宋_GB2312" w:hAnsi="仿宋_GB2312" w:eastAsia="仿宋_GB2312" w:cs="仿宋_GB2312"/>
        </w:rPr>
      </w:pPr>
    </w:p>
    <w:p>
      <w:pPr>
        <w:pStyle w:val="5"/>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本年度报告中所列数据的统计期限自2023年1月1日起，至2023年12月31日止。如对报告内容有疑问，请与淄博市淄川区水利局联系（地址：淄川区城里大街503号；邮编：255100；电话：0533-5280017；电子邮箱：</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fldChar w:fldCharType="begin"/>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instrText xml:space="preserve"> HYPERLINK "mailto:xxx@xxx.com）。" </w:instrTex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fldChar w:fldCharType="separate"/>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swjbgs@zb.shandong.cn）。</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fldChar w:fldCharType="end"/>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eastAsia="zh-CN"/>
        </w:rPr>
      </w:pPr>
      <w:r>
        <w:rPr>
          <w:rFonts w:hint="eastAsia" w:ascii="仿宋_GB2312" w:hAnsi="仿宋_GB2312" w:eastAsia="仿宋_GB2312" w:cs="仿宋_GB2312"/>
          <w:spacing w:val="15"/>
          <w:kern w:val="0"/>
          <w:sz w:val="32"/>
          <w:szCs w:val="32"/>
          <w:lang w:eastAsia="zh-CN"/>
        </w:rPr>
        <w:t>一、总体情况</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2023年，区水利局全面</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贯彻落实区委、区政府统一部署和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color w:val="auto"/>
          <w:kern w:val="0"/>
          <w:sz w:val="32"/>
          <w:szCs w:val="32"/>
          <w:highlight w:val="none"/>
        </w:rPr>
        <w:t>淄川区人民政府办公室关于印发2023年淄川区政务公开工作方案的通知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》要求，持续推进政府信息公开工作体系建设，结合本单位实际，扎实做好政府信息公开工作，</w:t>
      </w:r>
      <w:r>
        <w:rPr>
          <w:rFonts w:hint="eastAsia" w:ascii="仿宋_GB2312" w:hAnsi="仿宋_GB2312" w:eastAsia="仿宋_GB2312" w:cs="仿宋_GB2312"/>
          <w:color w:val="auto"/>
          <w:kern w:val="0"/>
          <w:sz w:val="32"/>
          <w:szCs w:val="32"/>
          <w:highlight w:val="none"/>
        </w:rPr>
        <w:t>以公开促落实、促规范、促服务，切实保障人民群众的知情权、参与权、监督权和表达权。</w:t>
      </w:r>
    </w:p>
    <w:p>
      <w:pPr>
        <w:pStyle w:val="10"/>
        <w:shd w:val="clear" w:fill="FFFFFF" w:themeFill="background1"/>
        <w:rPr>
          <w:rFonts w:hint="eastAsia" w:ascii="仿宋_GB2312" w:hAnsi="仿宋_GB2312" w:eastAsia="仿宋_GB2312" w:cs="仿宋_GB231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1、主动公开方面</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，淄川区水利局</w:t>
      </w:r>
      <w:r>
        <w:rPr>
          <w:rFonts w:hint="eastAsia" w:ascii="仿宋_GB2312" w:hAnsi="仿宋_GB2312" w:eastAsia="仿宋_GB2312" w:cs="仿宋_GB2312"/>
          <w:sz w:val="32"/>
          <w:szCs w:val="32"/>
        </w:rPr>
        <w:t>主动公开政府信息</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条。公开类别:机构职能类3条，政策文件类</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条，规划计划类1条，重要部署执行类6条;建议提案类10条;财政信息类</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条;应急管理类1条，行政执法公示类</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条;生态环境类12条;河长制工作情况2条;双随机一公开类</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条，政府信息公开指南类1条;政府信息主动公开目录1条，基层政务公开标准化目录2条，政府信息公开年度报告1条，政务公开组织管理类3条，法治政府建设年度报告1条，其他类3条。</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依申请公开工作方面</w:t>
      </w:r>
    </w:p>
    <w:p>
      <w:pPr>
        <w:pStyle w:val="5"/>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2023年，淄川区水利局无依申请公开信息情况，</w:t>
      </w:r>
      <w:r>
        <w:rPr>
          <w:rFonts w:hint="eastAsia" w:ascii="仿宋_GB2312" w:hAnsi="仿宋_GB2312" w:eastAsia="仿宋_GB2312" w:cs="仿宋_GB2312"/>
          <w:i w:val="0"/>
          <w:iCs w:val="0"/>
          <w:caps w:val="0"/>
          <w:color w:val="000000"/>
          <w:spacing w:val="0"/>
          <w:sz w:val="32"/>
          <w:szCs w:val="32"/>
          <w:shd w:val="clear" w:fill="FFFFFF"/>
        </w:rPr>
        <w:t>无行政复议和行政诉讼情况发生。</w:t>
      </w:r>
    </w:p>
    <w:p>
      <w:pPr>
        <w:pStyle w:val="10"/>
        <w:numPr>
          <w:ilvl w:val="0"/>
          <w:numId w:val="1"/>
        </w:numPr>
        <w:shd w:val="clear" w:fill="FFFFFF" w:themeFill="background1"/>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政府信息管理方面</w:t>
      </w:r>
    </w:p>
    <w:p>
      <w:pPr>
        <w:pStyle w:val="10"/>
        <w:numPr>
          <w:ilvl w:val="0"/>
          <w:numId w:val="0"/>
        </w:numPr>
        <w:shd w:val="clear" w:fill="FFFFFF" w:themeFill="background1"/>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2023年，淄川区水利局政府信息公开平台涵盖</w:t>
      </w:r>
      <w:r>
        <w:rPr>
          <w:rFonts w:hint="eastAsia" w:ascii="仿宋_GB2312" w:hAnsi="仿宋_GB2312" w:eastAsia="仿宋_GB2312" w:cs="仿宋_GB2312"/>
          <w:i w:val="0"/>
          <w:iCs w:val="0"/>
          <w:caps w:val="0"/>
          <w:color w:val="000000"/>
          <w:spacing w:val="0"/>
          <w:sz w:val="32"/>
          <w:szCs w:val="32"/>
          <w:shd w:val="clear" w:fill="FFFFFF"/>
        </w:rPr>
        <w:t>机构</w:t>
      </w:r>
      <w:r>
        <w:rPr>
          <w:rFonts w:hint="eastAsia" w:ascii="仿宋_GB2312" w:hAnsi="仿宋_GB2312" w:eastAsia="仿宋_GB2312" w:cs="仿宋_GB2312"/>
          <w:i w:val="0"/>
          <w:iCs w:val="0"/>
          <w:caps w:val="0"/>
          <w:color w:val="000000"/>
          <w:spacing w:val="0"/>
          <w:sz w:val="32"/>
          <w:szCs w:val="32"/>
          <w:shd w:val="clear" w:fill="FFFFFF"/>
          <w:lang w:eastAsia="zh-CN"/>
        </w:rPr>
        <w:t>职能</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政策</w:t>
      </w:r>
      <w:r>
        <w:rPr>
          <w:rFonts w:hint="eastAsia" w:ascii="仿宋_GB2312" w:hAnsi="仿宋_GB2312" w:eastAsia="仿宋_GB2312" w:cs="仿宋_GB2312"/>
          <w:i w:val="0"/>
          <w:iCs w:val="0"/>
          <w:caps w:val="0"/>
          <w:color w:val="000000"/>
          <w:spacing w:val="0"/>
          <w:sz w:val="32"/>
          <w:szCs w:val="32"/>
          <w:shd w:val="clear" w:fill="FFFFFF"/>
        </w:rPr>
        <w:t>文件、</w:t>
      </w:r>
      <w:r>
        <w:rPr>
          <w:rFonts w:hint="eastAsia" w:ascii="仿宋_GB2312" w:hAnsi="仿宋_GB2312" w:eastAsia="仿宋_GB2312" w:cs="仿宋_GB2312"/>
          <w:i w:val="0"/>
          <w:iCs w:val="0"/>
          <w:caps w:val="0"/>
          <w:color w:val="000000"/>
          <w:spacing w:val="0"/>
          <w:sz w:val="32"/>
          <w:szCs w:val="32"/>
          <w:shd w:val="clear" w:fill="FFFFFF"/>
          <w:lang w:eastAsia="zh-CN"/>
        </w:rPr>
        <w:t>重要部署执行</w:t>
      </w:r>
      <w:r>
        <w:rPr>
          <w:rFonts w:hint="eastAsia" w:ascii="仿宋_GB2312" w:hAnsi="仿宋_GB2312" w:eastAsia="仿宋_GB2312" w:cs="仿宋_GB2312"/>
          <w:i w:val="0"/>
          <w:iCs w:val="0"/>
          <w:caps w:val="0"/>
          <w:color w:val="000000"/>
          <w:spacing w:val="0"/>
          <w:sz w:val="32"/>
          <w:szCs w:val="32"/>
          <w:shd w:val="clear" w:fill="FFFFFF"/>
        </w:rPr>
        <w:t>、财政预决算、</w:t>
      </w:r>
      <w:r>
        <w:rPr>
          <w:rFonts w:hint="eastAsia" w:ascii="仿宋_GB2312" w:hAnsi="仿宋_GB2312" w:eastAsia="仿宋_GB2312" w:cs="仿宋_GB2312"/>
          <w:i w:val="0"/>
          <w:iCs w:val="0"/>
          <w:caps w:val="0"/>
          <w:color w:val="000000"/>
          <w:spacing w:val="0"/>
          <w:sz w:val="32"/>
          <w:szCs w:val="32"/>
          <w:shd w:val="clear" w:fill="FFFFFF"/>
          <w:lang w:eastAsia="zh-CN"/>
        </w:rPr>
        <w:t>饮用水安全、河长制工作情况、</w:t>
      </w:r>
      <w:r>
        <w:rPr>
          <w:rFonts w:hint="eastAsia" w:ascii="仿宋_GB2312" w:hAnsi="仿宋_GB2312" w:eastAsia="仿宋_GB2312" w:cs="仿宋_GB2312"/>
          <w:i w:val="0"/>
          <w:iCs w:val="0"/>
          <w:caps w:val="0"/>
          <w:color w:val="000000"/>
          <w:spacing w:val="0"/>
          <w:sz w:val="32"/>
          <w:szCs w:val="32"/>
          <w:shd w:val="clear" w:fill="FFFFFF"/>
        </w:rPr>
        <w:t>人大代表建议和政协提案等</w:t>
      </w:r>
      <w:r>
        <w:rPr>
          <w:rFonts w:hint="eastAsia" w:ascii="仿宋_GB2312" w:hAnsi="仿宋_GB2312" w:eastAsia="仿宋_GB2312" w:cs="仿宋_GB2312"/>
          <w:i w:val="0"/>
          <w:iCs w:val="0"/>
          <w:caps w:val="0"/>
          <w:color w:val="000000"/>
          <w:spacing w:val="0"/>
          <w:sz w:val="32"/>
          <w:szCs w:val="32"/>
          <w:shd w:val="clear" w:fill="FFFFFF"/>
          <w:lang w:eastAsia="zh-CN"/>
        </w:rPr>
        <w:t>目录。</w:t>
      </w:r>
      <w:r>
        <w:rPr>
          <w:rFonts w:hint="eastAsia" w:ascii="仿宋_GB2312" w:hAnsi="仿宋_GB2312" w:eastAsia="仿宋_GB2312" w:cs="仿宋_GB2312"/>
          <w:sz w:val="32"/>
          <w:szCs w:val="32"/>
          <w:lang w:val="en-US" w:eastAsia="zh-CN"/>
        </w:rPr>
        <w:t>严格落实党内规范性文件管理制度，将中共淄川区水利局党组于</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sz w:val="32"/>
          <w:szCs w:val="32"/>
          <w:lang w:val="en-US" w:eastAsia="zh-CN"/>
        </w:rPr>
        <w:t>日印发的《中共淄川区水利局党组关于调整印发&lt;淄川区水利局“三重一大”决策议事细则的通知》和备案说明一式</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份报请区委备案。</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平台建设方面</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政府信息公开平台，在规定时限内及时公开各类信息。持续推进政务新媒体建设，充分发挥政务新媒体推介宣传作用，截至目前，“淄川水利”微信公众号关注人数280余人，全年发布图文、视频资料160条，并安排专人进行网站及微信公众号的信息发布及日常维护。</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监督保障方面</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严格落实政府信息管理监督考核实施细则，组织安排政务公开工作人员参加业务培训，提升工作人员业务能力。并定期对我局政府信息公开情况按期进行自查，确保已公开的政府信息及时、准确。</w:t>
      </w:r>
    </w:p>
    <w:p>
      <w:pPr>
        <w:keepNext w:val="0"/>
        <w:keepLines w:val="0"/>
        <w:pageBreakBefore w:val="0"/>
        <w:widowControl w:val="0"/>
        <w:numPr>
          <w:ilvl w:val="0"/>
          <w:numId w:val="2"/>
        </w:numPr>
        <w:shd w:val="clear" w:fill="FFFFFF" w:themeFill="background1"/>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主动公开政府信息情况</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shd w:val="clear" w:fill="FFFFFF" w:themeFill="background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本年</w:t>
            </w:r>
            <w:r>
              <w:rPr>
                <w:rFonts w:hint="eastAsia" w:ascii="仿宋_GB2312" w:hAnsi="仿宋_GB2312" w:eastAsia="仿宋_GB2312" w:cs="仿宋_GB2312"/>
                <w:sz w:val="24"/>
                <w:szCs w:val="24"/>
                <w:lang w:eastAsia="zh-CN"/>
              </w:rPr>
              <w:t>制发件数</w:t>
            </w:r>
          </w:p>
        </w:tc>
        <w:tc>
          <w:tcPr>
            <w:tcW w:w="2030" w:type="dxa"/>
            <w:vAlign w:val="center"/>
          </w:tcPr>
          <w:p>
            <w:pPr>
              <w:shd w:val="clear" w:fill="FFFFFF" w:themeFill="background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本年</w:t>
            </w:r>
            <w:r>
              <w:rPr>
                <w:rFonts w:hint="eastAsia" w:ascii="仿宋_GB2312" w:hAnsi="仿宋_GB2312" w:eastAsia="仿宋_GB2312" w:cs="仿宋_GB2312"/>
                <w:sz w:val="24"/>
                <w:szCs w:val="24"/>
                <w:lang w:eastAsia="zh-CN"/>
              </w:rPr>
              <w:t>废止件数</w:t>
            </w:r>
          </w:p>
        </w:tc>
        <w:tc>
          <w:tcPr>
            <w:tcW w:w="2222" w:type="dxa"/>
            <w:vAlign w:val="center"/>
          </w:tcPr>
          <w:p>
            <w:pPr>
              <w:shd w:val="clear" w:fill="FFFFFF" w:themeFill="background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shd w:val="clear" w:fill="FFFFFF" w:themeFill="background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规章</w:t>
            </w:r>
          </w:p>
        </w:tc>
        <w:tc>
          <w:tcPr>
            <w:tcW w:w="1985" w:type="dxa"/>
            <w:vAlign w:val="center"/>
          </w:tcPr>
          <w:p>
            <w:pPr>
              <w:shd w:val="clear" w:fill="FFFFFF" w:themeFill="background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030" w:type="dxa"/>
            <w:vAlign w:val="center"/>
          </w:tcPr>
          <w:p>
            <w:pPr>
              <w:shd w:val="clear" w:fill="FFFFFF" w:themeFill="background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222" w:type="dxa"/>
            <w:vAlign w:val="center"/>
          </w:tcPr>
          <w:p>
            <w:pPr>
              <w:shd w:val="clear" w:fill="FFFFFF" w:themeFill="background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shd w:val="clear" w:fill="FFFFFF" w:themeFill="background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1985" w:type="dxa"/>
            <w:vAlign w:val="center"/>
          </w:tcPr>
          <w:p>
            <w:pPr>
              <w:shd w:val="clear" w:fill="FFFFFF" w:themeFill="background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030" w:type="dxa"/>
            <w:vAlign w:val="center"/>
          </w:tcPr>
          <w:p>
            <w:pPr>
              <w:shd w:val="clear" w:fill="FFFFFF" w:themeFill="background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222" w:type="dxa"/>
            <w:vAlign w:val="center"/>
          </w:tcPr>
          <w:p>
            <w:pPr>
              <w:shd w:val="clear" w:fill="FFFFFF" w:themeFill="background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shd w:val="clear" w:fill="FFFFFF" w:themeFill="background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本年</w:t>
            </w:r>
            <w:r>
              <w:rPr>
                <w:rFonts w:hint="eastAsia" w:ascii="仿宋_GB2312" w:hAnsi="仿宋_GB2312" w:eastAsia="仿宋_GB2312" w:cs="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shd w:val="clear" w:fill="FFFFFF" w:themeFill="background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shd w:val="clear" w:fill="FFFFFF" w:themeFill="background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shd w:val="clear" w:fill="FFFFFF" w:themeFill="background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shd w:val="clear" w:fill="FFFFFF" w:themeFill="background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行政事业性收费</w:t>
            </w:r>
          </w:p>
        </w:tc>
        <w:tc>
          <w:tcPr>
            <w:tcW w:w="6237" w:type="dxa"/>
            <w:gridSpan w:val="3"/>
            <w:vAlign w:val="center"/>
          </w:tcPr>
          <w:p>
            <w:pPr>
              <w:shd w:val="clear" w:fill="FFFFFF" w:themeFill="background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widowControl/>
        <w:numPr>
          <w:ilvl w:val="0"/>
          <w:numId w:val="2"/>
        </w:numPr>
        <w:shd w:val="clear" w:color="auto" w:fill="FFFFFF" w:themeFill="background1"/>
        <w:spacing w:after="240" w:line="560" w:lineRule="exact"/>
        <w:ind w:left="420" w:leftChars="200" w:firstLine="0" w:firstLineChars="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收到和处理政府信息公开申请情况</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12"/>
        <w:gridCol w:w="3239"/>
        <w:gridCol w:w="623"/>
        <w:gridCol w:w="623"/>
        <w:gridCol w:w="623"/>
        <w:gridCol w:w="623"/>
        <w:gridCol w:w="623"/>
        <w:gridCol w:w="623"/>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（本列数据的勾稽关系为：第一项加第二项之和，等于第三项加第四项之和）</w:t>
            </w:r>
          </w:p>
        </w:tc>
        <w:tc>
          <w:tcPr>
            <w:tcW w:w="4365" w:type="dxa"/>
            <w:gridSpan w:val="7"/>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vAlign w:val="center"/>
          </w:tcPr>
          <w:p>
            <w:pPr>
              <w:shd w:val="clear" w:fill="FFFFFF" w:themeFill="background1"/>
              <w:jc w:val="left"/>
              <w:rPr>
                <w:rFonts w:hint="eastAsia" w:ascii="仿宋_GB2312" w:hAnsi="仿宋_GB2312" w:eastAsia="仿宋_GB2312" w:cs="仿宋_GB2312"/>
              </w:rPr>
            </w:pPr>
          </w:p>
        </w:tc>
        <w:tc>
          <w:tcPr>
            <w:tcW w:w="623" w:type="dxa"/>
            <w:vMerge w:val="restart"/>
            <w:vAlign w:val="center"/>
          </w:tcPr>
          <w:p>
            <w:pPr>
              <w:shd w:val="clear" w:fill="FFFFFF" w:themeFill="background1"/>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自然人</w:t>
            </w:r>
          </w:p>
        </w:tc>
        <w:tc>
          <w:tcPr>
            <w:tcW w:w="3115" w:type="dxa"/>
            <w:gridSpan w:val="5"/>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rPr>
              <w:t>法人或其他组织</w:t>
            </w:r>
          </w:p>
        </w:tc>
        <w:tc>
          <w:tcPr>
            <w:tcW w:w="627" w:type="dxa"/>
            <w:vMerge w:val="restart"/>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vAlign w:val="center"/>
          </w:tcPr>
          <w:p>
            <w:pPr>
              <w:shd w:val="clear" w:fill="FFFFFF" w:themeFill="background1"/>
              <w:jc w:val="left"/>
              <w:rPr>
                <w:rFonts w:hint="eastAsia" w:ascii="仿宋_GB2312" w:hAnsi="仿宋_GB2312" w:eastAsia="仿宋_GB2312" w:cs="仿宋_GB2312"/>
              </w:rPr>
            </w:pPr>
          </w:p>
        </w:tc>
        <w:tc>
          <w:tcPr>
            <w:tcW w:w="623" w:type="dxa"/>
            <w:vMerge w:val="continue"/>
            <w:vAlign w:val="center"/>
          </w:tcPr>
          <w:p>
            <w:pPr>
              <w:shd w:val="clear" w:fill="FFFFFF" w:themeFill="background1"/>
              <w:jc w:val="center"/>
              <w:rPr>
                <w:rFonts w:hint="eastAsia" w:ascii="仿宋_GB2312" w:hAnsi="仿宋_GB2312" w:eastAsia="仿宋_GB2312" w:cs="仿宋_GB2312"/>
                <w:sz w:val="18"/>
                <w:szCs w:val="18"/>
              </w:rPr>
            </w:pPr>
          </w:p>
        </w:tc>
        <w:tc>
          <w:tcPr>
            <w:tcW w:w="623" w:type="dxa"/>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rPr>
              <w:t>商业企业</w:t>
            </w:r>
          </w:p>
        </w:tc>
        <w:tc>
          <w:tcPr>
            <w:tcW w:w="623" w:type="dxa"/>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lang w:eastAsia="zh-CN"/>
              </w:rPr>
              <w:t>科研机构</w:t>
            </w:r>
          </w:p>
        </w:tc>
        <w:tc>
          <w:tcPr>
            <w:tcW w:w="623" w:type="dxa"/>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rPr>
              <w:t>社会公益组织</w:t>
            </w:r>
          </w:p>
        </w:tc>
        <w:tc>
          <w:tcPr>
            <w:tcW w:w="623" w:type="dxa"/>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rPr>
              <w:t>法律服务机构</w:t>
            </w:r>
          </w:p>
        </w:tc>
        <w:tc>
          <w:tcPr>
            <w:tcW w:w="623" w:type="dxa"/>
            <w:vAlign w:val="center"/>
          </w:tcPr>
          <w:p>
            <w:pPr>
              <w:shd w:val="clear" w:fill="FFFFFF" w:themeFill="background1"/>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4"/>
                <w:lang w:eastAsia="zh-CN"/>
              </w:rPr>
              <w:t>其他</w:t>
            </w:r>
          </w:p>
        </w:tc>
        <w:tc>
          <w:tcPr>
            <w:tcW w:w="627" w:type="dxa"/>
            <w:vMerge w:val="continue"/>
            <w:vAlign w:val="center"/>
          </w:tcPr>
          <w:p>
            <w:pPr>
              <w:shd w:val="clear" w:fill="FFFFFF" w:themeFill="background1"/>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一、本年新收政府信息公开申请数量</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二、上年结转政府信息公开申请数量</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restart"/>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三、本年度办理结果</w:t>
            </w:r>
          </w:p>
        </w:tc>
        <w:tc>
          <w:tcPr>
            <w:tcW w:w="4151" w:type="dxa"/>
            <w:gridSpan w:val="2"/>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 一） 予以公开</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4151" w:type="dxa"/>
            <w:gridSpan w:val="2"/>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（二）部分公开（区分处理的，只计这一情形，不计其他情形）</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restart"/>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 三） 不予公开</w:t>
            </w: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1. 属于国家秘密</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2. 其他法律行政法规禁止公开</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3.危及“三安全一稳定”</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4. 保护第三方合法权益</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5. 属于三类内部事务信息</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6. 属于四类过程性信息</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7. 属于行政执法案卷</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8. 属于行政查询事项</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restart"/>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 四） 无法提供</w:t>
            </w: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1. 本机关不掌握相关政府信息</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2. 没有现成信息需要另行制作</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3. 补正后申请内容仍不明确</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restart"/>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 五） 不予处理</w:t>
            </w: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1. 信访举报投诉类申请</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2. 重复申请</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3. 要求提供公开出版物</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4. 无正当理由大量反复申请</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continue"/>
            <w:vAlign w:val="center"/>
          </w:tcPr>
          <w:p>
            <w:pPr>
              <w:shd w:val="clear" w:fill="FFFFFF" w:themeFill="background1"/>
              <w:jc w:val="left"/>
              <w:rPr>
                <w:rFonts w:hint="eastAsia" w:ascii="仿宋_GB2312" w:hAnsi="仿宋_GB2312" w:eastAsia="仿宋_GB2312" w:cs="仿宋_GB2312"/>
              </w:rPr>
            </w:pPr>
          </w:p>
        </w:tc>
        <w:tc>
          <w:tcPr>
            <w:tcW w:w="3239" w:type="dxa"/>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5. 要求行政机关确认或重新出具已获取信息</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shd w:val="clear" w:fill="FFFFFF" w:themeFill="background1"/>
              <w:jc w:val="left"/>
              <w:rPr>
                <w:rFonts w:hint="eastAsia" w:ascii="仿宋_GB2312" w:hAnsi="仿宋_GB2312" w:eastAsia="仿宋_GB2312" w:cs="仿宋_GB2312"/>
              </w:rPr>
            </w:pPr>
          </w:p>
        </w:tc>
        <w:tc>
          <w:tcPr>
            <w:tcW w:w="912" w:type="dxa"/>
            <w:vMerge w:val="restart"/>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 六） 其他处理</w:t>
            </w:r>
          </w:p>
        </w:tc>
        <w:tc>
          <w:tcPr>
            <w:tcW w:w="3239" w:type="dxa"/>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1. 申请人无正当理由逾期不补正、行政机关不再处理其政府信息公开申请</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top"/>
          </w:tcPr>
          <w:p>
            <w:pPr>
              <w:shd w:val="clear" w:fill="FFFFFF" w:themeFill="background1"/>
              <w:jc w:val="left"/>
              <w:rPr>
                <w:rFonts w:hint="eastAsia" w:ascii="仿宋_GB2312" w:hAnsi="仿宋_GB2312" w:eastAsia="仿宋_GB2312" w:cs="仿宋_GB2312"/>
              </w:rPr>
            </w:pPr>
          </w:p>
        </w:tc>
        <w:tc>
          <w:tcPr>
            <w:tcW w:w="912" w:type="dxa"/>
            <w:vMerge w:val="continue"/>
            <w:vAlign w:val="top"/>
          </w:tcPr>
          <w:p>
            <w:pPr>
              <w:shd w:val="clear" w:fill="FFFFFF" w:themeFill="background1"/>
              <w:jc w:val="left"/>
              <w:rPr>
                <w:rFonts w:hint="eastAsia" w:ascii="仿宋_GB2312" w:hAnsi="仿宋_GB2312" w:eastAsia="仿宋_GB2312" w:cs="仿宋_GB2312"/>
                <w:sz w:val="18"/>
                <w:szCs w:val="18"/>
              </w:rPr>
            </w:pPr>
          </w:p>
        </w:tc>
        <w:tc>
          <w:tcPr>
            <w:tcW w:w="3239" w:type="dxa"/>
            <w:vAlign w:val="top"/>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2. 申请人逾期未按收费通知要求缴纳费用、行政机关不再处理其政府信息公开申请</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top"/>
          </w:tcPr>
          <w:p>
            <w:pPr>
              <w:shd w:val="clear" w:fill="FFFFFF" w:themeFill="background1"/>
              <w:jc w:val="left"/>
              <w:rPr>
                <w:rFonts w:hint="eastAsia" w:ascii="仿宋_GB2312" w:hAnsi="仿宋_GB2312" w:eastAsia="仿宋_GB2312" w:cs="仿宋_GB2312"/>
              </w:rPr>
            </w:pPr>
          </w:p>
        </w:tc>
        <w:tc>
          <w:tcPr>
            <w:tcW w:w="912" w:type="dxa"/>
            <w:vMerge w:val="continue"/>
            <w:vAlign w:val="top"/>
          </w:tcPr>
          <w:p>
            <w:pPr>
              <w:shd w:val="clear" w:fill="FFFFFF" w:themeFill="background1"/>
              <w:jc w:val="left"/>
              <w:rPr>
                <w:rFonts w:hint="eastAsia" w:ascii="仿宋_GB2312" w:hAnsi="仿宋_GB2312" w:eastAsia="仿宋_GB2312" w:cs="仿宋_GB2312"/>
                <w:sz w:val="18"/>
                <w:szCs w:val="18"/>
              </w:rPr>
            </w:pPr>
          </w:p>
        </w:tc>
        <w:tc>
          <w:tcPr>
            <w:tcW w:w="3239" w:type="dxa"/>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3. 其他</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top"/>
          </w:tcPr>
          <w:p>
            <w:pPr>
              <w:shd w:val="clear" w:fill="FFFFFF" w:themeFill="background1"/>
              <w:jc w:val="left"/>
              <w:rPr>
                <w:rFonts w:hint="eastAsia" w:ascii="仿宋_GB2312" w:hAnsi="仿宋_GB2312" w:eastAsia="仿宋_GB2312" w:cs="仿宋_GB2312"/>
              </w:rPr>
            </w:pPr>
          </w:p>
        </w:tc>
        <w:tc>
          <w:tcPr>
            <w:tcW w:w="4151" w:type="dxa"/>
            <w:gridSpan w:val="2"/>
            <w:vAlign w:val="center"/>
          </w:tcPr>
          <w:p>
            <w:pPr>
              <w:shd w:val="clear" w:fill="FFFFFF" w:themeFill="background1"/>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21"/>
                <w:szCs w:val="24"/>
              </w:rPr>
              <w:t>（ 七） 总计</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shd w:val="clear" w:fill="FFFFFF" w:themeFill="background1"/>
              <w:jc w:val="left"/>
              <w:rPr>
                <w:rFonts w:hint="eastAsia" w:ascii="仿宋_GB2312" w:hAnsi="仿宋_GB2312" w:eastAsia="仿宋_GB2312" w:cs="仿宋_GB2312"/>
              </w:rPr>
            </w:pPr>
            <w:r>
              <w:rPr>
                <w:rFonts w:hint="eastAsia" w:ascii="仿宋_GB2312" w:hAnsi="仿宋_GB2312" w:eastAsia="仿宋_GB2312" w:cs="仿宋_GB2312"/>
                <w:color w:val="000000"/>
                <w:sz w:val="21"/>
                <w:szCs w:val="24"/>
              </w:rPr>
              <w:t>四、结转下年度继续办理</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3"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27" w:type="dxa"/>
            <w:vAlign w:val="center"/>
          </w:tcPr>
          <w:p>
            <w:pPr>
              <w:shd w:val="clear" w:fill="FFFFFF" w:themeFill="background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bl>
    <w:p>
      <w:pPr>
        <w:widowControl/>
        <w:numPr>
          <w:ilvl w:val="0"/>
          <w:numId w:val="2"/>
        </w:numPr>
        <w:shd w:val="clear" w:color="auto" w:fill="FFFFFF" w:themeFill="background1"/>
        <w:spacing w:after="240" w:line="560" w:lineRule="exact"/>
        <w:ind w:left="420" w:leftChars="200"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政府信息公开行政复议、行政诉讼情况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r>
              <w:rPr>
                <w:rFonts w:hint="eastAsia" w:ascii="仿宋_GB2312" w:hAnsi="仿宋_GB2312" w:eastAsia="仿宋_GB2312" w:cs="仿宋_GB2312"/>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r>
              <w:rPr>
                <w:rFonts w:hint="eastAsia" w:ascii="仿宋_GB2312" w:hAnsi="仿宋_GB2312" w:eastAsia="仿宋_GB2312" w:cs="仿宋_GB2312"/>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r>
              <w:rPr>
                <w:rFonts w:hint="eastAsia" w:ascii="仿宋_GB2312" w:hAnsi="仿宋_GB2312" w:eastAsia="仿宋_GB2312" w:cs="仿宋_GB2312"/>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r>
              <w:rPr>
                <w:rFonts w:hint="eastAsia" w:ascii="仿宋_GB2312" w:hAnsi="仿宋_GB2312" w:eastAsia="仿宋_GB2312" w:cs="仿宋_GB2312"/>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fill="FFFFFF" w:themeFill="background1"/>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lang w:val="en-US" w:eastAsia="zh-CN"/>
              </w:rPr>
              <w:t>0</w:t>
            </w:r>
          </w:p>
        </w:tc>
      </w:tr>
    </w:tbl>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line="44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五、存在的主要问题及改进情况</w:t>
      </w:r>
    </w:p>
    <w:p>
      <w:pPr>
        <w:keepNext w:val="0"/>
        <w:keepLines w:val="0"/>
        <w:pageBreakBefore w:val="0"/>
        <w:widowControl/>
        <w:shd w:val="clear" w:fill="FFFFFF" w:themeFill="background1"/>
        <w:kinsoku/>
        <w:wordWrap/>
        <w:overflowPunct/>
        <w:topLinePunct w:val="0"/>
        <w:autoSpaceDE/>
        <w:autoSpaceDN/>
        <w:bidi w:val="0"/>
        <w:adjustRightInd w:val="0"/>
        <w:snapToGrid w:val="0"/>
        <w:spacing w:line="440" w:lineRule="exact"/>
        <w:ind w:left="0" w:leftChars="0" w:right="0" w:rightChars="0" w:firstLine="700" w:firstLineChars="200"/>
        <w:jc w:val="both"/>
        <w:textAlignment w:val="auto"/>
        <w:outlineLvl w:val="9"/>
        <w:rPr>
          <w:rFonts w:hint="eastAsia" w:ascii="仿宋_GB2312" w:hAnsi="仿宋_GB2312" w:eastAsia="仿宋_GB2312" w:cs="仿宋_GB2312"/>
          <w:spacing w:val="15"/>
          <w:kern w:val="0"/>
          <w:sz w:val="32"/>
          <w:szCs w:val="32"/>
          <w:highlight w:val="none"/>
          <w:lang w:val="en-US" w:eastAsia="zh-CN"/>
        </w:rPr>
      </w:pPr>
      <w:r>
        <w:rPr>
          <w:rFonts w:hint="eastAsia" w:ascii="仿宋_GB2312" w:hAnsi="仿宋_GB2312" w:eastAsia="仿宋_GB2312" w:cs="仿宋_GB2312"/>
          <w:spacing w:val="15"/>
          <w:kern w:val="0"/>
          <w:sz w:val="32"/>
          <w:szCs w:val="32"/>
          <w:highlight w:val="none"/>
          <w:lang w:val="en-US" w:eastAsia="zh-CN"/>
        </w:rPr>
        <w:t>（一）主要问题：一是信息公开更新时效性有待进一步提升，二是政府信息公开的内容还不够全面。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80" w:lineRule="atLeast"/>
        <w:ind w:left="0" w:right="0" w:firstLine="643"/>
        <w:jc w:val="both"/>
        <w:rPr>
          <w:rFonts w:hint="eastAsia" w:ascii="仿宋_GB2312" w:hAnsi="仿宋_GB2312" w:eastAsia="仿宋_GB2312" w:cs="仿宋_GB2312"/>
          <w:spacing w:val="15"/>
          <w:kern w:val="0"/>
          <w:sz w:val="32"/>
          <w:szCs w:val="32"/>
          <w:lang w:eastAsia="zh-CN"/>
        </w:rPr>
      </w:pPr>
      <w:r>
        <w:rPr>
          <w:rFonts w:hint="eastAsia" w:ascii="仿宋_GB2312" w:hAnsi="仿宋_GB2312" w:eastAsia="仿宋_GB2312" w:cs="仿宋_GB2312"/>
          <w:spacing w:val="15"/>
          <w:kern w:val="0"/>
          <w:sz w:val="32"/>
          <w:szCs w:val="32"/>
          <w:highlight w:val="none"/>
          <w:lang w:eastAsia="zh-CN"/>
        </w:rPr>
        <w:t>（二）改进措施：</w:t>
      </w:r>
      <w:r>
        <w:rPr>
          <w:rFonts w:hint="eastAsia" w:ascii="仿宋_GB2312" w:hAnsi="仿宋_GB2312" w:eastAsia="仿宋_GB2312" w:cs="仿宋_GB2312"/>
          <w:spacing w:val="15"/>
          <w:kern w:val="0"/>
          <w:sz w:val="32"/>
          <w:szCs w:val="32"/>
          <w:highlight w:val="none"/>
          <w:lang w:val="en-US" w:eastAsia="zh-CN"/>
        </w:rPr>
        <w:t>2023年，我局不断完善政务公开工作体制机制，</w:t>
      </w:r>
      <w:r>
        <w:rPr>
          <w:rFonts w:hint="eastAsia" w:ascii="仿宋_GB2312" w:hAnsi="仿宋_GB2312" w:eastAsia="仿宋_GB2312" w:cs="仿宋_GB2312"/>
          <w:caps w:val="0"/>
          <w:color w:val="000000"/>
          <w:spacing w:val="0"/>
          <w:kern w:val="0"/>
          <w:sz w:val="32"/>
          <w:szCs w:val="32"/>
          <w:highlight w:val="none"/>
          <w:shd w:val="clear" w:fill="FFFFFF"/>
          <w:lang w:val="en-US" w:eastAsia="zh-CN" w:bidi="ar"/>
        </w:rPr>
        <w:t>加大公开力度及时效，切实丰富政府信息公开的内容，进一步围绕</w:t>
      </w:r>
      <w:r>
        <w:rPr>
          <w:rFonts w:hint="eastAsia" w:ascii="仿宋_GB2312" w:hAnsi="仿宋_GB2312" w:eastAsia="仿宋_GB2312" w:cs="仿宋_GB2312"/>
          <w:caps w:val="0"/>
          <w:color w:val="000000"/>
          <w:spacing w:val="0"/>
          <w:kern w:val="0"/>
          <w:sz w:val="32"/>
          <w:szCs w:val="32"/>
          <w:shd w:val="clear" w:fill="FFFFFF"/>
          <w:lang w:val="en-US" w:eastAsia="zh-CN" w:bidi="ar"/>
        </w:rPr>
        <w:t>水利工作重点，增加信息发布的质量和数量。</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line="44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六、其他需要报告的事项</w:t>
      </w:r>
    </w:p>
    <w:p>
      <w:pPr>
        <w:widowControl/>
        <w:shd w:val="clear" w:color="auto" w:fill="FFFFFF" w:themeFill="background1"/>
        <w:spacing w:line="560" w:lineRule="exact"/>
        <w:ind w:firstLine="640"/>
        <w:jc w:val="left"/>
        <w:rPr>
          <w:rFonts w:hint="eastAsia" w:ascii="仿宋_GB2312" w:hAnsi="仿宋_GB2312" w:eastAsia="仿宋_GB2312" w:cs="仿宋_GB2312"/>
          <w:caps w:val="0"/>
          <w:color w:val="000000"/>
          <w:spacing w:val="0"/>
          <w:sz w:val="32"/>
          <w:szCs w:val="32"/>
          <w:shd w:val="clear" w:fill="FFFFFF"/>
          <w:lang w:val="en-US" w:eastAsia="zh-CN"/>
        </w:rPr>
      </w:pPr>
      <w:r>
        <w:rPr>
          <w:rFonts w:hint="eastAsia" w:ascii="仿宋_GB2312" w:hAnsi="仿宋_GB2312" w:eastAsia="仿宋_GB2312" w:cs="仿宋_GB2312"/>
          <w:color w:val="auto"/>
          <w:kern w:val="0"/>
          <w:sz w:val="32"/>
          <w:szCs w:val="32"/>
          <w:highlight w:val="none"/>
          <w:shd w:val="clear" w:color="auto" w:fill="FFFFFF"/>
        </w:rPr>
        <w:t>1、</w:t>
      </w:r>
      <w:r>
        <w:rPr>
          <w:rFonts w:hint="eastAsia" w:ascii="仿宋_GB2312" w:hAnsi="仿宋_GB2312" w:eastAsia="仿宋_GB2312" w:cs="仿宋_GB2312"/>
          <w:color w:val="auto"/>
          <w:kern w:val="0"/>
          <w:sz w:val="32"/>
          <w:szCs w:val="32"/>
          <w:highlight w:val="none"/>
        </w:rPr>
        <w:t>收取信息处理费情况。</w:t>
      </w:r>
      <w:r>
        <w:rPr>
          <w:rFonts w:hint="eastAsia" w:ascii="仿宋_GB2312" w:hAnsi="仿宋_GB2312" w:eastAsia="仿宋_GB2312" w:cs="仿宋_GB2312"/>
          <w:color w:val="auto"/>
          <w:kern w:val="0"/>
          <w:sz w:val="32"/>
          <w:szCs w:val="32"/>
          <w:highlight w:val="none"/>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r>
        <w:rPr>
          <w:rFonts w:hint="eastAsia" w:ascii="仿宋_GB2312" w:hAnsi="仿宋_GB2312" w:eastAsia="仿宋_GB2312" w:cs="仿宋_GB2312"/>
          <w:caps w:val="0"/>
          <w:color w:val="000000"/>
          <w:spacing w:val="0"/>
          <w:sz w:val="32"/>
          <w:szCs w:val="32"/>
          <w:shd w:val="clear" w:fill="FFFFFF"/>
          <w:lang w:val="en-US"/>
        </w:rPr>
        <w:br w:type="textWrapping"/>
      </w:r>
      <w:r>
        <w:rPr>
          <w:rFonts w:hint="eastAsia" w:ascii="仿宋_GB2312" w:hAnsi="仿宋_GB2312" w:eastAsia="仿宋_GB2312" w:cs="仿宋_GB2312"/>
          <w:caps w:val="0"/>
          <w:color w:val="000000"/>
          <w:spacing w:val="0"/>
          <w:sz w:val="32"/>
          <w:szCs w:val="32"/>
          <w:shd w:val="clear" w:fill="FFFFFF"/>
          <w:lang w:val="en-US" w:eastAsia="zh-CN"/>
        </w:rPr>
        <w:t xml:space="preserve">   </w:t>
      </w:r>
      <w:r>
        <w:rPr>
          <w:rFonts w:hint="eastAsia" w:ascii="仿宋_GB2312" w:hAnsi="仿宋_GB2312" w:eastAsia="仿宋_GB2312" w:cs="仿宋_GB2312"/>
          <w:color w:val="auto"/>
          <w:kern w:val="0"/>
          <w:sz w:val="32"/>
          <w:szCs w:val="32"/>
          <w:highlight w:val="none"/>
        </w:rPr>
        <w:t>2、落实上级年度政务公开工作要点情况。</w:t>
      </w:r>
      <w:r>
        <w:rPr>
          <w:rFonts w:hint="eastAsia" w:ascii="仿宋_GB2312" w:hAnsi="仿宋_GB2312" w:eastAsia="仿宋_GB2312" w:cs="仿宋_GB2312"/>
          <w:caps w:val="0"/>
          <w:color w:val="000000"/>
          <w:spacing w:val="0"/>
          <w:sz w:val="32"/>
          <w:szCs w:val="32"/>
          <w:shd w:val="clear" w:fill="FFFFFF"/>
          <w:lang w:val="en-US" w:eastAsia="zh-CN"/>
        </w:rPr>
        <w:t>按照《淄川区人民政府办公室关于印发2023年淄川区政务公开工作实施方案的通知》文件要求，及时更新和发布各类政府信息，确保信息的准确性和时效性，同时，不断完善公开内容，扩大公开范围，提高公开质量，满足公众的知情权和监督权。</w:t>
      </w:r>
      <w:r>
        <w:rPr>
          <w:rFonts w:hint="eastAsia" w:ascii="仿宋_GB2312" w:hAnsi="仿宋_GB2312" w:eastAsia="仿宋_GB2312" w:cs="仿宋_GB2312"/>
          <w:caps w:val="0"/>
          <w:color w:val="000000"/>
          <w:spacing w:val="0"/>
          <w:sz w:val="32"/>
          <w:szCs w:val="32"/>
          <w:shd w:val="clear" w:fill="FFFFFF"/>
          <w:lang w:val="en-US"/>
        </w:rPr>
        <w:br w:type="textWrapping"/>
      </w:r>
      <w:r>
        <w:rPr>
          <w:rFonts w:hint="eastAsia" w:ascii="仿宋_GB2312" w:hAnsi="仿宋_GB2312" w:eastAsia="仿宋_GB2312" w:cs="仿宋_GB2312"/>
          <w:caps w:val="0"/>
          <w:color w:val="000000"/>
          <w:spacing w:val="0"/>
          <w:sz w:val="32"/>
          <w:szCs w:val="32"/>
          <w:shd w:val="clear" w:fill="FFFFFF"/>
          <w:lang w:val="en-US" w:eastAsia="zh-CN"/>
        </w:rPr>
        <w:t xml:space="preserve">    </w:t>
      </w:r>
      <w:r>
        <w:rPr>
          <w:rFonts w:hint="eastAsia" w:ascii="仿宋_GB2312" w:hAnsi="仿宋_GB2312" w:eastAsia="仿宋_GB2312" w:cs="仿宋_GB2312"/>
          <w:color w:val="auto"/>
          <w:kern w:val="0"/>
          <w:sz w:val="32"/>
          <w:szCs w:val="32"/>
          <w:highlight w:val="none"/>
        </w:rPr>
        <w:t>3、人大代表</w:t>
      </w:r>
      <w:r>
        <w:rPr>
          <w:rFonts w:hint="eastAsia" w:ascii="仿宋_GB2312" w:hAnsi="仿宋_GB2312" w:eastAsia="仿宋_GB2312" w:cs="仿宋_GB2312"/>
          <w:color w:val="auto"/>
          <w:kern w:val="0"/>
          <w:sz w:val="32"/>
          <w:szCs w:val="32"/>
          <w:highlight w:val="none"/>
          <w:lang w:val="en-US" w:eastAsia="zh-CN"/>
        </w:rPr>
        <w:t>建议</w:t>
      </w:r>
      <w:r>
        <w:rPr>
          <w:rFonts w:hint="eastAsia" w:ascii="仿宋_GB2312" w:hAnsi="仿宋_GB2312" w:eastAsia="仿宋_GB2312" w:cs="仿宋_GB2312"/>
          <w:color w:val="auto"/>
          <w:kern w:val="0"/>
          <w:sz w:val="32"/>
          <w:szCs w:val="32"/>
          <w:highlight w:val="none"/>
        </w:rPr>
        <w:t>和政协</w:t>
      </w:r>
      <w:r>
        <w:rPr>
          <w:rFonts w:hint="eastAsia" w:ascii="仿宋_GB2312" w:hAnsi="仿宋_GB2312" w:eastAsia="仿宋_GB2312" w:cs="仿宋_GB2312"/>
          <w:color w:val="auto"/>
          <w:kern w:val="0"/>
          <w:sz w:val="32"/>
          <w:szCs w:val="32"/>
          <w:highlight w:val="none"/>
          <w:lang w:val="en-US" w:eastAsia="zh-CN"/>
        </w:rPr>
        <w:t>委员</w:t>
      </w:r>
      <w:r>
        <w:rPr>
          <w:rFonts w:hint="eastAsia" w:ascii="仿宋_GB2312" w:hAnsi="仿宋_GB2312" w:eastAsia="仿宋_GB2312" w:cs="仿宋_GB2312"/>
          <w:color w:val="auto"/>
          <w:kern w:val="0"/>
          <w:sz w:val="32"/>
          <w:szCs w:val="32"/>
          <w:highlight w:val="none"/>
        </w:rPr>
        <w:t>提案办理结果公开情况。</w:t>
      </w:r>
      <w:r>
        <w:rPr>
          <w:rFonts w:hint="eastAsia" w:ascii="仿宋_GB2312" w:hAnsi="仿宋_GB2312" w:eastAsia="仿宋_GB2312" w:cs="仿宋_GB2312"/>
          <w:caps w:val="0"/>
          <w:color w:val="000000"/>
          <w:spacing w:val="0"/>
          <w:sz w:val="32"/>
          <w:szCs w:val="32"/>
          <w:shd w:val="clear" w:fill="FFFFFF"/>
          <w:lang w:val="en-US" w:eastAsia="zh-CN"/>
        </w:rPr>
        <w:t>2023年，淄川区水利局共受理人大建议7项，政协提案2项，全部在规定时限内予以答复，答复率100%，满意率达到100%，并依规对建议提案内容、答复内容进行公开。未有上级建议提案办理任务。</w:t>
      </w:r>
    </w:p>
    <w:p>
      <w:pPr>
        <w:pStyle w:val="10"/>
        <w:keepNext w:val="0"/>
        <w:keepLines w:val="0"/>
        <w:pageBreakBefore w:val="0"/>
        <w:shd w:val="clear" w:fill="FFFFFF" w:themeFill="background1"/>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color w:val="auto"/>
          <w:sz w:val="32"/>
          <w:highlight w:val="none"/>
        </w:rPr>
        <w:t>4、</w:t>
      </w:r>
      <w:r>
        <w:rPr>
          <w:rFonts w:hint="eastAsia" w:ascii="仿宋_GB2312" w:hAnsi="仿宋_GB2312" w:eastAsia="仿宋_GB2312" w:cs="仿宋_GB2312"/>
          <w:color w:val="auto"/>
          <w:kern w:val="0"/>
          <w:sz w:val="32"/>
          <w:szCs w:val="32"/>
          <w:highlight w:val="none"/>
        </w:rPr>
        <w:t>政务公开工作创新情况。</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坚持政务公开工作在创新中求发展</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充分发挥新媒体传播快、受众广、效率高、的优势，利用微信群、政务公开网站等政务新媒体进行政府信息公开，针对不同群体的不同需求，采取多元化公开方式，切实提升本单位政府信息公开实效性，切实保障群众对政府工作的知情权。</w:t>
      </w:r>
    </w:p>
    <w:p>
      <w:pPr>
        <w:widowControl/>
        <w:shd w:val="clear" w:color="auto" w:fill="FFFFFF" w:themeFill="background1"/>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highlight w:val="none"/>
        </w:rPr>
        <w:t>5、</w:t>
      </w:r>
      <w:r>
        <w:rPr>
          <w:rFonts w:hint="eastAsia" w:ascii="仿宋_GB2312" w:hAnsi="仿宋_GB2312" w:eastAsia="仿宋_GB2312" w:cs="仿宋_GB2312"/>
          <w:color w:val="auto"/>
          <w:kern w:val="0"/>
          <w:sz w:val="32"/>
          <w:szCs w:val="32"/>
          <w:highlight w:val="none"/>
        </w:rPr>
        <w:t>政府信息公开工作年度报告数据统计需要。</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themeFill="background1"/>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6、本行政机关认为需要报告的其他事项。</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themeFill="background1"/>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7、其他有关文件专门要求通过政府信息公开工作年度报告予以报告的事项。</w:t>
      </w:r>
      <w:r>
        <w:rPr>
          <w:rFonts w:hint="eastAsia" w:ascii="仿宋_GB2312" w:hAnsi="仿宋_GB2312" w:eastAsia="仿宋_GB2312" w:cs="仿宋_GB2312"/>
          <w:color w:val="auto"/>
          <w:kern w:val="0"/>
          <w:sz w:val="32"/>
          <w:szCs w:val="32"/>
          <w:highlight w:val="none"/>
          <w:shd w:val="clear" w:color="auto" w:fill="FFFFFF"/>
        </w:rPr>
        <w:t>无。</w:t>
      </w:r>
    </w:p>
    <w:p>
      <w:pPr>
        <w:shd w:val="clear" w:fill="FFFFFF" w:themeFill="background1"/>
        <w:rPr>
          <w:rFonts w:hint="eastAsia"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仿宋_GB2312">
    <w:panose1 w:val="02010609030101010101"/>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032B2"/>
    <w:multiLevelType w:val="singleLevel"/>
    <w:tmpl w:val="CC6032B2"/>
    <w:lvl w:ilvl="0" w:tentative="0">
      <w:start w:val="2"/>
      <w:numFmt w:val="chineseCounting"/>
      <w:suff w:val="nothing"/>
      <w:lvlText w:val="%1、"/>
      <w:lvlJc w:val="left"/>
      <w:rPr>
        <w:rFonts w:hint="eastAsia"/>
      </w:rPr>
    </w:lvl>
  </w:abstractNum>
  <w:abstractNum w:abstractNumId="1">
    <w:nsid w:val="02BC735E"/>
    <w:multiLevelType w:val="singleLevel"/>
    <w:tmpl w:val="02BC735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39935274"/>
    <w:rsid w:val="0A650C83"/>
    <w:rsid w:val="31046AB7"/>
    <w:rsid w:val="39935274"/>
    <w:rsid w:val="3D1B504E"/>
    <w:rsid w:val="47D358E3"/>
    <w:rsid w:val="4D783DF7"/>
    <w:rsid w:val="63881DA4"/>
    <w:rsid w:val="64807B9A"/>
    <w:rsid w:val="687B6C37"/>
    <w:rsid w:val="6DE0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2024-01-11T06:20:00Z</dcterms:created>
  <dc:creator>Administrator</dc:creator>
  <cp:lastModifiedBy>银杏果</cp:lastModifiedBy>
  <dcterms:modified xsi:type="dcterms:W3CDTF">2024-01-31T06:45:59Z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348D2120A33D44E18D7E625907740F19_11</vt:lpwstr>
  </property>
</Properties>
</file>