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淄博市淄川区水利局</w:t>
      </w:r>
    </w:p>
    <w:p>
      <w:pPr>
        <w:widowControl/>
        <w:shd w:val="clear" w:color="auto" w:fill="FFFFFF"/>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bCs/>
          <w:kern w:val="0"/>
          <w:sz w:val="44"/>
          <w:szCs w:val="44"/>
        </w:rPr>
        <w:t>2022年政府信息公开工作年度报告</w:t>
      </w:r>
    </w:p>
    <w:p>
      <w:pPr>
        <w:rPr>
          <w:rFonts w:hint="default" w:ascii="Times New Roman" w:hAnsi="Times New Roman" w:cs="Times New Roman"/>
        </w:rPr>
      </w:pPr>
    </w:p>
    <w:p>
      <w:pPr>
        <w:pStyle w:val="5"/>
        <w:widowControl/>
        <w:spacing w:before="0" w:beforeAutospacing="0" w:after="0" w:afterAutospacing="0" w:line="560" w:lineRule="exact"/>
        <w:ind w:firstLine="640"/>
        <w:rPr>
          <w:rFonts w:hint="default" w:ascii="Times New Roman" w:hAnsi="Times New Roman" w:eastAsia="黑体" w:cs="Times New Roman"/>
          <w:spacing w:val="15"/>
          <w:kern w:val="0"/>
          <w:sz w:val="32"/>
          <w:szCs w:val="32"/>
          <w:lang w:eastAsia="zh-CN"/>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r>
        <w:rPr>
          <w:rFonts w:hint="default" w:ascii="Times New Roman" w:hAnsi="Times New Roman" w:eastAsia="仿宋_GB2312"/>
          <w:sz w:val="32"/>
        </w:rPr>
        <w:t>本报告由总体情况、主动公开政府信息情况、收到和处理政府信息公开申请情况、因政府信息公开工作被申请行政复议和提起行政诉讼情况、存在的主要问题及改进情况、其他需要报告的事项组成。</w:t>
      </w:r>
      <w:bookmarkStart w:id="0" w:name="_GoBack"/>
      <w:bookmarkEnd w:id="0"/>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本年度报告中所列数据的统计期限自2022年1月1日起，至2022年12月31日止。如对报告内容有疑问，请与淄博市淄川区水利局联系（</w:t>
      </w:r>
      <w:r>
        <w:rPr>
          <w:rFonts w:hint="default" w:ascii="Times New Roman" w:hAnsi="Times New Roman" w:eastAsia="仿宋_GB2312" w:cs="Times New Roman"/>
          <w:i w:val="0"/>
          <w:caps w:val="0"/>
          <w:color w:val="000000"/>
          <w:spacing w:val="0"/>
          <w:sz w:val="32"/>
          <w:szCs w:val="32"/>
          <w:shd w:val="clear" w:fill="FFFFFF"/>
        </w:rPr>
        <w:t>地址：山东省淄博市淄川区城里大街503号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电话：0533-5280017</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邮箱：swjbgs@zb.shandong.cn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numPr>
          <w:ilvl w:val="0"/>
          <w:numId w:val="0"/>
        </w:numPr>
        <w:spacing w:line="560" w:lineRule="exact"/>
        <w:ind w:firstLine="700" w:firstLineChars="200"/>
        <w:rPr>
          <w:rFonts w:hint="default" w:ascii="Times New Roman" w:hAnsi="Times New Roman" w:eastAsia="黑体" w:cs="Times New Roman"/>
          <w:spacing w:val="15"/>
          <w:kern w:val="0"/>
          <w:sz w:val="32"/>
          <w:szCs w:val="32"/>
        </w:rPr>
      </w:pPr>
      <w:r>
        <w:rPr>
          <w:rFonts w:hint="default" w:ascii="Times New Roman" w:hAnsi="Times New Roman" w:eastAsia="黑体" w:cs="Times New Roman"/>
          <w:spacing w:val="15"/>
          <w:kern w:val="0"/>
          <w:sz w:val="32"/>
          <w:szCs w:val="32"/>
          <w:lang w:eastAsia="zh-CN"/>
        </w:rPr>
        <w:t>一、</w:t>
      </w:r>
      <w:r>
        <w:rPr>
          <w:rFonts w:hint="default" w:ascii="Times New Roman" w:hAnsi="Times New Roman" w:eastAsia="黑体" w:cs="Times New Roman"/>
          <w:spacing w:val="15"/>
          <w:kern w:val="0"/>
          <w:sz w:val="32"/>
          <w:szCs w:val="32"/>
        </w:rPr>
        <w:t>总体情况</w:t>
      </w:r>
    </w:p>
    <w:p>
      <w:pPr>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color w:val="000000"/>
          <w:sz w:val="32"/>
          <w:szCs w:val="32"/>
          <w:shd w:val="clear" w:color="auto" w:fill="FFFFFF"/>
        </w:rPr>
        <w:t>2022年，区水利局认真贯彻落实《中华人民共和国政府信息公开条例》和区委、区政府统一部署，不断健全完善政府信息公开工作制度，扎实做好政府信息公开工作，切实保障人民群众的知情权、参与权、监督权和表达权。现将</w:t>
      </w:r>
      <w:r>
        <w:rPr>
          <w:rFonts w:hint="default" w:ascii="Times New Roman" w:hAnsi="Times New Roman" w:cs="Times New Roman"/>
          <w:color w:val="000000"/>
          <w:sz w:val="32"/>
          <w:szCs w:val="32"/>
          <w:shd w:val="clear" w:color="auto" w:fill="FFFFFF"/>
        </w:rPr>
        <w:t>2022</w:t>
      </w:r>
      <w:r>
        <w:rPr>
          <w:rFonts w:hint="default" w:ascii="Times New Roman" w:hAnsi="Times New Roman" w:eastAsia="仿宋_GB2312" w:cs="Times New Roman"/>
          <w:color w:val="000000"/>
          <w:sz w:val="32"/>
          <w:szCs w:val="32"/>
          <w:shd w:val="clear" w:color="auto" w:fill="FFFFFF"/>
        </w:rPr>
        <w:t>年度政府信息公开工作情况汇报如下：</w:t>
      </w:r>
    </w:p>
    <w:p>
      <w:pPr>
        <w:numPr>
          <w:ilvl w:val="0"/>
          <w:numId w:val="1"/>
        </w:num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主动公开政府信息情况</w:t>
      </w:r>
      <w:r>
        <w:rPr>
          <w:rFonts w:hint="default" w:ascii="Times New Roman" w:hAnsi="Times New Roman" w:eastAsia="仿宋_GB2312" w:cs="Times New Roman"/>
          <w:sz w:val="32"/>
          <w:szCs w:val="32"/>
        </w:rPr>
        <w:t>。2022年，主动公开政府信息</w:t>
      </w:r>
      <w:r>
        <w:rPr>
          <w:rFonts w:hint="default" w:ascii="Times New Roman" w:hAnsi="Times New Roman" w:eastAsia="仿宋_GB2312" w:cs="Times New Roman"/>
          <w:color w:val="000000" w:themeColor="text1"/>
          <w:sz w:val="32"/>
          <w:szCs w:val="32"/>
          <w14:textFill>
            <w14:solidFill>
              <w14:schemeClr w14:val="tx1"/>
            </w14:solidFill>
          </w14:textFill>
        </w:rPr>
        <w:t>70</w:t>
      </w:r>
      <w:r>
        <w:rPr>
          <w:rFonts w:hint="default" w:ascii="Times New Roman" w:hAnsi="Times New Roman" w:eastAsia="仿宋_GB2312" w:cs="Times New Roman"/>
          <w:sz w:val="32"/>
          <w:szCs w:val="32"/>
        </w:rPr>
        <w:t>条。公开类别:机构职能类3条，政策文件类8条，规划计划类1条，重要部署执行类9条;建议提案类3条;财政信息类9条;应急管理类2条，行政执法公示类10条;生态环境类9条;河长制工作情况3条;双随机一公开类4条;政府信息公开指南类1条;政府信息主动公开目录1条，基层政务公开标准化目录1条，政府信息公开年度报告1条，政务公开组织管理类3条，法治政府建设年度报告1条，其他类1条。</w:t>
      </w:r>
    </w:p>
    <w:p>
      <w:pPr>
        <w:pStyle w:val="2"/>
        <w:rPr>
          <w:rFonts w:hint="default" w:ascii="Times New Roman" w:hAnsi="Times New Roman" w:cs="Times New Roman"/>
        </w:rPr>
      </w:pPr>
      <w:r>
        <w:rPr>
          <w:rFonts w:hint="default" w:ascii="Times New Roman" w:hAnsi="Times New Roman" w:cs="Times New Roman"/>
        </w:rPr>
        <w:drawing>
          <wp:inline distT="0" distB="0" distL="114300" distR="114300">
            <wp:extent cx="5271135" cy="5323840"/>
            <wp:effectExtent l="0" t="0" r="571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1135" cy="5323840"/>
                    </a:xfrm>
                    <a:prstGeom prst="rect">
                      <a:avLst/>
                    </a:prstGeom>
                    <a:noFill/>
                    <a:ln>
                      <a:noFill/>
                    </a:ln>
                  </pic:spPr>
                </pic:pic>
              </a:graphicData>
            </a:graphic>
          </wp:inline>
        </w:drawing>
      </w:r>
    </w:p>
    <w:p>
      <w:pPr>
        <w:numPr>
          <w:ilvl w:val="0"/>
          <w:numId w:val="1"/>
        </w:num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依申请公开政府信息情况</w:t>
      </w:r>
      <w:r>
        <w:rPr>
          <w:rFonts w:hint="default" w:ascii="Times New Roman" w:hAnsi="Times New Roman" w:eastAsia="仿宋_GB2312" w:cs="Times New Roman"/>
          <w:sz w:val="32"/>
          <w:szCs w:val="32"/>
        </w:rPr>
        <w:t>。我局2022年无依申请公开信息情况。</w:t>
      </w:r>
    </w:p>
    <w:p>
      <w:pPr>
        <w:pStyle w:val="2"/>
        <w:numPr>
          <w:ilvl w:val="0"/>
          <w:numId w:val="1"/>
        </w:numPr>
        <w:ind w:firstLine="640" w:firstLineChars="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政府信息管理情况</w:t>
      </w:r>
      <w:r>
        <w:rPr>
          <w:rFonts w:hint="default" w:ascii="Times New Roman" w:hAnsi="Times New Roman" w:eastAsia="仿宋_GB2312" w:cs="Times New Roman"/>
          <w:sz w:val="32"/>
          <w:szCs w:val="32"/>
        </w:rPr>
        <w:t>。严格落实党内规范性文件管理制度，将中共淄川区水利局党组于2022年5月31日印发的《中共淄川区水利局党组落实全面从严治党责任清单》和备案说明一式1份报请区委备案。2022年，通过政府政务信息公开平台、“淄川水利”微信公众号公开政府信息160余条，并安排专人进行网站及微信公众号的信息发布及日常维护。</w:t>
      </w:r>
    </w:p>
    <w:p>
      <w:pPr>
        <w:pStyle w:val="2"/>
        <w:ind w:left="630" w:firstLine="0" w:firstLineChars="0"/>
        <w:rPr>
          <w:rFonts w:hint="default" w:ascii="Times New Roman" w:hAnsi="Times New Roman" w:eastAsia="仿宋_GB2312" w:cs="Times New Roman"/>
          <w:sz w:val="32"/>
          <w:szCs w:val="32"/>
        </w:rPr>
      </w:pPr>
      <w:r>
        <w:rPr>
          <w:rFonts w:hint="default" w:ascii="Times New Roman" w:hAnsi="Times New Roman" w:cs="Times New Roman"/>
        </w:rPr>
        <w:drawing>
          <wp:inline distT="0" distB="0" distL="114300" distR="114300">
            <wp:extent cx="4171950" cy="448627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4171950" cy="4486275"/>
                    </a:xfrm>
                    <a:prstGeom prst="rect">
                      <a:avLst/>
                    </a:prstGeom>
                    <a:noFill/>
                    <a:ln>
                      <a:noFill/>
                    </a:ln>
                  </pic:spPr>
                </pic:pic>
              </a:graphicData>
            </a:graphic>
          </wp:inline>
        </w:drawing>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4、政府信息公开平台情况</w:t>
      </w:r>
      <w:r>
        <w:rPr>
          <w:rFonts w:hint="default" w:ascii="Times New Roman" w:hAnsi="Times New Roman" w:eastAsia="仿宋_GB2312" w:cs="Times New Roman"/>
          <w:sz w:val="32"/>
          <w:szCs w:val="32"/>
        </w:rPr>
        <w:t>。通过政府信息公开平台，在规定时限内及时公开各类信息。持续推进政务新媒体建设，以更广泛途径向社会及人民群众公开政府信息。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5、监督保障情况</w:t>
      </w:r>
      <w:r>
        <w:rPr>
          <w:rFonts w:hint="default" w:ascii="Times New Roman" w:hAnsi="Times New Roman" w:eastAsia="仿宋_GB2312" w:cs="Times New Roman"/>
          <w:sz w:val="32"/>
          <w:szCs w:val="32"/>
        </w:rPr>
        <w:t>。根据政务信息管理监督考核实施细则，安排相关工作人员参加业务培训，并定期对我局政务信息公开、政务信息报送、采用情况进行监督考核。</w:t>
      </w:r>
    </w:p>
    <w:p>
      <w:pPr>
        <w:numPr>
          <w:ilvl w:val="0"/>
          <w:numId w:val="2"/>
        </w:numPr>
        <w:spacing w:line="560" w:lineRule="exact"/>
        <w:ind w:left="420" w:left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主动公开政府信息情况</w:t>
      </w: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1985"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本年制发件数</w:t>
            </w:r>
          </w:p>
        </w:tc>
        <w:tc>
          <w:tcPr>
            <w:tcW w:w="203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本年废止件数</w:t>
            </w:r>
          </w:p>
        </w:tc>
        <w:tc>
          <w:tcPr>
            <w:tcW w:w="222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规章</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22"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规范性文件</w:t>
            </w:r>
          </w:p>
        </w:tc>
        <w:tc>
          <w:tcPr>
            <w:tcW w:w="1985"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030"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0</w:t>
            </w:r>
          </w:p>
        </w:tc>
        <w:tc>
          <w:tcPr>
            <w:tcW w:w="2222"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行政许可</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行政处罚</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行政强制</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信息内容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行政事业性收费</w:t>
            </w:r>
          </w:p>
        </w:tc>
        <w:tc>
          <w:tcPr>
            <w:tcW w:w="6237" w:type="dxa"/>
            <w:gridSpan w:val="3"/>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widowControl/>
        <w:numPr>
          <w:ilvl w:val="0"/>
          <w:numId w:val="2"/>
        </w:numPr>
        <w:shd w:val="clear" w:color="auto" w:fill="FFFFFF"/>
        <w:spacing w:after="240" w:line="560" w:lineRule="exact"/>
        <w:ind w:left="420" w:left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收到和处理政府信息公开申请情况</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12"/>
        <w:gridCol w:w="3239"/>
        <w:gridCol w:w="623"/>
        <w:gridCol w:w="623"/>
        <w:gridCol w:w="623"/>
        <w:gridCol w:w="623"/>
        <w:gridCol w:w="623"/>
        <w:gridCol w:w="623"/>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20" w:type="dxa"/>
            <w:gridSpan w:val="3"/>
            <w:vMerge w:val="restart"/>
            <w:vAlign w:val="center"/>
          </w:tcPr>
          <w:p>
            <w:pPr>
              <w:jc w:val="left"/>
              <w:rPr>
                <w:rFonts w:hint="default" w:ascii="Times New Roman" w:hAnsi="Times New Roman" w:cs="Times New Roman"/>
              </w:rPr>
            </w:pPr>
            <w:r>
              <w:rPr>
                <w:rFonts w:hint="default" w:ascii="Times New Roman" w:hAnsi="Times New Roman" w:eastAsia="楷体_GB2312" w:cs="Times New Roman"/>
                <w:color w:val="000000"/>
                <w:szCs w:val="24"/>
              </w:rPr>
              <w:t>（本列数据的勾稽关系为：第一项加第二项之和，等于第三项加第四项之和）</w:t>
            </w:r>
          </w:p>
        </w:tc>
        <w:tc>
          <w:tcPr>
            <w:tcW w:w="4365" w:type="dxa"/>
            <w:gridSpan w:val="7"/>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20" w:type="dxa"/>
            <w:gridSpan w:val="3"/>
            <w:vMerge w:val="continue"/>
            <w:vAlign w:val="center"/>
          </w:tcPr>
          <w:p>
            <w:pPr>
              <w:jc w:val="left"/>
              <w:rPr>
                <w:rFonts w:hint="default" w:ascii="Times New Roman" w:hAnsi="Times New Roman" w:cs="Times New Roman"/>
              </w:rPr>
            </w:pPr>
          </w:p>
        </w:tc>
        <w:tc>
          <w:tcPr>
            <w:tcW w:w="623" w:type="dxa"/>
            <w:vMerge w:val="restart"/>
            <w:vAlign w:val="center"/>
          </w:tcPr>
          <w:p>
            <w:pPr>
              <w:jc w:val="center"/>
              <w:rPr>
                <w:rFonts w:hint="default" w:ascii="Times New Roman" w:hAnsi="Times New Roman" w:cs="Times New Roman"/>
                <w:sz w:val="18"/>
                <w:szCs w:val="18"/>
              </w:rPr>
            </w:pPr>
            <w:r>
              <w:rPr>
                <w:rFonts w:hint="default" w:ascii="Times New Roman" w:hAnsi="Times New Roman" w:eastAsia="黑体" w:cs="Times New Roman"/>
                <w:color w:val="000000"/>
                <w:szCs w:val="24"/>
              </w:rPr>
              <w:t>自然人</w:t>
            </w:r>
          </w:p>
        </w:tc>
        <w:tc>
          <w:tcPr>
            <w:tcW w:w="3115" w:type="dxa"/>
            <w:gridSpan w:val="5"/>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Cs w:val="24"/>
              </w:rPr>
              <w:t>法人或其他组织</w:t>
            </w:r>
          </w:p>
        </w:tc>
        <w:tc>
          <w:tcPr>
            <w:tcW w:w="627" w:type="dxa"/>
            <w:vMerge w:val="restart"/>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820" w:type="dxa"/>
            <w:gridSpan w:val="3"/>
            <w:vMerge w:val="continue"/>
            <w:vAlign w:val="center"/>
          </w:tcPr>
          <w:p>
            <w:pPr>
              <w:jc w:val="left"/>
              <w:rPr>
                <w:rFonts w:hint="default" w:ascii="Times New Roman" w:hAnsi="Times New Roman" w:cs="Times New Roman"/>
              </w:rPr>
            </w:pPr>
          </w:p>
        </w:tc>
        <w:tc>
          <w:tcPr>
            <w:tcW w:w="623" w:type="dxa"/>
            <w:vMerge w:val="continue"/>
            <w:vAlign w:val="center"/>
          </w:tcPr>
          <w:p>
            <w:pPr>
              <w:jc w:val="center"/>
              <w:rPr>
                <w:rFonts w:hint="default" w:ascii="Times New Roman" w:hAnsi="Times New Roman" w:cs="Times New Roman"/>
                <w:sz w:val="18"/>
                <w:szCs w:val="18"/>
              </w:rPr>
            </w:pPr>
          </w:p>
        </w:tc>
        <w:tc>
          <w:tcPr>
            <w:tcW w:w="623" w:type="dxa"/>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Cs w:val="24"/>
              </w:rPr>
              <w:t>商业企业</w:t>
            </w:r>
          </w:p>
        </w:tc>
        <w:tc>
          <w:tcPr>
            <w:tcW w:w="623" w:type="dxa"/>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Cs w:val="24"/>
              </w:rPr>
              <w:t>科研机构</w:t>
            </w:r>
          </w:p>
        </w:tc>
        <w:tc>
          <w:tcPr>
            <w:tcW w:w="623" w:type="dxa"/>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Cs w:val="24"/>
              </w:rPr>
              <w:t>社会公益组织</w:t>
            </w:r>
          </w:p>
        </w:tc>
        <w:tc>
          <w:tcPr>
            <w:tcW w:w="623" w:type="dxa"/>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Cs w:val="24"/>
              </w:rPr>
              <w:t>法律服务机构</w:t>
            </w:r>
          </w:p>
        </w:tc>
        <w:tc>
          <w:tcPr>
            <w:tcW w:w="623" w:type="dxa"/>
            <w:vAlign w:val="center"/>
          </w:tcPr>
          <w:p>
            <w:pPr>
              <w:jc w:val="center"/>
              <w:rPr>
                <w:rFonts w:hint="default" w:ascii="Times New Roman" w:hAnsi="Times New Roman" w:cs="Times New Roman"/>
                <w:szCs w:val="21"/>
              </w:rPr>
            </w:pPr>
            <w:r>
              <w:rPr>
                <w:rFonts w:hint="default" w:ascii="Times New Roman" w:hAnsi="Times New Roman" w:eastAsia="黑体" w:cs="Times New Roman"/>
                <w:color w:val="000000"/>
                <w:szCs w:val="24"/>
              </w:rPr>
              <w:t>其他</w:t>
            </w:r>
          </w:p>
        </w:tc>
        <w:tc>
          <w:tcPr>
            <w:tcW w:w="627"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jc w:val="left"/>
              <w:rPr>
                <w:rFonts w:hint="default" w:ascii="Times New Roman" w:hAnsi="Times New Roman" w:cs="Times New Roman"/>
              </w:rPr>
            </w:pPr>
            <w:r>
              <w:rPr>
                <w:rFonts w:hint="default" w:ascii="Times New Roman" w:hAnsi="Times New Roman" w:eastAsia="黑体" w:cs="Times New Roman"/>
                <w:color w:val="000000"/>
                <w:szCs w:val="24"/>
              </w:rPr>
              <w:t>一、本年新收政府信息公开申请数量</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jc w:val="left"/>
              <w:rPr>
                <w:rFonts w:hint="default" w:ascii="Times New Roman" w:hAnsi="Times New Roman" w:cs="Times New Roman"/>
              </w:rPr>
            </w:pPr>
            <w:r>
              <w:rPr>
                <w:rFonts w:hint="default" w:ascii="Times New Roman" w:hAnsi="Times New Roman" w:eastAsia="黑体" w:cs="Times New Roman"/>
                <w:color w:val="000000"/>
                <w:szCs w:val="24"/>
              </w:rPr>
              <w:t>二、上年结转政府信息公开申请数量</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restart"/>
            <w:vAlign w:val="center"/>
          </w:tcPr>
          <w:p>
            <w:pPr>
              <w:jc w:val="left"/>
              <w:rPr>
                <w:rFonts w:hint="default" w:ascii="Times New Roman" w:hAnsi="Times New Roman" w:cs="Times New Roman"/>
              </w:rPr>
            </w:pPr>
            <w:r>
              <w:rPr>
                <w:rFonts w:hint="default" w:ascii="Times New Roman" w:hAnsi="Times New Roman" w:eastAsia="黑体" w:cs="Times New Roman"/>
                <w:color w:val="000000"/>
                <w:szCs w:val="24"/>
              </w:rPr>
              <w:t>三、本年度办理结果</w:t>
            </w:r>
          </w:p>
        </w:tc>
        <w:tc>
          <w:tcPr>
            <w:tcW w:w="4151" w:type="dxa"/>
            <w:gridSpan w:val="2"/>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Cs w:val="24"/>
              </w:rPr>
              <w:t>（ 一） 予以公开</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4151" w:type="dxa"/>
            <w:gridSpan w:val="2"/>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Cs w:val="24"/>
              </w:rPr>
              <w:t>（二）部分公开（区分处理的，只计这一情形，不计其他情形）</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restart"/>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Cs w:val="24"/>
              </w:rPr>
              <w:t>（ 三） 不予公开</w:t>
            </w: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1. 属于国家秘密</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2. 其他法律行政法规禁止公开</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3.危及“三安全一稳定”</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4. 保护第三方合法权益</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5. 属于三类内部事务信息</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6. 属于四类过程性信息</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7. 属于行政执法案卷</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8. 属于行政查询事项</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restart"/>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Cs w:val="24"/>
              </w:rPr>
              <w:t>（ 四） 无法提供</w:t>
            </w: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1. 本机关不掌握相关政府信息</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2. 没有现成信息需要另行制作</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3. 补正后申请内容仍不明确</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restart"/>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Cs w:val="24"/>
              </w:rPr>
              <w:t>（ 五） 不予处理</w:t>
            </w: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1. 信访举报投诉类申请</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2. 重复申请</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3. 要求提供公开出版物</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4. 无正当理由大量反复申请</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continue"/>
            <w:vAlign w:val="center"/>
          </w:tcPr>
          <w:p>
            <w:pPr>
              <w:jc w:val="left"/>
              <w:rPr>
                <w:rFonts w:hint="default" w:ascii="Times New Roman" w:hAnsi="Times New Roman" w:cs="Times New Roman"/>
              </w:rPr>
            </w:pPr>
          </w:p>
        </w:tc>
        <w:tc>
          <w:tcPr>
            <w:tcW w:w="3239" w:type="dxa"/>
            <w:vAlign w:val="center"/>
          </w:tcPr>
          <w:p>
            <w:pPr>
              <w:jc w:val="left"/>
              <w:rPr>
                <w:rFonts w:hint="default" w:ascii="Times New Roman" w:hAnsi="Times New Roman" w:cs="Times New Roman"/>
                <w:sz w:val="18"/>
                <w:szCs w:val="18"/>
              </w:rPr>
            </w:pPr>
            <w:r>
              <w:rPr>
                <w:rFonts w:hint="default" w:ascii="Times New Roman" w:hAnsi="Times New Roman" w:eastAsia="仿宋_GB2312" w:cs="Times New Roman"/>
                <w:color w:val="000000"/>
                <w:szCs w:val="24"/>
              </w:rPr>
              <w:t>5. 要求行政机关确认或重新出具已获取信息</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vAlign w:val="center"/>
          </w:tcPr>
          <w:p>
            <w:pPr>
              <w:jc w:val="left"/>
              <w:rPr>
                <w:rFonts w:hint="default" w:ascii="Times New Roman" w:hAnsi="Times New Roman" w:cs="Times New Roman"/>
              </w:rPr>
            </w:pPr>
          </w:p>
        </w:tc>
        <w:tc>
          <w:tcPr>
            <w:tcW w:w="912" w:type="dxa"/>
            <w:vMerge w:val="restart"/>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Cs w:val="24"/>
              </w:rPr>
              <w:t>（ 六） 其他处理</w:t>
            </w:r>
          </w:p>
        </w:tc>
        <w:tc>
          <w:tcPr>
            <w:tcW w:w="3239" w:type="dxa"/>
            <w:vAlign w:val="center"/>
          </w:tcPr>
          <w:p>
            <w:pPr>
              <w:jc w:val="left"/>
              <w:rPr>
                <w:rFonts w:hint="default" w:ascii="Times New Roman" w:hAnsi="Times New Roman" w:cs="Times New Roman"/>
              </w:rPr>
            </w:pPr>
            <w:r>
              <w:rPr>
                <w:rFonts w:hint="default" w:ascii="Times New Roman" w:hAnsi="Times New Roman" w:eastAsia="仿宋_GB2312" w:cs="Times New Roman"/>
                <w:color w:val="000000"/>
                <w:szCs w:val="24"/>
              </w:rPr>
              <w:t>1. 申请人无正当理由逾期不补正、行政机关不再处理其政府信息公开申请</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tcPr>
          <w:p>
            <w:pPr>
              <w:jc w:val="left"/>
              <w:rPr>
                <w:rFonts w:hint="default" w:ascii="Times New Roman" w:hAnsi="Times New Roman" w:cs="Times New Roman"/>
              </w:rPr>
            </w:pPr>
          </w:p>
        </w:tc>
        <w:tc>
          <w:tcPr>
            <w:tcW w:w="912" w:type="dxa"/>
            <w:vMerge w:val="continue"/>
          </w:tcPr>
          <w:p>
            <w:pPr>
              <w:jc w:val="left"/>
              <w:rPr>
                <w:rFonts w:hint="default" w:ascii="Times New Roman" w:hAnsi="Times New Roman" w:cs="Times New Roman"/>
                <w:sz w:val="18"/>
                <w:szCs w:val="18"/>
              </w:rPr>
            </w:pPr>
          </w:p>
        </w:tc>
        <w:tc>
          <w:tcPr>
            <w:tcW w:w="3239" w:type="dxa"/>
          </w:tcPr>
          <w:p>
            <w:pPr>
              <w:jc w:val="left"/>
              <w:rPr>
                <w:rFonts w:hint="default" w:ascii="Times New Roman" w:hAnsi="Times New Roman" w:cs="Times New Roman"/>
              </w:rPr>
            </w:pPr>
            <w:r>
              <w:rPr>
                <w:rFonts w:hint="default" w:ascii="Times New Roman" w:hAnsi="Times New Roman" w:eastAsia="仿宋_GB2312" w:cs="Times New Roman"/>
                <w:color w:val="000000"/>
                <w:szCs w:val="24"/>
              </w:rPr>
              <w:t>2. 申请人逾期未按收费通知要求缴纳费用、行政机关不再处理其政府信息公开申请</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tcPr>
          <w:p>
            <w:pPr>
              <w:jc w:val="left"/>
              <w:rPr>
                <w:rFonts w:hint="default" w:ascii="Times New Roman" w:hAnsi="Times New Roman" w:cs="Times New Roman"/>
              </w:rPr>
            </w:pPr>
          </w:p>
        </w:tc>
        <w:tc>
          <w:tcPr>
            <w:tcW w:w="912" w:type="dxa"/>
            <w:vMerge w:val="continue"/>
          </w:tcPr>
          <w:p>
            <w:pPr>
              <w:jc w:val="left"/>
              <w:rPr>
                <w:rFonts w:hint="default" w:ascii="Times New Roman" w:hAnsi="Times New Roman" w:cs="Times New Roman"/>
                <w:sz w:val="18"/>
                <w:szCs w:val="18"/>
              </w:rPr>
            </w:pPr>
          </w:p>
        </w:tc>
        <w:tc>
          <w:tcPr>
            <w:tcW w:w="3239" w:type="dxa"/>
            <w:vAlign w:val="center"/>
          </w:tcPr>
          <w:p>
            <w:pPr>
              <w:jc w:val="left"/>
              <w:rPr>
                <w:rFonts w:hint="default" w:ascii="Times New Roman" w:hAnsi="Times New Roman" w:cs="Times New Roman"/>
              </w:rPr>
            </w:pPr>
            <w:r>
              <w:rPr>
                <w:rFonts w:hint="default" w:ascii="Times New Roman" w:hAnsi="Times New Roman" w:eastAsia="仿宋_GB2312" w:cs="Times New Roman"/>
                <w:color w:val="000000"/>
                <w:szCs w:val="24"/>
              </w:rPr>
              <w:t>3. 其他</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vMerge w:val="continue"/>
          </w:tcPr>
          <w:p>
            <w:pPr>
              <w:jc w:val="left"/>
              <w:rPr>
                <w:rFonts w:hint="default" w:ascii="Times New Roman" w:hAnsi="Times New Roman" w:cs="Times New Roman"/>
              </w:rPr>
            </w:pPr>
          </w:p>
        </w:tc>
        <w:tc>
          <w:tcPr>
            <w:tcW w:w="4151" w:type="dxa"/>
            <w:gridSpan w:val="2"/>
            <w:vAlign w:val="center"/>
          </w:tcPr>
          <w:p>
            <w:pPr>
              <w:jc w:val="left"/>
              <w:rPr>
                <w:rFonts w:hint="default" w:ascii="Times New Roman" w:hAnsi="Times New Roman" w:cs="Times New Roman"/>
                <w:sz w:val="18"/>
                <w:szCs w:val="18"/>
              </w:rPr>
            </w:pPr>
            <w:r>
              <w:rPr>
                <w:rFonts w:hint="default" w:ascii="Times New Roman" w:hAnsi="Times New Roman" w:eastAsia="黑体" w:cs="Times New Roman"/>
                <w:color w:val="000000"/>
                <w:szCs w:val="24"/>
              </w:rPr>
              <w:t>（ 七） 总计</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20" w:type="dxa"/>
            <w:gridSpan w:val="3"/>
            <w:vAlign w:val="center"/>
          </w:tcPr>
          <w:p>
            <w:pPr>
              <w:jc w:val="left"/>
              <w:rPr>
                <w:rFonts w:hint="default" w:ascii="Times New Roman" w:hAnsi="Times New Roman" w:cs="Times New Roman"/>
              </w:rPr>
            </w:pPr>
            <w:r>
              <w:rPr>
                <w:rFonts w:hint="default" w:ascii="Times New Roman" w:hAnsi="Times New Roman" w:eastAsia="黑体" w:cs="Times New Roman"/>
                <w:color w:val="000000"/>
                <w:szCs w:val="24"/>
              </w:rPr>
              <w:t>四、结转下年度继续办理</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27" w:type="dxa"/>
            <w:vAlign w:val="center"/>
          </w:tcPr>
          <w:p>
            <w:pPr>
              <w:jc w:val="center"/>
              <w:rPr>
                <w:rFonts w:hint="default" w:ascii="Times New Roman" w:hAnsi="Times New Roman" w:cs="Times New Roman"/>
              </w:rPr>
            </w:pPr>
            <w:r>
              <w:rPr>
                <w:rFonts w:hint="default" w:ascii="Times New Roman" w:hAnsi="Times New Roman" w:cs="Times New Roman"/>
              </w:rPr>
              <w:t>0</w:t>
            </w:r>
          </w:p>
        </w:tc>
      </w:tr>
    </w:tbl>
    <w:p>
      <w:pPr>
        <w:widowControl/>
        <w:numPr>
          <w:ilvl w:val="0"/>
          <w:numId w:val="2"/>
        </w:numPr>
        <w:shd w:val="clear" w:color="auto" w:fill="FFFFFF"/>
        <w:spacing w:after="240" w:line="560" w:lineRule="exact"/>
        <w:ind w:left="420" w:leftChars="20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政府信息公开行政复议、行政诉讼情况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eastAsia="黑体" w:cs="Times New Roman"/>
                <w:color w:val="000000"/>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eastAsia="黑体" w:cs="Times New Roman"/>
                <w:color w:val="000000"/>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eastAsia="黑体" w:cs="Times New Roman"/>
                <w:color w:val="000000"/>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eastAsia="黑体" w:cs="Times New Roman"/>
                <w:color w:val="000000"/>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szCs w:val="24"/>
              </w:rPr>
            </w:pPr>
            <w:r>
              <w:rPr>
                <w:rFonts w:hint="default" w:ascii="Times New Roman" w:hAnsi="Times New Roman" w:eastAsia="黑体" w:cs="Times New Roman"/>
                <w:color w:val="000000"/>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szCs w:val="24"/>
              </w:rPr>
            </w:pPr>
            <w:r>
              <w:rPr>
                <w:rFonts w:hint="default" w:ascii="Times New Roman" w:hAnsi="Times New Roman" w:cs="Times New Roman"/>
                <w:szCs w:val="24"/>
              </w:rPr>
              <w:t>0</w:t>
            </w:r>
          </w:p>
        </w:tc>
      </w:tr>
    </w:tbl>
    <w:p>
      <w:pPr>
        <w:widowControl/>
        <w:shd w:val="clear" w:color="auto" w:fill="FFFFFF"/>
        <w:adjustRightInd w:val="0"/>
        <w:snapToGrid w:val="0"/>
        <w:spacing w:line="44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五、存在的主要问题及改进情况</w:t>
      </w:r>
    </w:p>
    <w:p>
      <w:pPr>
        <w:widowControl/>
        <w:adjustRightInd w:val="0"/>
        <w:snapToGrid w:val="0"/>
        <w:spacing w:line="560" w:lineRule="exact"/>
        <w:ind w:firstLine="700" w:firstLineChars="200"/>
        <w:rPr>
          <w:rFonts w:hint="default" w:ascii="Times New Roman" w:hAnsi="Times New Roman" w:eastAsia="仿宋_GB2312" w:cs="Times New Roman"/>
          <w:spacing w:val="15"/>
          <w:kern w:val="0"/>
          <w:sz w:val="32"/>
          <w:szCs w:val="32"/>
        </w:rPr>
      </w:pPr>
      <w:r>
        <w:rPr>
          <w:rFonts w:hint="default" w:ascii="Times New Roman" w:hAnsi="Times New Roman" w:eastAsia="仿宋_GB2312" w:cs="Times New Roman"/>
          <w:spacing w:val="15"/>
          <w:kern w:val="0"/>
          <w:sz w:val="32"/>
          <w:szCs w:val="32"/>
        </w:rPr>
        <w:t>2022年，我局政府信息公开工作虽然取得了一定进展，但离区委、区政府和人民群众的要求还有一定的差距。一是政务信息公开力度有待进一步加大，二是政务信息公开的内容还不够全面，三是信息公开更新还不够及时。</w:t>
      </w:r>
    </w:p>
    <w:p>
      <w:pPr>
        <w:widowControl/>
        <w:adjustRightInd w:val="0"/>
        <w:snapToGrid w:val="0"/>
        <w:spacing w:line="560" w:lineRule="exact"/>
        <w:ind w:firstLine="700" w:firstLineChars="200"/>
        <w:rPr>
          <w:rFonts w:hint="default" w:ascii="Times New Roman" w:hAnsi="Times New Roman" w:eastAsia="仿宋_GB2312" w:cs="Times New Roman"/>
          <w:spacing w:val="15"/>
          <w:kern w:val="0"/>
          <w:sz w:val="32"/>
          <w:szCs w:val="32"/>
        </w:rPr>
      </w:pPr>
      <w:r>
        <w:rPr>
          <w:rFonts w:hint="default" w:ascii="Times New Roman" w:hAnsi="Times New Roman" w:eastAsia="仿宋_GB2312" w:cs="Times New Roman"/>
          <w:spacing w:val="15"/>
          <w:kern w:val="0"/>
          <w:sz w:val="32"/>
          <w:szCs w:val="32"/>
        </w:rPr>
        <w:t>改进措施：一是加大信息公开力度。进一步完善信息公开制度，强化信息公开的责任意识、大局意识、服务意识，确保政务信息公开工作及时、准确。二是更好地接受社会公众对信息公开情况的监督。</w:t>
      </w:r>
    </w:p>
    <w:p>
      <w:pPr>
        <w:widowControl/>
        <w:shd w:val="clear" w:color="auto" w:fill="FFFFFF"/>
        <w:adjustRightInd w:val="0"/>
        <w:snapToGrid w:val="0"/>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六、其他需要报告的事项</w:t>
      </w:r>
    </w:p>
    <w:p>
      <w:pPr>
        <w:widowControl/>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z w:val="32"/>
          <w:szCs w:val="32"/>
          <w:shd w:val="clear" w:color="auto" w:fill="FFFFFF"/>
        </w:rPr>
        <w:t>1、</w:t>
      </w:r>
      <w:r>
        <w:rPr>
          <w:rFonts w:hint="default" w:ascii="Times New Roman" w:hAnsi="Times New Roman" w:eastAsia="楷体" w:cs="Times New Roman"/>
          <w:color w:val="000000"/>
          <w:sz w:val="32"/>
          <w:szCs w:val="32"/>
        </w:rPr>
        <w:t>收取信息处理费情况。</w:t>
      </w:r>
      <w:r>
        <w:rPr>
          <w:rFonts w:hint="default" w:ascii="Times New Roman" w:hAnsi="Times New Roman" w:eastAsia="仿宋_GB2312" w:cs="Times New Roman"/>
          <w:color w:val="000000"/>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w:t>
      </w:r>
      <w:r>
        <w:rPr>
          <w:rFonts w:hint="default" w:ascii="Times New Roman" w:hAnsi="Times New Roman" w:cs="Times New Roman"/>
          <w:color w:val="000000"/>
          <w:sz w:val="32"/>
          <w:szCs w:val="32"/>
        </w:rPr>
        <w:t>2022</w:t>
      </w:r>
      <w:r>
        <w:rPr>
          <w:rFonts w:hint="default" w:ascii="Times New Roman" w:hAnsi="Times New Roman" w:eastAsia="仿宋_GB2312" w:cs="Times New Roman"/>
          <w:color w:val="000000"/>
          <w:sz w:val="32"/>
          <w:szCs w:val="32"/>
        </w:rPr>
        <w:t>年本机关依申请公开政府信息未收取任何费用。</w:t>
      </w:r>
    </w:p>
    <w:p>
      <w:pPr>
        <w:pStyle w:val="2"/>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楷体" w:cs="Times New Roman"/>
          <w:color w:val="000000"/>
          <w:sz w:val="32"/>
          <w:szCs w:val="32"/>
        </w:rPr>
        <w:t>2、落实上级年度政务公开工作要点情况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按照区政府办公室《2022年度政务公开工作要点》相关要求，深化重点领域信息公开，加强重要政策发布，积极回应社会关切，提升政务公开标准化规范化水平。</w:t>
      </w:r>
    </w:p>
    <w:p>
      <w:pPr>
        <w:pStyle w:val="2"/>
        <w:spacing w:line="560" w:lineRule="exact"/>
        <w:ind w:firstLine="700"/>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spacing w:val="15"/>
          <w:sz w:val="32"/>
          <w:szCs w:val="32"/>
          <w:shd w:val="clear" w:color="auto" w:fill="FFFFFF"/>
        </w:rPr>
        <w:t>3、人大建议和政协提案办理结果公开情况</w:t>
      </w:r>
      <w:r>
        <w:rPr>
          <w:rFonts w:hint="default" w:ascii="Times New Roman" w:hAnsi="Times New Roman" w:eastAsia="仿宋_GB2312" w:cs="Times New Roman"/>
          <w:color w:val="000000"/>
          <w:spacing w:val="15"/>
          <w:sz w:val="32"/>
          <w:szCs w:val="32"/>
          <w:shd w:val="clear" w:color="auto" w:fill="FFFFFF"/>
        </w:rPr>
        <w:t>。</w:t>
      </w:r>
      <w:r>
        <w:rPr>
          <w:rFonts w:hint="default" w:ascii="Times New Roman" w:hAnsi="Times New Roman" w:eastAsia="仿宋_GB2312" w:cs="Times New Roman"/>
          <w:color w:val="000000"/>
          <w:sz w:val="32"/>
          <w:szCs w:val="32"/>
        </w:rPr>
        <w:t>2022年共受理人大建议2项，分别为：1、关于“双杨镇坡子村七星河清除泄洪安全隐患”建议的答复；2、关于“关于五里河流域环境治理”建议的答复。全部在规定时限内予以答复，答复率100%，满意率达到100%。未有上级建议提案办理任务。</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pPr>
      <w:r>
        <w:rPr>
          <w:rFonts w:hint="default" w:ascii="Times New Roman" w:hAnsi="Times New Roman" w:eastAsia="楷体" w:cs="Times New Roman"/>
          <w:i w:val="0"/>
          <w:iCs w:val="0"/>
          <w:caps w:val="0"/>
          <w:color w:val="000000"/>
          <w:spacing w:val="0"/>
          <w:sz w:val="32"/>
          <w:szCs w:val="32"/>
          <w:shd w:val="clear" w:fill="FFFFFF"/>
          <w:lang w:val="en-US" w:eastAsia="zh-CN"/>
        </w:rPr>
        <w:t>4、政务公开工作创新情况</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坚持在创新中求发展。充分发挥互联网传播快、效率高、受众广的优势，利用微信群、政务公开网站、新媒体，加大信息公开力度，不断增强政府工作透明度，切实保障群众对政府工作的知情权。</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 w:cs="Times New Roman"/>
          <w:i w:val="0"/>
          <w:iCs w:val="0"/>
          <w:caps w:val="0"/>
          <w:color w:val="000000"/>
          <w:spacing w:val="0"/>
          <w:sz w:val="32"/>
          <w:szCs w:val="32"/>
          <w:shd w:val="clear" w:fill="FFFFFF"/>
          <w:lang w:val="en-US" w:eastAsia="zh-CN"/>
        </w:rPr>
        <w:t>5、年报数据统计需要说明的事项</w:t>
      </w:r>
      <w:r>
        <w:rPr>
          <w:rFonts w:hint="default" w:ascii="Times New Roman" w:hAnsi="Times New Roman" w:eastAsia="仿宋_GB2312" w:cs="Times New Roman"/>
          <w:i w:val="0"/>
          <w:iCs w:val="0"/>
          <w:caps w:val="0"/>
          <w:color w:val="000000"/>
          <w:spacing w:val="0"/>
          <w:sz w:val="32"/>
          <w:szCs w:val="32"/>
          <w:shd w:val="clear" w:fill="FFFFFF"/>
          <w:lang w:val="en-US" w:eastAsia="zh-CN"/>
        </w:rPr>
        <w:t>。无</w:t>
      </w:r>
    </w:p>
    <w:p>
      <w:pPr>
        <w:pStyle w:val="2"/>
        <w:spacing w:line="560" w:lineRule="exact"/>
        <w:ind w:firstLine="700"/>
        <w:rPr>
          <w:rFonts w:hint="default" w:ascii="Times New Roman" w:hAnsi="Times New Roman" w:eastAsia="仿宋_GB2312" w:cs="Times New Roman"/>
          <w:color w:val="000000"/>
          <w:sz w:val="32"/>
          <w:szCs w:val="32"/>
        </w:rPr>
      </w:pPr>
    </w:p>
    <w:p>
      <w:pPr>
        <w:pStyle w:val="5"/>
        <w:widowControl/>
        <w:spacing w:beforeAutospacing="0" w:afterAutospacing="0" w:line="600" w:lineRule="atLeast"/>
        <w:ind w:firstLine="700"/>
        <w:jc w:val="both"/>
        <w:rPr>
          <w:rFonts w:hint="default" w:ascii="Times New Roman" w:hAnsi="Times New Roman" w:eastAsia="微软雅黑" w:cs="Times New Roman"/>
          <w:color w:val="000000"/>
          <w:szCs w:val="24"/>
        </w:rPr>
      </w:pPr>
      <w:r>
        <w:rPr>
          <w:rFonts w:hint="default" w:ascii="Times New Roman" w:hAnsi="Times New Roman" w:eastAsia="微软雅黑" w:cs="Times New Roman"/>
          <w:color w:val="000000"/>
          <w:spacing w:val="15"/>
          <w:sz w:val="32"/>
          <w:szCs w:val="32"/>
        </w:rPr>
        <w:t> </w:t>
      </w:r>
    </w:p>
    <w:p>
      <w:pPr>
        <w:pStyle w:val="5"/>
        <w:widowControl/>
        <w:spacing w:beforeAutospacing="0" w:afterAutospacing="0" w:line="600" w:lineRule="atLeast"/>
        <w:ind w:firstLine="700"/>
        <w:jc w:val="both"/>
        <w:rPr>
          <w:rFonts w:hint="default" w:ascii="Times New Roman" w:hAnsi="Times New Roman" w:eastAsia="微软雅黑" w:cs="Times New Roman"/>
          <w:color w:val="000000"/>
          <w:szCs w:val="24"/>
        </w:rPr>
      </w:pPr>
      <w:r>
        <w:rPr>
          <w:rFonts w:hint="default" w:ascii="Times New Roman" w:hAnsi="Times New Roman" w:eastAsia="微软雅黑" w:cs="Times New Roman"/>
          <w:color w:val="000000"/>
          <w:spacing w:val="15"/>
          <w:sz w:val="32"/>
          <w:szCs w:val="32"/>
        </w:rPr>
        <w:t> </w:t>
      </w:r>
    </w:p>
    <w:p>
      <w:pPr>
        <w:pStyle w:val="5"/>
        <w:widowControl/>
        <w:spacing w:beforeAutospacing="0" w:afterAutospacing="0" w:line="600" w:lineRule="atLeast"/>
        <w:ind w:firstLine="4200"/>
        <w:jc w:val="right"/>
        <w:rPr>
          <w:rFonts w:hint="default" w:ascii="Times New Roman" w:hAnsi="Times New Roman" w:eastAsia="微软雅黑" w:cs="Times New Roman"/>
          <w:color w:val="000000"/>
          <w:szCs w:val="24"/>
        </w:rPr>
      </w:pPr>
      <w:r>
        <w:rPr>
          <w:rFonts w:hint="default" w:ascii="Times New Roman" w:hAnsi="Times New Roman" w:eastAsia="仿宋_GB2312" w:cs="Times New Roman"/>
          <w:color w:val="000000"/>
          <w:spacing w:val="15"/>
          <w:sz w:val="32"/>
          <w:szCs w:val="32"/>
        </w:rPr>
        <w:t>淄博市淄川区水利局</w:t>
      </w:r>
    </w:p>
    <w:p>
      <w:pPr>
        <w:pStyle w:val="5"/>
        <w:widowControl/>
        <w:spacing w:beforeAutospacing="0" w:afterAutospacing="0" w:line="600" w:lineRule="atLeast"/>
        <w:ind w:firstLine="4550"/>
        <w:jc w:val="right"/>
        <w:rPr>
          <w:rFonts w:hint="default" w:ascii="Times New Roman" w:hAnsi="Times New Roman" w:eastAsia="微软雅黑" w:cs="Times New Roman"/>
          <w:color w:val="000000"/>
          <w:szCs w:val="24"/>
        </w:rPr>
      </w:pPr>
      <w:r>
        <w:rPr>
          <w:rFonts w:hint="default" w:ascii="Times New Roman" w:hAnsi="Times New Roman" w:eastAsia="微软雅黑" w:cs="Times New Roman"/>
          <w:color w:val="000000"/>
          <w:spacing w:val="15"/>
          <w:sz w:val="32"/>
          <w:szCs w:val="32"/>
        </w:rPr>
        <w:t>2023</w:t>
      </w:r>
      <w:r>
        <w:rPr>
          <w:rFonts w:hint="default" w:ascii="Times New Roman" w:hAnsi="Times New Roman" w:eastAsia="仿宋_GB2312" w:cs="Times New Roman"/>
          <w:color w:val="000000"/>
          <w:spacing w:val="15"/>
          <w:sz w:val="32"/>
          <w:szCs w:val="32"/>
        </w:rPr>
        <w:t>年</w:t>
      </w:r>
      <w:r>
        <w:rPr>
          <w:rFonts w:hint="default" w:ascii="Times New Roman" w:hAnsi="Times New Roman" w:eastAsia="微软雅黑" w:cs="Times New Roman"/>
          <w:color w:val="000000"/>
          <w:spacing w:val="15"/>
          <w:sz w:val="32"/>
          <w:szCs w:val="32"/>
        </w:rPr>
        <w:t>1</w:t>
      </w:r>
      <w:r>
        <w:rPr>
          <w:rFonts w:hint="default" w:ascii="Times New Roman" w:hAnsi="Times New Roman" w:eastAsia="仿宋_GB2312" w:cs="Times New Roman"/>
          <w:color w:val="000000"/>
          <w:spacing w:val="15"/>
          <w:sz w:val="32"/>
          <w:szCs w:val="32"/>
        </w:rPr>
        <w:t>月</w:t>
      </w:r>
      <w:r>
        <w:rPr>
          <w:rFonts w:hint="default" w:ascii="Times New Roman" w:hAnsi="Times New Roman" w:eastAsia="微软雅黑" w:cs="Times New Roman"/>
          <w:color w:val="000000"/>
          <w:spacing w:val="15"/>
          <w:sz w:val="32"/>
          <w:szCs w:val="32"/>
        </w:rPr>
        <w:t>15</w:t>
      </w:r>
      <w:r>
        <w:rPr>
          <w:rFonts w:hint="default" w:ascii="Times New Roman" w:hAnsi="Times New Roman" w:eastAsia="仿宋_GB2312" w:cs="Times New Roman"/>
          <w:color w:val="000000"/>
          <w:spacing w:val="15"/>
          <w:sz w:val="32"/>
          <w:szCs w:val="32"/>
        </w:rPr>
        <w:t>日</w:t>
      </w:r>
    </w:p>
    <w:p>
      <w:pPr>
        <w:pStyle w:val="5"/>
        <w:widowControl/>
        <w:spacing w:beforeAutospacing="0" w:afterAutospacing="0"/>
        <w:ind w:firstLine="420"/>
        <w:rPr>
          <w:rFonts w:hint="default" w:ascii="Times New Roman" w:hAnsi="Times New Roman" w:eastAsia="仿宋_GB2312" w:cs="Times New Roman"/>
          <w:color w:val="000000"/>
          <w:sz w:val="32"/>
          <w:szCs w:val="32"/>
        </w:rPr>
      </w:pPr>
    </w:p>
    <w:p>
      <w:pPr>
        <w:widowControl/>
        <w:adjustRightInd w:val="0"/>
        <w:snapToGrid w:val="0"/>
        <w:spacing w:line="440" w:lineRule="exact"/>
        <w:ind w:firstLine="700" w:firstLineChars="200"/>
        <w:rPr>
          <w:rFonts w:hint="default" w:ascii="Times New Roman" w:hAnsi="Times New Roman" w:eastAsia="仿宋_GB2312" w:cs="Times New Roman"/>
          <w:spacing w:val="15"/>
          <w:kern w:val="0"/>
          <w:sz w:val="32"/>
          <w:szCs w:val="32"/>
        </w:rPr>
      </w:pP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032B2"/>
    <w:multiLevelType w:val="singleLevel"/>
    <w:tmpl w:val="CC6032B2"/>
    <w:lvl w:ilvl="0" w:tentative="0">
      <w:start w:val="2"/>
      <w:numFmt w:val="chineseCounting"/>
      <w:suff w:val="nothing"/>
      <w:lvlText w:val="%1、"/>
      <w:lvlJc w:val="left"/>
      <w:rPr>
        <w:rFonts w:hint="eastAsia"/>
      </w:rPr>
    </w:lvl>
  </w:abstractNum>
  <w:abstractNum w:abstractNumId="1">
    <w:nsid w:val="22F8EB6B"/>
    <w:multiLevelType w:val="singleLevel"/>
    <w:tmpl w:val="22F8EB6B"/>
    <w:lvl w:ilvl="0" w:tentative="0">
      <w:start w:val="1"/>
      <w:numFmt w:val="decimal"/>
      <w:suff w:val="nothing"/>
      <w:lvlText w:val="%1、"/>
      <w:lvlJc w:val="left"/>
      <w:pPr>
        <w:ind w:left="-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dlMWJiM2RjY2JhODI0ZGIyM2EwNTE4OWJiYjgifQ=="/>
  </w:docVars>
  <w:rsids>
    <w:rsidRoot w:val="00380DA0"/>
    <w:rsid w:val="00080DFC"/>
    <w:rsid w:val="00380DA0"/>
    <w:rsid w:val="00671CC3"/>
    <w:rsid w:val="008508AD"/>
    <w:rsid w:val="00B65A83"/>
    <w:rsid w:val="00EF5805"/>
    <w:rsid w:val="00F761F3"/>
    <w:rsid w:val="1ED2570F"/>
    <w:rsid w:val="23DD0540"/>
    <w:rsid w:val="29944765"/>
    <w:rsid w:val="39CF14E4"/>
    <w:rsid w:val="44382B34"/>
    <w:rsid w:val="474B7F22"/>
    <w:rsid w:val="57FB0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cs="Calibri"/>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395</Words>
  <Characters>2255</Characters>
  <Lines>18</Lines>
  <Paragraphs>5</Paragraphs>
  <TotalTime>0</TotalTime>
  <ScaleCrop>false</ScaleCrop>
  <LinksUpToDate>false</LinksUpToDate>
  <CharactersWithSpaces>2645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2023-01-06T01:30:00Z</dcterms:created>
  <dc:creator>Administrator</dc:creator>
  <cp:lastModifiedBy>银杏果</cp:lastModifiedBy>
  <dcterms:modified xsi:type="dcterms:W3CDTF">2023-02-13T07:40:50Z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2D153766F9674B119F843B43C65C5FA2</vt:lpwstr>
  </property>
</Properties>
</file>