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Times New Roman" w:hAnsi="Times New Roman" w:eastAsia="仿宋_GB2312"/>
        </w:rPr>
      </w:pPr>
      <w:bookmarkStart w:id="0" w:name="_GoBack"/>
      <w:bookmarkEnd w:id="0"/>
    </w:p>
    <w:p>
      <w:pPr>
        <w:spacing w:line="440" w:lineRule="exact"/>
        <w:rPr>
          <w:rFonts w:ascii="Times New Roman" w:hAnsi="Times New Roman" w:eastAsia="仿宋_GB2312"/>
        </w:rPr>
      </w:pPr>
    </w:p>
    <w:p>
      <w:pPr>
        <w:spacing w:line="440" w:lineRule="exact"/>
        <w:rPr>
          <w:rFonts w:ascii="Times New Roman" w:hAnsi="Times New Roman" w:eastAsia="仿宋_GB2312"/>
        </w:rPr>
      </w:pPr>
    </w:p>
    <w:p>
      <w:pPr>
        <w:spacing w:line="440" w:lineRule="exact"/>
        <w:rPr>
          <w:rFonts w:ascii="Times New Roman" w:hAnsi="Times New Roman" w:eastAsia="仿宋_GB2312"/>
        </w:rPr>
      </w:pPr>
    </w:p>
    <w:p>
      <w:pPr>
        <w:spacing w:line="440" w:lineRule="exact"/>
        <w:rPr>
          <w:rFonts w:ascii="Times New Roman" w:hAnsi="Times New Roman" w:eastAsia="仿宋_GB2312"/>
        </w:rPr>
      </w:pPr>
    </w:p>
    <w:p>
      <w:pPr>
        <w:spacing w:line="460" w:lineRule="exact"/>
        <w:rPr>
          <w:rFonts w:ascii="Times New Roman" w:hAnsi="Times New Roman" w:eastAsia="仿宋_GB2312"/>
          <w:sz w:val="32"/>
          <w:szCs w:val="28"/>
        </w:rPr>
      </w:pPr>
    </w:p>
    <w:p>
      <w:pPr>
        <w:spacing w:line="240" w:lineRule="exact"/>
        <w:rPr>
          <w:rFonts w:ascii="Times New Roman" w:hAnsi="Times New Roman" w:eastAsia="仿宋_GB2312"/>
          <w:sz w:val="32"/>
          <w:szCs w:val="28"/>
        </w:rPr>
      </w:pPr>
    </w:p>
    <w:p>
      <w:pPr>
        <w:pStyle w:val="2"/>
        <w:spacing w:line="240" w:lineRule="exact"/>
      </w:pPr>
    </w:p>
    <w:p>
      <w:pPr>
        <w:pStyle w:val="3"/>
        <w:widowControl/>
        <w:shd w:val="clear" w:color="auto" w:fill="FFFFFF"/>
        <w:spacing w:beforeAutospacing="0" w:afterAutospacing="0" w:line="600" w:lineRule="exact"/>
        <w:jc w:val="center"/>
        <w:rPr>
          <w:rFonts w:hint="default" w:ascii="Times New Roman" w:hAnsi="Times New Roman" w:eastAsia="仿宋_GB2312"/>
          <w:b w:val="0"/>
          <w:bCs w:val="0"/>
          <w:kern w:val="2"/>
          <w:sz w:val="32"/>
          <w:szCs w:val="28"/>
        </w:rPr>
      </w:pPr>
      <w:r>
        <w:rPr>
          <w:rFonts w:ascii="Times New Roman" w:hAnsi="Times New Roman" w:eastAsia="仿宋_GB2312"/>
          <w:b w:val="0"/>
          <w:bCs w:val="0"/>
          <w:kern w:val="2"/>
          <w:sz w:val="32"/>
          <w:szCs w:val="28"/>
        </w:rPr>
        <w:t>松龄政发〔2021〕128号</w:t>
      </w:r>
    </w:p>
    <w:p>
      <w:pPr>
        <w:pStyle w:val="3"/>
        <w:widowControl/>
        <w:shd w:val="clear" w:color="auto" w:fill="FFFFFF"/>
        <w:spacing w:beforeAutospacing="0" w:afterAutospacing="0" w:line="600" w:lineRule="exact"/>
        <w:jc w:val="center"/>
        <w:rPr>
          <w:rFonts w:hint="default" w:ascii="方正小标宋简体" w:hAnsi="方正小标宋简体" w:eastAsia="方正小标宋简体" w:cs="方正小标宋简体"/>
          <w:b w:val="0"/>
          <w:bCs w:val="0"/>
          <w:color w:val="000000" w:themeColor="text1"/>
          <w:sz w:val="44"/>
          <w:szCs w:val="44"/>
          <w:shd w:val="clear" w:color="auto" w:fill="FFFFFF"/>
          <w14:textFill>
            <w14:solidFill>
              <w14:schemeClr w14:val="tx1"/>
            </w14:solidFill>
          </w14:textFill>
        </w:rPr>
      </w:pPr>
    </w:p>
    <w:p>
      <w:pPr>
        <w:pStyle w:val="3"/>
        <w:widowControl/>
        <w:shd w:val="clear" w:color="auto" w:fill="FFFFFF"/>
        <w:spacing w:beforeAutospacing="0" w:afterAutospacing="0" w:line="600" w:lineRule="exact"/>
        <w:jc w:val="center"/>
        <w:rPr>
          <w:rFonts w:hint="default" w:ascii="方正小标宋简体" w:hAnsi="方正小标宋简体" w:eastAsia="方正小标宋简体" w:cs="方正小标宋简体"/>
          <w:b w:val="0"/>
          <w:bCs w:val="0"/>
          <w:color w:val="000000" w:themeColor="text1"/>
          <w:sz w:val="44"/>
          <w:szCs w:val="44"/>
          <w:shd w:val="clear" w:color="auto" w:fill="FFFFFF"/>
          <w14:textFill>
            <w14:solidFill>
              <w14:schemeClr w14:val="tx1"/>
            </w14:solidFill>
          </w14:textFill>
        </w:rPr>
      </w:pPr>
      <w:r>
        <w:rPr>
          <w:rFonts w:ascii="方正小标宋简体" w:hAnsi="方正小标宋简体" w:eastAsia="方正小标宋简体" w:cs="方正小标宋简体"/>
          <w:b w:val="0"/>
          <w:bCs w:val="0"/>
          <w:color w:val="000000" w:themeColor="text1"/>
          <w:sz w:val="44"/>
          <w:szCs w:val="44"/>
          <w:shd w:val="clear" w:color="auto" w:fill="FFFFFF"/>
          <w14:textFill>
            <w14:solidFill>
              <w14:schemeClr w14:val="tx1"/>
            </w14:solidFill>
          </w14:textFill>
        </w:rPr>
        <w:t>淄川区人民政府松龄路街道办事处</w:t>
      </w:r>
    </w:p>
    <w:p>
      <w:pPr>
        <w:pStyle w:val="3"/>
        <w:widowControl/>
        <w:shd w:val="clear" w:color="auto" w:fill="FFFFFF"/>
        <w:spacing w:beforeAutospacing="0" w:afterAutospacing="0" w:line="600" w:lineRule="exact"/>
        <w:jc w:val="center"/>
        <w:rPr>
          <w:rFonts w:hint="default" w:ascii="黑体" w:hAnsi="黑体" w:eastAsia="黑体" w:cs="黑体"/>
          <w:color w:val="000000" w:themeColor="text1"/>
          <w:sz w:val="44"/>
          <w:szCs w:val="44"/>
          <w:shd w:val="clear" w:color="auto" w:fill="FFFFFF"/>
          <w14:textFill>
            <w14:solidFill>
              <w14:schemeClr w14:val="tx1"/>
            </w14:solidFill>
          </w14:textFill>
        </w:rPr>
      </w:pPr>
      <w:r>
        <w:rPr>
          <w:rFonts w:ascii="方正小标宋简体" w:hAnsi="方正小标宋简体" w:eastAsia="方正小标宋简体" w:cs="方正小标宋简体"/>
          <w:b w:val="0"/>
          <w:bCs w:val="0"/>
          <w:color w:val="000000" w:themeColor="text1"/>
          <w:sz w:val="44"/>
          <w:szCs w:val="44"/>
          <w:shd w:val="clear" w:color="auto" w:fill="FFFFFF"/>
          <w14:textFill>
            <w14:solidFill>
              <w14:schemeClr w14:val="tx1"/>
            </w14:solidFill>
          </w14:textFill>
        </w:rPr>
        <w:t>2021年法治政府建设工作报告</w:t>
      </w:r>
    </w:p>
    <w:p>
      <w:pPr>
        <w:jc w:val="center"/>
      </w:pPr>
    </w:p>
    <w:p/>
    <w:p>
      <w:pPr>
        <w:spacing w:line="560" w:lineRule="exact"/>
        <w:ind w:firstLine="640" w:firstLineChars="200"/>
        <w:rPr>
          <w:rFonts w:ascii="Times New Roman" w:hAnsi="Times New Roman" w:eastAsia="仿宋_GB2312" w:cs="Times New Roman"/>
          <w:sz w:val="32"/>
          <w:szCs w:val="28"/>
        </w:rPr>
      </w:pPr>
      <w:r>
        <w:rPr>
          <w:rFonts w:hint="eastAsia" w:ascii="Times New Roman" w:hAnsi="Times New Roman" w:eastAsia="仿宋_GB2312" w:cs="Times New Roman"/>
          <w:sz w:val="32"/>
          <w:szCs w:val="28"/>
        </w:rPr>
        <w:t>2021年，松龄路街道法治政府建设坚持以习近平新时代中国特色社会主义思想为指导，扎实履行司法行政工作职能，坚持法治城区、法治政府、法治社会一体化建设，认真贯彻党的十九届六中全会精神，落实党中央、国务院《法治政府建设实施纲要（2021-2025年）》决策部署和区委、区政府工作要求，积极完善依法行政制度体系，持续强化行政权力监督，依法预防和化解社会矛盾，全面加强依法行政能力，努力开拓松龄路街道法治政府新局面。</w:t>
      </w:r>
    </w:p>
    <w:p>
      <w:pPr>
        <w:pStyle w:val="7"/>
        <w:widowControl/>
        <w:shd w:val="clear" w:color="auto" w:fill="FFFFFF"/>
        <w:spacing w:beforeAutospacing="0" w:afterAutospacing="0" w:line="560" w:lineRule="exact"/>
        <w:ind w:firstLine="640" w:firstLineChars="200"/>
        <w:rPr>
          <w:rFonts w:ascii="黑体" w:hAnsi="黑体" w:eastAsia="黑体" w:cs="黑体"/>
          <w:kern w:val="2"/>
          <w:sz w:val="32"/>
          <w:szCs w:val="28"/>
        </w:rPr>
      </w:pPr>
      <w:r>
        <w:rPr>
          <w:rFonts w:hint="eastAsia" w:ascii="黑体" w:hAnsi="黑体" w:eastAsia="黑体" w:cs="黑体"/>
          <w:kern w:val="2"/>
          <w:sz w:val="32"/>
          <w:szCs w:val="28"/>
        </w:rPr>
        <w:t>一、健全法治政府建设工作组织，切实加强组织领导</w:t>
      </w:r>
    </w:p>
    <w:p>
      <w:pPr>
        <w:spacing w:line="560" w:lineRule="exact"/>
        <w:ind w:firstLine="640" w:firstLineChars="200"/>
        <w:jc w:val="left"/>
        <w:rPr>
          <w:rFonts w:ascii="Times New Roman" w:hAnsi="Times New Roman" w:eastAsia="仿宋_GB2312" w:cs="Times New Roman"/>
          <w:sz w:val="32"/>
          <w:szCs w:val="28"/>
        </w:rPr>
      </w:pPr>
      <w:r>
        <w:rPr>
          <w:rFonts w:hint="eastAsia" w:ascii="Times New Roman" w:hAnsi="Times New Roman" w:eastAsia="仿宋_GB2312" w:cs="Times New Roman"/>
          <w:sz w:val="32"/>
          <w:szCs w:val="28"/>
        </w:rPr>
        <w:t>严格按照上级部署要求，党政主要负责人履行法治建设第一责任人职责，将法治建设纳入本街道经济社会发展总体规划和年度工作计划，与经济社会发展同部署、同推进、同督促、同考核、同奖惩。建立党委理论学习中心组集体学法和街道党政联席会议定期学法制度，定期举办专题讲座，加强对办事处工作人员的法治教育培训和法治能力考查测试。落实重大决策合法性审查制度，建立健全非诉讼纠纷一体化解决机制，严格落实“谁执法谁普法”普法责任制，普遍实施以案释法制度，在执法实践中深入开展以案释法和警示教育，广泛开展普法工作。</w:t>
      </w:r>
    </w:p>
    <w:p>
      <w:pPr>
        <w:pStyle w:val="7"/>
        <w:widowControl/>
        <w:shd w:val="clear" w:color="auto" w:fill="FFFFFF"/>
        <w:spacing w:beforeAutospacing="0" w:afterAutospacing="0" w:line="560" w:lineRule="exact"/>
        <w:ind w:firstLine="640" w:firstLineChars="200"/>
        <w:rPr>
          <w:rFonts w:ascii="黑体" w:hAnsi="黑体" w:eastAsia="黑体" w:cs="黑体"/>
          <w:kern w:val="2"/>
          <w:sz w:val="32"/>
          <w:szCs w:val="28"/>
        </w:rPr>
      </w:pPr>
      <w:r>
        <w:rPr>
          <w:rFonts w:hint="eastAsia" w:ascii="黑体" w:hAnsi="黑体" w:eastAsia="黑体" w:cs="黑体"/>
          <w:kern w:val="2"/>
          <w:sz w:val="32"/>
          <w:szCs w:val="28"/>
        </w:rPr>
        <w:t>二、加强规范性文件管理和备案</w:t>
      </w:r>
    </w:p>
    <w:p>
      <w:pPr>
        <w:pStyle w:val="7"/>
        <w:widowControl/>
        <w:shd w:val="clear" w:color="auto" w:fill="FFFFFF"/>
        <w:spacing w:beforeAutospacing="0" w:afterAutospacing="0" w:line="560" w:lineRule="exact"/>
        <w:ind w:firstLine="640" w:firstLineChars="200"/>
        <w:rPr>
          <w:rFonts w:ascii="Times New Roman" w:hAnsi="Times New Roman" w:eastAsia="仿宋_GB2312"/>
          <w:kern w:val="2"/>
          <w:sz w:val="32"/>
          <w:szCs w:val="28"/>
        </w:rPr>
      </w:pPr>
      <w:r>
        <w:rPr>
          <w:rFonts w:hint="eastAsia" w:ascii="Times New Roman" w:hAnsi="Times New Roman" w:eastAsia="仿宋_GB2312"/>
          <w:kern w:val="2"/>
          <w:sz w:val="32"/>
          <w:szCs w:val="28"/>
        </w:rPr>
        <w:t>加强对规范性文件的监管，做到依法决策。全面梳理现行有效的法律、法规、政府规章和规范性文件，规范了行政执法文书，健全了违法案件查处制度、行政执法监督检查制度、行政执法公开制度、行政执法投诉制度，执法程序严格，执法行为规范。严格执行规范性文件报备制度，切实做好规范性文件审查和备案工作，确保有件必备、有备必审、有错必纠。</w:t>
      </w:r>
    </w:p>
    <w:p>
      <w:pPr>
        <w:spacing w:line="560" w:lineRule="exact"/>
        <w:ind w:firstLine="640" w:firstLineChars="200"/>
        <w:rPr>
          <w:rFonts w:ascii="Times New Roman" w:hAnsi="Times New Roman" w:eastAsia="仿宋_GB2312" w:cs="Times New Roman"/>
          <w:sz w:val="32"/>
          <w:szCs w:val="28"/>
        </w:rPr>
      </w:pPr>
      <w:r>
        <w:rPr>
          <w:rFonts w:hint="eastAsia" w:ascii="黑体" w:hAnsi="黑体" w:eastAsia="黑体" w:cs="黑体"/>
          <w:sz w:val="32"/>
          <w:szCs w:val="28"/>
        </w:rPr>
        <w:t>三、深入推进重点对象学法用法工作，大力提升全民法治素养</w:t>
      </w:r>
    </w:p>
    <w:p>
      <w:pPr>
        <w:widowControl/>
        <w:spacing w:line="560" w:lineRule="exact"/>
        <w:ind w:firstLine="640" w:firstLineChars="200"/>
        <w:rPr>
          <w:rFonts w:ascii="Times New Roman" w:hAnsi="Times New Roman" w:eastAsia="仿宋_GB2312" w:cs="Times New Roman"/>
          <w:sz w:val="32"/>
          <w:szCs w:val="28"/>
        </w:rPr>
      </w:pPr>
      <w:r>
        <w:rPr>
          <w:rFonts w:hint="eastAsia" w:ascii="Times New Roman" w:hAnsi="Times New Roman" w:eastAsia="楷体_GB2312" w:cs="楷体_GB2312"/>
          <w:kern w:val="0"/>
          <w:sz w:val="32"/>
          <w:szCs w:val="32"/>
        </w:rPr>
        <w:t>1.</w:t>
      </w:r>
      <w:r>
        <w:rPr>
          <w:rFonts w:hint="eastAsia" w:ascii="楷体_GB2312" w:hAnsi="楷体_GB2312" w:eastAsia="楷体_GB2312" w:cs="楷体_GB2312"/>
          <w:kern w:val="0"/>
          <w:sz w:val="32"/>
          <w:szCs w:val="32"/>
        </w:rPr>
        <w:t>强化国家工作人员学法用法。</w:t>
      </w:r>
      <w:r>
        <w:rPr>
          <w:rFonts w:hint="eastAsia" w:ascii="Times New Roman" w:hAnsi="Times New Roman" w:eastAsia="仿宋_GB2312" w:cs="Times New Roman"/>
          <w:sz w:val="32"/>
          <w:szCs w:val="28"/>
        </w:rPr>
        <w:t>贯彻实施《关于完善全区国家工作人员学法用法制度的实施意见》，进一步健全完善党委（党组）理论学习中心组学法制度，认真组织2021年度国家工作人员学法考试，推动把学法档案纳入干部人事档案统一管理，将法治知识纳入全街道党员干部德廉和党风党纪知识学习测试内容。</w:t>
      </w:r>
    </w:p>
    <w:p>
      <w:pPr>
        <w:spacing w:line="520" w:lineRule="exact"/>
        <w:ind w:firstLine="640" w:firstLineChars="200"/>
        <w:rPr>
          <w:rFonts w:ascii="Times New Roman" w:hAnsi="Times New Roman" w:eastAsia="仿宋_GB2312" w:cs="Times New Roman"/>
          <w:sz w:val="32"/>
          <w:szCs w:val="28"/>
        </w:rPr>
      </w:pPr>
      <w:r>
        <w:rPr>
          <w:rFonts w:hint="eastAsia" w:ascii="Times New Roman" w:hAnsi="Times New Roman" w:eastAsia="楷体_GB2312" w:cs="楷体_GB2312"/>
          <w:kern w:val="0"/>
          <w:sz w:val="32"/>
          <w:szCs w:val="32"/>
        </w:rPr>
        <w:t>2.打牢青少年法律素质基础。</w:t>
      </w:r>
      <w:r>
        <w:rPr>
          <w:rFonts w:hint="eastAsia" w:ascii="Times New Roman" w:hAnsi="Times New Roman" w:eastAsia="仿宋_GB2312" w:cs="Times New Roman"/>
          <w:sz w:val="32"/>
          <w:szCs w:val="28"/>
        </w:rPr>
        <w:t>充分发挥法治副校长的作用，切实加强青少年法治教育，全面落实《青少年法治教育大纲》，完善学校、家庭、社会“三位一体”法治教育格局。进一步深化依法治校活动，深化法治校园、平安校园建设工作。</w:t>
      </w:r>
    </w:p>
    <w:p>
      <w:pPr>
        <w:spacing w:line="520" w:lineRule="exact"/>
        <w:ind w:firstLine="640" w:firstLineChars="200"/>
        <w:rPr>
          <w:rFonts w:ascii="黑体" w:hAnsi="黑体" w:eastAsia="黑体" w:cs="黑体"/>
          <w:sz w:val="32"/>
          <w:szCs w:val="28"/>
        </w:rPr>
      </w:pPr>
      <w:r>
        <w:rPr>
          <w:rFonts w:hint="eastAsia" w:ascii="黑体" w:hAnsi="黑体" w:eastAsia="黑体" w:cs="黑体"/>
          <w:sz w:val="32"/>
          <w:szCs w:val="28"/>
        </w:rPr>
        <w:t>四、加大法治创建活动力度，夯实社会治理基础</w:t>
      </w:r>
    </w:p>
    <w:p>
      <w:pPr>
        <w:spacing w:line="520" w:lineRule="exact"/>
        <w:ind w:firstLine="640" w:firstLineChars="200"/>
        <w:rPr>
          <w:rFonts w:ascii="Times New Roman" w:hAnsi="Times New Roman" w:eastAsia="仿宋_GB2312" w:cs="Times New Roman"/>
          <w:sz w:val="32"/>
          <w:szCs w:val="28"/>
        </w:rPr>
      </w:pPr>
      <w:r>
        <w:rPr>
          <w:rFonts w:hint="eastAsia" w:ascii="Times New Roman" w:hAnsi="Times New Roman" w:eastAsia="仿宋_GB2312" w:cs="Times New Roman"/>
          <w:sz w:val="32"/>
          <w:szCs w:val="28"/>
        </w:rPr>
        <w:t>1.</w:t>
      </w:r>
      <w:r>
        <w:rPr>
          <w:rFonts w:hint="eastAsia" w:ascii="Times New Roman" w:hAnsi="Times New Roman" w:eastAsia="楷体_GB2312" w:cs="楷体_GB2312"/>
          <w:kern w:val="0"/>
          <w:sz w:val="32"/>
          <w:szCs w:val="32"/>
        </w:rPr>
        <w:t>深入开展多层次多形式的法治创建活动。</w:t>
      </w:r>
      <w:r>
        <w:rPr>
          <w:rFonts w:hint="eastAsia" w:ascii="Times New Roman" w:hAnsi="Times New Roman" w:eastAsia="仿宋_GB2312" w:cs="Times New Roman"/>
          <w:sz w:val="32"/>
          <w:szCs w:val="28"/>
        </w:rPr>
        <w:t>按照全省统一部署，深入开展法治街道、民主法治示范社区、依法办事示范窗口单位、诚信守法企业等法治创建活动，积极争创全省法治创建示范街道。</w:t>
      </w:r>
    </w:p>
    <w:p>
      <w:pPr>
        <w:spacing w:line="520" w:lineRule="exact"/>
        <w:ind w:firstLine="640" w:firstLineChars="200"/>
        <w:rPr>
          <w:rFonts w:ascii="Times New Roman" w:hAnsi="Times New Roman" w:eastAsia="仿宋_GB2312" w:cs="Times New Roman"/>
          <w:sz w:val="32"/>
          <w:szCs w:val="28"/>
        </w:rPr>
      </w:pPr>
      <w:r>
        <w:rPr>
          <w:rFonts w:hint="eastAsia" w:ascii="Times New Roman" w:hAnsi="Times New Roman" w:eastAsia="仿宋_GB2312" w:cs="Times New Roman"/>
          <w:sz w:val="32"/>
          <w:szCs w:val="28"/>
        </w:rPr>
        <w:t>2.</w:t>
      </w:r>
      <w:r>
        <w:rPr>
          <w:rFonts w:hint="eastAsia" w:ascii="Times New Roman" w:hAnsi="Times New Roman" w:eastAsia="楷体_GB2312" w:cs="楷体_GB2312"/>
          <w:kern w:val="0"/>
          <w:sz w:val="32"/>
          <w:szCs w:val="32"/>
        </w:rPr>
        <w:t>加强对民主法治示范社区的申报管理。</w:t>
      </w:r>
      <w:r>
        <w:rPr>
          <w:rFonts w:hint="eastAsia" w:ascii="Times New Roman" w:hAnsi="Times New Roman" w:eastAsia="仿宋_GB2312" w:cs="Times New Roman"/>
          <w:sz w:val="32"/>
          <w:szCs w:val="28"/>
        </w:rPr>
        <w:t>对照《山东省民主法治示范社区创建标准》，积极提报 “民主法治示范社区”评选，切实发挥典型示范作用，引领法治创建工作深入开展。</w:t>
      </w:r>
    </w:p>
    <w:p>
      <w:pPr>
        <w:shd w:val="clear" w:color="auto" w:fill="FFFFFF"/>
        <w:spacing w:line="520" w:lineRule="exact"/>
        <w:ind w:firstLine="640" w:firstLineChars="200"/>
        <w:rPr>
          <w:rFonts w:ascii="黑体" w:hAnsi="黑体" w:eastAsia="黑体" w:cs="黑体"/>
          <w:sz w:val="32"/>
          <w:szCs w:val="28"/>
        </w:rPr>
      </w:pPr>
      <w:r>
        <w:rPr>
          <w:rFonts w:hint="eastAsia" w:ascii="黑体" w:hAnsi="黑体" w:eastAsia="黑体" w:cs="黑体"/>
          <w:sz w:val="32"/>
          <w:szCs w:val="28"/>
        </w:rPr>
        <w:t>五、提升“四大工程”，构建法治文化建设高地</w:t>
      </w:r>
    </w:p>
    <w:p>
      <w:pPr>
        <w:widowControl/>
        <w:spacing w:line="520" w:lineRule="exact"/>
        <w:ind w:firstLine="640" w:firstLineChars="200"/>
        <w:rPr>
          <w:rFonts w:ascii="Times New Roman" w:hAnsi="Times New Roman" w:eastAsia="仿宋_GB2312" w:cs="Times New Roman"/>
          <w:sz w:val="32"/>
          <w:szCs w:val="28"/>
        </w:rPr>
      </w:pPr>
      <w:r>
        <w:rPr>
          <w:rFonts w:hint="eastAsia" w:ascii="Times New Roman" w:hAnsi="Times New Roman" w:eastAsia="仿宋_GB2312" w:cs="Times New Roman"/>
          <w:sz w:val="32"/>
          <w:szCs w:val="28"/>
        </w:rPr>
        <w:t>1.</w:t>
      </w:r>
      <w:r>
        <w:rPr>
          <w:rFonts w:hint="eastAsia" w:ascii="Times New Roman" w:hAnsi="Times New Roman" w:eastAsia="楷体_GB2312" w:cs="楷体_GB2312"/>
          <w:kern w:val="0"/>
          <w:sz w:val="32"/>
          <w:szCs w:val="32"/>
        </w:rPr>
        <w:t>培树法治文化品牌。</w:t>
      </w:r>
      <w:r>
        <w:rPr>
          <w:rFonts w:hint="eastAsia" w:ascii="Times New Roman" w:hAnsi="Times New Roman" w:eastAsia="仿宋_GB2312" w:cs="Times New Roman"/>
          <w:sz w:val="32"/>
          <w:szCs w:val="28"/>
        </w:rPr>
        <w:t>充分发挥法治文化的引领、熏陶作用，大力实施品牌创建工程，促进法治文化与松龄文化、行业文化、民俗民间文化融合发展。</w:t>
      </w:r>
    </w:p>
    <w:p>
      <w:pPr>
        <w:shd w:val="clear" w:color="auto" w:fill="FFFFFF"/>
        <w:spacing w:line="520" w:lineRule="exact"/>
        <w:ind w:firstLine="640" w:firstLineChars="200"/>
        <w:rPr>
          <w:rFonts w:ascii="Times New Roman" w:hAnsi="Times New Roman" w:eastAsia="仿宋_GB2312" w:cs="Times New Roman"/>
          <w:sz w:val="32"/>
          <w:szCs w:val="28"/>
        </w:rPr>
      </w:pPr>
      <w:r>
        <w:rPr>
          <w:rFonts w:hint="eastAsia" w:ascii="Times New Roman" w:hAnsi="Times New Roman" w:eastAsia="仿宋_GB2312" w:cs="Times New Roman"/>
          <w:sz w:val="32"/>
          <w:szCs w:val="28"/>
        </w:rPr>
        <w:t>2.</w:t>
      </w:r>
      <w:r>
        <w:rPr>
          <w:rFonts w:hint="eastAsia" w:ascii="Times New Roman" w:hAnsi="Times New Roman" w:eastAsia="楷体_GB2312" w:cs="楷体_GB2312"/>
          <w:kern w:val="0"/>
          <w:sz w:val="32"/>
          <w:szCs w:val="32"/>
        </w:rPr>
        <w:t>拓展法治文化阵地。</w:t>
      </w:r>
      <w:r>
        <w:rPr>
          <w:rFonts w:hint="eastAsia" w:ascii="Times New Roman" w:hAnsi="Times New Roman" w:eastAsia="仿宋_GB2312" w:cs="Times New Roman"/>
          <w:sz w:val="32"/>
          <w:szCs w:val="28"/>
        </w:rPr>
        <w:t>对已命名的示范基地进行提档升级、丰富内涵，充分发挥法治文化阵地在知识普及、观念引导、能力培养等方面的作用。做好法治文化阵地建设与文化、平安、党建等多种元素融合的文章，通过法治元素的“渗透”和“植入”，实现与党建、文明创建、平安建设、美丽社区建设等阵地的合力共建，借势借力，逐步形成法治文化阵地“枝繁叶茂、遍地开花”的良好局面。</w:t>
      </w:r>
    </w:p>
    <w:p>
      <w:pPr>
        <w:spacing w:line="520" w:lineRule="exact"/>
        <w:ind w:firstLine="640" w:firstLineChars="200"/>
        <w:rPr>
          <w:rFonts w:ascii="Times New Roman" w:hAnsi="Times New Roman" w:eastAsia="仿宋_GB2312" w:cs="Times New Roman"/>
          <w:sz w:val="32"/>
          <w:szCs w:val="28"/>
        </w:rPr>
      </w:pPr>
      <w:r>
        <w:rPr>
          <w:rFonts w:hint="eastAsia" w:ascii="Times New Roman" w:hAnsi="Times New Roman" w:eastAsia="仿宋_GB2312" w:cs="Times New Roman"/>
          <w:sz w:val="32"/>
          <w:szCs w:val="28"/>
        </w:rPr>
        <w:t>3.</w:t>
      </w:r>
      <w:r>
        <w:rPr>
          <w:rFonts w:hint="eastAsia" w:ascii="Times New Roman" w:hAnsi="Times New Roman" w:eastAsia="楷体_GB2312" w:cs="楷体_GB2312"/>
          <w:kern w:val="0"/>
          <w:sz w:val="32"/>
          <w:szCs w:val="32"/>
        </w:rPr>
        <w:t>开展法治文化活动。</w:t>
      </w:r>
      <w:r>
        <w:rPr>
          <w:rFonts w:hint="eastAsia" w:ascii="Times New Roman" w:hAnsi="Times New Roman" w:eastAsia="仿宋_GB2312" w:cs="Times New Roman"/>
          <w:sz w:val="32"/>
          <w:szCs w:val="28"/>
        </w:rPr>
        <w:t>加强与媒体的协作，创作出更多群众喜闻乐见、“接地气”的法治文艺栏目（作品）。开展“法治宣讲进社区”、法律知识竞赛、法治书画展等法治文化惠民活动，最大限度满足群众的法治文化需求。</w:t>
      </w:r>
    </w:p>
    <w:p>
      <w:pPr>
        <w:spacing w:line="520" w:lineRule="exact"/>
        <w:ind w:firstLine="640" w:firstLineChars="200"/>
        <w:rPr>
          <w:rFonts w:ascii="Times New Roman" w:hAnsi="Times New Roman" w:eastAsia="仿宋_GB2312" w:cs="Times New Roman"/>
          <w:sz w:val="32"/>
          <w:szCs w:val="28"/>
        </w:rPr>
      </w:pPr>
      <w:r>
        <w:rPr>
          <w:rFonts w:hint="eastAsia" w:ascii="Times New Roman" w:hAnsi="Times New Roman" w:eastAsia="仿宋_GB2312" w:cs="Times New Roman"/>
          <w:sz w:val="32"/>
          <w:szCs w:val="28"/>
        </w:rPr>
        <w:t>4.</w:t>
      </w:r>
      <w:r>
        <w:rPr>
          <w:rFonts w:hint="eastAsia" w:ascii="Times New Roman" w:hAnsi="Times New Roman" w:eastAsia="楷体_GB2312" w:cs="楷体_GB2312"/>
          <w:kern w:val="0"/>
          <w:sz w:val="32"/>
          <w:szCs w:val="32"/>
        </w:rPr>
        <w:t>实施“互联网+法治宣传教育”。</w:t>
      </w:r>
      <w:r>
        <w:rPr>
          <w:rFonts w:hint="eastAsia" w:ascii="Times New Roman" w:hAnsi="Times New Roman" w:eastAsia="仿宋_GB2312" w:cs="Times New Roman"/>
          <w:sz w:val="32"/>
          <w:szCs w:val="28"/>
        </w:rPr>
        <w:t>疫情发生以来，借助街道微信工作群、社区居民群、社区法律顾问工作群、松龄路司法所“头条号”在开展法治宣传教育中的作用，开展法治宣传教育。</w:t>
      </w:r>
    </w:p>
    <w:p>
      <w:pPr>
        <w:spacing w:line="520" w:lineRule="exact"/>
        <w:ind w:firstLine="640" w:firstLineChars="200"/>
        <w:rPr>
          <w:rFonts w:ascii="Times New Roman" w:hAnsi="Times New Roman" w:eastAsia="仿宋_GB2312" w:cs="Times New Roman"/>
          <w:sz w:val="32"/>
          <w:szCs w:val="28"/>
        </w:rPr>
      </w:pPr>
      <w:r>
        <w:rPr>
          <w:rFonts w:hint="eastAsia" w:ascii="黑体" w:hAnsi="黑体" w:eastAsia="黑体" w:cs="黑体"/>
          <w:sz w:val="32"/>
          <w:szCs w:val="28"/>
        </w:rPr>
        <w:t>六、强化制度保障，全力推动普法依法治理工作创新创优</w:t>
      </w:r>
    </w:p>
    <w:p>
      <w:pPr>
        <w:widowControl/>
        <w:spacing w:line="520" w:lineRule="exact"/>
        <w:ind w:firstLine="640" w:firstLineChars="200"/>
        <w:rPr>
          <w:rFonts w:ascii="Times New Roman" w:hAnsi="Times New Roman" w:eastAsia="仿宋_GB2312" w:cs="Times New Roman"/>
          <w:sz w:val="32"/>
          <w:szCs w:val="28"/>
        </w:rPr>
      </w:pPr>
      <w:r>
        <w:rPr>
          <w:rFonts w:hint="eastAsia" w:ascii="Times New Roman" w:hAnsi="Times New Roman" w:eastAsia="仿宋_GB2312" w:cs="Times New Roman"/>
          <w:sz w:val="32"/>
          <w:szCs w:val="28"/>
        </w:rPr>
        <w:t>1.</w:t>
      </w:r>
      <w:r>
        <w:rPr>
          <w:rFonts w:hint="eastAsia" w:ascii="Times New Roman" w:hAnsi="Times New Roman" w:eastAsia="楷体_GB2312" w:cs="楷体_GB2312"/>
          <w:kern w:val="0"/>
          <w:sz w:val="32"/>
          <w:szCs w:val="32"/>
        </w:rPr>
        <w:t>贯彻落实“谁执法谁普法”普法责任制。</w:t>
      </w:r>
      <w:r>
        <w:rPr>
          <w:rFonts w:hint="eastAsia" w:ascii="Times New Roman" w:hAnsi="Times New Roman" w:eastAsia="仿宋_GB2312" w:cs="Times New Roman"/>
          <w:sz w:val="32"/>
          <w:szCs w:val="28"/>
        </w:rPr>
        <w:t xml:space="preserve">贯彻中央、省的《关于实行国家机关“谁执法谁普法”普法责任制的意见》，结合我街道实际，推进落实“谁执法谁普法”责任制考核评价标准和考核评价办法，围绕热点难点问题向社会开展专题性标准普法。 </w:t>
      </w:r>
    </w:p>
    <w:p>
      <w:pPr>
        <w:spacing w:line="520" w:lineRule="exact"/>
        <w:ind w:firstLine="640" w:firstLineChars="200"/>
        <w:rPr>
          <w:rFonts w:ascii="Times New Roman" w:hAnsi="Times New Roman" w:eastAsia="仿宋_GB2312" w:cs="Times New Roman"/>
          <w:sz w:val="32"/>
          <w:szCs w:val="28"/>
        </w:rPr>
      </w:pPr>
      <w:r>
        <w:rPr>
          <w:rFonts w:hint="eastAsia" w:ascii="Times New Roman" w:hAnsi="Times New Roman" w:eastAsia="仿宋_GB2312" w:cs="Times New Roman"/>
          <w:sz w:val="32"/>
          <w:szCs w:val="28"/>
        </w:rPr>
        <w:t>2.</w:t>
      </w:r>
      <w:r>
        <w:rPr>
          <w:rFonts w:hint="eastAsia" w:ascii="Times New Roman" w:hAnsi="Times New Roman" w:eastAsia="楷体_GB2312" w:cs="楷体_GB2312"/>
          <w:kern w:val="0"/>
          <w:sz w:val="32"/>
          <w:szCs w:val="32"/>
        </w:rPr>
        <w:t>继续探索法治宣传与公共法律服务平台的融合对接。</w:t>
      </w:r>
      <w:r>
        <w:rPr>
          <w:rFonts w:hint="eastAsia" w:ascii="Times New Roman" w:hAnsi="Times New Roman" w:eastAsia="仿宋_GB2312" w:cs="Times New Roman"/>
          <w:sz w:val="32"/>
          <w:szCs w:val="28"/>
        </w:rPr>
        <w:t>充分发挥司法行政工作室法治宣传教育功能，依托公共法律服务中心、律师事务所、司法所，探索法治宣传教育与人民调解、社区矫正等业务的融合对接。</w:t>
      </w:r>
    </w:p>
    <w:p>
      <w:pPr>
        <w:pStyle w:val="7"/>
        <w:widowControl/>
        <w:shd w:val="clear" w:color="auto" w:fill="FFFFFF"/>
        <w:spacing w:beforeAutospacing="0" w:afterAutospacing="0" w:line="520" w:lineRule="exact"/>
        <w:ind w:firstLine="640" w:firstLineChars="200"/>
        <w:rPr>
          <w:rFonts w:ascii="仿宋" w:hAnsi="仿宋" w:eastAsia="仿宋" w:cs="仿宋"/>
          <w:color w:val="000000"/>
          <w:sz w:val="32"/>
          <w:szCs w:val="32"/>
          <w:shd w:val="clear" w:color="auto" w:fill="FFFFFF"/>
        </w:rPr>
      </w:pPr>
      <w:r>
        <w:rPr>
          <w:rFonts w:hint="eastAsia" w:ascii="Times New Roman" w:hAnsi="Times New Roman" w:eastAsia="仿宋_GB2312"/>
          <w:kern w:val="2"/>
          <w:sz w:val="32"/>
          <w:szCs w:val="28"/>
        </w:rPr>
        <w:t>一年来，松龄路街道法治政府建设虽然取的了新成效，但是存在不足和短板。下一步我们将进一步理清工作思路，增强责任感和使命感，提高认识，与时俱进，</w:t>
      </w:r>
      <w:r>
        <w:rPr>
          <w:rFonts w:hint="eastAsia" w:ascii="Times New Roman" w:hAnsi="Times New Roman" w:eastAsia="仿宋_GB2312"/>
          <w:kern w:val="2"/>
          <w:sz w:val="32"/>
          <w:szCs w:val="28"/>
          <w:lang w:eastAsia="zh-CN"/>
        </w:rPr>
        <w:t>增强“四个意识”、坚定“四个自信”、做到“两个维护”</w:t>
      </w:r>
      <w:r>
        <w:rPr>
          <w:rFonts w:hint="eastAsia" w:ascii="Times New Roman" w:hAnsi="Times New Roman" w:eastAsia="仿宋_GB2312"/>
          <w:kern w:val="2"/>
          <w:sz w:val="32"/>
          <w:szCs w:val="28"/>
        </w:rPr>
        <w:t>，推动松龄路街道法治政府建设不断得新成效。</w:t>
      </w:r>
    </w:p>
    <w:p>
      <w:pPr>
        <w:pStyle w:val="7"/>
        <w:widowControl/>
        <w:shd w:val="clear" w:color="auto" w:fill="FFFFFF"/>
        <w:spacing w:beforeAutospacing="0" w:afterAutospacing="0" w:line="600" w:lineRule="exact"/>
        <w:rPr>
          <w:rFonts w:ascii="仿宋" w:hAnsi="仿宋" w:eastAsia="仿宋" w:cs="仿宋"/>
          <w:color w:val="000000"/>
          <w:sz w:val="32"/>
          <w:szCs w:val="32"/>
          <w:shd w:val="clear" w:color="auto" w:fill="FFFFFF"/>
        </w:rPr>
      </w:pPr>
    </w:p>
    <w:p>
      <w:pPr>
        <w:pStyle w:val="7"/>
        <w:widowControl/>
        <w:shd w:val="clear" w:color="auto" w:fill="FFFFFF"/>
        <w:spacing w:beforeAutospacing="0" w:afterAutospacing="0" w:line="600" w:lineRule="exact"/>
        <w:ind w:firstLine="3520" w:firstLineChars="1100"/>
        <w:rPr>
          <w:rFonts w:ascii="仿宋" w:hAnsi="仿宋" w:eastAsia="仿宋" w:cs="仿宋"/>
          <w:color w:val="000000"/>
          <w:sz w:val="32"/>
          <w:szCs w:val="32"/>
          <w:shd w:val="clear" w:color="auto" w:fill="FFFFFF"/>
        </w:rPr>
      </w:pPr>
      <w:r>
        <w:rPr>
          <w:rFonts w:hint="eastAsia" w:ascii="Times New Roman" w:hAnsi="Times New Roman" w:eastAsia="仿宋_GB2312"/>
          <w:kern w:val="2"/>
          <w:sz w:val="32"/>
          <w:szCs w:val="28"/>
        </w:rPr>
        <w:t>淄川区人民政府松龄路街道办事处</w:t>
      </w:r>
    </w:p>
    <w:p>
      <w:pPr>
        <w:pStyle w:val="7"/>
        <w:widowControl/>
        <w:shd w:val="clear" w:color="auto" w:fill="FFFFFF"/>
        <w:wordWrap w:val="0"/>
        <w:spacing w:beforeAutospacing="0" w:afterAutospacing="0" w:line="600" w:lineRule="exact"/>
        <w:jc w:val="right"/>
        <w:rPr>
          <w:rFonts w:ascii="仿宋" w:hAnsi="仿宋" w:eastAsia="仿宋" w:cs="仿宋"/>
          <w:sz w:val="32"/>
          <w:szCs w:val="32"/>
        </w:rPr>
      </w:pPr>
      <w:r>
        <w:rPr>
          <w:rFonts w:hint="eastAsia" w:ascii="Times New Roman" w:hAnsi="Times New Roman" w:eastAsia="仿宋" w:cs="仿宋"/>
          <w:color w:val="000000"/>
          <w:sz w:val="32"/>
          <w:szCs w:val="32"/>
          <w:shd w:val="clear" w:color="auto" w:fill="FFFFFF"/>
        </w:rPr>
        <w:t>2021</w:t>
      </w:r>
      <w:r>
        <w:rPr>
          <w:rFonts w:hint="eastAsia" w:ascii="Times New Roman" w:hAnsi="Times New Roman" w:eastAsia="仿宋_GB2312"/>
          <w:kern w:val="2"/>
          <w:sz w:val="32"/>
          <w:szCs w:val="28"/>
        </w:rPr>
        <w:t>年</w:t>
      </w:r>
      <w:r>
        <w:rPr>
          <w:rFonts w:hint="eastAsia" w:ascii="Times New Roman" w:hAnsi="Times New Roman" w:eastAsia="仿宋" w:cs="仿宋"/>
          <w:color w:val="000000"/>
          <w:sz w:val="32"/>
          <w:szCs w:val="32"/>
          <w:shd w:val="clear" w:color="auto" w:fill="FFFFFF"/>
        </w:rPr>
        <w:t>12月28日</w:t>
      </w:r>
      <w:r>
        <w:rPr>
          <w:rFonts w:hint="eastAsia" w:ascii="仿宋" w:hAnsi="仿宋" w:eastAsia="仿宋" w:cs="仿宋"/>
          <w:color w:val="000000"/>
          <w:sz w:val="32"/>
          <w:szCs w:val="32"/>
          <w:shd w:val="clear" w:color="auto" w:fill="FFFFFF"/>
        </w:rPr>
        <w:t xml:space="preserve">        </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754211"/>
    <w:rsid w:val="00005DB2"/>
    <w:rsid w:val="000C488C"/>
    <w:rsid w:val="00244F86"/>
    <w:rsid w:val="00380A58"/>
    <w:rsid w:val="0039666E"/>
    <w:rsid w:val="00482CF4"/>
    <w:rsid w:val="00645B73"/>
    <w:rsid w:val="00645D91"/>
    <w:rsid w:val="006B58D7"/>
    <w:rsid w:val="0086516D"/>
    <w:rsid w:val="009124AC"/>
    <w:rsid w:val="00973931"/>
    <w:rsid w:val="00A006C4"/>
    <w:rsid w:val="00A9334D"/>
    <w:rsid w:val="00D029AF"/>
    <w:rsid w:val="00D47456"/>
    <w:rsid w:val="00DC3013"/>
    <w:rsid w:val="00E26546"/>
    <w:rsid w:val="02D57C2E"/>
    <w:rsid w:val="0D7108EA"/>
    <w:rsid w:val="0D7609B9"/>
    <w:rsid w:val="1283455E"/>
    <w:rsid w:val="189D01B5"/>
    <w:rsid w:val="4AC27EEE"/>
    <w:rsid w:val="4F7C33EC"/>
    <w:rsid w:val="7E7542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paragraph" w:styleId="2">
    <w:name w:val="heading 3"/>
    <w:basedOn w:val="1"/>
    <w:next w:val="1"/>
    <w:qFormat/>
    <w:uiPriority w:val="99"/>
    <w:pPr>
      <w:spacing w:before="100" w:beforeAutospacing="1" w:after="100" w:afterAutospacing="1"/>
      <w:jc w:val="left"/>
      <w:outlineLvl w:val="2"/>
    </w:pPr>
    <w:rPr>
      <w:rFonts w:ascii="宋体" w:hAnsi="宋体"/>
      <w:b/>
      <w:kern w:val="0"/>
      <w:sz w:val="27"/>
      <w:szCs w:val="27"/>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2"/>
    <w:qFormat/>
    <w:uiPriority w:val="0"/>
    <w:rPr>
      <w:sz w:val="18"/>
      <w:szCs w:val="18"/>
    </w:rPr>
  </w:style>
  <w:style w:type="paragraph" w:styleId="5">
    <w:name w:val="footer"/>
    <w:basedOn w:val="1"/>
    <w:link w:val="11"/>
    <w:uiPriority w:val="0"/>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customStyle="1" w:styleId="10">
    <w:name w:val="页眉 字符"/>
    <w:basedOn w:val="9"/>
    <w:link w:val="6"/>
    <w:qFormat/>
    <w:uiPriority w:val="0"/>
    <w:rPr>
      <w:rFonts w:asciiTheme="minorHAnsi" w:hAnsiTheme="minorHAnsi" w:eastAsiaTheme="minorEastAsia" w:cstheme="minorBidi"/>
      <w:kern w:val="2"/>
      <w:sz w:val="18"/>
      <w:szCs w:val="18"/>
    </w:rPr>
  </w:style>
  <w:style w:type="character" w:customStyle="1" w:styleId="11">
    <w:name w:val="页脚 字符"/>
    <w:basedOn w:val="9"/>
    <w:link w:val="5"/>
    <w:qFormat/>
    <w:uiPriority w:val="0"/>
    <w:rPr>
      <w:rFonts w:asciiTheme="minorHAnsi" w:hAnsiTheme="minorHAnsi" w:eastAsiaTheme="minorEastAsia" w:cstheme="minorBidi"/>
      <w:kern w:val="2"/>
      <w:sz w:val="18"/>
      <w:szCs w:val="18"/>
    </w:rPr>
  </w:style>
  <w:style w:type="character" w:customStyle="1" w:styleId="12">
    <w:name w:val="批注框文本 字符"/>
    <w:basedOn w:val="9"/>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300</Words>
  <Characters>1713</Characters>
  <Lines>14</Lines>
  <Paragraphs>4</Paragraphs>
  <TotalTime>9</TotalTime>
  <ScaleCrop>false</ScaleCrop>
  <LinksUpToDate>false</LinksUpToDate>
  <CharactersWithSpaces>2009</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2021-04-08T00:57:00Z</dcterms:created>
  <dc:creator>遥想</dc:creator>
  <cp:lastModifiedBy>银杏果</cp:lastModifiedBy>
  <cp:lastPrinted>2022-01-06T07:14:00Z</cp:lastPrinted>
  <dcterms:modified xsi:type="dcterms:W3CDTF">2024-03-27T07:19:13Z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5EA79A1056D44AE8958E8E1034691008</vt:lpwstr>
  </property>
</Properties>
</file>