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0" w:lineRule="exact"/>
        <w:jc w:val="center"/>
        <w:rPr>
          <w:rFonts w:eastAsia="方正小标宋简体"/>
          <w:b/>
          <w:spacing w:val="12"/>
          <w:w w:val="66"/>
          <w:kern w:val="0"/>
          <w:sz w:val="140"/>
          <w:szCs w:val="140"/>
        </w:rPr>
      </w:pPr>
    </w:p>
    <w:p>
      <w:pPr>
        <w:spacing w:line="600" w:lineRule="exact"/>
        <w:jc w:val="center"/>
        <w:rPr>
          <w:rFonts w:eastAsia="仿宋_GB2312"/>
          <w:sz w:val="32"/>
          <w:szCs w:val="32"/>
        </w:rPr>
      </w:pPr>
    </w:p>
    <w:p>
      <w:pPr>
        <w:spacing w:line="600" w:lineRule="exact"/>
        <w:jc w:val="center"/>
        <w:rPr>
          <w:rFonts w:eastAsia="仿宋_GB2312"/>
          <w:sz w:val="32"/>
          <w:szCs w:val="32"/>
        </w:rPr>
      </w:pPr>
    </w:p>
    <w:p>
      <w:pPr>
        <w:spacing w:line="560" w:lineRule="exact"/>
        <w:rPr>
          <w:rFonts w:eastAsia="方正小标宋简体"/>
          <w:kern w:val="0"/>
          <w:sz w:val="44"/>
          <w:szCs w:val="44"/>
        </w:rPr>
      </w:pPr>
    </w:p>
    <w:p>
      <w:pPr>
        <w:spacing w:line="606" w:lineRule="exact"/>
        <w:jc w:val="center"/>
        <w:rPr>
          <w:rFonts w:hint="eastAsia" w:ascii="Times New Roman" w:hAnsi="Times New Roman" w:eastAsia="方正小标宋简体"/>
          <w:sz w:val="44"/>
          <w:szCs w:val="44"/>
          <w:highlight w:val="none"/>
          <w:lang w:eastAsia="zh-CN"/>
        </w:rPr>
      </w:pPr>
      <w:r>
        <w:rPr>
          <w:rFonts w:hint="eastAsia" w:eastAsia="方正小标宋简体"/>
          <w:kern w:val="0"/>
          <w:sz w:val="44"/>
          <w:szCs w:val="44"/>
        </w:rPr>
        <w:t>中共淄川</w:t>
      </w:r>
      <w:r>
        <w:rPr>
          <w:rFonts w:eastAsia="方正小标宋简体"/>
          <w:kern w:val="0"/>
          <w:sz w:val="44"/>
          <w:szCs w:val="44"/>
        </w:rPr>
        <w:t>区委</w:t>
      </w:r>
      <w:r>
        <w:rPr>
          <w:rFonts w:hint="eastAsia" w:eastAsia="方正小标宋简体"/>
          <w:kern w:val="0"/>
          <w:sz w:val="44"/>
          <w:szCs w:val="44"/>
        </w:rPr>
        <w:t>办公室  淄川区人民</w:t>
      </w:r>
      <w:r>
        <w:rPr>
          <w:rFonts w:eastAsia="方正小标宋简体"/>
          <w:kern w:val="0"/>
          <w:sz w:val="44"/>
          <w:szCs w:val="44"/>
        </w:rPr>
        <w:t>政府</w:t>
      </w:r>
      <w:r>
        <w:rPr>
          <w:rFonts w:hint="eastAsia" w:eastAsia="方正小标宋简体"/>
          <w:kern w:val="0"/>
          <w:sz w:val="44"/>
          <w:szCs w:val="44"/>
        </w:rPr>
        <w:t>办公室</w:t>
      </w:r>
      <w:r>
        <w:rPr>
          <w:rFonts w:hint="eastAsia" w:eastAsia="方正小标宋简体"/>
          <w:kern w:val="0"/>
          <w:sz w:val="44"/>
          <w:szCs w:val="44"/>
          <w:lang w:eastAsia="zh-CN"/>
        </w:rPr>
        <w:t>关于印发</w:t>
      </w:r>
      <w:r>
        <w:rPr>
          <w:rFonts w:ascii="Times New Roman" w:hAnsi="Times New Roman" w:eastAsia="方正小标宋简体"/>
          <w:sz w:val="44"/>
          <w:szCs w:val="44"/>
          <w:highlight w:val="none"/>
        </w:rPr>
        <w:t>2020</w:t>
      </w:r>
      <w:r>
        <w:rPr>
          <w:rFonts w:hint="eastAsia" w:ascii="Times New Roman" w:hAnsi="Times New Roman" w:eastAsia="方正小标宋简体"/>
          <w:sz w:val="44"/>
          <w:szCs w:val="44"/>
          <w:highlight w:val="none"/>
        </w:rPr>
        <w:t>年全区生态环境保护综合治理任务</w:t>
      </w:r>
      <w:r>
        <w:rPr>
          <w:rFonts w:hint="eastAsia" w:ascii="Times New Roman" w:hAnsi="Times New Roman" w:eastAsia="方正小标宋简体"/>
          <w:sz w:val="44"/>
          <w:szCs w:val="44"/>
          <w:highlight w:val="none"/>
          <w:lang w:eastAsia="zh-CN"/>
        </w:rPr>
        <w:t>的通知</w:t>
      </w:r>
    </w:p>
    <w:p>
      <w:pPr>
        <w:pStyle w:val="2"/>
        <w:rPr>
          <w:rFonts w:hint="eastAsia"/>
          <w:lang w:eastAsia="zh-CN"/>
        </w:rPr>
      </w:pPr>
    </w:p>
    <w:p>
      <w:pPr>
        <w:adjustRightInd w:val="0"/>
        <w:snapToGrid w:val="0"/>
        <w:spacing w:line="560" w:lineRule="exact"/>
        <w:rPr>
          <w:rFonts w:hint="eastAsia" w:hAnsi="仿宋_GB2312" w:eastAsia="仿宋_GB2312"/>
          <w:kern w:val="0"/>
          <w:sz w:val="32"/>
          <w:szCs w:val="32"/>
        </w:rPr>
      </w:pPr>
      <w:r>
        <w:rPr>
          <w:rFonts w:hint="eastAsia" w:hAnsi="仿宋_GB2312" w:eastAsia="仿宋_GB2312"/>
          <w:kern w:val="0"/>
          <w:sz w:val="32"/>
          <w:szCs w:val="32"/>
        </w:rPr>
        <w:t>各镇党委、政府，各街道工委、办事处，开发区党委、管委会，区直有关部门、单位：</w:t>
      </w:r>
    </w:p>
    <w:p>
      <w:pPr>
        <w:adjustRightInd w:val="0"/>
        <w:snapToGrid w:val="0"/>
        <w:spacing w:line="560" w:lineRule="exact"/>
        <w:ind w:firstLine="640" w:firstLineChars="200"/>
        <w:rPr>
          <w:rFonts w:hint="eastAsia" w:hAnsi="仿宋_GB2312" w:eastAsia="仿宋_GB2312"/>
          <w:kern w:val="0"/>
          <w:sz w:val="32"/>
          <w:szCs w:val="32"/>
        </w:rPr>
      </w:pPr>
      <w:r>
        <w:rPr>
          <w:rFonts w:hint="eastAsia" w:hAnsi="仿宋_GB2312" w:eastAsia="仿宋_GB2312"/>
          <w:kern w:val="0"/>
          <w:sz w:val="32"/>
          <w:szCs w:val="32"/>
        </w:rPr>
        <w:t>《</w:t>
      </w:r>
      <w:r>
        <w:rPr>
          <w:rFonts w:hint="eastAsia" w:ascii="Times New Roman" w:hAnsi="Times New Roman" w:eastAsia="仿宋_GB2312"/>
          <w:kern w:val="0"/>
          <w:sz w:val="32"/>
          <w:szCs w:val="32"/>
        </w:rPr>
        <w:t>2020</w:t>
      </w:r>
      <w:r>
        <w:rPr>
          <w:rFonts w:hint="eastAsia" w:hAnsi="仿宋_GB2312" w:eastAsia="仿宋_GB2312"/>
          <w:kern w:val="0"/>
          <w:sz w:val="32"/>
          <w:szCs w:val="32"/>
        </w:rPr>
        <w:t>年全区生态环境保护综合治理</w:t>
      </w:r>
      <w:r>
        <w:rPr>
          <w:rFonts w:hint="eastAsia" w:hAnsi="仿宋_GB2312" w:eastAsia="仿宋_GB2312"/>
          <w:kern w:val="0"/>
          <w:sz w:val="32"/>
          <w:szCs w:val="32"/>
          <w:lang w:eastAsia="zh-CN"/>
        </w:rPr>
        <w:t>任务</w:t>
      </w:r>
      <w:r>
        <w:rPr>
          <w:rFonts w:hint="eastAsia" w:hAnsi="仿宋_GB2312" w:eastAsia="仿宋_GB2312"/>
          <w:kern w:val="0"/>
          <w:sz w:val="32"/>
          <w:szCs w:val="32"/>
        </w:rPr>
        <w:t>》已经区委、区政府同意，现印发给你们，请认真</w:t>
      </w:r>
      <w:r>
        <w:rPr>
          <w:rFonts w:hint="eastAsia" w:hAnsi="仿宋_GB2312" w:eastAsia="仿宋_GB2312"/>
          <w:kern w:val="0"/>
          <w:sz w:val="32"/>
          <w:szCs w:val="32"/>
          <w:lang w:eastAsia="zh-CN"/>
        </w:rPr>
        <w:t>抓好贯彻落实</w:t>
      </w:r>
      <w:r>
        <w:rPr>
          <w:rFonts w:hint="eastAsia" w:hAnsi="仿宋_GB2312" w:eastAsia="仿宋_GB2312"/>
          <w:kern w:val="0"/>
          <w:sz w:val="32"/>
          <w:szCs w:val="32"/>
        </w:rPr>
        <w:t>。</w:t>
      </w:r>
    </w:p>
    <w:p>
      <w:pPr>
        <w:pStyle w:val="2"/>
        <w:rPr>
          <w:rFonts w:hint="eastAsia" w:hAnsi="仿宋_GB2312" w:eastAsia="仿宋_GB2312"/>
          <w:kern w:val="0"/>
          <w:sz w:val="32"/>
          <w:szCs w:val="32"/>
        </w:rPr>
      </w:pPr>
    </w:p>
    <w:p>
      <w:pPr>
        <w:adjustRightInd w:val="0"/>
        <w:snapToGrid w:val="0"/>
        <w:spacing w:line="560" w:lineRule="exact"/>
        <w:ind w:firstLine="720" w:firstLineChars="200"/>
        <w:rPr>
          <w:rFonts w:hint="eastAsia" w:ascii="Times New Roman" w:hAnsi="Times New Roman" w:eastAsia="仿宋_GB2312"/>
          <w:kern w:val="0"/>
          <w:sz w:val="32"/>
          <w:szCs w:val="32"/>
        </w:rPr>
      </w:pPr>
      <w:r>
        <w:rPr>
          <w:rFonts w:hint="eastAsia" w:ascii="Times New Roman" w:hAnsi="Times New Roman" w:eastAsia="仿宋_GB2312"/>
          <w:spacing w:val="20"/>
          <w:kern w:val="0"/>
          <w:sz w:val="32"/>
          <w:szCs w:val="32"/>
        </w:rPr>
        <w:t>中共淄川区委办公室</w:t>
      </w:r>
      <w:r>
        <w:rPr>
          <w:rFonts w:hint="eastAsia" w:ascii="Times New Roman" w:hAnsi="Times New Roman" w:eastAsia="仿宋_GB2312"/>
          <w:spacing w:val="20"/>
          <w:kern w:val="0"/>
          <w:sz w:val="32"/>
          <w:szCs w:val="32"/>
          <w:lang w:val="en-US" w:eastAsia="zh-CN"/>
        </w:rPr>
        <w:t xml:space="preserve">     </w:t>
      </w:r>
      <w:r>
        <w:rPr>
          <w:rFonts w:hint="eastAsia" w:ascii="Times New Roman" w:hAnsi="Times New Roman" w:eastAsia="仿宋_GB2312"/>
          <w:kern w:val="0"/>
          <w:sz w:val="32"/>
          <w:szCs w:val="32"/>
        </w:rPr>
        <w:t>淄川区人民政府办公室</w:t>
      </w:r>
    </w:p>
    <w:p>
      <w:pPr>
        <w:adjustRightInd w:val="0"/>
        <w:snapToGrid w:val="0"/>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                              2020年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8</w:t>
      </w:r>
      <w:r>
        <w:rPr>
          <w:rFonts w:hint="eastAsia" w:ascii="Times New Roman" w:hAnsi="Times New Roman" w:eastAsia="仿宋_GB2312"/>
          <w:kern w:val="0"/>
          <w:sz w:val="32"/>
          <w:szCs w:val="32"/>
        </w:rPr>
        <w:t>日</w:t>
      </w:r>
    </w:p>
    <w:p>
      <w:pPr>
        <w:pStyle w:val="2"/>
        <w:rPr>
          <w:rFonts w:hint="eastAsia" w:hAnsi="仿宋_GB2312" w:eastAsia="仿宋_GB2312"/>
          <w:kern w:val="0"/>
          <w:sz w:val="32"/>
          <w:szCs w:val="32"/>
        </w:rPr>
      </w:pPr>
    </w:p>
    <w:p>
      <w:pPr>
        <w:pStyle w:val="2"/>
        <w:rPr>
          <w:rFonts w:hint="eastAsia"/>
          <w:lang w:eastAsia="zh-CN"/>
        </w:rPr>
      </w:pPr>
    </w:p>
    <w:p>
      <w:pPr>
        <w:pStyle w:val="2"/>
        <w:jc w:val="center"/>
        <w:rPr>
          <w:rFonts w:hint="eastAsia"/>
          <w:spacing w:val="0"/>
          <w:lang w:eastAsia="zh-CN"/>
        </w:rPr>
      </w:pPr>
      <w:r>
        <w:rPr>
          <w:rFonts w:ascii="Times New Roman" w:hAnsi="Times New Roman" w:eastAsia="方正小标宋简体"/>
          <w:spacing w:val="0"/>
          <w:sz w:val="44"/>
          <w:szCs w:val="44"/>
          <w:highlight w:val="none"/>
        </w:rPr>
        <w:t>2020</w:t>
      </w:r>
      <w:r>
        <w:rPr>
          <w:rFonts w:hint="eastAsia" w:ascii="Times New Roman" w:hAnsi="Times New Roman" w:eastAsia="方正小标宋简体"/>
          <w:spacing w:val="0"/>
          <w:sz w:val="44"/>
          <w:szCs w:val="44"/>
          <w:highlight w:val="none"/>
        </w:rPr>
        <w:t>年全区生态环境保护综合治理任务</w:t>
      </w:r>
    </w:p>
    <w:p>
      <w:pPr>
        <w:spacing w:line="606" w:lineRule="exact"/>
        <w:ind w:firstLine="640"/>
        <w:rPr>
          <w:rFonts w:ascii="Times New Roman" w:hAnsi="Times New Roman" w:eastAsia="仿宋_GB2312"/>
          <w:spacing w:val="0"/>
          <w:sz w:val="32"/>
          <w:szCs w:val="32"/>
          <w:highlight w:val="none"/>
        </w:rPr>
      </w:pPr>
    </w:p>
    <w:p>
      <w:pPr>
        <w:pStyle w:val="6"/>
        <w:spacing w:line="606" w:lineRule="exact"/>
        <w:ind w:left="0" w:leftChars="0" w:firstLine="640"/>
        <w:rPr>
          <w:rFonts w:ascii="Times New Roman" w:hAnsi="Times New Roman" w:eastAsia="仿宋_GB2312"/>
          <w:spacing w:val="0"/>
          <w:sz w:val="32"/>
          <w:szCs w:val="32"/>
          <w:highlight w:val="none"/>
        </w:rPr>
      </w:pPr>
      <w:r>
        <w:rPr>
          <w:rFonts w:ascii="Times New Roman" w:hAnsi="Times New Roman" w:eastAsia="仿宋_GB2312"/>
          <w:spacing w:val="0"/>
          <w:sz w:val="32"/>
          <w:szCs w:val="32"/>
          <w:highlight w:val="none"/>
        </w:rPr>
        <w:t>2020</w:t>
      </w:r>
      <w:r>
        <w:rPr>
          <w:rFonts w:hint="eastAsia" w:ascii="Times New Roman" w:hAnsi="Times New Roman" w:eastAsia="仿宋_GB2312"/>
          <w:spacing w:val="0"/>
          <w:sz w:val="32"/>
          <w:szCs w:val="32"/>
          <w:highlight w:val="none"/>
        </w:rPr>
        <w:t>年是打赢蓝天保卫战三年行动计划和</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spacing w:val="0"/>
          <w:sz w:val="32"/>
          <w:szCs w:val="32"/>
          <w:highlight w:val="none"/>
        </w:rPr>
        <w:t>四减四增</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spacing w:val="0"/>
          <w:sz w:val="32"/>
          <w:szCs w:val="32"/>
          <w:highlight w:val="none"/>
        </w:rPr>
        <w:t>三年行动的最后一年。全区各级各部门要坚决贯彻</w:t>
      </w:r>
      <w:r>
        <w:rPr>
          <w:rFonts w:hint="eastAsia" w:ascii="Times New Roman" w:hAnsi="Times New Roman" w:eastAsia="仿宋_GB2312"/>
          <w:spacing w:val="0"/>
          <w:kern w:val="0"/>
          <w:sz w:val="32"/>
          <w:szCs w:val="32"/>
          <w:highlight w:val="none"/>
        </w:rPr>
        <w:t>习近平生态文明思想，牢固树立市场化、法治化和专业化</w:t>
      </w:r>
      <w:r>
        <w:rPr>
          <w:rFonts w:hint="eastAsia" w:ascii="Times New Roman" w:hAnsi="Times New Roman" w:eastAsia="仿宋_GB2312"/>
          <w:spacing w:val="0"/>
          <w:sz w:val="32"/>
          <w:szCs w:val="32"/>
          <w:highlight w:val="none"/>
        </w:rPr>
        <w:t>理念，执行最严格的生态环境保护责任落实机制，构建“全员环保”工作体系，扎实推进生态赋能行动，加快治标、加力治本、追求长效，聚力打造生态组群城市，为建设务实开放、品质活力、生态和谐的现代化组群式大城市提供有力生态支撑。</w:t>
      </w:r>
    </w:p>
    <w:p>
      <w:pPr>
        <w:pStyle w:val="14"/>
        <w:spacing w:line="606" w:lineRule="exact"/>
        <w:ind w:firstLine="640" w:firstLineChars="200"/>
        <w:rPr>
          <w:rFonts w:eastAsia="黑体"/>
          <w:spacing w:val="0"/>
          <w:kern w:val="2"/>
          <w:highlight w:val="none"/>
        </w:rPr>
      </w:pPr>
      <w:r>
        <w:rPr>
          <w:rFonts w:hint="eastAsia" w:eastAsia="黑体"/>
          <w:spacing w:val="0"/>
          <w:kern w:val="2"/>
          <w:highlight w:val="none"/>
        </w:rPr>
        <w:t>一、工作目标</w:t>
      </w:r>
    </w:p>
    <w:p>
      <w:pPr>
        <w:snapToGrid w:val="0"/>
        <w:spacing w:line="606" w:lineRule="exact"/>
        <w:ind w:firstLine="640" w:firstLineChars="200"/>
        <w:rPr>
          <w:rFonts w:ascii="Times New Roman" w:hAnsi="Times New Roman" w:eastAsia="仿宋_GB2312"/>
          <w:bCs/>
          <w:spacing w:val="0"/>
          <w:sz w:val="32"/>
          <w:szCs w:val="32"/>
          <w:highlight w:val="none"/>
        </w:rPr>
      </w:pPr>
      <w:r>
        <w:rPr>
          <w:rFonts w:ascii="Times New Roman" w:hAnsi="Times New Roman" w:eastAsia="楷体_GB2312"/>
          <w:spacing w:val="0"/>
          <w:sz w:val="32"/>
          <w:szCs w:val="32"/>
          <w:highlight w:val="none"/>
        </w:rPr>
        <w:t>1</w:t>
      </w:r>
      <w:r>
        <w:rPr>
          <w:rFonts w:hint="eastAsia" w:ascii="Times New Roman" w:hAnsi="Times New Roman" w:eastAsia="楷体_GB2312"/>
          <w:spacing w:val="0"/>
          <w:sz w:val="32"/>
          <w:szCs w:val="32"/>
          <w:highlight w:val="none"/>
          <w:lang w:eastAsia="zh-CN"/>
        </w:rPr>
        <w:t>．</w:t>
      </w:r>
      <w:r>
        <w:rPr>
          <w:rFonts w:hint="eastAsia" w:ascii="Times New Roman" w:hAnsi="Times New Roman" w:eastAsia="楷体_GB2312"/>
          <w:spacing w:val="0"/>
          <w:sz w:val="32"/>
          <w:szCs w:val="32"/>
          <w:highlight w:val="none"/>
        </w:rPr>
        <w:t>大气环境质量方面。</w:t>
      </w:r>
      <w:r>
        <w:rPr>
          <w:rFonts w:hint="eastAsia" w:ascii="Times New Roman" w:hAnsi="Times New Roman" w:eastAsia="仿宋_GB2312"/>
          <w:spacing w:val="0"/>
          <w:sz w:val="32"/>
          <w:szCs w:val="32"/>
          <w:highlight w:val="none"/>
        </w:rPr>
        <w:t>全面完成市下达的打赢蓝天保卫战</w:t>
      </w:r>
      <w:r>
        <w:rPr>
          <w:rFonts w:ascii="Times New Roman" w:hAnsi="Times New Roman" w:eastAsia="仿宋_GB2312"/>
          <w:spacing w:val="0"/>
          <w:sz w:val="32"/>
          <w:szCs w:val="32"/>
          <w:highlight w:val="none"/>
        </w:rPr>
        <w:t>2020</w:t>
      </w:r>
      <w:r>
        <w:rPr>
          <w:rFonts w:hint="eastAsia" w:ascii="Times New Roman" w:hAnsi="Times New Roman" w:eastAsia="仿宋_GB2312"/>
          <w:spacing w:val="0"/>
          <w:sz w:val="32"/>
          <w:szCs w:val="32"/>
          <w:highlight w:val="none"/>
        </w:rPr>
        <w:t>年目标任务，全区环境空气优良率达到</w:t>
      </w:r>
      <w:r>
        <w:rPr>
          <w:rFonts w:ascii="Times New Roman" w:hAnsi="Times New Roman" w:eastAsia="仿宋_GB2312"/>
          <w:spacing w:val="0"/>
          <w:sz w:val="32"/>
          <w:szCs w:val="32"/>
          <w:highlight w:val="none"/>
        </w:rPr>
        <w:t>63%</w:t>
      </w:r>
      <w:r>
        <w:rPr>
          <w:rFonts w:hint="eastAsia" w:ascii="Times New Roman" w:hAnsi="Times New Roman" w:eastAsia="仿宋_GB2312"/>
          <w:spacing w:val="0"/>
          <w:sz w:val="32"/>
          <w:szCs w:val="32"/>
          <w:highlight w:val="none"/>
        </w:rPr>
        <w:t>以上，</w:t>
      </w:r>
      <w:r>
        <w:rPr>
          <w:rFonts w:ascii="Times New Roman" w:hAnsi="Times New Roman" w:eastAsia="仿宋_GB2312"/>
          <w:spacing w:val="0"/>
          <w:sz w:val="32"/>
          <w:szCs w:val="32"/>
          <w:highlight w:val="none"/>
        </w:rPr>
        <w:t>SO</w:t>
      </w:r>
      <w:r>
        <w:rPr>
          <w:rFonts w:ascii="Times New Roman" w:hAnsi="Times New Roman" w:eastAsia="仿宋_GB2312"/>
          <w:spacing w:val="0"/>
          <w:sz w:val="32"/>
          <w:szCs w:val="32"/>
          <w:highlight w:val="none"/>
          <w:vertAlign w:val="subscript"/>
        </w:rPr>
        <w:t>2</w:t>
      </w:r>
      <w:r>
        <w:rPr>
          <w:rFonts w:hint="eastAsia" w:ascii="Times New Roman" w:hAnsi="Times New Roman" w:eastAsia="仿宋_GB2312"/>
          <w:spacing w:val="0"/>
          <w:sz w:val="32"/>
          <w:szCs w:val="32"/>
          <w:highlight w:val="none"/>
        </w:rPr>
        <w:t>、</w:t>
      </w:r>
      <w:r>
        <w:rPr>
          <w:rFonts w:ascii="Times New Roman" w:hAnsi="Times New Roman" w:eastAsia="仿宋_GB2312"/>
          <w:spacing w:val="0"/>
          <w:sz w:val="32"/>
          <w:szCs w:val="32"/>
          <w:highlight w:val="none"/>
        </w:rPr>
        <w:t>PM</w:t>
      </w:r>
      <w:r>
        <w:rPr>
          <w:rFonts w:ascii="Times New Roman" w:hAnsi="Times New Roman" w:eastAsia="仿宋_GB2312"/>
          <w:spacing w:val="0"/>
          <w:sz w:val="32"/>
          <w:szCs w:val="32"/>
          <w:highlight w:val="none"/>
          <w:vertAlign w:val="subscript"/>
        </w:rPr>
        <w:t>2.5</w:t>
      </w:r>
      <w:r>
        <w:rPr>
          <w:rFonts w:hint="eastAsia" w:ascii="Times New Roman" w:hAnsi="Times New Roman" w:eastAsia="仿宋_GB2312"/>
          <w:spacing w:val="0"/>
          <w:sz w:val="32"/>
          <w:szCs w:val="32"/>
          <w:highlight w:val="none"/>
        </w:rPr>
        <w:t>、</w:t>
      </w:r>
      <w:r>
        <w:rPr>
          <w:rFonts w:ascii="Times New Roman" w:hAnsi="Times New Roman" w:eastAsia="仿宋_GB2312"/>
          <w:spacing w:val="0"/>
          <w:sz w:val="32"/>
          <w:szCs w:val="32"/>
          <w:highlight w:val="none"/>
        </w:rPr>
        <w:t>PM</w:t>
      </w:r>
      <w:r>
        <w:rPr>
          <w:rFonts w:ascii="Times New Roman" w:hAnsi="Times New Roman" w:eastAsia="仿宋_GB2312"/>
          <w:spacing w:val="0"/>
          <w:sz w:val="32"/>
          <w:szCs w:val="32"/>
          <w:highlight w:val="none"/>
          <w:vertAlign w:val="subscript"/>
        </w:rPr>
        <w:t>10</w:t>
      </w:r>
      <w:r>
        <w:rPr>
          <w:rFonts w:hint="eastAsia" w:ascii="Times New Roman" w:hAnsi="Times New Roman" w:eastAsia="仿宋_GB2312"/>
          <w:spacing w:val="0"/>
          <w:sz w:val="32"/>
          <w:szCs w:val="32"/>
          <w:highlight w:val="none"/>
        </w:rPr>
        <w:t>和</w:t>
      </w:r>
      <w:r>
        <w:rPr>
          <w:rFonts w:ascii="Times New Roman" w:hAnsi="Times New Roman" w:eastAsia="仿宋_GB2312"/>
          <w:spacing w:val="0"/>
          <w:sz w:val="32"/>
          <w:szCs w:val="32"/>
          <w:highlight w:val="none"/>
        </w:rPr>
        <w:t>NO</w:t>
      </w:r>
      <w:r>
        <w:rPr>
          <w:rFonts w:ascii="Times New Roman" w:hAnsi="Times New Roman" w:eastAsia="仿宋_GB2312"/>
          <w:spacing w:val="0"/>
          <w:sz w:val="32"/>
          <w:szCs w:val="32"/>
          <w:highlight w:val="none"/>
          <w:vertAlign w:val="subscript"/>
        </w:rPr>
        <w:t>2</w:t>
      </w:r>
      <w:r>
        <w:rPr>
          <w:rFonts w:hint="eastAsia" w:ascii="Times New Roman" w:hAnsi="Times New Roman" w:eastAsia="仿宋_GB2312"/>
          <w:spacing w:val="0"/>
          <w:sz w:val="32"/>
          <w:szCs w:val="32"/>
          <w:highlight w:val="none"/>
        </w:rPr>
        <w:t>浓度分别控制在32微克</w:t>
      </w:r>
      <w:r>
        <w:rPr>
          <w:rFonts w:ascii="Times New Roman"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立方米、52微克</w:t>
      </w:r>
      <w:r>
        <w:rPr>
          <w:rFonts w:ascii="Times New Roman"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立方米、</w:t>
      </w:r>
      <w:r>
        <w:rPr>
          <w:rFonts w:ascii="Times New Roman" w:hAnsi="Times New Roman" w:eastAsia="仿宋_GB2312"/>
          <w:spacing w:val="0"/>
          <w:sz w:val="32"/>
          <w:szCs w:val="32"/>
          <w:highlight w:val="none"/>
        </w:rPr>
        <w:t>8</w:t>
      </w:r>
      <w:r>
        <w:rPr>
          <w:rFonts w:hint="eastAsia" w:ascii="Times New Roman" w:hAnsi="Times New Roman" w:eastAsia="仿宋_GB2312"/>
          <w:spacing w:val="0"/>
          <w:sz w:val="32"/>
          <w:szCs w:val="32"/>
          <w:highlight w:val="none"/>
        </w:rPr>
        <w:t>3微克</w:t>
      </w:r>
      <w:r>
        <w:rPr>
          <w:rFonts w:ascii="Times New Roman"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立方米和37微克</w:t>
      </w:r>
      <w:r>
        <w:rPr>
          <w:rFonts w:ascii="Times New Roman"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立方米；</w:t>
      </w:r>
      <w:r>
        <w:rPr>
          <w:rFonts w:ascii="Times New Roman" w:hAnsi="Times New Roman" w:eastAsia="仿宋_GB2312"/>
          <w:spacing w:val="0"/>
          <w:sz w:val="32"/>
          <w:szCs w:val="32"/>
          <w:highlight w:val="none"/>
        </w:rPr>
        <w:t>O</w:t>
      </w:r>
      <w:r>
        <w:rPr>
          <w:rFonts w:ascii="Times New Roman" w:hAnsi="Times New Roman" w:eastAsia="仿宋_GB2312"/>
          <w:spacing w:val="0"/>
          <w:sz w:val="32"/>
          <w:szCs w:val="32"/>
          <w:highlight w:val="none"/>
          <w:vertAlign w:val="subscript"/>
        </w:rPr>
        <w:t>3</w:t>
      </w:r>
      <w:r>
        <w:rPr>
          <w:rFonts w:hint="eastAsia" w:ascii="Times New Roman" w:hAnsi="Times New Roman" w:eastAsia="仿宋_GB2312"/>
          <w:spacing w:val="0"/>
          <w:sz w:val="32"/>
          <w:szCs w:val="32"/>
          <w:highlight w:val="none"/>
        </w:rPr>
        <w:t>浓度控制在</w:t>
      </w:r>
      <w:r>
        <w:rPr>
          <w:rFonts w:ascii="Times New Roman" w:hAnsi="Times New Roman" w:eastAsia="仿宋_GB2312"/>
          <w:spacing w:val="0"/>
          <w:sz w:val="32"/>
          <w:szCs w:val="32"/>
          <w:highlight w:val="none"/>
        </w:rPr>
        <w:t>1</w:t>
      </w:r>
      <w:r>
        <w:rPr>
          <w:rFonts w:hint="eastAsia" w:ascii="Times New Roman" w:hAnsi="Times New Roman" w:eastAsia="仿宋_GB2312"/>
          <w:spacing w:val="0"/>
          <w:sz w:val="32"/>
          <w:szCs w:val="32"/>
          <w:highlight w:val="none"/>
        </w:rPr>
        <w:t>6</w:t>
      </w:r>
      <w:r>
        <w:rPr>
          <w:rFonts w:ascii="Times New Roman" w:hAnsi="Times New Roman" w:eastAsia="仿宋_GB2312"/>
          <w:spacing w:val="0"/>
          <w:sz w:val="32"/>
          <w:szCs w:val="32"/>
          <w:highlight w:val="none"/>
        </w:rPr>
        <w:t>0</w:t>
      </w:r>
      <w:r>
        <w:rPr>
          <w:rFonts w:hint="eastAsia" w:ascii="Times New Roman" w:hAnsi="Times New Roman" w:eastAsia="仿宋_GB2312"/>
          <w:spacing w:val="0"/>
          <w:sz w:val="32"/>
          <w:szCs w:val="32"/>
          <w:highlight w:val="none"/>
        </w:rPr>
        <w:t>微克</w:t>
      </w:r>
      <w:r>
        <w:rPr>
          <w:rFonts w:ascii="Times New Roman"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立方米以内，扭转环境空气质量下滑趋势，并实现改善。综合指数在全市排名实现位次前移。</w:t>
      </w:r>
      <w:r>
        <w:rPr>
          <w:rFonts w:hint="eastAsia" w:ascii="Times New Roman" w:hAnsi="Times New Roman" w:eastAsia="仿宋_GB2312"/>
          <w:bCs/>
          <w:spacing w:val="0"/>
          <w:sz w:val="32"/>
          <w:szCs w:val="32"/>
          <w:highlight w:val="none"/>
        </w:rPr>
        <w:t>全</w:t>
      </w:r>
      <w:r>
        <w:rPr>
          <w:rFonts w:hint="eastAsia" w:ascii="Times New Roman" w:hAnsi="Times New Roman" w:eastAsia="仿宋_GB2312"/>
          <w:bCs/>
          <w:spacing w:val="0"/>
          <w:sz w:val="32"/>
          <w:szCs w:val="32"/>
          <w:highlight w:val="none"/>
          <w:lang w:eastAsia="zh-CN"/>
        </w:rPr>
        <w:t>区</w:t>
      </w:r>
      <w:r>
        <w:rPr>
          <w:rFonts w:hint="eastAsia" w:ascii="Times New Roman" w:hAnsi="Times New Roman" w:eastAsia="仿宋_GB2312"/>
          <w:bCs/>
          <w:spacing w:val="0"/>
          <w:sz w:val="32"/>
          <w:szCs w:val="32"/>
          <w:highlight w:val="none"/>
        </w:rPr>
        <w:t>二氧化硫、氮氧化物、化学需氧量、氨氮年削减量分别达到</w:t>
      </w:r>
      <w:r>
        <w:rPr>
          <w:rFonts w:ascii="Times New Roman" w:hAnsi="Times New Roman" w:eastAsia="仿宋_GB2312"/>
          <w:bCs/>
          <w:spacing w:val="0"/>
          <w:sz w:val="32"/>
          <w:szCs w:val="32"/>
          <w:highlight w:val="none"/>
        </w:rPr>
        <w:t>0.1</w:t>
      </w:r>
      <w:r>
        <w:rPr>
          <w:rFonts w:hint="eastAsia" w:ascii="Times New Roman" w:hAnsi="Times New Roman" w:eastAsia="仿宋_GB2312"/>
          <w:bCs/>
          <w:spacing w:val="0"/>
          <w:sz w:val="32"/>
          <w:szCs w:val="32"/>
          <w:highlight w:val="none"/>
          <w:lang w:val="en-US" w:eastAsia="zh-CN"/>
        </w:rPr>
        <w:t>73</w:t>
      </w:r>
      <w:r>
        <w:rPr>
          <w:rFonts w:hint="eastAsia" w:ascii="Times New Roman" w:hAnsi="Times New Roman" w:eastAsia="仿宋_GB2312"/>
          <w:bCs/>
          <w:spacing w:val="0"/>
          <w:sz w:val="32"/>
          <w:szCs w:val="32"/>
          <w:highlight w:val="none"/>
        </w:rPr>
        <w:t>万吨、</w:t>
      </w:r>
      <w:r>
        <w:rPr>
          <w:rFonts w:ascii="Times New Roman" w:hAnsi="Times New Roman" w:eastAsia="仿宋_GB2312"/>
          <w:bCs/>
          <w:spacing w:val="0"/>
          <w:sz w:val="32"/>
          <w:szCs w:val="32"/>
          <w:highlight w:val="none"/>
        </w:rPr>
        <w:t>0</w:t>
      </w:r>
      <w:r>
        <w:rPr>
          <w:rFonts w:hint="eastAsia" w:ascii="Times New Roman" w:hAnsi="Times New Roman" w:eastAsia="仿宋_GB2312"/>
          <w:bCs/>
          <w:spacing w:val="0"/>
          <w:sz w:val="32"/>
          <w:szCs w:val="32"/>
          <w:highlight w:val="none"/>
          <w:lang w:val="en-US" w:eastAsia="zh-CN"/>
        </w:rPr>
        <w:t>.171</w:t>
      </w:r>
      <w:r>
        <w:rPr>
          <w:rFonts w:hint="eastAsia" w:ascii="Times New Roman" w:hAnsi="Times New Roman" w:eastAsia="仿宋_GB2312"/>
          <w:bCs/>
          <w:spacing w:val="0"/>
          <w:sz w:val="32"/>
          <w:szCs w:val="32"/>
          <w:highlight w:val="none"/>
        </w:rPr>
        <w:t>万吨、</w:t>
      </w:r>
      <w:r>
        <w:rPr>
          <w:rFonts w:ascii="Times New Roman" w:hAnsi="Times New Roman" w:eastAsia="仿宋_GB2312"/>
          <w:bCs/>
          <w:spacing w:val="0"/>
          <w:sz w:val="32"/>
          <w:szCs w:val="32"/>
          <w:highlight w:val="none"/>
        </w:rPr>
        <w:t>0.</w:t>
      </w:r>
      <w:r>
        <w:rPr>
          <w:rFonts w:hint="eastAsia" w:ascii="Times New Roman" w:hAnsi="Times New Roman" w:eastAsia="仿宋_GB2312"/>
          <w:bCs/>
          <w:spacing w:val="0"/>
          <w:sz w:val="32"/>
          <w:szCs w:val="32"/>
          <w:highlight w:val="none"/>
          <w:lang w:val="en-US" w:eastAsia="zh-CN"/>
        </w:rPr>
        <w:t>014</w:t>
      </w:r>
      <w:r>
        <w:rPr>
          <w:rFonts w:hint="eastAsia" w:ascii="Times New Roman" w:hAnsi="Times New Roman" w:eastAsia="仿宋_GB2312"/>
          <w:bCs/>
          <w:spacing w:val="0"/>
          <w:sz w:val="32"/>
          <w:szCs w:val="32"/>
          <w:highlight w:val="none"/>
        </w:rPr>
        <w:t>万吨和</w:t>
      </w:r>
      <w:r>
        <w:rPr>
          <w:rFonts w:ascii="Times New Roman" w:hAnsi="Times New Roman" w:eastAsia="仿宋_GB2312"/>
          <w:bCs/>
          <w:spacing w:val="0"/>
          <w:sz w:val="32"/>
          <w:szCs w:val="32"/>
          <w:highlight w:val="none"/>
        </w:rPr>
        <w:t>0.0</w:t>
      </w:r>
      <w:r>
        <w:rPr>
          <w:rFonts w:hint="eastAsia" w:ascii="Times New Roman" w:hAnsi="Times New Roman" w:eastAsia="仿宋_GB2312"/>
          <w:bCs/>
          <w:spacing w:val="0"/>
          <w:sz w:val="32"/>
          <w:szCs w:val="32"/>
          <w:highlight w:val="none"/>
          <w:lang w:val="en-US" w:eastAsia="zh-CN"/>
        </w:rPr>
        <w:t>014</w:t>
      </w:r>
      <w:r>
        <w:rPr>
          <w:rFonts w:hint="eastAsia" w:ascii="Times New Roman" w:hAnsi="Times New Roman" w:eastAsia="仿宋_GB2312"/>
          <w:bCs/>
          <w:spacing w:val="0"/>
          <w:sz w:val="32"/>
          <w:szCs w:val="32"/>
          <w:highlight w:val="none"/>
        </w:rPr>
        <w:t>万吨，较</w:t>
      </w:r>
      <w:r>
        <w:rPr>
          <w:rFonts w:ascii="Times New Roman" w:hAnsi="Times New Roman" w:eastAsia="仿宋_GB2312"/>
          <w:bCs/>
          <w:spacing w:val="0"/>
          <w:sz w:val="32"/>
          <w:szCs w:val="32"/>
          <w:highlight w:val="none"/>
        </w:rPr>
        <w:t>2015</w:t>
      </w:r>
      <w:r>
        <w:rPr>
          <w:rFonts w:hint="eastAsia" w:ascii="Times New Roman" w:hAnsi="Times New Roman" w:eastAsia="仿宋_GB2312"/>
          <w:bCs/>
          <w:spacing w:val="0"/>
          <w:sz w:val="32"/>
          <w:szCs w:val="32"/>
          <w:highlight w:val="none"/>
        </w:rPr>
        <w:t>年累计削减</w:t>
      </w:r>
      <w:r>
        <w:rPr>
          <w:rFonts w:hint="eastAsia" w:ascii="Times New Roman" w:hAnsi="Times New Roman" w:eastAsia="仿宋_GB2312"/>
          <w:spacing w:val="0"/>
          <w:sz w:val="32"/>
          <w:szCs w:val="32"/>
          <w:highlight w:val="none"/>
        </w:rPr>
        <w:t>率分别为</w:t>
      </w:r>
      <w:r>
        <w:rPr>
          <w:rFonts w:ascii="Times New Roman" w:hAnsi="Times New Roman" w:eastAsia="仿宋_GB2312"/>
          <w:spacing w:val="0"/>
          <w:sz w:val="32"/>
          <w:szCs w:val="32"/>
          <w:highlight w:val="none"/>
        </w:rPr>
        <w:t>30.3%</w:t>
      </w:r>
      <w:r>
        <w:rPr>
          <w:rFonts w:hint="eastAsia" w:ascii="Times New Roman" w:hAnsi="Times New Roman" w:eastAsia="仿宋_GB2312"/>
          <w:spacing w:val="0"/>
          <w:sz w:val="32"/>
          <w:szCs w:val="32"/>
          <w:highlight w:val="none"/>
          <w:lang w:eastAsia="zh-CN"/>
        </w:rPr>
        <w:t>、</w:t>
      </w:r>
      <w:r>
        <w:rPr>
          <w:rFonts w:ascii="Times New Roman" w:hAnsi="Times New Roman" w:eastAsia="仿宋_GB2312"/>
          <w:spacing w:val="0"/>
          <w:sz w:val="32"/>
          <w:szCs w:val="32"/>
          <w:highlight w:val="none"/>
        </w:rPr>
        <w:t>33%</w:t>
      </w:r>
      <w:r>
        <w:rPr>
          <w:rFonts w:hint="eastAsia" w:ascii="Times New Roman" w:hAnsi="Times New Roman" w:eastAsia="仿宋_GB2312"/>
          <w:spacing w:val="0"/>
          <w:sz w:val="32"/>
          <w:szCs w:val="32"/>
          <w:highlight w:val="none"/>
          <w:lang w:eastAsia="zh-CN"/>
        </w:rPr>
        <w:t>、</w:t>
      </w:r>
      <w:r>
        <w:rPr>
          <w:rFonts w:ascii="Times New Roman" w:hAnsi="Times New Roman" w:eastAsia="仿宋_GB2312"/>
          <w:spacing w:val="0"/>
          <w:sz w:val="32"/>
          <w:szCs w:val="32"/>
          <w:highlight w:val="none"/>
        </w:rPr>
        <w:t>15.2%</w:t>
      </w:r>
      <w:r>
        <w:rPr>
          <w:rFonts w:hint="eastAsia" w:ascii="Times New Roman" w:hAnsi="Times New Roman" w:eastAsia="仿宋_GB2312"/>
          <w:spacing w:val="0"/>
          <w:sz w:val="32"/>
          <w:szCs w:val="32"/>
          <w:highlight w:val="none"/>
          <w:lang w:eastAsia="zh-CN"/>
        </w:rPr>
        <w:t>和</w:t>
      </w:r>
      <w:r>
        <w:rPr>
          <w:rFonts w:ascii="Times New Roman" w:hAnsi="Times New Roman" w:eastAsia="仿宋_GB2312"/>
          <w:spacing w:val="0"/>
          <w:sz w:val="32"/>
          <w:szCs w:val="32"/>
          <w:highlight w:val="none"/>
        </w:rPr>
        <w:t>15.1%</w:t>
      </w:r>
      <w:r>
        <w:rPr>
          <w:rFonts w:hint="eastAsia" w:ascii="Times New Roman" w:hAnsi="Times New Roman" w:eastAsia="仿宋_GB2312"/>
          <w:spacing w:val="0"/>
          <w:sz w:val="32"/>
          <w:szCs w:val="32"/>
          <w:highlight w:val="none"/>
        </w:rPr>
        <w:t>。</w:t>
      </w:r>
    </w:p>
    <w:p>
      <w:pPr>
        <w:shd w:val="clear"/>
        <w:spacing w:line="606" w:lineRule="exact"/>
        <w:ind w:firstLine="640" w:firstLineChars="200"/>
        <w:rPr>
          <w:rFonts w:ascii="Times New Roman" w:hAnsi="Times New Roman" w:eastAsia="仿宋_GB2312"/>
          <w:color w:val="auto"/>
          <w:spacing w:val="0"/>
          <w:sz w:val="32"/>
          <w:szCs w:val="32"/>
          <w:highlight w:val="yellow"/>
        </w:rPr>
      </w:pPr>
      <w:r>
        <w:rPr>
          <w:rFonts w:ascii="Times New Roman" w:hAnsi="Times New Roman" w:eastAsia="楷体_GB2312"/>
          <w:snapToGrid w:val="0"/>
          <w:spacing w:val="0"/>
          <w:kern w:val="0"/>
          <w:sz w:val="32"/>
          <w:szCs w:val="32"/>
          <w:highlight w:val="none"/>
        </w:rPr>
        <w:t>2</w:t>
      </w:r>
      <w:r>
        <w:rPr>
          <w:rFonts w:hint="eastAsia" w:ascii="Times New Roman" w:hAnsi="Times New Roman" w:eastAsia="楷体_GB2312"/>
          <w:snapToGrid w:val="0"/>
          <w:spacing w:val="0"/>
          <w:kern w:val="0"/>
          <w:sz w:val="32"/>
          <w:szCs w:val="32"/>
          <w:highlight w:val="none"/>
          <w:lang w:eastAsia="zh-CN"/>
        </w:rPr>
        <w:t>．</w:t>
      </w:r>
      <w:r>
        <w:rPr>
          <w:rFonts w:hint="eastAsia" w:ascii="Times New Roman" w:hAnsi="Times New Roman" w:eastAsia="楷体_GB2312" w:cs="楷体_GB2312"/>
          <w:snapToGrid w:val="0"/>
          <w:spacing w:val="0"/>
          <w:kern w:val="0"/>
          <w:sz w:val="32"/>
          <w:szCs w:val="32"/>
          <w:highlight w:val="none"/>
        </w:rPr>
        <w:t>水环境质量方面。</w:t>
      </w:r>
      <w:r>
        <w:rPr>
          <w:rFonts w:hint="eastAsia" w:ascii="Times New Roman" w:hAnsi="Times New Roman" w:eastAsia="仿宋_GB2312" w:cs="仿宋_GB2312"/>
          <w:snapToGrid w:val="0"/>
          <w:spacing w:val="0"/>
          <w:kern w:val="0"/>
          <w:sz w:val="32"/>
          <w:szCs w:val="32"/>
          <w:highlight w:val="none"/>
        </w:rPr>
        <w:t>全区主要河流断面消除劣</w:t>
      </w:r>
      <w:r>
        <w:rPr>
          <w:rFonts w:hint="eastAsia" w:ascii="宋体" w:hAnsi="宋体" w:cs="宋体"/>
          <w:snapToGrid w:val="0"/>
          <w:spacing w:val="0"/>
          <w:kern w:val="0"/>
          <w:sz w:val="32"/>
          <w:szCs w:val="32"/>
          <w:highlight w:val="none"/>
        </w:rPr>
        <w:t>Ⅴ</w:t>
      </w:r>
      <w:r>
        <w:rPr>
          <w:rFonts w:hint="eastAsia" w:ascii="Times New Roman" w:hAnsi="Times New Roman" w:eastAsia="仿宋_GB2312" w:cs="仿宋_GB2312"/>
          <w:snapToGrid w:val="0"/>
          <w:spacing w:val="0"/>
          <w:kern w:val="0"/>
          <w:sz w:val="32"/>
          <w:szCs w:val="32"/>
          <w:highlight w:val="none"/>
        </w:rPr>
        <w:t>类水体，主要指标</w:t>
      </w:r>
      <w:r>
        <w:rPr>
          <w:rFonts w:ascii="Times New Roman" w:hAnsi="Times New Roman" w:eastAsia="仿宋_GB2312"/>
          <w:snapToGrid w:val="0"/>
          <w:spacing w:val="0"/>
          <w:kern w:val="0"/>
          <w:sz w:val="32"/>
          <w:szCs w:val="32"/>
          <w:highlight w:val="none"/>
        </w:rPr>
        <w:t>COD</w:t>
      </w:r>
      <w:r>
        <w:rPr>
          <w:rFonts w:hint="eastAsia" w:ascii="Times New Roman" w:hAnsi="Times New Roman" w:eastAsia="仿宋_GB2312" w:cs="仿宋_GB2312"/>
          <w:snapToGrid w:val="0"/>
          <w:spacing w:val="0"/>
          <w:kern w:val="0"/>
          <w:sz w:val="32"/>
          <w:szCs w:val="32"/>
          <w:highlight w:val="none"/>
        </w:rPr>
        <w:t>和氨氮稳定达到</w:t>
      </w:r>
      <w:r>
        <w:rPr>
          <w:rFonts w:hint="eastAsia" w:ascii="宋体" w:hAnsi="宋体" w:cs="宋体"/>
          <w:snapToGrid w:val="0"/>
          <w:spacing w:val="0"/>
          <w:kern w:val="0"/>
          <w:sz w:val="32"/>
          <w:szCs w:val="32"/>
          <w:highlight w:val="none"/>
        </w:rPr>
        <w:t>Ⅳ</w:t>
      </w:r>
      <w:r>
        <w:rPr>
          <w:rFonts w:hint="eastAsia" w:ascii="Times New Roman" w:hAnsi="Times New Roman" w:eastAsia="仿宋_GB2312" w:cs="仿宋_GB2312"/>
          <w:snapToGrid w:val="0"/>
          <w:spacing w:val="0"/>
          <w:kern w:val="0"/>
          <w:sz w:val="32"/>
          <w:szCs w:val="32"/>
          <w:highlight w:val="none"/>
        </w:rPr>
        <w:t>类水体要求，</w:t>
      </w:r>
      <w:r>
        <w:rPr>
          <w:rFonts w:ascii="Times New Roman" w:hAnsi="Times New Roman" w:eastAsia="仿宋_GB2312"/>
          <w:snapToGrid w:val="0"/>
          <w:spacing w:val="0"/>
          <w:kern w:val="0"/>
          <w:sz w:val="32"/>
          <w:szCs w:val="32"/>
          <w:highlight w:val="none"/>
        </w:rPr>
        <w:t>21</w:t>
      </w:r>
      <w:r>
        <w:rPr>
          <w:rFonts w:hint="eastAsia" w:ascii="Times New Roman" w:hAnsi="Times New Roman" w:eastAsia="仿宋_GB2312" w:cs="仿宋_GB2312"/>
          <w:snapToGrid w:val="0"/>
          <w:spacing w:val="0"/>
          <w:kern w:val="0"/>
          <w:sz w:val="32"/>
          <w:szCs w:val="32"/>
          <w:highlight w:val="none"/>
        </w:rPr>
        <w:t>项指标达到地表水环境功能区划要求。国、省控河流（湖库）考核断面稳定达标。城市集中式饮用水水源地和农村饮用水</w:t>
      </w:r>
      <w:r>
        <w:rPr>
          <w:rFonts w:hint="eastAsia" w:ascii="Times New Roman" w:hAnsi="Times New Roman" w:eastAsia="仿宋_GB2312" w:cs="仿宋_GB2312"/>
          <w:snapToGrid w:val="0"/>
          <w:spacing w:val="0"/>
          <w:kern w:val="0"/>
          <w:sz w:val="32"/>
          <w:szCs w:val="32"/>
          <w:highlight w:val="none"/>
          <w:lang w:eastAsia="zh-CN"/>
        </w:rPr>
        <w:t>水</w:t>
      </w:r>
      <w:r>
        <w:rPr>
          <w:rFonts w:hint="eastAsia" w:ascii="Times New Roman" w:hAnsi="Times New Roman" w:eastAsia="仿宋_GB2312" w:cs="仿宋_GB2312"/>
          <w:snapToGrid w:val="0"/>
          <w:spacing w:val="0"/>
          <w:kern w:val="0"/>
          <w:sz w:val="32"/>
          <w:szCs w:val="32"/>
          <w:highlight w:val="none"/>
        </w:rPr>
        <w:t>源地水质达标率稳定在</w:t>
      </w:r>
      <w:r>
        <w:rPr>
          <w:rFonts w:ascii="Times New Roman" w:hAnsi="Times New Roman" w:eastAsia="仿宋_GB2312"/>
          <w:spacing w:val="0"/>
          <w:sz w:val="32"/>
          <w:szCs w:val="32"/>
          <w:highlight w:val="none"/>
        </w:rPr>
        <w:t>100%</w:t>
      </w:r>
      <w:r>
        <w:rPr>
          <w:rFonts w:hint="eastAsia" w:ascii="Times New Roman" w:hAnsi="Times New Roman" w:eastAsia="仿宋_GB2312" w:cs="仿宋_GB2312"/>
          <w:spacing w:val="0"/>
          <w:sz w:val="32"/>
          <w:szCs w:val="32"/>
          <w:highlight w:val="none"/>
        </w:rPr>
        <w:t>。</w:t>
      </w:r>
      <w:r>
        <w:rPr>
          <w:rFonts w:hint="eastAsia" w:ascii="Times New Roman" w:hAnsi="Times New Roman" w:eastAsia="仿宋_GB2312" w:cs="仿宋_GB2312"/>
          <w:snapToGrid w:val="0"/>
          <w:spacing w:val="0"/>
          <w:kern w:val="0"/>
          <w:sz w:val="32"/>
          <w:szCs w:val="32"/>
          <w:highlight w:val="none"/>
        </w:rPr>
        <w:t>全</w:t>
      </w:r>
      <w:r>
        <w:rPr>
          <w:rFonts w:hint="eastAsia" w:ascii="Times New Roman" w:hAnsi="Times New Roman" w:eastAsia="仿宋_GB2312" w:cs="仿宋_GB2312"/>
          <w:snapToGrid w:val="0"/>
          <w:spacing w:val="0"/>
          <w:kern w:val="0"/>
          <w:sz w:val="32"/>
          <w:szCs w:val="32"/>
          <w:highlight w:val="none"/>
          <w:lang w:eastAsia="zh-CN"/>
        </w:rPr>
        <w:t>区</w:t>
      </w:r>
      <w:r>
        <w:rPr>
          <w:rFonts w:hint="eastAsia" w:ascii="Times New Roman" w:hAnsi="Times New Roman" w:eastAsia="仿宋_GB2312" w:cs="仿宋_GB2312"/>
          <w:snapToGrid w:val="0"/>
          <w:spacing w:val="0"/>
          <w:kern w:val="0"/>
          <w:sz w:val="32"/>
          <w:szCs w:val="32"/>
          <w:highlight w:val="none"/>
        </w:rPr>
        <w:t>33.3%以上的行政村完成生活污水治理任务。</w:t>
      </w:r>
    </w:p>
    <w:p>
      <w:pPr>
        <w:snapToGrid w:val="0"/>
        <w:spacing w:line="606" w:lineRule="exact"/>
        <w:ind w:firstLine="640" w:firstLineChars="200"/>
        <w:rPr>
          <w:rFonts w:hint="eastAsia" w:ascii="Times New Roman" w:hAnsi="Times New Roman" w:eastAsia="仿宋_GB2312"/>
          <w:color w:val="auto"/>
          <w:spacing w:val="0"/>
          <w:sz w:val="32"/>
          <w:szCs w:val="32"/>
          <w:highlight w:val="yellow"/>
          <w:lang w:val="en-US" w:eastAsia="zh-CN"/>
        </w:rPr>
      </w:pPr>
      <w:r>
        <w:rPr>
          <w:rFonts w:ascii="Times New Roman" w:hAnsi="Times New Roman" w:eastAsia="楷体_GB2312"/>
          <w:color w:val="auto"/>
          <w:spacing w:val="0"/>
          <w:sz w:val="32"/>
          <w:szCs w:val="32"/>
          <w:highlight w:val="none"/>
        </w:rPr>
        <w:t>3</w:t>
      </w:r>
      <w:r>
        <w:rPr>
          <w:rFonts w:hint="eastAsia" w:ascii="Times New Roman" w:hAnsi="Times New Roman" w:eastAsia="楷体_GB2312"/>
          <w:color w:val="auto"/>
          <w:spacing w:val="0"/>
          <w:sz w:val="32"/>
          <w:szCs w:val="32"/>
          <w:highlight w:val="none"/>
          <w:lang w:eastAsia="zh-CN"/>
        </w:rPr>
        <w:t>．</w:t>
      </w:r>
      <w:r>
        <w:rPr>
          <w:rFonts w:hint="eastAsia" w:ascii="Times New Roman" w:hAnsi="Times New Roman" w:eastAsia="楷体_GB2312"/>
          <w:color w:val="auto"/>
          <w:spacing w:val="0"/>
          <w:sz w:val="32"/>
          <w:szCs w:val="32"/>
          <w:highlight w:val="none"/>
        </w:rPr>
        <w:t>生态保护与修复方面。</w:t>
      </w:r>
      <w:r>
        <w:rPr>
          <w:rFonts w:hint="eastAsia" w:ascii="Times New Roman" w:hAnsi="Times New Roman" w:eastAsia="仿宋_GB2312"/>
          <w:snapToGrid w:val="0"/>
          <w:color w:val="auto"/>
          <w:spacing w:val="0"/>
          <w:kern w:val="0"/>
          <w:sz w:val="32"/>
          <w:szCs w:val="32"/>
          <w:highlight w:val="none"/>
        </w:rPr>
        <w:t>加快推进区域空间生态环境评价工作，建设完成数据应用平台。完成生态保护红线勘界定标工作。加强污染土地风险管控，污染地块安全利用率不低于</w:t>
      </w:r>
      <w:r>
        <w:rPr>
          <w:rFonts w:ascii="Times New Roman" w:hAnsi="Times New Roman" w:eastAsia="仿宋_GB2312"/>
          <w:snapToGrid w:val="0"/>
          <w:color w:val="auto"/>
          <w:spacing w:val="0"/>
          <w:kern w:val="0"/>
          <w:sz w:val="32"/>
          <w:szCs w:val="32"/>
          <w:highlight w:val="none"/>
        </w:rPr>
        <w:t>90%</w:t>
      </w:r>
      <w:r>
        <w:rPr>
          <w:rFonts w:hint="eastAsia" w:ascii="Times New Roman" w:hAnsi="Times New Roman" w:eastAsia="仿宋_GB2312"/>
          <w:snapToGrid w:val="0"/>
          <w:color w:val="auto"/>
          <w:spacing w:val="0"/>
          <w:kern w:val="0"/>
          <w:sz w:val="32"/>
          <w:szCs w:val="32"/>
          <w:highlight w:val="none"/>
        </w:rPr>
        <w:t>。</w:t>
      </w:r>
      <w:r>
        <w:rPr>
          <w:rFonts w:hint="eastAsia" w:ascii="Times New Roman" w:hAnsi="Times New Roman" w:eastAsia="仿宋_GB2312"/>
          <w:spacing w:val="0"/>
          <w:sz w:val="32"/>
          <w:szCs w:val="32"/>
          <w:highlight w:val="none"/>
        </w:rPr>
        <w:t>全面完成</w:t>
      </w:r>
      <w:r>
        <w:rPr>
          <w:rFonts w:hint="eastAsia" w:ascii="Times New Roman" w:hAnsi="Times New Roman" w:eastAsia="仿宋_GB2312"/>
          <w:spacing w:val="0"/>
          <w:sz w:val="32"/>
          <w:szCs w:val="32"/>
          <w:highlight w:val="none"/>
          <w:lang w:val="en-US" w:eastAsia="zh-CN"/>
        </w:rPr>
        <w:t>3</w:t>
      </w:r>
      <w:r>
        <w:rPr>
          <w:rFonts w:hint="eastAsia" w:ascii="Times New Roman" w:hAnsi="Times New Roman" w:eastAsia="仿宋_GB2312"/>
          <w:spacing w:val="0"/>
          <w:sz w:val="32"/>
          <w:szCs w:val="32"/>
          <w:highlight w:val="none"/>
        </w:rPr>
        <w:t>个农村环境综合整治任务。</w:t>
      </w:r>
    </w:p>
    <w:p>
      <w:pPr>
        <w:snapToGrid w:val="0"/>
        <w:spacing w:line="606" w:lineRule="exact"/>
        <w:ind w:firstLine="640" w:firstLineChars="200"/>
        <w:rPr>
          <w:rFonts w:ascii="Times New Roman" w:hAnsi="Times New Roman" w:eastAsia="仿宋_GB2312"/>
          <w:spacing w:val="0"/>
          <w:sz w:val="32"/>
          <w:szCs w:val="32"/>
          <w:highlight w:val="none"/>
        </w:rPr>
      </w:pPr>
      <w:r>
        <w:rPr>
          <w:rFonts w:ascii="Times New Roman" w:hAnsi="Times New Roman" w:eastAsia="楷体_GB2312"/>
          <w:spacing w:val="0"/>
          <w:sz w:val="32"/>
          <w:szCs w:val="32"/>
          <w:highlight w:val="none"/>
        </w:rPr>
        <w:t>4</w:t>
      </w:r>
      <w:r>
        <w:rPr>
          <w:rFonts w:hint="eastAsia" w:ascii="Times New Roman" w:hAnsi="Times New Roman" w:eastAsia="楷体_GB2312"/>
          <w:spacing w:val="0"/>
          <w:sz w:val="32"/>
          <w:szCs w:val="32"/>
          <w:highlight w:val="none"/>
          <w:lang w:eastAsia="zh-CN"/>
        </w:rPr>
        <w:t>．</w:t>
      </w:r>
      <w:r>
        <w:rPr>
          <w:rFonts w:hint="eastAsia" w:ascii="Times New Roman" w:hAnsi="Times New Roman" w:eastAsia="楷体_GB2312"/>
          <w:spacing w:val="0"/>
          <w:sz w:val="32"/>
          <w:szCs w:val="32"/>
          <w:highlight w:val="none"/>
        </w:rPr>
        <w:t>固体废物和危险废物监管方面。</w:t>
      </w:r>
      <w:r>
        <w:rPr>
          <w:rFonts w:hint="eastAsia" w:ascii="Times New Roman" w:hAnsi="Times New Roman" w:eastAsia="仿宋_GB2312"/>
          <w:spacing w:val="0"/>
          <w:sz w:val="32"/>
          <w:szCs w:val="32"/>
          <w:highlight w:val="none"/>
        </w:rPr>
        <w:t>完成</w:t>
      </w:r>
      <w:r>
        <w:rPr>
          <w:rFonts w:ascii="Times New Roman" w:hAnsi="Times New Roman" w:eastAsia="仿宋_GB2312"/>
          <w:spacing w:val="0"/>
          <w:sz w:val="32"/>
          <w:szCs w:val="32"/>
          <w:highlight w:val="none"/>
        </w:rPr>
        <w:t>2</w:t>
      </w:r>
      <w:r>
        <w:rPr>
          <w:rFonts w:hint="eastAsia" w:ascii="Times New Roman" w:hAnsi="Times New Roman" w:eastAsia="仿宋_GB2312"/>
          <w:spacing w:val="0"/>
          <w:sz w:val="32"/>
          <w:szCs w:val="32"/>
          <w:highlight w:val="none"/>
        </w:rPr>
        <w:t>处一般固体废物填埋场。</w:t>
      </w:r>
      <w:r>
        <w:rPr>
          <w:rFonts w:hint="eastAsia" w:ascii="Times New Roman" w:hAnsi="Times New Roman" w:eastAsia="仿宋_GB2312"/>
          <w:color w:val="000000"/>
          <w:spacing w:val="0"/>
          <w:kern w:val="0"/>
          <w:sz w:val="32"/>
          <w:szCs w:val="32"/>
          <w:highlight w:val="none"/>
        </w:rPr>
        <w:t>重点行业的重点重金属排放量比</w:t>
      </w:r>
      <w:r>
        <w:rPr>
          <w:rFonts w:ascii="Times New Roman" w:hAnsi="Times New Roman" w:eastAsia="仿宋_GB2312"/>
          <w:color w:val="000000"/>
          <w:spacing w:val="0"/>
          <w:kern w:val="0"/>
          <w:sz w:val="32"/>
          <w:szCs w:val="32"/>
          <w:highlight w:val="none"/>
        </w:rPr>
        <w:t>2015</w:t>
      </w:r>
      <w:r>
        <w:rPr>
          <w:rFonts w:hint="eastAsia" w:ascii="Times New Roman" w:hAnsi="Times New Roman" w:eastAsia="仿宋_GB2312"/>
          <w:color w:val="000000"/>
          <w:spacing w:val="0"/>
          <w:kern w:val="0"/>
          <w:sz w:val="32"/>
          <w:szCs w:val="32"/>
          <w:highlight w:val="none"/>
        </w:rPr>
        <w:t>年下降</w:t>
      </w:r>
      <w:r>
        <w:rPr>
          <w:rFonts w:ascii="Times New Roman" w:hAnsi="Times New Roman" w:eastAsia="仿宋_GB2312"/>
          <w:color w:val="000000"/>
          <w:spacing w:val="0"/>
          <w:kern w:val="0"/>
          <w:sz w:val="32"/>
          <w:szCs w:val="32"/>
          <w:highlight w:val="none"/>
        </w:rPr>
        <w:t>9%</w:t>
      </w:r>
      <w:r>
        <w:rPr>
          <w:rFonts w:hint="eastAsia" w:ascii="Times New Roman" w:hAnsi="Times New Roman" w:eastAsia="仿宋_GB2312"/>
          <w:color w:val="000000"/>
          <w:spacing w:val="0"/>
          <w:kern w:val="0"/>
          <w:sz w:val="32"/>
          <w:szCs w:val="32"/>
          <w:highlight w:val="none"/>
        </w:rPr>
        <w:t>。</w:t>
      </w:r>
      <w:r>
        <w:rPr>
          <w:rFonts w:hint="eastAsia" w:ascii="Times New Roman" w:hAnsi="Times New Roman" w:eastAsia="仿宋_GB2312"/>
          <w:color w:val="000000"/>
          <w:spacing w:val="0"/>
          <w:sz w:val="32"/>
          <w:szCs w:val="32"/>
          <w:highlight w:val="none"/>
        </w:rPr>
        <w:t>全</w:t>
      </w:r>
      <w:r>
        <w:rPr>
          <w:rFonts w:hint="eastAsia" w:ascii="Times New Roman" w:hAnsi="Times New Roman" w:eastAsia="仿宋_GB2312"/>
          <w:color w:val="000000"/>
          <w:spacing w:val="0"/>
          <w:sz w:val="32"/>
          <w:szCs w:val="32"/>
          <w:highlight w:val="none"/>
          <w:lang w:eastAsia="zh-CN"/>
        </w:rPr>
        <w:t>区</w:t>
      </w:r>
      <w:r>
        <w:rPr>
          <w:rFonts w:hint="eastAsia" w:ascii="Times New Roman" w:hAnsi="Times New Roman" w:eastAsia="仿宋_GB2312"/>
          <w:color w:val="000000"/>
          <w:spacing w:val="0"/>
          <w:sz w:val="32"/>
          <w:szCs w:val="32"/>
          <w:highlight w:val="none"/>
        </w:rPr>
        <w:t>医疗废物无害化处置率达到</w:t>
      </w:r>
      <w:r>
        <w:rPr>
          <w:rFonts w:ascii="Times New Roman" w:hAnsi="Times New Roman" w:eastAsia="仿宋_GB2312"/>
          <w:color w:val="000000"/>
          <w:spacing w:val="0"/>
          <w:sz w:val="32"/>
          <w:szCs w:val="32"/>
          <w:highlight w:val="none"/>
        </w:rPr>
        <w:t>100%</w:t>
      </w:r>
      <w:r>
        <w:rPr>
          <w:rFonts w:hint="eastAsia" w:ascii="Times New Roman" w:hAnsi="Times New Roman" w:eastAsia="仿宋_GB2312"/>
          <w:color w:val="000000"/>
          <w:spacing w:val="0"/>
          <w:sz w:val="32"/>
          <w:szCs w:val="32"/>
          <w:highlight w:val="none"/>
        </w:rPr>
        <w:t>，力争各级各类医疗卫生机构医疗废物全部纳入集中处置。</w:t>
      </w:r>
    </w:p>
    <w:p>
      <w:pPr>
        <w:spacing w:line="606" w:lineRule="exact"/>
        <w:ind w:firstLine="640" w:firstLineChars="200"/>
        <w:rPr>
          <w:rFonts w:ascii="Times New Roman" w:hAnsi="Times New Roman" w:eastAsia="黑体"/>
          <w:snapToGrid w:val="0"/>
          <w:spacing w:val="0"/>
          <w:kern w:val="0"/>
          <w:sz w:val="32"/>
          <w:szCs w:val="32"/>
          <w:highlight w:val="none"/>
        </w:rPr>
      </w:pPr>
      <w:r>
        <w:rPr>
          <w:rFonts w:hint="eastAsia" w:ascii="Times New Roman" w:hAnsi="Times New Roman" w:eastAsia="黑体"/>
          <w:snapToGrid w:val="0"/>
          <w:spacing w:val="0"/>
          <w:kern w:val="0"/>
          <w:sz w:val="32"/>
          <w:szCs w:val="32"/>
          <w:highlight w:val="none"/>
        </w:rPr>
        <w:t>二、主要任务</w:t>
      </w:r>
    </w:p>
    <w:p>
      <w:pPr>
        <w:snapToGrid w:val="0"/>
        <w:spacing w:line="606" w:lineRule="exact"/>
        <w:ind w:firstLine="640"/>
        <w:rPr>
          <w:rFonts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rPr>
        <w:t>（一）坚决打赢蓝天保卫战</w:t>
      </w:r>
    </w:p>
    <w:p>
      <w:pPr>
        <w:pStyle w:val="2"/>
        <w:spacing w:line="606" w:lineRule="exact"/>
        <w:ind w:firstLine="640" w:firstLineChars="200"/>
        <w:rPr>
          <w:rFonts w:eastAsia="仿宋_GB2312"/>
          <w:bCs/>
          <w:spacing w:val="0"/>
          <w:sz w:val="32"/>
          <w:szCs w:val="32"/>
          <w:highlight w:val="none"/>
        </w:rPr>
      </w:pPr>
      <w:r>
        <w:rPr>
          <w:rFonts w:eastAsia="仿宋_GB2312"/>
          <w:bCs/>
          <w:spacing w:val="0"/>
          <w:sz w:val="32"/>
          <w:szCs w:val="32"/>
          <w:highlight w:val="none"/>
        </w:rPr>
        <w:t>1</w:t>
      </w:r>
      <w:r>
        <w:rPr>
          <w:rFonts w:hint="eastAsia" w:eastAsia="仿宋_GB2312"/>
          <w:bCs/>
          <w:spacing w:val="0"/>
          <w:sz w:val="32"/>
          <w:szCs w:val="32"/>
          <w:highlight w:val="none"/>
          <w:lang w:eastAsia="zh-CN"/>
        </w:rPr>
        <w:t>．</w:t>
      </w:r>
      <w:r>
        <w:rPr>
          <w:rFonts w:hint="eastAsia" w:eastAsia="仿宋_GB2312"/>
          <w:bCs/>
          <w:spacing w:val="0"/>
          <w:sz w:val="32"/>
          <w:szCs w:val="32"/>
          <w:highlight w:val="none"/>
        </w:rPr>
        <w:t>深入</w:t>
      </w:r>
      <w:r>
        <w:rPr>
          <w:rFonts w:hint="eastAsia" w:eastAsia="仿宋_GB2312"/>
          <w:spacing w:val="0"/>
          <w:sz w:val="32"/>
          <w:szCs w:val="32"/>
          <w:highlight w:val="none"/>
        </w:rPr>
        <w:t>抓好燃煤压减。</w:t>
      </w:r>
      <w:r>
        <w:rPr>
          <w:rFonts w:eastAsia="仿宋_GB2312"/>
          <w:spacing w:val="0"/>
          <w:sz w:val="32"/>
          <w:szCs w:val="32"/>
          <w:highlight w:val="none"/>
        </w:rPr>
        <w:t>2020</w:t>
      </w:r>
      <w:r>
        <w:rPr>
          <w:rFonts w:hint="eastAsia" w:eastAsia="仿宋_GB2312"/>
          <w:spacing w:val="0"/>
          <w:sz w:val="32"/>
          <w:szCs w:val="32"/>
          <w:highlight w:val="none"/>
        </w:rPr>
        <w:t>年</w:t>
      </w:r>
      <w:r>
        <w:rPr>
          <w:rFonts w:eastAsia="仿宋_GB2312"/>
          <w:bCs/>
          <w:spacing w:val="0"/>
          <w:sz w:val="32"/>
          <w:szCs w:val="32"/>
          <w:highlight w:val="none"/>
        </w:rPr>
        <w:t>9</w:t>
      </w:r>
      <w:r>
        <w:rPr>
          <w:rFonts w:hint="eastAsia" w:eastAsia="仿宋_GB2312"/>
          <w:bCs/>
          <w:spacing w:val="0"/>
          <w:sz w:val="32"/>
          <w:szCs w:val="32"/>
          <w:highlight w:val="none"/>
        </w:rPr>
        <w:t>月底前，完成双杨镇1台</w:t>
      </w:r>
      <w:r>
        <w:rPr>
          <w:rFonts w:eastAsia="仿宋_GB2312"/>
          <w:bCs/>
          <w:spacing w:val="0"/>
          <w:sz w:val="32"/>
          <w:szCs w:val="32"/>
          <w:highlight w:val="none"/>
        </w:rPr>
        <w:t>10</w:t>
      </w:r>
      <w:r>
        <w:rPr>
          <w:rFonts w:hint="eastAsia" w:eastAsia="仿宋_GB2312"/>
          <w:bCs/>
          <w:spacing w:val="0"/>
          <w:sz w:val="32"/>
          <w:szCs w:val="32"/>
          <w:highlight w:val="none"/>
        </w:rPr>
        <w:t>蒸吨</w:t>
      </w:r>
      <w:r>
        <w:rPr>
          <w:rFonts w:eastAsia="仿宋_GB2312"/>
          <w:bCs/>
          <w:spacing w:val="0"/>
          <w:sz w:val="32"/>
          <w:szCs w:val="32"/>
          <w:highlight w:val="none"/>
        </w:rPr>
        <w:t>/</w:t>
      </w:r>
      <w:r>
        <w:rPr>
          <w:rFonts w:hint="eastAsia" w:eastAsia="仿宋_GB2312"/>
          <w:bCs/>
          <w:spacing w:val="0"/>
          <w:sz w:val="32"/>
          <w:szCs w:val="32"/>
          <w:highlight w:val="none"/>
        </w:rPr>
        <w:t>小时高效煤粉锅炉关停淘汰或清洁燃料替代任务。严格落实《淄博市煤电机组优化升级工作方案》（淄政办字〔</w:t>
      </w:r>
      <w:r>
        <w:rPr>
          <w:rFonts w:eastAsia="仿宋_GB2312"/>
          <w:bCs/>
          <w:spacing w:val="0"/>
          <w:sz w:val="32"/>
          <w:szCs w:val="32"/>
          <w:highlight w:val="none"/>
        </w:rPr>
        <w:t>2019</w:t>
      </w:r>
      <w:r>
        <w:rPr>
          <w:rFonts w:hint="eastAsia" w:eastAsia="仿宋_GB2312"/>
          <w:bCs/>
          <w:spacing w:val="0"/>
          <w:sz w:val="32"/>
          <w:szCs w:val="32"/>
          <w:highlight w:val="none"/>
        </w:rPr>
        <w:t>〕</w:t>
      </w:r>
      <w:r>
        <w:rPr>
          <w:rFonts w:eastAsia="仿宋_GB2312"/>
          <w:bCs/>
          <w:spacing w:val="0"/>
          <w:sz w:val="32"/>
          <w:szCs w:val="32"/>
          <w:highlight w:val="none"/>
        </w:rPr>
        <w:t>86</w:t>
      </w:r>
      <w:r>
        <w:rPr>
          <w:rFonts w:hint="eastAsia" w:eastAsia="仿宋_GB2312"/>
          <w:bCs/>
          <w:spacing w:val="0"/>
          <w:sz w:val="32"/>
          <w:szCs w:val="32"/>
          <w:highlight w:val="none"/>
        </w:rPr>
        <w:t>号）有关计划要求，</w:t>
      </w:r>
      <w:r>
        <w:rPr>
          <w:rFonts w:hint="eastAsia" w:eastAsia="仿宋_GB2312"/>
          <w:spacing w:val="0"/>
          <w:sz w:val="32"/>
          <w:szCs w:val="32"/>
          <w:highlight w:val="none"/>
        </w:rPr>
        <w:t>关停1台落后燃煤小机组。继续组织开展好冬季清洁取暖工程，</w:t>
      </w:r>
      <w:r>
        <w:rPr>
          <w:rFonts w:eastAsia="仿宋_GB2312"/>
          <w:spacing w:val="0"/>
          <w:sz w:val="32"/>
          <w:szCs w:val="32"/>
          <w:highlight w:val="none"/>
        </w:rPr>
        <w:t>2020</w:t>
      </w:r>
      <w:r>
        <w:rPr>
          <w:rFonts w:hint="eastAsia" w:eastAsia="仿宋_GB2312"/>
          <w:spacing w:val="0"/>
          <w:sz w:val="32"/>
          <w:szCs w:val="32"/>
          <w:highlight w:val="none"/>
        </w:rPr>
        <w:t>年采暖季前，完成1.17万户清洁取暖改造任务，全区平原地区基本完成生活和冬季取暖散煤替代。建立健全煤炭质量管理体系，组织开展煤质抽样检测，抽检覆盖率达到</w:t>
      </w:r>
      <w:r>
        <w:rPr>
          <w:rFonts w:eastAsia="仿宋_GB2312"/>
          <w:spacing w:val="0"/>
          <w:sz w:val="32"/>
          <w:szCs w:val="32"/>
          <w:highlight w:val="none"/>
        </w:rPr>
        <w:t>95%</w:t>
      </w:r>
      <w:r>
        <w:rPr>
          <w:rFonts w:hint="eastAsia" w:eastAsia="仿宋_GB2312"/>
          <w:spacing w:val="0"/>
          <w:sz w:val="32"/>
          <w:szCs w:val="32"/>
          <w:highlight w:val="none"/>
        </w:rPr>
        <w:t>以上。（区</w:t>
      </w:r>
      <w:r>
        <w:rPr>
          <w:rFonts w:hint="eastAsia" w:eastAsia="仿宋_GB2312"/>
          <w:spacing w:val="0"/>
          <w:sz w:val="32"/>
          <w:szCs w:val="32"/>
          <w:highlight w:val="none"/>
          <w:lang w:eastAsia="zh-CN"/>
        </w:rPr>
        <w:t>发展和改革</w:t>
      </w:r>
      <w:r>
        <w:rPr>
          <w:rFonts w:hint="eastAsia" w:eastAsia="仿宋_GB2312"/>
          <w:spacing w:val="0"/>
          <w:sz w:val="32"/>
          <w:szCs w:val="32"/>
          <w:highlight w:val="none"/>
        </w:rPr>
        <w:t>局、区生态环境分局、区能源事业发展</w:t>
      </w:r>
      <w:r>
        <w:rPr>
          <w:rFonts w:hint="eastAsia" w:eastAsia="仿宋_GB2312"/>
          <w:spacing w:val="0"/>
          <w:sz w:val="32"/>
          <w:szCs w:val="32"/>
          <w:highlight w:val="none"/>
          <w:lang w:eastAsia="zh-CN"/>
        </w:rPr>
        <w:t>服务</w:t>
      </w:r>
      <w:r>
        <w:rPr>
          <w:rFonts w:hint="eastAsia" w:eastAsia="仿宋_GB2312"/>
          <w:spacing w:val="0"/>
          <w:sz w:val="32"/>
          <w:szCs w:val="32"/>
          <w:highlight w:val="none"/>
        </w:rPr>
        <w:t>中心、区</w:t>
      </w:r>
      <w:r>
        <w:rPr>
          <w:rFonts w:hint="eastAsia" w:eastAsia="仿宋_GB2312"/>
          <w:spacing w:val="0"/>
          <w:sz w:val="32"/>
          <w:szCs w:val="32"/>
          <w:highlight w:val="none"/>
          <w:lang w:eastAsia="zh-CN"/>
        </w:rPr>
        <w:t>住房和城乡建设</w:t>
      </w:r>
      <w:r>
        <w:rPr>
          <w:rFonts w:hint="eastAsia" w:eastAsia="仿宋_GB2312"/>
          <w:spacing w:val="0"/>
          <w:sz w:val="32"/>
          <w:szCs w:val="32"/>
          <w:highlight w:val="none"/>
        </w:rPr>
        <w:t>局按职责分工牵头负责，各镇、街道、开发区负责落实。以下均需各镇、街道、开发区落实，不再一一列出）</w:t>
      </w:r>
    </w:p>
    <w:p>
      <w:pPr>
        <w:snapToGrid w:val="0"/>
        <w:spacing w:line="606" w:lineRule="exact"/>
        <w:ind w:firstLine="640" w:firstLineChars="200"/>
        <w:rPr>
          <w:rFonts w:ascii="Times New Roman" w:hAnsi="Times New Roman" w:eastAsia="仿宋_GB2312"/>
          <w:bCs/>
          <w:spacing w:val="0"/>
          <w:sz w:val="32"/>
          <w:szCs w:val="32"/>
          <w:highlight w:val="none"/>
        </w:rPr>
      </w:pPr>
      <w:r>
        <w:rPr>
          <w:rFonts w:ascii="Times New Roman" w:hAnsi="Times New Roman" w:eastAsia="仿宋_GB2312"/>
          <w:spacing w:val="0"/>
          <w:sz w:val="32"/>
          <w:szCs w:val="32"/>
          <w:highlight w:val="none"/>
        </w:rPr>
        <w:t>2</w:t>
      </w:r>
      <w:r>
        <w:rPr>
          <w:rFonts w:hint="eastAsia" w:ascii="Times New Roman" w:hAnsi="Times New Roman" w:eastAsia="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全力抓好工业污染深度治理。</w:t>
      </w:r>
      <w:r>
        <w:rPr>
          <w:rFonts w:hint="eastAsia" w:ascii="Times New Roman" w:hAnsi="Times New Roman" w:eastAsia="仿宋_GB2312"/>
          <w:bCs/>
          <w:spacing w:val="0"/>
          <w:sz w:val="32"/>
          <w:szCs w:val="32"/>
          <w:highlight w:val="none"/>
        </w:rPr>
        <w:t>对全区352家807台（条）工业炉窑分类实施关停淘汰、</w:t>
      </w:r>
      <w:r>
        <w:rPr>
          <w:rFonts w:hint="eastAsia" w:ascii="Times New Roman" w:hAnsi="Times New Roman" w:eastAsia="仿宋_GB2312"/>
          <w:bCs/>
          <w:spacing w:val="0"/>
          <w:sz w:val="32"/>
          <w:szCs w:val="32"/>
          <w:highlight w:val="none"/>
          <w:lang w:eastAsia="zh-CN"/>
        </w:rPr>
        <w:t>“</w:t>
      </w:r>
      <w:r>
        <w:rPr>
          <w:rFonts w:hint="eastAsia" w:ascii="Times New Roman" w:hAnsi="Times New Roman" w:eastAsia="仿宋_GB2312"/>
          <w:bCs/>
          <w:spacing w:val="0"/>
          <w:sz w:val="32"/>
          <w:szCs w:val="32"/>
          <w:highlight w:val="none"/>
        </w:rPr>
        <w:t>气改电</w:t>
      </w:r>
      <w:r>
        <w:rPr>
          <w:rFonts w:hint="eastAsia" w:ascii="Times New Roman" w:hAnsi="Times New Roman" w:eastAsia="仿宋_GB2312"/>
          <w:bCs/>
          <w:spacing w:val="0"/>
          <w:sz w:val="32"/>
          <w:szCs w:val="32"/>
          <w:highlight w:val="none"/>
          <w:lang w:eastAsia="zh-CN"/>
        </w:rPr>
        <w:t>”</w:t>
      </w:r>
      <w:r>
        <w:rPr>
          <w:rFonts w:hint="eastAsia" w:ascii="Times New Roman" w:hAnsi="Times New Roman" w:eastAsia="仿宋_GB2312"/>
          <w:bCs/>
          <w:spacing w:val="0"/>
          <w:sz w:val="32"/>
          <w:szCs w:val="32"/>
          <w:highlight w:val="none"/>
        </w:rPr>
        <w:t>升级改造等综合整治措施。对175家石化化工、包装印刷、表面涂装等涉</w:t>
      </w:r>
      <w:r>
        <w:rPr>
          <w:rFonts w:ascii="Times New Roman" w:hAnsi="Times New Roman" w:eastAsia="仿宋_GB2312"/>
          <w:bCs/>
          <w:spacing w:val="0"/>
          <w:sz w:val="32"/>
          <w:szCs w:val="32"/>
          <w:highlight w:val="none"/>
        </w:rPr>
        <w:t>VOCs</w:t>
      </w:r>
      <w:r>
        <w:rPr>
          <w:rFonts w:hint="eastAsia" w:ascii="Times New Roman" w:hAnsi="Times New Roman" w:eastAsia="仿宋_GB2312"/>
          <w:bCs/>
          <w:spacing w:val="0"/>
          <w:sz w:val="32"/>
          <w:szCs w:val="32"/>
          <w:highlight w:val="none"/>
        </w:rPr>
        <w:t>企业开展深度治理，切实减少</w:t>
      </w:r>
      <w:r>
        <w:rPr>
          <w:rFonts w:hint="eastAsia" w:ascii="Times New Roman" w:hAnsi="Times New Roman" w:eastAsia="仿宋_GB2312"/>
          <w:spacing w:val="0"/>
          <w:sz w:val="32"/>
          <w:szCs w:val="32"/>
          <w:highlight w:val="none"/>
        </w:rPr>
        <w:t>氮氧化物和</w:t>
      </w:r>
      <w:r>
        <w:rPr>
          <w:rFonts w:ascii="Times New Roman" w:hAnsi="Times New Roman" w:eastAsia="仿宋_GB2312"/>
          <w:bCs/>
          <w:spacing w:val="0"/>
          <w:sz w:val="32"/>
          <w:szCs w:val="32"/>
          <w:highlight w:val="none"/>
        </w:rPr>
        <w:t>VOCs</w:t>
      </w:r>
      <w:r>
        <w:rPr>
          <w:rFonts w:hint="eastAsia" w:ascii="Times New Roman" w:hAnsi="Times New Roman" w:eastAsia="仿宋_GB2312"/>
          <w:bCs/>
          <w:spacing w:val="0"/>
          <w:sz w:val="32"/>
          <w:szCs w:val="32"/>
          <w:highlight w:val="none"/>
        </w:rPr>
        <w:t>排放。</w:t>
      </w:r>
      <w:r>
        <w:rPr>
          <w:rFonts w:hint="eastAsia" w:ascii="Times New Roman" w:hAnsi="Times New Roman" w:eastAsia="仿宋_GB2312" w:cs="Times New Roman"/>
          <w:spacing w:val="0"/>
          <w:kern w:val="2"/>
          <w:sz w:val="32"/>
          <w:szCs w:val="32"/>
          <w:highlight w:val="none"/>
          <w:lang w:val="en-US" w:eastAsia="zh-CN" w:bidi="ar-SA"/>
        </w:rPr>
        <w:t>（区生态环境分局、区工业和信息化局按职责分工牵头负责）</w:t>
      </w:r>
    </w:p>
    <w:p>
      <w:pPr>
        <w:spacing w:line="606" w:lineRule="exact"/>
        <w:ind w:firstLine="640" w:firstLineChars="200"/>
        <w:rPr>
          <w:rFonts w:ascii="Times New Roman" w:hAnsi="Times New Roman" w:eastAsia="仿宋_GB2312"/>
          <w:color w:val="auto"/>
          <w:spacing w:val="0"/>
          <w:sz w:val="32"/>
          <w:szCs w:val="32"/>
          <w:highlight w:val="none"/>
        </w:rPr>
      </w:pPr>
      <w:r>
        <w:rPr>
          <w:rFonts w:ascii="Times New Roman" w:hAnsi="Times New Roman" w:eastAsia="仿宋_GB2312"/>
          <w:bCs/>
          <w:color w:val="auto"/>
          <w:spacing w:val="0"/>
          <w:sz w:val="32"/>
          <w:szCs w:val="32"/>
          <w:highlight w:val="none"/>
        </w:rPr>
        <w:t>3</w:t>
      </w:r>
      <w:r>
        <w:rPr>
          <w:rFonts w:hint="eastAsia" w:ascii="Times New Roman" w:hAnsi="Times New Roman" w:eastAsia="仿宋_GB2312"/>
          <w:bCs/>
          <w:color w:val="auto"/>
          <w:spacing w:val="0"/>
          <w:sz w:val="32"/>
          <w:szCs w:val="32"/>
          <w:highlight w:val="none"/>
          <w:lang w:eastAsia="zh-CN"/>
        </w:rPr>
        <w:t>．</w:t>
      </w:r>
      <w:r>
        <w:rPr>
          <w:rFonts w:hint="eastAsia" w:ascii="Times New Roman" w:hAnsi="Times New Roman" w:eastAsia="仿宋_GB2312"/>
          <w:bCs/>
          <w:color w:val="auto"/>
          <w:spacing w:val="0"/>
          <w:sz w:val="32"/>
          <w:szCs w:val="32"/>
          <w:highlight w:val="none"/>
        </w:rPr>
        <w:t>持续</w:t>
      </w:r>
      <w:r>
        <w:rPr>
          <w:rFonts w:hint="eastAsia" w:ascii="Times New Roman" w:hAnsi="Times New Roman" w:eastAsia="仿宋_GB2312"/>
          <w:color w:val="auto"/>
          <w:spacing w:val="0"/>
          <w:sz w:val="32"/>
          <w:szCs w:val="32"/>
          <w:highlight w:val="none"/>
        </w:rPr>
        <w:t>加强移动源防控。</w:t>
      </w:r>
      <w:r>
        <w:rPr>
          <w:rFonts w:hint="eastAsia" w:ascii="仿宋_GB2312" w:hAnsi="Times New Roman" w:eastAsia="仿宋_GB2312"/>
          <w:color w:val="auto"/>
          <w:spacing w:val="0"/>
          <w:sz w:val="32"/>
          <w:szCs w:val="32"/>
          <w:highlight w:val="none"/>
        </w:rPr>
        <w:t>对年货运量</w:t>
      </w:r>
      <w:r>
        <w:rPr>
          <w:rFonts w:ascii="仿宋_GB2312" w:hAnsi="Times New Roman" w:eastAsia="仿宋_GB2312"/>
          <w:color w:val="auto"/>
          <w:spacing w:val="0"/>
          <w:sz w:val="32"/>
          <w:szCs w:val="32"/>
          <w:highlight w:val="none"/>
        </w:rPr>
        <w:t>150</w:t>
      </w:r>
      <w:r>
        <w:rPr>
          <w:rFonts w:hint="eastAsia" w:ascii="仿宋_GB2312" w:hAnsi="Times New Roman" w:eastAsia="仿宋_GB2312"/>
          <w:color w:val="auto"/>
          <w:spacing w:val="0"/>
          <w:sz w:val="32"/>
          <w:szCs w:val="32"/>
          <w:highlight w:val="none"/>
        </w:rPr>
        <w:t>万吨及以上的大型工矿企业和新建物流园区研究制定专用线建设计划。</w:t>
      </w:r>
      <w:r>
        <w:rPr>
          <w:rFonts w:hint="eastAsia" w:ascii="Times New Roman" w:hAnsi="Times New Roman" w:eastAsia="仿宋_GB2312"/>
          <w:color w:val="auto"/>
          <w:spacing w:val="0"/>
          <w:sz w:val="32"/>
          <w:szCs w:val="32"/>
          <w:highlight w:val="none"/>
        </w:rPr>
        <w:t>加快淘汰国</w:t>
      </w:r>
      <w:r>
        <w:rPr>
          <w:rFonts w:ascii="Times New Roman" w:hAnsi="Times New Roman" w:eastAsia="仿宋_GB2312"/>
          <w:color w:val="auto"/>
          <w:spacing w:val="0"/>
          <w:sz w:val="32"/>
          <w:szCs w:val="32"/>
          <w:highlight w:val="none"/>
        </w:rPr>
        <w:t>III</w:t>
      </w:r>
      <w:r>
        <w:rPr>
          <w:rFonts w:hint="eastAsia" w:ascii="Times New Roman" w:hAnsi="Times New Roman" w:eastAsia="仿宋_GB2312"/>
          <w:color w:val="auto"/>
          <w:spacing w:val="0"/>
          <w:sz w:val="32"/>
          <w:szCs w:val="32"/>
          <w:highlight w:val="none"/>
        </w:rPr>
        <w:t>营运柴油货车，确保</w:t>
      </w:r>
      <w:r>
        <w:rPr>
          <w:rFonts w:ascii="Times New Roman" w:hAnsi="Times New Roman" w:eastAsia="仿宋_GB2312"/>
          <w:color w:val="auto"/>
          <w:spacing w:val="0"/>
          <w:sz w:val="32"/>
          <w:szCs w:val="32"/>
          <w:highlight w:val="none"/>
        </w:rPr>
        <w:t>2020</w:t>
      </w:r>
      <w:r>
        <w:rPr>
          <w:rFonts w:hint="eastAsia" w:ascii="Times New Roman" w:hAnsi="Times New Roman" w:eastAsia="仿宋_GB2312"/>
          <w:color w:val="auto"/>
          <w:spacing w:val="0"/>
          <w:sz w:val="32"/>
          <w:szCs w:val="32"/>
          <w:highlight w:val="none"/>
        </w:rPr>
        <w:t>年底前，全面完成市下达的淘汰任务。加强油品质量监管，对加油站油品质量监督检测实现</w:t>
      </w:r>
      <w:r>
        <w:rPr>
          <w:rFonts w:ascii="Times New Roman" w:hAnsi="Times New Roman" w:eastAsia="仿宋_GB2312"/>
          <w:color w:val="auto"/>
          <w:spacing w:val="0"/>
          <w:sz w:val="32"/>
          <w:szCs w:val="32"/>
          <w:highlight w:val="none"/>
        </w:rPr>
        <w:t>100%</w:t>
      </w:r>
      <w:r>
        <w:rPr>
          <w:rFonts w:hint="eastAsia" w:ascii="Times New Roman" w:hAnsi="Times New Roman" w:eastAsia="仿宋_GB2312"/>
          <w:color w:val="auto"/>
          <w:spacing w:val="0"/>
          <w:sz w:val="32"/>
          <w:szCs w:val="32"/>
          <w:highlight w:val="none"/>
        </w:rPr>
        <w:t>全覆盖，车用油品质量抽检合格率达到</w:t>
      </w:r>
      <w:r>
        <w:rPr>
          <w:rFonts w:ascii="Times New Roman" w:hAnsi="Times New Roman" w:eastAsia="仿宋_GB2312"/>
          <w:color w:val="auto"/>
          <w:spacing w:val="0"/>
          <w:sz w:val="32"/>
          <w:szCs w:val="32"/>
          <w:highlight w:val="none"/>
        </w:rPr>
        <w:t>95%</w:t>
      </w:r>
      <w:r>
        <w:rPr>
          <w:rFonts w:hint="eastAsia" w:ascii="Times New Roman" w:hAnsi="Times New Roman" w:eastAsia="仿宋_GB2312"/>
          <w:color w:val="auto"/>
          <w:spacing w:val="0"/>
          <w:sz w:val="32"/>
          <w:szCs w:val="32"/>
          <w:highlight w:val="none"/>
        </w:rPr>
        <w:t>以上。组织开展好整治</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rPr>
        <w:t>黑加油站点</w:t>
      </w:r>
      <w:r>
        <w:rPr>
          <w:rFonts w:hint="eastAsia" w:ascii="Times New Roman" w:hAnsi="Times New Roman" w:eastAsia="仿宋_GB2312"/>
          <w:color w:val="auto"/>
          <w:spacing w:val="0"/>
          <w:sz w:val="32"/>
          <w:szCs w:val="32"/>
          <w:highlight w:val="none"/>
          <w:lang w:eastAsia="zh-CN"/>
        </w:rPr>
        <w:t>”</w:t>
      </w:r>
      <w:r>
        <w:rPr>
          <w:rFonts w:hint="eastAsia" w:ascii="Times New Roman" w:hAnsi="Times New Roman" w:eastAsia="仿宋_GB2312"/>
          <w:color w:val="auto"/>
          <w:spacing w:val="0"/>
          <w:sz w:val="32"/>
          <w:szCs w:val="32"/>
          <w:highlight w:val="none"/>
        </w:rPr>
        <w:t>专项行动，严管物流企业、工业企业自用加油站，严打流动加油点和黑加油站。加快</w:t>
      </w:r>
      <w:r>
        <w:rPr>
          <w:rFonts w:hint="eastAsia" w:ascii="仿宋_GB2312" w:eastAsia="仿宋_GB2312"/>
          <w:color w:val="auto"/>
          <w:spacing w:val="0"/>
          <w:sz w:val="32"/>
          <w:szCs w:val="32"/>
          <w:highlight w:val="none"/>
        </w:rPr>
        <w:t>建设移动源监控平台，对达不到国</w:t>
      </w:r>
      <w:r>
        <w:rPr>
          <w:rFonts w:ascii="Times New Roman" w:hAnsi="Times New Roman" w:eastAsia="仿宋_GB2312"/>
          <w:color w:val="auto"/>
          <w:spacing w:val="0"/>
          <w:sz w:val="32"/>
          <w:szCs w:val="32"/>
          <w:highlight w:val="none"/>
        </w:rPr>
        <w:t>III</w:t>
      </w:r>
      <w:r>
        <w:rPr>
          <w:rFonts w:hint="eastAsia" w:ascii="仿宋_GB2312" w:eastAsia="仿宋_GB2312"/>
          <w:color w:val="auto"/>
          <w:spacing w:val="0"/>
          <w:sz w:val="32"/>
          <w:szCs w:val="32"/>
          <w:highlight w:val="none"/>
        </w:rPr>
        <w:t>及以下排放标准的超标车辆实现及时预警的功能</w:t>
      </w:r>
      <w:r>
        <w:rPr>
          <w:rFonts w:hint="eastAsia" w:ascii="仿宋_GB2312" w:hAnsi="Times New Roman" w:eastAsia="仿宋_GB2312"/>
          <w:color w:val="auto"/>
          <w:spacing w:val="0"/>
          <w:sz w:val="32"/>
          <w:szCs w:val="32"/>
          <w:highlight w:val="none"/>
        </w:rPr>
        <w:t>。全力抓好非道路移动机械管控，完成非道路移动机械登记编码，实现实时定位功能；划定高污染排放禁用区，</w:t>
      </w:r>
      <w:r>
        <w:rPr>
          <w:rFonts w:hint="eastAsia" w:ascii="Times New Roman" w:hAnsi="Times New Roman" w:eastAsia="仿宋_GB2312"/>
          <w:color w:val="auto"/>
          <w:spacing w:val="0"/>
          <w:sz w:val="32"/>
          <w:szCs w:val="32"/>
          <w:highlight w:val="none"/>
        </w:rPr>
        <w:t>禁用国</w:t>
      </w:r>
      <w:r>
        <w:rPr>
          <w:rFonts w:ascii="Times New Roman" w:hAnsi="Times New Roman" w:eastAsia="仿宋_GB2312"/>
          <w:color w:val="auto"/>
          <w:spacing w:val="0"/>
          <w:sz w:val="32"/>
          <w:szCs w:val="32"/>
          <w:highlight w:val="none"/>
        </w:rPr>
        <w:t>III</w:t>
      </w:r>
      <w:r>
        <w:rPr>
          <w:rFonts w:hint="eastAsia" w:ascii="Times New Roman" w:hAnsi="Times New Roman" w:eastAsia="仿宋_GB2312"/>
          <w:color w:val="auto"/>
          <w:spacing w:val="0"/>
          <w:sz w:val="32"/>
          <w:szCs w:val="32"/>
          <w:highlight w:val="none"/>
        </w:rPr>
        <w:t>及以</w:t>
      </w:r>
      <w:r>
        <w:rPr>
          <w:rFonts w:hint="eastAsia" w:ascii="仿宋_GB2312" w:hAnsi="Times New Roman" w:eastAsia="仿宋_GB2312"/>
          <w:color w:val="auto"/>
          <w:spacing w:val="0"/>
          <w:sz w:val="32"/>
          <w:szCs w:val="32"/>
          <w:highlight w:val="none"/>
        </w:rPr>
        <w:t>下非道路移动机械。</w:t>
      </w:r>
      <w:r>
        <w:rPr>
          <w:rFonts w:hint="eastAsia" w:ascii="Times New Roman" w:hAnsi="Times New Roman" w:eastAsia="仿宋_GB2312" w:cs="Times New Roman"/>
          <w:spacing w:val="0"/>
          <w:kern w:val="2"/>
          <w:sz w:val="32"/>
          <w:szCs w:val="32"/>
          <w:highlight w:val="none"/>
          <w:lang w:val="en-US" w:eastAsia="zh-CN" w:bidi="ar-SA"/>
        </w:rPr>
        <w:t>（区交通运输局、区交警大队、区工业和信息化局、区生态环境分局、区商务局、区市场监督管理局、区自然资源局、区住房和城乡建设局、区水利局、区市政环卫服务中心按职责分工牵头负责）</w:t>
      </w:r>
    </w:p>
    <w:p>
      <w:pPr>
        <w:snapToGrid w:val="0"/>
        <w:spacing w:line="606" w:lineRule="exact"/>
        <w:ind w:firstLine="640" w:firstLineChars="200"/>
        <w:rPr>
          <w:rFonts w:hint="eastAsia" w:ascii="Times New Roman" w:hAnsi="Times New Roman" w:eastAsia="仿宋_GB2312"/>
          <w:color w:val="auto"/>
          <w:spacing w:val="0"/>
          <w:sz w:val="32"/>
          <w:szCs w:val="32"/>
          <w:highlight w:val="yellow"/>
          <w:lang w:eastAsia="zh-CN"/>
        </w:rPr>
      </w:pPr>
      <w:r>
        <w:rPr>
          <w:rFonts w:ascii="Times New Roman" w:hAnsi="Times New Roman" w:eastAsia="仿宋_GB2312"/>
          <w:spacing w:val="0"/>
          <w:sz w:val="32"/>
          <w:szCs w:val="32"/>
          <w:highlight w:val="none"/>
        </w:rPr>
        <w:t>4</w:t>
      </w:r>
      <w:r>
        <w:rPr>
          <w:rFonts w:hint="eastAsia" w:ascii="Times New Roman" w:hAnsi="Times New Roman" w:eastAsia="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持续加大扬尘污染管控力度</w:t>
      </w:r>
      <w:r>
        <w:rPr>
          <w:rFonts w:hint="eastAsia" w:ascii="仿宋_GB2312" w:hAnsi="Times New Roman" w:eastAsia="仿宋_GB2312"/>
          <w:spacing w:val="0"/>
          <w:sz w:val="32"/>
          <w:szCs w:val="32"/>
          <w:highlight w:val="none"/>
        </w:rPr>
        <w:t>。</w:t>
      </w:r>
      <w:r>
        <w:rPr>
          <w:rFonts w:hint="eastAsia" w:ascii="Times New Roman" w:hAnsi="Times New Roman" w:eastAsia="仿宋_GB2312"/>
          <w:spacing w:val="0"/>
          <w:sz w:val="32"/>
          <w:szCs w:val="32"/>
          <w:highlight w:val="none"/>
        </w:rPr>
        <w:t>以城乡环境大整治、精细管理大提升为抓手，</w:t>
      </w:r>
      <w:r>
        <w:rPr>
          <w:rFonts w:ascii="Times New Roman" w:hAnsi="Times New Roman" w:eastAsia="仿宋_GB2312"/>
          <w:spacing w:val="0"/>
          <w:sz w:val="32"/>
          <w:szCs w:val="32"/>
          <w:highlight w:val="none"/>
        </w:rPr>
        <w:t>2020</w:t>
      </w:r>
      <w:r>
        <w:rPr>
          <w:rFonts w:hint="eastAsia" w:ascii="Times New Roman" w:hAnsi="Times New Roman" w:eastAsia="仿宋_GB2312"/>
          <w:spacing w:val="0"/>
          <w:sz w:val="32"/>
          <w:szCs w:val="32"/>
          <w:highlight w:val="none"/>
        </w:rPr>
        <w:t>年底前，完成13处已关闭露天矿山生态修复工作；工业企业涉尘物料运输、装卸、输送、储存等环节实现全密闭操作；各类建筑工地严格落实扬尘污染防治</w:t>
      </w:r>
      <w:r>
        <w:rPr>
          <w:rFonts w:hint="eastAsia" w:ascii="Times New Roman" w:hAnsi="Times New Roman" w:eastAsia="仿宋_GB2312"/>
          <w:spacing w:val="0"/>
          <w:sz w:val="32"/>
          <w:szCs w:val="32"/>
          <w:highlight w:val="none"/>
          <w:lang w:eastAsia="zh-CN"/>
        </w:rPr>
        <w:t>“</w:t>
      </w:r>
      <w:r>
        <w:rPr>
          <w:rFonts w:ascii="Times New Roman" w:hAnsi="Times New Roman" w:eastAsia="仿宋_GB2312"/>
          <w:spacing w:val="0"/>
          <w:sz w:val="32"/>
          <w:szCs w:val="32"/>
          <w:highlight w:val="none"/>
        </w:rPr>
        <w:t>6</w:t>
      </w:r>
      <w:r>
        <w:rPr>
          <w:rFonts w:hint="eastAsia" w:ascii="Times New Roman" w:hAnsi="Times New Roman" w:eastAsia="仿宋_GB2312"/>
          <w:spacing w:val="0"/>
          <w:sz w:val="32"/>
          <w:szCs w:val="32"/>
          <w:highlight w:val="none"/>
        </w:rPr>
        <w:t>个</w:t>
      </w:r>
      <w:r>
        <w:rPr>
          <w:rFonts w:ascii="Times New Roman" w:hAnsi="Times New Roman" w:eastAsia="仿宋_GB2312"/>
          <w:spacing w:val="0"/>
          <w:sz w:val="32"/>
          <w:szCs w:val="32"/>
          <w:highlight w:val="none"/>
        </w:rPr>
        <w:t>100%</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spacing w:val="0"/>
          <w:sz w:val="32"/>
          <w:szCs w:val="32"/>
          <w:highlight w:val="none"/>
        </w:rPr>
        <w:t>和</w:t>
      </w:r>
      <w:r>
        <w:rPr>
          <w:rFonts w:hint="eastAsia" w:ascii="Times New Roman" w:hAnsi="Times New Roman" w:eastAsia="仿宋_GB2312"/>
          <w:spacing w:val="0"/>
          <w:sz w:val="32"/>
          <w:szCs w:val="32"/>
          <w:highlight w:val="none"/>
          <w:lang w:eastAsia="zh-CN"/>
        </w:rPr>
        <w:t>“</w:t>
      </w:r>
      <w:r>
        <w:rPr>
          <w:rFonts w:ascii="Times New Roman" w:hAnsi="Times New Roman" w:eastAsia="仿宋_GB2312"/>
          <w:spacing w:val="0"/>
          <w:sz w:val="32"/>
          <w:szCs w:val="32"/>
          <w:highlight w:val="none"/>
        </w:rPr>
        <w:t>8</w:t>
      </w:r>
      <w:r>
        <w:rPr>
          <w:rFonts w:hint="eastAsia" w:ascii="Times New Roman" w:hAnsi="Times New Roman" w:eastAsia="仿宋_GB2312"/>
          <w:spacing w:val="0"/>
          <w:sz w:val="32"/>
          <w:szCs w:val="32"/>
          <w:highlight w:val="none"/>
        </w:rPr>
        <w:t>个</w:t>
      </w:r>
      <w:r>
        <w:rPr>
          <w:rFonts w:ascii="Times New Roman" w:hAnsi="Times New Roman" w:eastAsia="仿宋_GB2312"/>
          <w:spacing w:val="0"/>
          <w:sz w:val="32"/>
          <w:szCs w:val="32"/>
          <w:highlight w:val="none"/>
        </w:rPr>
        <w:t>100%</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spacing w:val="0"/>
          <w:sz w:val="32"/>
          <w:szCs w:val="32"/>
          <w:highlight w:val="none"/>
        </w:rPr>
        <w:t>要求；提高城市建成区主次干道和非机动车道机扫保洁覆盖率，抓好国省道和县乡道路域环境综合整治。</w:t>
      </w:r>
      <w:r>
        <w:rPr>
          <w:rFonts w:hint="eastAsia" w:ascii="Times New Roman" w:hAnsi="Times New Roman" w:eastAsia="仿宋_GB2312"/>
          <w:color w:val="auto"/>
          <w:spacing w:val="0"/>
          <w:sz w:val="32"/>
          <w:szCs w:val="32"/>
          <w:highlight w:val="none"/>
        </w:rPr>
        <w:t>抓好</w:t>
      </w:r>
      <w:r>
        <w:rPr>
          <w:rFonts w:hint="eastAsia" w:ascii="仿宋_GB2312" w:hAnsi="Times New Roman" w:eastAsia="仿宋_GB2312"/>
          <w:color w:val="auto"/>
          <w:spacing w:val="0"/>
          <w:sz w:val="32"/>
          <w:szCs w:val="32"/>
          <w:highlight w:val="none"/>
        </w:rPr>
        <w:t>道路冲洗保洁“以克论净”管控，对城区36条主要道路冲洗保洁情况进行“以克论净”监督检测；实行一日一通报，发现问题，责任单位即知即改，年终纳入对部门镇办开发区的考核。</w:t>
      </w:r>
      <w:r>
        <w:rPr>
          <w:rFonts w:hint="eastAsia" w:ascii="Times New Roman" w:hAnsi="Times New Roman" w:eastAsia="仿宋_GB2312" w:cs="Times New Roman"/>
          <w:spacing w:val="0"/>
          <w:kern w:val="2"/>
          <w:sz w:val="32"/>
          <w:szCs w:val="32"/>
          <w:highlight w:val="none"/>
          <w:lang w:val="en-US" w:eastAsia="zh-CN" w:bidi="ar-SA"/>
        </w:rPr>
        <w:t>（区综合行政执法局、区自然资源局、区生态环境分局、区住房和城乡建设局、区交通运输局、区市政环卫服务中心、区公路事业服务中心、各镇、街道、开发区按职责分工牵头负责）</w:t>
      </w:r>
    </w:p>
    <w:p>
      <w:pPr>
        <w:spacing w:line="606" w:lineRule="exact"/>
        <w:ind w:firstLine="640"/>
        <w:rPr>
          <w:rFonts w:ascii="楷体_GB2312" w:hAnsi="楷体_GB2312" w:eastAsia="楷体_GB2312"/>
          <w:spacing w:val="0"/>
          <w:sz w:val="32"/>
          <w:szCs w:val="32"/>
          <w:highlight w:val="none"/>
        </w:rPr>
      </w:pPr>
      <w:r>
        <w:rPr>
          <w:rFonts w:hint="eastAsia" w:ascii="楷体_GB2312" w:hAnsi="楷体_GB2312" w:eastAsia="楷体_GB2312" w:cs="楷体_GB2312"/>
          <w:spacing w:val="0"/>
          <w:sz w:val="32"/>
          <w:szCs w:val="32"/>
          <w:highlight w:val="none"/>
        </w:rPr>
        <w:t>（二）全力打好碧水保卫战</w:t>
      </w:r>
    </w:p>
    <w:p>
      <w:pPr>
        <w:snapToGrid w:val="0"/>
        <w:spacing w:line="606" w:lineRule="exact"/>
        <w:ind w:firstLine="640" w:firstLineChars="200"/>
        <w:rPr>
          <w:rFonts w:ascii="Times New Roman" w:hAnsi="Times New Roman" w:eastAsia="仿宋_GB2312"/>
          <w:spacing w:val="0"/>
          <w:sz w:val="32"/>
          <w:szCs w:val="32"/>
          <w:highlight w:val="none"/>
        </w:rPr>
      </w:pPr>
      <w:r>
        <w:rPr>
          <w:rFonts w:ascii="Times New Roman" w:hAnsi="Times New Roman" w:eastAsia="仿宋_GB2312"/>
          <w:spacing w:val="0"/>
          <w:sz w:val="32"/>
          <w:szCs w:val="32"/>
          <w:highlight w:val="none"/>
        </w:rPr>
        <w:t>1</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cs="仿宋_GB2312"/>
          <w:spacing w:val="0"/>
          <w:sz w:val="32"/>
          <w:szCs w:val="32"/>
          <w:highlight w:val="none"/>
        </w:rPr>
        <w:t>突出抓好水污染治理设施建设。完成城市雨污合流管网分流改造，降低雨季污染物入河湖量。加快推进淄川利民污水处理厂三期扩建及城市主干道路、合流制管网雨污分流改造、城镇污水处理厂提标改造等一批重点工程推进落实。抓好工业园区水污染处理设施建设，</w:t>
      </w:r>
      <w:r>
        <w:rPr>
          <w:rFonts w:ascii="Times New Roman" w:hAnsi="Times New Roman" w:eastAsia="仿宋_GB2312"/>
          <w:spacing w:val="0"/>
          <w:sz w:val="32"/>
          <w:szCs w:val="32"/>
          <w:highlight w:val="none"/>
        </w:rPr>
        <w:t>2020</w:t>
      </w:r>
      <w:r>
        <w:rPr>
          <w:rFonts w:hint="eastAsia" w:ascii="Times New Roman" w:hAnsi="Times New Roman" w:eastAsia="仿宋_GB2312" w:cs="仿宋_GB2312"/>
          <w:spacing w:val="0"/>
          <w:sz w:val="32"/>
          <w:szCs w:val="32"/>
          <w:highlight w:val="none"/>
        </w:rPr>
        <w:t>年</w:t>
      </w:r>
      <w:r>
        <w:rPr>
          <w:rFonts w:ascii="Times New Roman" w:hAnsi="Times New Roman" w:eastAsia="仿宋_GB2312"/>
          <w:spacing w:val="0"/>
          <w:sz w:val="32"/>
          <w:szCs w:val="32"/>
          <w:highlight w:val="none"/>
        </w:rPr>
        <w:t>6</w:t>
      </w:r>
      <w:r>
        <w:rPr>
          <w:rFonts w:hint="eastAsia" w:ascii="Times New Roman" w:hAnsi="Times New Roman" w:eastAsia="仿宋_GB2312" w:cs="仿宋_GB2312"/>
          <w:spacing w:val="0"/>
          <w:sz w:val="32"/>
          <w:szCs w:val="32"/>
          <w:highlight w:val="none"/>
        </w:rPr>
        <w:t>月底前，建成投用罗村镇污水处理厂。</w:t>
      </w:r>
      <w:r>
        <w:rPr>
          <w:rFonts w:hint="eastAsia" w:ascii="Times New Roman" w:hAnsi="Times New Roman" w:eastAsia="仿宋_GB2312" w:cs="Times New Roman"/>
          <w:spacing w:val="0"/>
          <w:kern w:val="2"/>
          <w:sz w:val="32"/>
          <w:szCs w:val="32"/>
          <w:highlight w:val="none"/>
          <w:lang w:val="en-US" w:eastAsia="zh-CN" w:bidi="ar-SA"/>
        </w:rPr>
        <w:t>（区住房和城乡建设局、区综合行政执法局、区生态环境分局、区工业和信息化局按职责分工牵头负责）</w:t>
      </w:r>
    </w:p>
    <w:p>
      <w:pPr>
        <w:spacing w:line="606" w:lineRule="exact"/>
        <w:ind w:firstLine="640"/>
        <w:rPr>
          <w:rFonts w:ascii="Times New Roman" w:hAnsi="Times New Roman" w:eastAsia="仿宋_GB2312"/>
          <w:b/>
          <w:bCs/>
          <w:spacing w:val="0"/>
          <w:sz w:val="32"/>
          <w:szCs w:val="32"/>
          <w:highlight w:val="none"/>
        </w:rPr>
      </w:pPr>
      <w:r>
        <w:rPr>
          <w:rFonts w:ascii="Times New Roman" w:hAnsi="Times New Roman" w:eastAsia="仿宋_GB2312"/>
          <w:spacing w:val="0"/>
          <w:sz w:val="32"/>
          <w:szCs w:val="32"/>
          <w:highlight w:val="none"/>
        </w:rPr>
        <w:t>2</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cs="仿宋_GB2312"/>
          <w:spacing w:val="0"/>
          <w:sz w:val="32"/>
          <w:szCs w:val="32"/>
          <w:highlight w:val="none"/>
        </w:rPr>
        <w:t>全力抓好地表水及地下水治理管控。</w:t>
      </w:r>
      <w:bookmarkStart w:id="0" w:name="OLE_LINK1"/>
      <w:r>
        <w:rPr>
          <w:rFonts w:hint="eastAsia" w:ascii="Times New Roman" w:hAnsi="Times New Roman" w:eastAsia="仿宋_GB2312" w:cs="仿宋_GB2312"/>
          <w:spacing w:val="0"/>
          <w:sz w:val="32"/>
          <w:szCs w:val="32"/>
          <w:highlight w:val="none"/>
        </w:rPr>
        <w:t>做好洪山水厂</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cs="仿宋_GB2312"/>
          <w:spacing w:val="0"/>
          <w:sz w:val="32"/>
          <w:szCs w:val="32"/>
          <w:highlight w:val="none"/>
        </w:rPr>
        <w:t>千吨万人</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cs="仿宋_GB2312"/>
          <w:spacing w:val="0"/>
          <w:sz w:val="32"/>
          <w:szCs w:val="32"/>
          <w:highlight w:val="none"/>
        </w:rPr>
        <w:t>水源地、单村联村水源地和</w:t>
      </w:r>
      <w:r>
        <w:rPr>
          <w:rFonts w:ascii="Times New Roman" w:hAnsi="Times New Roman" w:eastAsia="仿宋_GB2312"/>
          <w:spacing w:val="0"/>
          <w:sz w:val="32"/>
          <w:szCs w:val="32"/>
          <w:highlight w:val="none"/>
        </w:rPr>
        <w:t>2</w:t>
      </w:r>
      <w:r>
        <w:rPr>
          <w:rFonts w:hint="eastAsia" w:ascii="Times New Roman" w:hAnsi="Times New Roman" w:eastAsia="仿宋_GB2312" w:cs="仿宋_GB2312"/>
          <w:spacing w:val="0"/>
          <w:sz w:val="32"/>
          <w:szCs w:val="32"/>
          <w:highlight w:val="none"/>
        </w:rPr>
        <w:t>个贫困村水源地的综合整治，确保群众用水安全。</w:t>
      </w:r>
      <w:bookmarkEnd w:id="0"/>
      <w:r>
        <w:rPr>
          <w:rFonts w:hint="eastAsia" w:ascii="Times New Roman" w:hAnsi="Times New Roman" w:eastAsia="仿宋_GB2312" w:cs="仿宋_GB2312"/>
          <w:spacing w:val="0"/>
          <w:sz w:val="32"/>
          <w:szCs w:val="32"/>
          <w:highlight w:val="none"/>
        </w:rPr>
        <w:t>继续组织开展好化工聚集区周边地下水污染防控工作，排查风险隐患，强化组织整改。全面建设全区化工企业地下水监测网络。</w:t>
      </w:r>
      <w:r>
        <w:rPr>
          <w:rFonts w:hint="eastAsia" w:ascii="Times New Roman" w:hAnsi="Times New Roman" w:eastAsia="仿宋_GB2312" w:cs="Times New Roman"/>
          <w:spacing w:val="0"/>
          <w:kern w:val="2"/>
          <w:sz w:val="32"/>
          <w:szCs w:val="32"/>
          <w:highlight w:val="none"/>
          <w:lang w:val="en-US" w:eastAsia="zh-CN" w:bidi="ar-SA"/>
        </w:rPr>
        <w:t>（区生态环境分局、区农业农村局、区水利局按职责分工牵头负责）</w:t>
      </w:r>
    </w:p>
    <w:p>
      <w:pPr>
        <w:pStyle w:val="2"/>
        <w:spacing w:line="606" w:lineRule="exact"/>
        <w:ind w:firstLine="640" w:firstLineChars="200"/>
        <w:rPr>
          <w:rFonts w:eastAsia="仿宋_GB2312"/>
          <w:b/>
          <w:bCs/>
          <w:spacing w:val="0"/>
          <w:sz w:val="32"/>
          <w:szCs w:val="32"/>
          <w:highlight w:val="none"/>
        </w:rPr>
      </w:pPr>
      <w:r>
        <w:rPr>
          <w:rFonts w:eastAsia="仿宋_GB2312"/>
          <w:spacing w:val="0"/>
          <w:sz w:val="32"/>
          <w:szCs w:val="32"/>
          <w:highlight w:val="none"/>
        </w:rPr>
        <w:t>3</w:t>
      </w:r>
      <w:r>
        <w:rPr>
          <w:rFonts w:hint="eastAsia" w:eastAsia="仿宋_GB2312"/>
          <w:spacing w:val="0"/>
          <w:sz w:val="32"/>
          <w:szCs w:val="32"/>
          <w:highlight w:val="none"/>
          <w:lang w:eastAsia="zh-CN"/>
        </w:rPr>
        <w:t>．</w:t>
      </w:r>
      <w:r>
        <w:rPr>
          <w:rFonts w:hint="eastAsia" w:eastAsia="仿宋_GB2312" w:cs="仿宋_GB2312"/>
          <w:spacing w:val="0"/>
          <w:sz w:val="32"/>
          <w:szCs w:val="32"/>
          <w:highlight w:val="none"/>
        </w:rPr>
        <w:t>抓好建成区黑臭水体治理。</w:t>
      </w:r>
      <w:r>
        <w:rPr>
          <w:rFonts w:eastAsia="仿宋_GB2312"/>
          <w:spacing w:val="0"/>
          <w:sz w:val="32"/>
          <w:szCs w:val="32"/>
          <w:highlight w:val="none"/>
        </w:rPr>
        <w:t>2020</w:t>
      </w:r>
      <w:r>
        <w:rPr>
          <w:rFonts w:hint="eastAsia" w:eastAsia="仿宋_GB2312" w:cs="仿宋_GB2312"/>
          <w:spacing w:val="0"/>
          <w:sz w:val="32"/>
          <w:szCs w:val="32"/>
          <w:highlight w:val="none"/>
        </w:rPr>
        <w:t>年底前，对柳泉潜流湿地、张相湖潜流湿地、开发区南河等</w:t>
      </w:r>
      <w:r>
        <w:rPr>
          <w:rFonts w:eastAsia="仿宋_GB2312"/>
          <w:spacing w:val="0"/>
          <w:sz w:val="32"/>
          <w:szCs w:val="32"/>
          <w:highlight w:val="none"/>
        </w:rPr>
        <w:t>3</w:t>
      </w:r>
      <w:r>
        <w:rPr>
          <w:rFonts w:hint="eastAsia" w:eastAsia="仿宋_GB2312" w:cs="仿宋_GB2312"/>
          <w:spacing w:val="0"/>
          <w:sz w:val="32"/>
          <w:szCs w:val="32"/>
          <w:highlight w:val="none"/>
        </w:rPr>
        <w:t>条黑臭水体</w:t>
      </w:r>
      <w:r>
        <w:rPr>
          <w:rFonts w:hint="eastAsia" w:eastAsia="仿宋_GB2312" w:cs="仿宋_GB2312"/>
          <w:spacing w:val="0"/>
          <w:sz w:val="32"/>
          <w:szCs w:val="32"/>
          <w:highlight w:val="none"/>
          <w:lang w:eastAsia="zh-CN"/>
        </w:rPr>
        <w:t>“</w:t>
      </w:r>
      <w:r>
        <w:rPr>
          <w:rFonts w:hint="eastAsia" w:eastAsia="仿宋_GB2312" w:cs="仿宋_GB2312"/>
          <w:spacing w:val="0"/>
          <w:sz w:val="32"/>
          <w:szCs w:val="32"/>
          <w:highlight w:val="none"/>
        </w:rPr>
        <w:t>长制久清</w:t>
      </w:r>
      <w:r>
        <w:rPr>
          <w:rFonts w:hint="eastAsia" w:eastAsia="仿宋_GB2312" w:cs="仿宋_GB2312"/>
          <w:spacing w:val="0"/>
          <w:sz w:val="32"/>
          <w:szCs w:val="32"/>
          <w:highlight w:val="none"/>
          <w:lang w:eastAsia="zh-CN"/>
        </w:rPr>
        <w:t>”</w:t>
      </w:r>
      <w:r>
        <w:rPr>
          <w:rFonts w:hint="eastAsia" w:eastAsia="仿宋_GB2312" w:cs="仿宋_GB2312"/>
          <w:spacing w:val="0"/>
          <w:sz w:val="32"/>
          <w:szCs w:val="32"/>
          <w:highlight w:val="none"/>
        </w:rPr>
        <w:t>完成评估验收并销号</w:t>
      </w:r>
      <w:r>
        <w:rPr>
          <w:rFonts w:hint="eastAsia" w:ascii="Times New Roman" w:hAnsi="Times New Roman" w:eastAsia="仿宋_GB2312" w:cs="Times New Roman"/>
          <w:spacing w:val="0"/>
          <w:kern w:val="2"/>
          <w:sz w:val="32"/>
          <w:szCs w:val="32"/>
          <w:highlight w:val="none"/>
          <w:lang w:val="en-US" w:eastAsia="zh-CN" w:bidi="ar-SA"/>
        </w:rPr>
        <w:t>。（区住房和城乡建设局、区生态环境分局、区水利局、区综合行政执法局按职责分工牵头负责）</w:t>
      </w:r>
    </w:p>
    <w:p>
      <w:pPr>
        <w:pStyle w:val="2"/>
        <w:spacing w:line="606" w:lineRule="exact"/>
        <w:ind w:firstLine="640" w:firstLineChars="200"/>
        <w:rPr>
          <w:rFonts w:ascii="楷体_GB2312" w:hAnsi="楷体_GB2312" w:eastAsia="仿宋_GB2312" w:cs="楷体_GB2312"/>
          <w:color w:val="auto"/>
          <w:spacing w:val="0"/>
          <w:sz w:val="32"/>
          <w:szCs w:val="32"/>
          <w:highlight w:val="none"/>
          <w:shd w:val="clear" w:color="auto" w:fill="auto"/>
        </w:rPr>
      </w:pPr>
      <w:r>
        <w:rPr>
          <w:rFonts w:eastAsia="仿宋_GB2312"/>
          <w:color w:val="auto"/>
          <w:spacing w:val="0"/>
          <w:sz w:val="32"/>
          <w:szCs w:val="32"/>
          <w:highlight w:val="none"/>
          <w:shd w:val="clear" w:color="auto" w:fill="auto"/>
        </w:rPr>
        <w:t>4</w:t>
      </w:r>
      <w:r>
        <w:rPr>
          <w:rFonts w:hint="eastAsia" w:eastAsia="仿宋_GB2312"/>
          <w:color w:val="auto"/>
          <w:spacing w:val="0"/>
          <w:sz w:val="32"/>
          <w:szCs w:val="32"/>
          <w:highlight w:val="none"/>
          <w:shd w:val="clear" w:color="auto" w:fill="auto"/>
          <w:lang w:eastAsia="zh-CN"/>
        </w:rPr>
        <w:t>．</w:t>
      </w:r>
      <w:r>
        <w:rPr>
          <w:rFonts w:hint="eastAsia" w:eastAsia="仿宋_GB2312"/>
          <w:color w:val="auto"/>
          <w:spacing w:val="0"/>
          <w:sz w:val="32"/>
          <w:szCs w:val="32"/>
          <w:highlight w:val="none"/>
          <w:shd w:val="clear" w:color="auto" w:fill="auto"/>
        </w:rPr>
        <w:t>突出抓好农村污水处理。持续做好农村改厕工作，将</w:t>
      </w:r>
      <w:r>
        <w:rPr>
          <w:rFonts w:hint="eastAsia" w:eastAsia="仿宋_GB2312"/>
          <w:color w:val="auto"/>
          <w:spacing w:val="0"/>
          <w:sz w:val="32"/>
          <w:szCs w:val="32"/>
          <w:highlight w:val="none"/>
          <w:shd w:val="clear" w:color="auto" w:fill="auto"/>
          <w:lang w:val="en-US" w:eastAsia="zh-CN"/>
        </w:rPr>
        <w:t>9</w:t>
      </w:r>
      <w:r>
        <w:rPr>
          <w:rFonts w:hint="eastAsia" w:eastAsia="仿宋_GB2312"/>
          <w:color w:val="auto"/>
          <w:spacing w:val="0"/>
          <w:sz w:val="32"/>
          <w:szCs w:val="32"/>
          <w:highlight w:val="none"/>
          <w:shd w:val="clear" w:color="auto" w:fill="auto"/>
        </w:rPr>
        <w:t>个行政村纳入城镇管网处理范围内。</w:t>
      </w:r>
      <w:r>
        <w:rPr>
          <w:rFonts w:eastAsia="仿宋_GB2312"/>
          <w:color w:val="auto"/>
          <w:spacing w:val="0"/>
          <w:sz w:val="32"/>
          <w:szCs w:val="32"/>
          <w:highlight w:val="none"/>
          <w:shd w:val="clear" w:color="auto" w:fill="auto"/>
        </w:rPr>
        <w:t>2020</w:t>
      </w:r>
      <w:r>
        <w:rPr>
          <w:rFonts w:hint="eastAsia" w:eastAsia="仿宋_GB2312"/>
          <w:color w:val="auto"/>
          <w:spacing w:val="0"/>
          <w:sz w:val="32"/>
          <w:szCs w:val="32"/>
          <w:highlight w:val="none"/>
          <w:shd w:val="clear" w:color="auto" w:fill="auto"/>
        </w:rPr>
        <w:t>年底，其中</w:t>
      </w:r>
      <w:r>
        <w:rPr>
          <w:rFonts w:eastAsia="仿宋_GB2312"/>
          <w:color w:val="auto"/>
          <w:spacing w:val="0"/>
          <w:sz w:val="32"/>
          <w:szCs w:val="32"/>
          <w:highlight w:val="none"/>
          <w:shd w:val="clear" w:color="auto" w:fill="auto"/>
        </w:rPr>
        <w:t>85</w:t>
      </w:r>
      <w:r>
        <w:rPr>
          <w:rFonts w:hint="eastAsia" w:eastAsia="仿宋_GB2312"/>
          <w:color w:val="auto"/>
          <w:spacing w:val="0"/>
          <w:sz w:val="32"/>
          <w:szCs w:val="32"/>
          <w:highlight w:val="none"/>
          <w:shd w:val="clear" w:color="auto" w:fill="auto"/>
        </w:rPr>
        <w:t>％的行政村启动厕所粪污纳入城镇生活污水管网工程。</w:t>
      </w:r>
      <w:r>
        <w:rPr>
          <w:rFonts w:hint="eastAsia" w:eastAsia="仿宋_GB2312"/>
          <w:color w:val="auto"/>
          <w:spacing w:val="0"/>
          <w:sz w:val="32"/>
          <w:szCs w:val="32"/>
          <w:highlight w:val="none"/>
          <w:shd w:val="clear" w:color="auto" w:fill="auto"/>
          <w:lang w:eastAsia="zh-CN"/>
        </w:rPr>
        <w:t>全面启动农村生活治理工作，</w:t>
      </w:r>
      <w:r>
        <w:rPr>
          <w:rFonts w:hint="eastAsia" w:eastAsia="仿宋_GB2312"/>
          <w:color w:val="auto"/>
          <w:spacing w:val="0"/>
          <w:sz w:val="32"/>
          <w:szCs w:val="32"/>
          <w:highlight w:val="none"/>
          <w:shd w:val="clear" w:color="auto" w:fill="auto"/>
          <w:lang w:val="en-US" w:eastAsia="zh-CN"/>
        </w:rPr>
        <w:t>2020年底前完成105个村的治理任务。</w:t>
      </w:r>
      <w:r>
        <w:rPr>
          <w:rFonts w:hint="eastAsia" w:ascii="Times New Roman" w:hAnsi="Times New Roman" w:eastAsia="仿宋_GB2312" w:cs="Times New Roman"/>
          <w:spacing w:val="0"/>
          <w:kern w:val="2"/>
          <w:sz w:val="32"/>
          <w:szCs w:val="32"/>
          <w:highlight w:val="none"/>
          <w:lang w:val="en-US" w:eastAsia="zh-CN" w:bidi="ar-SA"/>
        </w:rPr>
        <w:t>（区住房和城乡建设局、区生态环境分局、区农业农村局、区水利局、区综合行政执法局按职责分工牵头负责）</w:t>
      </w:r>
    </w:p>
    <w:p>
      <w:pPr>
        <w:spacing w:line="606" w:lineRule="exact"/>
        <w:ind w:firstLine="640" w:firstLineChars="200"/>
        <w:rPr>
          <w:rFonts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rPr>
        <w:t>（三）深入打好净土保卫战</w:t>
      </w:r>
    </w:p>
    <w:p>
      <w:pPr>
        <w:pStyle w:val="2"/>
        <w:spacing w:line="606" w:lineRule="exact"/>
        <w:ind w:firstLine="640" w:firstLineChars="200"/>
        <w:rPr>
          <w:rFonts w:eastAsia="仿宋_GB2312"/>
          <w:color w:val="auto"/>
          <w:spacing w:val="0"/>
          <w:sz w:val="32"/>
          <w:szCs w:val="32"/>
          <w:highlight w:val="none"/>
        </w:rPr>
      </w:pPr>
      <w:r>
        <w:rPr>
          <w:rFonts w:eastAsia="仿宋_GB2312"/>
          <w:color w:val="auto"/>
          <w:spacing w:val="0"/>
          <w:sz w:val="32"/>
          <w:szCs w:val="32"/>
          <w:highlight w:val="none"/>
        </w:rPr>
        <w:t>1</w:t>
      </w:r>
      <w:r>
        <w:rPr>
          <w:rFonts w:hint="eastAsia" w:eastAsia="仿宋_GB2312"/>
          <w:color w:val="auto"/>
          <w:spacing w:val="0"/>
          <w:sz w:val="32"/>
          <w:szCs w:val="32"/>
          <w:highlight w:val="none"/>
          <w:lang w:eastAsia="zh-CN"/>
        </w:rPr>
        <w:t>．</w:t>
      </w:r>
      <w:r>
        <w:rPr>
          <w:rFonts w:hint="eastAsia" w:eastAsia="仿宋_GB2312"/>
          <w:color w:val="auto"/>
          <w:spacing w:val="0"/>
          <w:sz w:val="32"/>
          <w:szCs w:val="32"/>
          <w:highlight w:val="none"/>
        </w:rPr>
        <w:t>抓好土壤污染治理与修复。全面完成重点行业企业用地详查，梳理受污染和疑似污染地块，</w:t>
      </w:r>
      <w:r>
        <w:rPr>
          <w:rFonts w:hint="eastAsia" w:eastAsia="仿宋_GB2312"/>
          <w:color w:val="auto"/>
          <w:spacing w:val="0"/>
          <w:sz w:val="32"/>
          <w:szCs w:val="32"/>
          <w:highlight w:val="none"/>
          <w:lang w:eastAsia="zh-CN"/>
        </w:rPr>
        <w:t>摸清</w:t>
      </w:r>
      <w:r>
        <w:rPr>
          <w:rFonts w:hint="eastAsia" w:eastAsia="仿宋_GB2312"/>
          <w:color w:val="auto"/>
          <w:spacing w:val="0"/>
          <w:sz w:val="32"/>
          <w:szCs w:val="32"/>
          <w:highlight w:val="none"/>
          <w:lang w:val="en-US" w:eastAsia="zh-CN"/>
        </w:rPr>
        <w:t>2019年以来全区土地用途变更为住宅、公共管理与公共服务用地的面积和2017年以来重点行业企业用地性质变更为建设用地的地块，</w:t>
      </w:r>
      <w:r>
        <w:rPr>
          <w:rFonts w:hint="eastAsia" w:eastAsia="仿宋_GB2312"/>
          <w:color w:val="auto"/>
          <w:spacing w:val="0"/>
          <w:sz w:val="32"/>
          <w:szCs w:val="32"/>
          <w:highlight w:val="none"/>
        </w:rPr>
        <w:t>建立清单、名录，严格按照规范流程开展污染地块的调查、风险管控、修复和评估工作。摸清</w:t>
      </w:r>
      <w:r>
        <w:rPr>
          <w:rFonts w:hint="eastAsia" w:eastAsia="仿宋_GB2312"/>
          <w:color w:val="auto"/>
          <w:spacing w:val="0"/>
          <w:sz w:val="32"/>
          <w:szCs w:val="32"/>
          <w:highlight w:val="none"/>
          <w:lang w:eastAsia="zh-CN"/>
        </w:rPr>
        <w:t>全</w:t>
      </w:r>
      <w:r>
        <w:rPr>
          <w:rFonts w:hint="eastAsia" w:eastAsia="仿宋_GB2312"/>
          <w:color w:val="auto"/>
          <w:spacing w:val="0"/>
          <w:sz w:val="32"/>
          <w:szCs w:val="32"/>
          <w:highlight w:val="none"/>
        </w:rPr>
        <w:t>区内获得建设工程规划许可证的再开发利用污染地块及面积和污染地块达到土壤环境质量标准的地块及面积，全力提升污染地块安全利用率。全面完成全</w:t>
      </w:r>
      <w:r>
        <w:rPr>
          <w:rFonts w:hint="eastAsia" w:eastAsia="仿宋_GB2312"/>
          <w:color w:val="auto"/>
          <w:spacing w:val="0"/>
          <w:sz w:val="32"/>
          <w:szCs w:val="32"/>
          <w:highlight w:val="none"/>
          <w:lang w:eastAsia="zh-CN"/>
        </w:rPr>
        <w:t>区</w:t>
      </w:r>
      <w:r>
        <w:rPr>
          <w:rFonts w:hint="eastAsia" w:eastAsia="仿宋_GB2312"/>
          <w:color w:val="auto"/>
          <w:spacing w:val="0"/>
          <w:sz w:val="32"/>
          <w:szCs w:val="32"/>
          <w:highlight w:val="none"/>
        </w:rPr>
        <w:t>农用地土壤环境质量类别划定，省政府下达的轻度、中度污染耕地安全利用指标及重点污染耕地种植结构调整或退耕还林还草指标。</w:t>
      </w:r>
      <w:r>
        <w:rPr>
          <w:rFonts w:hint="eastAsia" w:ascii="Times New Roman" w:hAnsi="Times New Roman" w:eastAsia="仿宋_GB2312" w:cs="Times New Roman"/>
          <w:spacing w:val="0"/>
          <w:kern w:val="2"/>
          <w:sz w:val="32"/>
          <w:szCs w:val="32"/>
          <w:highlight w:val="none"/>
          <w:lang w:val="en-US" w:eastAsia="zh-CN" w:bidi="ar-SA"/>
        </w:rPr>
        <w:t>（区生态环境分局、区自然资源局、区农业农村局按职责分工牵头负责）</w:t>
      </w:r>
    </w:p>
    <w:p>
      <w:pPr>
        <w:pStyle w:val="2"/>
        <w:spacing w:line="606" w:lineRule="exact"/>
        <w:ind w:firstLine="640" w:firstLineChars="200"/>
        <w:rPr>
          <w:rFonts w:eastAsia="仿宋_GB2312"/>
          <w:color w:val="auto"/>
          <w:spacing w:val="0"/>
          <w:sz w:val="32"/>
          <w:szCs w:val="32"/>
          <w:highlight w:val="none"/>
        </w:rPr>
      </w:pPr>
      <w:r>
        <w:rPr>
          <w:rFonts w:eastAsia="仿宋_GB2312"/>
          <w:color w:val="auto"/>
          <w:spacing w:val="0"/>
          <w:sz w:val="32"/>
          <w:szCs w:val="32"/>
          <w:highlight w:val="none"/>
        </w:rPr>
        <w:t>2</w:t>
      </w:r>
      <w:r>
        <w:rPr>
          <w:rFonts w:hint="eastAsia" w:eastAsia="仿宋_GB2312"/>
          <w:color w:val="auto"/>
          <w:spacing w:val="0"/>
          <w:sz w:val="32"/>
          <w:szCs w:val="32"/>
          <w:highlight w:val="none"/>
          <w:lang w:eastAsia="zh-CN"/>
        </w:rPr>
        <w:t>．</w:t>
      </w:r>
      <w:r>
        <w:rPr>
          <w:rFonts w:hint="eastAsia" w:eastAsia="仿宋_GB2312"/>
          <w:color w:val="auto"/>
          <w:spacing w:val="0"/>
          <w:sz w:val="32"/>
          <w:szCs w:val="32"/>
          <w:highlight w:val="none"/>
        </w:rPr>
        <w:t>深入抓好土壤污染重点监管企业环境管理。督促企业依法落实《土壤污染防治法》和《土壤污染防治责任书》标准、要求，严格履行好控制有毒有害物质排放、建立隐患排查制度和开展自行监测等义务。</w:t>
      </w:r>
      <w:r>
        <w:rPr>
          <w:rFonts w:hint="eastAsia" w:ascii="Times New Roman" w:hAnsi="Times New Roman" w:eastAsia="仿宋_GB2312" w:cs="Times New Roman"/>
          <w:spacing w:val="0"/>
          <w:kern w:val="2"/>
          <w:sz w:val="32"/>
          <w:szCs w:val="32"/>
          <w:highlight w:val="none"/>
          <w:lang w:val="en-US" w:eastAsia="zh-CN" w:bidi="ar-SA"/>
        </w:rPr>
        <w:t>（区生态环境分局牵头负责）</w:t>
      </w:r>
    </w:p>
    <w:p>
      <w:pPr>
        <w:pStyle w:val="2"/>
        <w:spacing w:line="606" w:lineRule="exact"/>
        <w:ind w:firstLine="640" w:firstLineChars="200"/>
        <w:rPr>
          <w:rFonts w:hint="eastAsia" w:ascii="Times New Roman" w:hAnsi="Times New Roman" w:eastAsia="仿宋_GB2312" w:cs="Times New Roman"/>
          <w:spacing w:val="0"/>
          <w:kern w:val="2"/>
          <w:sz w:val="32"/>
          <w:szCs w:val="32"/>
          <w:highlight w:val="none"/>
          <w:lang w:val="en-US" w:eastAsia="zh-CN" w:bidi="ar-SA"/>
        </w:rPr>
      </w:pPr>
      <w:r>
        <w:rPr>
          <w:rFonts w:eastAsia="仿宋_GB2312"/>
          <w:color w:val="auto"/>
          <w:spacing w:val="0"/>
          <w:sz w:val="32"/>
          <w:szCs w:val="32"/>
          <w:highlight w:val="none"/>
        </w:rPr>
        <w:t>3</w:t>
      </w:r>
      <w:r>
        <w:rPr>
          <w:rFonts w:hint="eastAsia" w:eastAsia="仿宋_GB2312"/>
          <w:color w:val="auto"/>
          <w:spacing w:val="0"/>
          <w:sz w:val="32"/>
          <w:szCs w:val="32"/>
          <w:highlight w:val="none"/>
          <w:lang w:eastAsia="zh-CN"/>
        </w:rPr>
        <w:t>．</w:t>
      </w:r>
      <w:r>
        <w:rPr>
          <w:rFonts w:hint="eastAsia" w:eastAsia="仿宋_GB2312"/>
          <w:color w:val="auto"/>
          <w:spacing w:val="0"/>
          <w:sz w:val="32"/>
          <w:szCs w:val="32"/>
          <w:highlight w:val="none"/>
        </w:rPr>
        <w:t>持续加大农业农村污染治理力度。组织实施好农药减量控害工程，全市主要农作物农药使用量较</w:t>
      </w:r>
      <w:r>
        <w:rPr>
          <w:rFonts w:eastAsia="仿宋_GB2312"/>
          <w:color w:val="auto"/>
          <w:spacing w:val="0"/>
          <w:sz w:val="32"/>
          <w:szCs w:val="32"/>
          <w:highlight w:val="none"/>
        </w:rPr>
        <w:t>2014</w:t>
      </w:r>
      <w:r>
        <w:rPr>
          <w:rFonts w:hint="eastAsia" w:eastAsia="仿宋_GB2312"/>
          <w:color w:val="auto"/>
          <w:spacing w:val="0"/>
          <w:sz w:val="32"/>
          <w:szCs w:val="32"/>
          <w:highlight w:val="none"/>
        </w:rPr>
        <w:t>年减少</w:t>
      </w:r>
      <w:r>
        <w:rPr>
          <w:rFonts w:eastAsia="仿宋_GB2312"/>
          <w:color w:val="auto"/>
          <w:spacing w:val="0"/>
          <w:sz w:val="32"/>
          <w:szCs w:val="32"/>
          <w:highlight w:val="none"/>
        </w:rPr>
        <w:t>10%</w:t>
      </w:r>
      <w:r>
        <w:rPr>
          <w:rFonts w:hint="eastAsia" w:eastAsia="仿宋_GB2312"/>
          <w:color w:val="auto"/>
          <w:spacing w:val="0"/>
          <w:sz w:val="32"/>
          <w:szCs w:val="32"/>
          <w:highlight w:val="none"/>
        </w:rPr>
        <w:t>以上，单位耕地面积农药使用量比</w:t>
      </w:r>
      <w:r>
        <w:rPr>
          <w:rFonts w:eastAsia="仿宋_GB2312"/>
          <w:color w:val="auto"/>
          <w:spacing w:val="0"/>
          <w:sz w:val="32"/>
          <w:szCs w:val="32"/>
          <w:highlight w:val="none"/>
        </w:rPr>
        <w:t>2015</w:t>
      </w:r>
      <w:r>
        <w:rPr>
          <w:rFonts w:hint="eastAsia" w:eastAsia="仿宋_GB2312"/>
          <w:color w:val="auto"/>
          <w:spacing w:val="0"/>
          <w:sz w:val="32"/>
          <w:szCs w:val="32"/>
          <w:highlight w:val="none"/>
        </w:rPr>
        <w:t>年下降</w:t>
      </w:r>
      <w:r>
        <w:rPr>
          <w:rFonts w:eastAsia="仿宋_GB2312"/>
          <w:color w:val="auto"/>
          <w:spacing w:val="0"/>
          <w:sz w:val="32"/>
          <w:szCs w:val="32"/>
          <w:highlight w:val="none"/>
        </w:rPr>
        <w:t>10%</w:t>
      </w:r>
      <w:r>
        <w:rPr>
          <w:rFonts w:hint="eastAsia" w:eastAsia="仿宋_GB2312"/>
          <w:color w:val="auto"/>
          <w:spacing w:val="0"/>
          <w:sz w:val="32"/>
          <w:szCs w:val="32"/>
          <w:highlight w:val="none"/>
        </w:rPr>
        <w:t>。大力实施化肥减量增效工程，全市测土配方施肥技术推广覆盖率稳定在</w:t>
      </w:r>
      <w:r>
        <w:rPr>
          <w:rFonts w:eastAsia="仿宋_GB2312"/>
          <w:color w:val="auto"/>
          <w:spacing w:val="0"/>
          <w:sz w:val="32"/>
          <w:szCs w:val="32"/>
          <w:highlight w:val="none"/>
        </w:rPr>
        <w:t>90%</w:t>
      </w:r>
      <w:r>
        <w:rPr>
          <w:rFonts w:hint="eastAsia" w:eastAsia="仿宋_GB2312"/>
          <w:color w:val="auto"/>
          <w:spacing w:val="0"/>
          <w:sz w:val="32"/>
          <w:szCs w:val="32"/>
          <w:highlight w:val="none"/>
        </w:rPr>
        <w:t>以上，主要农作物化肥使用量较</w:t>
      </w:r>
      <w:r>
        <w:rPr>
          <w:rFonts w:eastAsia="仿宋_GB2312"/>
          <w:color w:val="auto"/>
          <w:spacing w:val="0"/>
          <w:sz w:val="32"/>
          <w:szCs w:val="32"/>
          <w:highlight w:val="none"/>
        </w:rPr>
        <w:t>2014</w:t>
      </w:r>
      <w:r>
        <w:rPr>
          <w:rFonts w:hint="eastAsia" w:eastAsia="仿宋_GB2312"/>
          <w:color w:val="auto"/>
          <w:spacing w:val="0"/>
          <w:sz w:val="32"/>
          <w:szCs w:val="32"/>
          <w:highlight w:val="none"/>
        </w:rPr>
        <w:t>年减少</w:t>
      </w:r>
      <w:r>
        <w:rPr>
          <w:rFonts w:eastAsia="仿宋_GB2312"/>
          <w:color w:val="auto"/>
          <w:spacing w:val="0"/>
          <w:sz w:val="32"/>
          <w:szCs w:val="32"/>
          <w:highlight w:val="none"/>
        </w:rPr>
        <w:t>10%</w:t>
      </w:r>
      <w:r>
        <w:rPr>
          <w:rFonts w:hint="eastAsia" w:eastAsia="仿宋_GB2312"/>
          <w:color w:val="auto"/>
          <w:spacing w:val="0"/>
          <w:sz w:val="32"/>
          <w:szCs w:val="32"/>
          <w:highlight w:val="none"/>
        </w:rPr>
        <w:t>以上，单位耕地面积化肥使用量较</w:t>
      </w:r>
      <w:r>
        <w:rPr>
          <w:rFonts w:eastAsia="仿宋_GB2312"/>
          <w:color w:val="auto"/>
          <w:spacing w:val="0"/>
          <w:sz w:val="32"/>
          <w:szCs w:val="32"/>
          <w:highlight w:val="none"/>
        </w:rPr>
        <w:t>2015</w:t>
      </w:r>
      <w:r>
        <w:rPr>
          <w:rFonts w:hint="eastAsia" w:eastAsia="仿宋_GB2312"/>
          <w:color w:val="auto"/>
          <w:spacing w:val="0"/>
          <w:sz w:val="32"/>
          <w:szCs w:val="32"/>
          <w:highlight w:val="none"/>
        </w:rPr>
        <w:t>年下降</w:t>
      </w:r>
      <w:r>
        <w:rPr>
          <w:rFonts w:eastAsia="仿宋_GB2312"/>
          <w:color w:val="auto"/>
          <w:spacing w:val="0"/>
          <w:sz w:val="32"/>
          <w:szCs w:val="32"/>
          <w:highlight w:val="none"/>
        </w:rPr>
        <w:t>6%</w:t>
      </w:r>
      <w:r>
        <w:rPr>
          <w:rFonts w:hint="eastAsia" w:eastAsia="仿宋_GB2312"/>
          <w:color w:val="auto"/>
          <w:spacing w:val="0"/>
          <w:sz w:val="32"/>
          <w:szCs w:val="32"/>
          <w:highlight w:val="none"/>
        </w:rPr>
        <w:t>。大力实施乡村生态振兴，农村无害化卫生户厕普及率达到</w:t>
      </w:r>
      <w:r>
        <w:rPr>
          <w:rFonts w:eastAsia="仿宋_GB2312"/>
          <w:color w:val="auto"/>
          <w:spacing w:val="0"/>
          <w:sz w:val="32"/>
          <w:szCs w:val="32"/>
          <w:highlight w:val="none"/>
        </w:rPr>
        <w:t>90%</w:t>
      </w:r>
      <w:r>
        <w:rPr>
          <w:rFonts w:hint="eastAsia" w:eastAsia="仿宋_GB2312"/>
          <w:color w:val="auto"/>
          <w:spacing w:val="0"/>
          <w:sz w:val="32"/>
          <w:szCs w:val="32"/>
          <w:highlight w:val="none"/>
        </w:rPr>
        <w:t>以上，</w:t>
      </w:r>
      <w:r>
        <w:rPr>
          <w:rFonts w:eastAsia="仿宋_GB2312"/>
          <w:color w:val="auto"/>
          <w:spacing w:val="0"/>
          <w:sz w:val="32"/>
          <w:szCs w:val="32"/>
          <w:highlight w:val="none"/>
        </w:rPr>
        <w:t>300</w:t>
      </w:r>
      <w:r>
        <w:rPr>
          <w:rFonts w:hint="eastAsia" w:eastAsia="仿宋_GB2312"/>
          <w:color w:val="auto"/>
          <w:spacing w:val="0"/>
          <w:sz w:val="32"/>
          <w:szCs w:val="32"/>
          <w:highlight w:val="none"/>
        </w:rPr>
        <w:t>户以上自然村公厕普及率大于</w:t>
      </w:r>
      <w:r>
        <w:rPr>
          <w:rFonts w:eastAsia="仿宋_GB2312"/>
          <w:color w:val="auto"/>
          <w:spacing w:val="0"/>
          <w:sz w:val="32"/>
          <w:szCs w:val="32"/>
          <w:highlight w:val="none"/>
        </w:rPr>
        <w:t>100%</w:t>
      </w:r>
      <w:r>
        <w:rPr>
          <w:rFonts w:hint="eastAsia" w:eastAsia="仿宋_GB2312"/>
          <w:color w:val="auto"/>
          <w:spacing w:val="0"/>
          <w:sz w:val="32"/>
          <w:szCs w:val="32"/>
          <w:highlight w:val="none"/>
        </w:rPr>
        <w:t>；村居道路硬化完成率达到</w:t>
      </w:r>
      <w:r>
        <w:rPr>
          <w:rFonts w:eastAsia="仿宋_GB2312"/>
          <w:color w:val="auto"/>
          <w:spacing w:val="0"/>
          <w:sz w:val="32"/>
          <w:szCs w:val="32"/>
          <w:highlight w:val="none"/>
        </w:rPr>
        <w:t>90%</w:t>
      </w:r>
      <w:r>
        <w:rPr>
          <w:rFonts w:hint="eastAsia" w:eastAsia="仿宋_GB2312"/>
          <w:color w:val="auto"/>
          <w:spacing w:val="0"/>
          <w:sz w:val="32"/>
          <w:szCs w:val="32"/>
          <w:highlight w:val="none"/>
        </w:rPr>
        <w:t>以上。</w:t>
      </w:r>
      <w:r>
        <w:rPr>
          <w:rFonts w:hint="eastAsia" w:ascii="Times New Roman" w:hAnsi="Times New Roman" w:eastAsia="仿宋_GB2312" w:cs="Times New Roman"/>
          <w:spacing w:val="0"/>
          <w:kern w:val="2"/>
          <w:sz w:val="32"/>
          <w:szCs w:val="32"/>
          <w:highlight w:val="none"/>
          <w:lang w:val="en-US" w:eastAsia="zh-CN" w:bidi="ar-SA"/>
        </w:rPr>
        <w:t>（区住房和城乡建设局、区交通运输局、区农业农村局、区妇联按职责分工牵头负责）</w:t>
      </w:r>
    </w:p>
    <w:p>
      <w:pPr>
        <w:spacing w:line="606" w:lineRule="exact"/>
        <w:ind w:firstLine="640"/>
        <w:rPr>
          <w:rFonts w:ascii="楷体_GB2312" w:hAnsi="楷体_GB2312" w:eastAsia="楷体_GB2312" w:cs="楷体_GB2312"/>
          <w:spacing w:val="0"/>
          <w:sz w:val="32"/>
          <w:szCs w:val="32"/>
          <w:highlight w:val="none"/>
        </w:rPr>
      </w:pPr>
      <w:r>
        <w:rPr>
          <w:rFonts w:hint="eastAsia" w:ascii="楷体_GB2312" w:hAnsi="楷体_GB2312" w:eastAsia="楷体_GB2312" w:cs="楷体_GB2312"/>
          <w:spacing w:val="0"/>
          <w:kern w:val="0"/>
          <w:sz w:val="32"/>
          <w:szCs w:val="32"/>
          <w:highlight w:val="none"/>
        </w:rPr>
        <w:t>（四）</w:t>
      </w:r>
      <w:r>
        <w:rPr>
          <w:rFonts w:hint="eastAsia" w:ascii="楷体_GB2312" w:hAnsi="楷体_GB2312" w:eastAsia="楷体_GB2312" w:cs="楷体_GB2312"/>
          <w:spacing w:val="0"/>
          <w:sz w:val="32"/>
          <w:szCs w:val="32"/>
          <w:highlight w:val="none"/>
        </w:rPr>
        <w:t>持续强化一般固废、危险废物和医疗废弃物处置监管水平</w:t>
      </w:r>
    </w:p>
    <w:p>
      <w:pPr>
        <w:spacing w:line="606" w:lineRule="exact"/>
        <w:ind w:firstLine="640" w:firstLineChars="200"/>
        <w:rPr>
          <w:rFonts w:hint="eastAsia" w:ascii="Times New Roman" w:hAnsi="Times New Roman" w:eastAsia="仿宋_GB2312" w:cs="Times New Roman"/>
          <w:spacing w:val="0"/>
          <w:kern w:val="2"/>
          <w:sz w:val="32"/>
          <w:szCs w:val="32"/>
          <w:highlight w:val="none"/>
          <w:lang w:val="en-US" w:eastAsia="zh-CN" w:bidi="ar-SA"/>
        </w:rPr>
      </w:pPr>
      <w:r>
        <w:rPr>
          <w:rFonts w:ascii="Times New Roman" w:hAnsi="Times New Roman" w:eastAsia="仿宋_GB2312"/>
          <w:spacing w:val="0"/>
          <w:kern w:val="0"/>
          <w:sz w:val="32"/>
          <w:szCs w:val="32"/>
          <w:highlight w:val="none"/>
        </w:rPr>
        <w:t>1</w:t>
      </w:r>
      <w:r>
        <w:rPr>
          <w:rFonts w:hint="eastAsia" w:ascii="Times New Roman" w:hAnsi="Times New Roman" w:eastAsia="仿宋_GB2312"/>
          <w:spacing w:val="0"/>
          <w:kern w:val="0"/>
          <w:sz w:val="32"/>
          <w:szCs w:val="32"/>
          <w:highlight w:val="none"/>
          <w:lang w:eastAsia="zh-CN"/>
        </w:rPr>
        <w:t>．</w:t>
      </w:r>
      <w:r>
        <w:rPr>
          <w:rFonts w:hint="eastAsia" w:ascii="Times New Roman" w:hAnsi="Times New Roman" w:eastAsia="仿宋_GB2312"/>
          <w:spacing w:val="0"/>
          <w:kern w:val="0"/>
          <w:sz w:val="32"/>
          <w:szCs w:val="32"/>
          <w:highlight w:val="none"/>
        </w:rPr>
        <w:t>全力提升固体废物、重金属环境监管水平。结合一般固体废物、危险废物和废弃坑塘排查整治等有关数据，</w:t>
      </w:r>
      <w:r>
        <w:rPr>
          <w:rFonts w:hint="eastAsia" w:ascii="Times New Roman" w:hAnsi="Times New Roman" w:eastAsia="仿宋_GB2312"/>
          <w:spacing w:val="0"/>
          <w:sz w:val="32"/>
          <w:szCs w:val="32"/>
          <w:highlight w:val="none"/>
        </w:rPr>
        <w:t>建立一般固体废物与重金属重点监管源及</w:t>
      </w:r>
      <w:r>
        <w:rPr>
          <w:rFonts w:hint="eastAsia" w:ascii="Times New Roman" w:hAnsi="Times New Roman" w:eastAsia="仿宋_GB2312"/>
          <w:spacing w:val="0"/>
          <w:kern w:val="0"/>
          <w:sz w:val="32"/>
          <w:szCs w:val="32"/>
          <w:highlight w:val="none"/>
        </w:rPr>
        <w:t>危险废物重点监管单位</w:t>
      </w:r>
      <w:r>
        <w:rPr>
          <w:rFonts w:hint="eastAsia" w:ascii="Times New Roman" w:hAnsi="Times New Roman" w:eastAsia="仿宋_GB2312"/>
          <w:spacing w:val="0"/>
          <w:sz w:val="32"/>
          <w:szCs w:val="32"/>
          <w:highlight w:val="none"/>
        </w:rPr>
        <w:t>清单，并持续加强规范化管理。</w:t>
      </w:r>
      <w:r>
        <w:rPr>
          <w:rFonts w:hint="eastAsia" w:ascii="Times New Roman" w:hAnsi="Times New Roman" w:eastAsia="仿宋_GB2312"/>
          <w:spacing w:val="0"/>
          <w:kern w:val="0"/>
          <w:sz w:val="32"/>
          <w:szCs w:val="32"/>
          <w:highlight w:val="none"/>
        </w:rPr>
        <w:t>一般固体废物、危险废物和重金属规范化管理抽查合格率分别不低于</w:t>
      </w:r>
      <w:r>
        <w:rPr>
          <w:rFonts w:ascii="Times New Roman" w:hAnsi="Times New Roman" w:eastAsia="仿宋_GB2312"/>
          <w:spacing w:val="0"/>
          <w:kern w:val="0"/>
          <w:sz w:val="32"/>
          <w:szCs w:val="32"/>
          <w:highlight w:val="none"/>
        </w:rPr>
        <w:t>80%</w:t>
      </w:r>
      <w:r>
        <w:rPr>
          <w:rFonts w:hint="eastAsia" w:ascii="Times New Roman" w:hAnsi="Times New Roman" w:eastAsia="仿宋_GB2312"/>
          <w:spacing w:val="0"/>
          <w:kern w:val="0"/>
          <w:sz w:val="32"/>
          <w:szCs w:val="32"/>
          <w:highlight w:val="none"/>
        </w:rPr>
        <w:t>、</w:t>
      </w:r>
      <w:r>
        <w:rPr>
          <w:rFonts w:ascii="Times New Roman" w:hAnsi="Times New Roman" w:eastAsia="仿宋_GB2312"/>
          <w:spacing w:val="0"/>
          <w:kern w:val="0"/>
          <w:sz w:val="32"/>
          <w:szCs w:val="32"/>
          <w:highlight w:val="none"/>
        </w:rPr>
        <w:t>90%</w:t>
      </w:r>
      <w:r>
        <w:rPr>
          <w:rFonts w:hint="eastAsia" w:ascii="Times New Roman" w:hAnsi="Times New Roman" w:eastAsia="仿宋_GB2312"/>
          <w:spacing w:val="0"/>
          <w:kern w:val="0"/>
          <w:sz w:val="32"/>
          <w:szCs w:val="32"/>
          <w:highlight w:val="none"/>
        </w:rPr>
        <w:t>和</w:t>
      </w:r>
      <w:r>
        <w:rPr>
          <w:rFonts w:ascii="Times New Roman" w:hAnsi="Times New Roman" w:eastAsia="仿宋_GB2312"/>
          <w:spacing w:val="0"/>
          <w:kern w:val="0"/>
          <w:sz w:val="32"/>
          <w:szCs w:val="32"/>
          <w:highlight w:val="none"/>
        </w:rPr>
        <w:t>90%</w:t>
      </w:r>
      <w:r>
        <w:rPr>
          <w:rFonts w:hint="eastAsia" w:ascii="Times New Roman" w:hAnsi="Times New Roman" w:eastAsia="仿宋_GB2312"/>
          <w:spacing w:val="0"/>
          <w:kern w:val="0"/>
          <w:sz w:val="32"/>
          <w:szCs w:val="32"/>
          <w:highlight w:val="none"/>
        </w:rPr>
        <w:t>。</w:t>
      </w:r>
      <w:r>
        <w:rPr>
          <w:rFonts w:hint="eastAsia" w:ascii="Times New Roman" w:hAnsi="Times New Roman" w:eastAsia="仿宋_GB2312" w:cs="Times New Roman"/>
          <w:spacing w:val="0"/>
          <w:kern w:val="2"/>
          <w:sz w:val="32"/>
          <w:szCs w:val="32"/>
          <w:highlight w:val="none"/>
          <w:lang w:val="en-US" w:eastAsia="zh-CN" w:bidi="ar-SA"/>
        </w:rPr>
        <w:t>（区生态环境分局牵头负责）</w:t>
      </w:r>
    </w:p>
    <w:p>
      <w:pPr>
        <w:spacing w:line="606" w:lineRule="exact"/>
        <w:ind w:firstLine="640" w:firstLineChars="200"/>
        <w:rPr>
          <w:rFonts w:hint="eastAsia" w:ascii="Times New Roman" w:hAnsi="Times New Roman" w:eastAsia="仿宋_GB2312" w:cs="Times New Roman"/>
          <w:spacing w:val="0"/>
          <w:kern w:val="2"/>
          <w:sz w:val="32"/>
          <w:szCs w:val="32"/>
          <w:highlight w:val="none"/>
          <w:lang w:val="en-US" w:eastAsia="zh-CN" w:bidi="ar-SA"/>
        </w:rPr>
      </w:pPr>
      <w:r>
        <w:rPr>
          <w:rFonts w:ascii="Times New Roman" w:hAnsi="Times New Roman" w:eastAsia="仿宋_GB2312"/>
          <w:spacing w:val="0"/>
          <w:kern w:val="0"/>
          <w:sz w:val="32"/>
          <w:szCs w:val="32"/>
          <w:highlight w:val="none"/>
        </w:rPr>
        <w:t>2</w:t>
      </w:r>
      <w:r>
        <w:rPr>
          <w:rFonts w:hint="eastAsia" w:ascii="Times New Roman" w:hAnsi="Times New Roman" w:eastAsia="仿宋_GB2312"/>
          <w:spacing w:val="0"/>
          <w:kern w:val="0"/>
          <w:sz w:val="32"/>
          <w:szCs w:val="32"/>
          <w:highlight w:val="none"/>
          <w:lang w:eastAsia="zh-CN"/>
        </w:rPr>
        <w:t>．</w:t>
      </w:r>
      <w:r>
        <w:rPr>
          <w:rFonts w:hint="eastAsia" w:ascii="Times New Roman" w:hAnsi="Times New Roman" w:eastAsia="仿宋_GB2312"/>
          <w:spacing w:val="0"/>
          <w:sz w:val="32"/>
          <w:szCs w:val="32"/>
          <w:highlight w:val="none"/>
        </w:rPr>
        <w:t>强化固体废物利用处置能力。采取自建、联合建设等方式，全力推进综合利用项目，着力削减赤泥等大宗固废堆存量。</w:t>
      </w:r>
      <w:r>
        <w:rPr>
          <w:rFonts w:hint="eastAsia" w:ascii="Times New Roman" w:hAnsi="Times New Roman" w:eastAsia="仿宋_GB2312"/>
          <w:color w:val="000000"/>
          <w:spacing w:val="0"/>
          <w:sz w:val="32"/>
          <w:szCs w:val="32"/>
          <w:highlight w:val="none"/>
        </w:rPr>
        <w:t>对危险废物年产生量大于</w:t>
      </w:r>
      <w:r>
        <w:rPr>
          <w:rFonts w:ascii="Times New Roman" w:hAnsi="Times New Roman" w:eastAsia="仿宋_GB2312"/>
          <w:color w:val="000000"/>
          <w:spacing w:val="0"/>
          <w:sz w:val="32"/>
          <w:szCs w:val="32"/>
          <w:highlight w:val="none"/>
        </w:rPr>
        <w:t>5000</w:t>
      </w:r>
      <w:r>
        <w:rPr>
          <w:rFonts w:hint="eastAsia" w:ascii="Times New Roman" w:hAnsi="Times New Roman" w:eastAsia="仿宋_GB2312"/>
          <w:color w:val="000000"/>
          <w:spacing w:val="0"/>
          <w:sz w:val="32"/>
          <w:szCs w:val="32"/>
          <w:highlight w:val="none"/>
        </w:rPr>
        <w:t>吨的企业</w:t>
      </w:r>
      <w:r>
        <w:rPr>
          <w:rFonts w:ascii="Times New Roman" w:hAnsi="Times New Roman" w:eastAsia="仿宋_GB2312"/>
          <w:color w:val="000000"/>
          <w:spacing w:val="0"/>
          <w:sz w:val="32"/>
          <w:szCs w:val="32"/>
          <w:highlight w:val="none"/>
        </w:rPr>
        <w:t>,</w:t>
      </w:r>
      <w:r>
        <w:rPr>
          <w:rFonts w:hint="eastAsia" w:ascii="Times New Roman" w:hAnsi="Times New Roman" w:eastAsia="仿宋_GB2312"/>
          <w:color w:val="000000"/>
          <w:spacing w:val="0"/>
          <w:sz w:val="32"/>
          <w:szCs w:val="32"/>
          <w:highlight w:val="none"/>
        </w:rPr>
        <w:t>以及园区内所有企业危险废物年产生量之和大于</w:t>
      </w:r>
      <w:r>
        <w:rPr>
          <w:rFonts w:ascii="Times New Roman" w:hAnsi="Times New Roman" w:eastAsia="仿宋_GB2312"/>
          <w:color w:val="000000"/>
          <w:spacing w:val="0"/>
          <w:sz w:val="32"/>
          <w:szCs w:val="32"/>
          <w:highlight w:val="none"/>
        </w:rPr>
        <w:t>1</w:t>
      </w:r>
      <w:r>
        <w:rPr>
          <w:rFonts w:hint="eastAsia" w:ascii="Times New Roman" w:hAnsi="Times New Roman" w:eastAsia="仿宋_GB2312"/>
          <w:color w:val="000000"/>
          <w:spacing w:val="0"/>
          <w:sz w:val="32"/>
          <w:szCs w:val="32"/>
          <w:highlight w:val="none"/>
        </w:rPr>
        <w:t>万吨的化工园区，鼓励配套建设危险废物处置设施。</w:t>
      </w:r>
      <w:r>
        <w:rPr>
          <w:rFonts w:hint="eastAsia" w:ascii="Times New Roman" w:hAnsi="Times New Roman" w:eastAsia="仿宋_GB2312" w:cs="Times New Roman"/>
          <w:spacing w:val="0"/>
          <w:kern w:val="2"/>
          <w:sz w:val="32"/>
          <w:szCs w:val="32"/>
          <w:highlight w:val="none"/>
          <w:lang w:val="en-US" w:eastAsia="zh-CN" w:bidi="ar-SA"/>
        </w:rPr>
        <w:t>（区生态环境分局、区工业和信息化局按职责分工牵头负责）</w:t>
      </w:r>
    </w:p>
    <w:p>
      <w:pPr>
        <w:spacing w:line="606" w:lineRule="exact"/>
        <w:ind w:firstLine="640"/>
        <w:rPr>
          <w:rFonts w:hint="eastAsia" w:ascii="Times New Roman" w:hAnsi="Times New Roman" w:eastAsia="仿宋_GB2312" w:cs="Times New Roman"/>
          <w:spacing w:val="0"/>
          <w:kern w:val="2"/>
          <w:sz w:val="32"/>
          <w:szCs w:val="32"/>
          <w:highlight w:val="none"/>
          <w:lang w:val="en-US" w:eastAsia="zh-CN" w:bidi="ar-SA"/>
        </w:rPr>
      </w:pPr>
      <w:r>
        <w:rPr>
          <w:rFonts w:ascii="Times New Roman" w:hAnsi="Times New Roman" w:eastAsia="仿宋_GB2312"/>
          <w:color w:val="000000"/>
          <w:spacing w:val="0"/>
          <w:sz w:val="32"/>
          <w:szCs w:val="32"/>
          <w:highlight w:val="none"/>
        </w:rPr>
        <w:t>3</w:t>
      </w:r>
      <w:r>
        <w:rPr>
          <w:rFonts w:hint="eastAsia" w:ascii="Times New Roman" w:hAnsi="Times New Roman" w:eastAsia="仿宋_GB2312"/>
          <w:color w:val="000000"/>
          <w:spacing w:val="0"/>
          <w:sz w:val="32"/>
          <w:szCs w:val="32"/>
          <w:highlight w:val="none"/>
          <w:lang w:eastAsia="zh-CN"/>
        </w:rPr>
        <w:t>．</w:t>
      </w:r>
      <w:r>
        <w:rPr>
          <w:rFonts w:hint="eastAsia" w:ascii="Times New Roman" w:hAnsi="Times New Roman" w:eastAsia="仿宋_GB2312"/>
          <w:color w:val="000000"/>
          <w:spacing w:val="0"/>
          <w:sz w:val="32"/>
          <w:szCs w:val="32"/>
          <w:highlight w:val="none"/>
        </w:rPr>
        <w:t>强化医疗废物收集安全处置。建立城乡一体的医疗废物收集转运体系，严格落实医疗废物分类管理制度</w:t>
      </w:r>
      <w:r>
        <w:rPr>
          <w:rFonts w:ascii="Times New Roman" w:hAnsi="Times New Roman" w:eastAsia="仿宋_GB2312"/>
          <w:color w:val="000000"/>
          <w:spacing w:val="0"/>
          <w:sz w:val="32"/>
          <w:szCs w:val="32"/>
          <w:highlight w:val="none"/>
        </w:rPr>
        <w:t>,</w:t>
      </w:r>
      <w:r>
        <w:rPr>
          <w:rFonts w:hint="eastAsia" w:ascii="Times New Roman" w:hAnsi="Times New Roman" w:eastAsia="仿宋_GB2312"/>
          <w:color w:val="000000"/>
          <w:spacing w:val="0"/>
          <w:sz w:val="32"/>
          <w:szCs w:val="32"/>
          <w:highlight w:val="none"/>
        </w:rPr>
        <w:t>因地制宜推行以处置企业为主体的农村医疗废物收集转运工作模式。到</w:t>
      </w:r>
      <w:r>
        <w:rPr>
          <w:rFonts w:ascii="Times New Roman" w:hAnsi="Times New Roman" w:eastAsia="仿宋_GB2312"/>
          <w:color w:val="000000"/>
          <w:spacing w:val="0"/>
          <w:sz w:val="32"/>
          <w:szCs w:val="32"/>
          <w:highlight w:val="none"/>
        </w:rPr>
        <w:t>2020</w:t>
      </w:r>
      <w:r>
        <w:rPr>
          <w:rFonts w:hint="eastAsia" w:ascii="Times New Roman" w:hAnsi="Times New Roman" w:eastAsia="仿宋_GB2312"/>
          <w:color w:val="000000"/>
          <w:spacing w:val="0"/>
          <w:sz w:val="32"/>
          <w:szCs w:val="32"/>
          <w:highlight w:val="none"/>
        </w:rPr>
        <w:t>年，全市医疗废物无害化处置率达到</w:t>
      </w:r>
      <w:r>
        <w:rPr>
          <w:rFonts w:ascii="Times New Roman" w:hAnsi="Times New Roman" w:eastAsia="仿宋_GB2312"/>
          <w:color w:val="000000"/>
          <w:spacing w:val="0"/>
          <w:sz w:val="32"/>
          <w:szCs w:val="32"/>
          <w:highlight w:val="none"/>
        </w:rPr>
        <w:t>100%</w:t>
      </w:r>
      <w:r>
        <w:rPr>
          <w:rFonts w:hint="eastAsia" w:ascii="Times New Roman" w:hAnsi="Times New Roman" w:eastAsia="仿宋_GB2312"/>
          <w:color w:val="000000"/>
          <w:spacing w:val="0"/>
          <w:sz w:val="32"/>
          <w:szCs w:val="32"/>
          <w:highlight w:val="none"/>
        </w:rPr>
        <w:t>，力争各级各类医疗卫生机构医疗废物全部纳入集中处置。</w:t>
      </w:r>
      <w:r>
        <w:rPr>
          <w:rFonts w:hint="eastAsia" w:ascii="Times New Roman" w:hAnsi="Times New Roman" w:eastAsia="仿宋_GB2312" w:cs="Times New Roman"/>
          <w:spacing w:val="0"/>
          <w:kern w:val="2"/>
          <w:sz w:val="32"/>
          <w:szCs w:val="32"/>
          <w:highlight w:val="none"/>
          <w:lang w:val="en-US" w:eastAsia="zh-CN" w:bidi="ar-SA"/>
        </w:rPr>
        <w:t>（区卫生健康局、区生态环境分局按职责分工负责）</w:t>
      </w:r>
    </w:p>
    <w:p>
      <w:pPr>
        <w:spacing w:line="606" w:lineRule="exact"/>
        <w:ind w:firstLine="640"/>
        <w:rPr>
          <w:rFonts w:ascii="楷体_GB2312" w:hAnsi="楷体_GB2312" w:eastAsia="楷体_GB2312" w:cs="楷体_GB2312"/>
          <w:spacing w:val="0"/>
          <w:sz w:val="32"/>
          <w:szCs w:val="32"/>
          <w:highlight w:val="none"/>
        </w:rPr>
      </w:pPr>
      <w:r>
        <w:rPr>
          <w:rFonts w:hint="eastAsia" w:ascii="楷体_GB2312" w:hAnsi="楷体_GB2312" w:eastAsia="楷体_GB2312" w:cs="楷体_GB2312"/>
          <w:spacing w:val="0"/>
          <w:sz w:val="32"/>
          <w:szCs w:val="32"/>
          <w:highlight w:val="none"/>
        </w:rPr>
        <w:t>（五）全力抓好中央和省生态环境保护督察及“回头看”问题整改</w:t>
      </w:r>
    </w:p>
    <w:p>
      <w:pPr>
        <w:spacing w:line="606" w:lineRule="exact"/>
        <w:ind w:firstLine="640" w:firstLineChars="200"/>
        <w:rPr>
          <w:rFonts w:hint="eastAsia" w:ascii="Times New Roman" w:hAnsi="Times New Roman" w:eastAsia="仿宋_GB2312" w:cs="Times New Roman"/>
          <w:spacing w:val="0"/>
          <w:kern w:val="2"/>
          <w:sz w:val="32"/>
          <w:szCs w:val="32"/>
          <w:highlight w:val="none"/>
          <w:lang w:val="en-US" w:eastAsia="zh-CN" w:bidi="ar-SA"/>
        </w:rPr>
      </w:pPr>
      <w:r>
        <w:rPr>
          <w:rFonts w:hint="eastAsia" w:ascii="Times New Roman" w:hAnsi="Times New Roman" w:eastAsia="仿宋_GB2312"/>
          <w:spacing w:val="0"/>
          <w:sz w:val="32"/>
          <w:szCs w:val="32"/>
          <w:highlight w:val="none"/>
        </w:rPr>
        <w:t>坚决完成中央、省生态环境保护督察及“回头看”反馈事项整改。对中央、省生态环境保护督察及“回头看”反馈事项进行全面梳理、细化，对照整改标准和完成时限，</w:t>
      </w:r>
      <w:r>
        <w:rPr>
          <w:rFonts w:ascii="Times New Roman" w:hAnsi="Times New Roman" w:eastAsia="仿宋_GB2312"/>
          <w:spacing w:val="0"/>
          <w:sz w:val="32"/>
          <w:szCs w:val="32"/>
          <w:highlight w:val="none"/>
        </w:rPr>
        <w:t>2020</w:t>
      </w:r>
      <w:r>
        <w:rPr>
          <w:rFonts w:hint="eastAsia" w:ascii="Times New Roman" w:hAnsi="Times New Roman" w:eastAsia="仿宋_GB2312"/>
          <w:spacing w:val="0"/>
          <w:sz w:val="32"/>
          <w:szCs w:val="32"/>
          <w:highlight w:val="none"/>
        </w:rPr>
        <w:t>年底前，全面完成中央生态环境保护督察“回头看”确定的违反城乡总体规划化工企业整改销号，废弃矿山治理，小企业集群综合整治等重点问题整改，并及时组织开展销号。</w:t>
      </w:r>
      <w:r>
        <w:rPr>
          <w:rFonts w:hint="eastAsia" w:ascii="Times New Roman" w:hAnsi="Times New Roman" w:eastAsia="仿宋_GB2312" w:cs="Times New Roman"/>
          <w:spacing w:val="0"/>
          <w:kern w:val="2"/>
          <w:sz w:val="32"/>
          <w:szCs w:val="32"/>
          <w:highlight w:val="none"/>
          <w:lang w:val="en-US" w:eastAsia="zh-CN" w:bidi="ar-SA"/>
        </w:rPr>
        <w:t>（区生态环境分局牵头统筹调度，各有关部门、单位按职责分工抓好落实）</w:t>
      </w:r>
    </w:p>
    <w:p>
      <w:pPr>
        <w:pStyle w:val="2"/>
        <w:spacing w:line="606" w:lineRule="exact"/>
        <w:ind w:firstLine="640" w:firstLineChars="200"/>
        <w:rPr>
          <w:rFonts w:ascii="黑体" w:hAnsi="黑体" w:eastAsia="黑体" w:cs="黑体"/>
          <w:spacing w:val="0"/>
          <w:sz w:val="32"/>
          <w:szCs w:val="32"/>
          <w:highlight w:val="none"/>
        </w:rPr>
      </w:pPr>
      <w:r>
        <w:rPr>
          <w:rFonts w:hint="eastAsia" w:ascii="黑体" w:hAnsi="黑体" w:eastAsia="黑体" w:cs="黑体"/>
          <w:spacing w:val="0"/>
          <w:sz w:val="32"/>
          <w:szCs w:val="32"/>
          <w:highlight w:val="none"/>
          <w:lang w:eastAsia="zh-CN"/>
        </w:rPr>
        <w:t>三</w:t>
      </w:r>
      <w:r>
        <w:rPr>
          <w:rFonts w:hint="eastAsia" w:ascii="黑体" w:hAnsi="黑体" w:eastAsia="黑体" w:cs="黑体"/>
          <w:spacing w:val="0"/>
          <w:sz w:val="32"/>
          <w:szCs w:val="32"/>
          <w:highlight w:val="none"/>
        </w:rPr>
        <w:t>、保障措施</w:t>
      </w:r>
    </w:p>
    <w:p>
      <w:pPr>
        <w:spacing w:line="606" w:lineRule="exact"/>
        <w:ind w:firstLine="640" w:firstLineChars="200"/>
        <w:rPr>
          <w:rFonts w:ascii="Times New Roman" w:hAnsi="Times New Roman" w:eastAsia="仿宋_GB2312"/>
          <w:spacing w:val="0"/>
          <w:sz w:val="32"/>
          <w:szCs w:val="32"/>
          <w:highlight w:val="none"/>
        </w:rPr>
      </w:pPr>
      <w:r>
        <w:rPr>
          <w:rFonts w:hint="eastAsia" w:ascii="楷体_GB2312" w:hAnsi="楷体_GB2312" w:eastAsia="楷体_GB2312" w:cs="楷体_GB2312"/>
          <w:spacing w:val="0"/>
          <w:sz w:val="32"/>
          <w:szCs w:val="32"/>
          <w:highlight w:val="none"/>
        </w:rPr>
        <w:t>（一）构建“全员环保”工作体系。</w:t>
      </w:r>
      <w:r>
        <w:rPr>
          <w:rFonts w:hint="eastAsia" w:ascii="Times New Roman" w:hAnsi="Times New Roman" w:eastAsia="仿宋_GB2312"/>
          <w:spacing w:val="0"/>
          <w:sz w:val="32"/>
          <w:szCs w:val="32"/>
          <w:highlight w:val="none"/>
        </w:rPr>
        <w:t>成立</w:t>
      </w:r>
      <w:r>
        <w:rPr>
          <w:rFonts w:hint="eastAsia" w:ascii="Times New Roman" w:hAnsi="Times New Roman" w:eastAsia="仿宋_GB2312"/>
          <w:spacing w:val="0"/>
          <w:sz w:val="32"/>
          <w:szCs w:val="32"/>
          <w:highlight w:val="none"/>
          <w:lang w:eastAsia="zh-CN"/>
        </w:rPr>
        <w:t>淄川区</w:t>
      </w:r>
      <w:r>
        <w:rPr>
          <w:rFonts w:hint="eastAsia" w:ascii="Times New Roman" w:hAnsi="Times New Roman" w:eastAsia="仿宋_GB2312"/>
          <w:spacing w:val="0"/>
          <w:sz w:val="32"/>
          <w:szCs w:val="32"/>
          <w:highlight w:val="none"/>
        </w:rPr>
        <w:t>生态环境委员会，实行</w:t>
      </w:r>
      <w:r>
        <w:rPr>
          <w:rFonts w:hint="eastAsia" w:ascii="Times New Roman" w:hAnsi="Times New Roman" w:eastAsia="仿宋_GB2312"/>
          <w:spacing w:val="0"/>
          <w:sz w:val="32"/>
          <w:szCs w:val="32"/>
          <w:highlight w:val="none"/>
          <w:lang w:eastAsia="zh-CN"/>
        </w:rPr>
        <w:t>区</w:t>
      </w:r>
      <w:r>
        <w:rPr>
          <w:rFonts w:hint="eastAsia" w:ascii="Times New Roman" w:hAnsi="Times New Roman" w:eastAsia="仿宋_GB2312"/>
          <w:spacing w:val="0"/>
          <w:sz w:val="32"/>
          <w:szCs w:val="32"/>
          <w:highlight w:val="none"/>
        </w:rPr>
        <w:t>委书记、</w:t>
      </w:r>
      <w:r>
        <w:rPr>
          <w:rFonts w:hint="eastAsia" w:ascii="Times New Roman" w:hAnsi="Times New Roman" w:eastAsia="仿宋_GB2312"/>
          <w:spacing w:val="0"/>
          <w:sz w:val="32"/>
          <w:szCs w:val="32"/>
          <w:highlight w:val="none"/>
          <w:lang w:eastAsia="zh-CN"/>
        </w:rPr>
        <w:t>区</w:t>
      </w:r>
      <w:r>
        <w:rPr>
          <w:rFonts w:hint="eastAsia" w:ascii="Times New Roman" w:hAnsi="Times New Roman" w:eastAsia="仿宋_GB2312"/>
          <w:spacing w:val="0"/>
          <w:sz w:val="32"/>
          <w:szCs w:val="32"/>
          <w:highlight w:val="none"/>
        </w:rPr>
        <w:t>长双主任制度，分行业设立各专业委员会，抓好各领域内污染治理及监管。在</w:t>
      </w:r>
      <w:r>
        <w:rPr>
          <w:rFonts w:hint="eastAsia" w:ascii="Times New Roman" w:hAnsi="Times New Roman" w:eastAsia="仿宋_GB2312"/>
          <w:spacing w:val="0"/>
          <w:sz w:val="32"/>
          <w:szCs w:val="32"/>
          <w:highlight w:val="none"/>
          <w:lang w:eastAsia="zh-CN"/>
        </w:rPr>
        <w:t>区</w:t>
      </w:r>
      <w:r>
        <w:rPr>
          <w:rFonts w:hint="eastAsia" w:ascii="Times New Roman" w:hAnsi="Times New Roman" w:eastAsia="仿宋_GB2312"/>
          <w:spacing w:val="0"/>
          <w:sz w:val="32"/>
          <w:szCs w:val="32"/>
          <w:highlight w:val="none"/>
        </w:rPr>
        <w:t>级领导、</w:t>
      </w:r>
      <w:r>
        <w:rPr>
          <w:rFonts w:hint="eastAsia" w:ascii="Times New Roman" w:hAnsi="Times New Roman" w:eastAsia="仿宋_GB2312"/>
          <w:spacing w:val="0"/>
          <w:sz w:val="32"/>
          <w:szCs w:val="32"/>
          <w:highlight w:val="none"/>
          <w:lang w:eastAsia="zh-CN"/>
        </w:rPr>
        <w:t>区</w:t>
      </w:r>
      <w:r>
        <w:rPr>
          <w:rFonts w:hint="eastAsia" w:ascii="Times New Roman" w:hAnsi="Times New Roman" w:eastAsia="仿宋_GB2312"/>
          <w:spacing w:val="0"/>
          <w:sz w:val="32"/>
          <w:szCs w:val="32"/>
          <w:highlight w:val="none"/>
        </w:rPr>
        <w:t>直部门、镇</w:t>
      </w:r>
      <w:r>
        <w:rPr>
          <w:rFonts w:hint="eastAsia" w:ascii="Times New Roman" w:hAnsi="Times New Roman" w:eastAsia="仿宋_GB2312"/>
          <w:spacing w:val="0"/>
          <w:sz w:val="32"/>
          <w:szCs w:val="32"/>
          <w:highlight w:val="none"/>
          <w:lang w:eastAsia="zh-CN"/>
        </w:rPr>
        <w:t>办</w:t>
      </w:r>
      <w:r>
        <w:rPr>
          <w:rFonts w:hint="eastAsia" w:ascii="Times New Roman" w:hAnsi="Times New Roman" w:eastAsia="仿宋_GB2312"/>
          <w:spacing w:val="0"/>
          <w:sz w:val="32"/>
          <w:szCs w:val="32"/>
          <w:highlight w:val="none"/>
        </w:rPr>
        <w:t>、排污企业、公众等层面建立责任清单、目标清单和任务清单，切实压实各级各部门生态环保属地管理责任、行业监管责任及企业治污主体责任。充分发挥各类媒介宣传、引导作用，积极吸纳民间智慧，拓宽治理思路，带动广大市民和社会组织积极参与、监督。</w:t>
      </w:r>
    </w:p>
    <w:p>
      <w:pPr>
        <w:spacing w:line="606" w:lineRule="exact"/>
        <w:ind w:firstLine="640" w:firstLineChars="200"/>
        <w:rPr>
          <w:rFonts w:ascii="Times New Roman" w:hAnsi="Times New Roman" w:eastAsia="仿宋_GB2312"/>
          <w:spacing w:val="0"/>
          <w:sz w:val="32"/>
          <w:szCs w:val="32"/>
          <w:highlight w:val="none"/>
        </w:rPr>
      </w:pPr>
      <w:r>
        <w:rPr>
          <w:rFonts w:hint="eastAsia" w:ascii="楷体_GB2312" w:hAnsi="楷体_GB2312" w:eastAsia="楷体_GB2312" w:cs="楷体_GB2312"/>
          <w:spacing w:val="0"/>
          <w:sz w:val="32"/>
          <w:szCs w:val="32"/>
          <w:highlight w:val="none"/>
        </w:rPr>
        <w:t>（二）着力突出“刑责治污”震慑作用。</w:t>
      </w:r>
      <w:r>
        <w:rPr>
          <w:rFonts w:hint="eastAsia" w:ascii="Times New Roman" w:hAnsi="Times New Roman" w:eastAsia="仿宋_GB2312"/>
          <w:spacing w:val="0"/>
          <w:sz w:val="32"/>
          <w:szCs w:val="32"/>
          <w:highlight w:val="none"/>
        </w:rPr>
        <w:t>持续强化公安、生态环境等多部门联动执法机制，严格规范开展执法检查。加强对重点区域、重点行业联合执法检查和各类环境违法犯罪案件办理力度，对污染物超标排放、污染治理设施不运行、夜间偷排偷放</w:t>
      </w:r>
      <w:r>
        <w:rPr>
          <w:rFonts w:hint="eastAsia" w:ascii="Times New Roman" w:hAnsi="Times New Roman" w:eastAsia="仿宋_GB2312"/>
          <w:spacing w:val="0"/>
          <w:sz w:val="32"/>
          <w:szCs w:val="32"/>
          <w:highlight w:val="none"/>
          <w:lang w:eastAsia="zh-CN"/>
        </w:rPr>
        <w:t>、</w:t>
      </w:r>
      <w:r>
        <w:rPr>
          <w:rFonts w:hint="eastAsia" w:ascii="Times New Roman" w:hAnsi="Times New Roman" w:eastAsia="仿宋_GB2312"/>
          <w:spacing w:val="0"/>
          <w:sz w:val="32"/>
          <w:szCs w:val="32"/>
          <w:highlight w:val="none"/>
        </w:rPr>
        <w:t>私拉乱倒等环境违法犯罪行为始终保持高压态势。</w:t>
      </w:r>
    </w:p>
    <w:p>
      <w:pPr>
        <w:spacing w:line="606" w:lineRule="exact"/>
        <w:ind w:firstLine="640" w:firstLineChars="200"/>
        <w:rPr>
          <w:rFonts w:ascii="Times New Roman" w:hAnsi="Times New Roman" w:eastAsia="仿宋_GB2312"/>
          <w:b/>
          <w:bCs/>
          <w:spacing w:val="0"/>
          <w:sz w:val="32"/>
          <w:szCs w:val="32"/>
          <w:highlight w:val="none"/>
        </w:rPr>
      </w:pPr>
      <w:r>
        <w:rPr>
          <w:rFonts w:hint="eastAsia" w:ascii="楷体_GB2312" w:hAnsi="楷体_GB2312" w:eastAsia="楷体_GB2312" w:cs="楷体_GB2312"/>
          <w:spacing w:val="0"/>
          <w:sz w:val="32"/>
          <w:szCs w:val="32"/>
          <w:highlight w:val="none"/>
        </w:rPr>
        <w:t>（三）持续强化精准治污举措。</w:t>
      </w:r>
      <w:r>
        <w:rPr>
          <w:rFonts w:hint="eastAsia" w:ascii="Times New Roman" w:hAnsi="Times New Roman" w:eastAsia="仿宋_GB2312"/>
          <w:spacing w:val="0"/>
          <w:sz w:val="32"/>
          <w:szCs w:val="32"/>
          <w:highlight w:val="none"/>
        </w:rPr>
        <w:t>全力抓好大气排放源清单编制的更新工作，持续健全完善生态环境网格化管理机制。利用大气环境监测小微站、激光雷达、走航车等先进技术和装备，实时监测分析、溯源追查、快速响应，为精准治理管控提供坚实</w:t>
      </w:r>
      <w:r>
        <w:rPr>
          <w:rFonts w:hint="eastAsia" w:ascii="Times New Roman" w:hAnsi="Times New Roman" w:eastAsia="仿宋_GB2312"/>
          <w:spacing w:val="0"/>
          <w:sz w:val="32"/>
          <w:szCs w:val="32"/>
          <w:highlight w:val="none"/>
          <w:lang w:eastAsia="zh-CN"/>
        </w:rPr>
        <w:t>的</w:t>
      </w:r>
      <w:r>
        <w:rPr>
          <w:rFonts w:hint="eastAsia" w:ascii="Times New Roman" w:hAnsi="Times New Roman" w:eastAsia="仿宋_GB2312"/>
          <w:spacing w:val="0"/>
          <w:sz w:val="32"/>
          <w:szCs w:val="32"/>
          <w:highlight w:val="none"/>
        </w:rPr>
        <w:t>技术保障。</w:t>
      </w:r>
    </w:p>
    <w:p>
      <w:pPr>
        <w:spacing w:line="606" w:lineRule="exact"/>
        <w:ind w:firstLine="640" w:firstLineChars="200"/>
        <w:rPr>
          <w:rFonts w:ascii="Times New Roman" w:hAnsi="Times New Roman" w:eastAsia="仿宋_GB2312"/>
          <w:spacing w:val="0"/>
          <w:sz w:val="32"/>
          <w:szCs w:val="32"/>
          <w:highlight w:val="none"/>
        </w:rPr>
      </w:pPr>
      <w:r>
        <w:rPr>
          <w:rFonts w:hint="eastAsia" w:ascii="楷体_GB2312" w:hAnsi="楷体_GB2312" w:eastAsia="楷体_GB2312" w:cs="楷体_GB2312"/>
          <w:spacing w:val="0"/>
          <w:sz w:val="32"/>
          <w:szCs w:val="32"/>
          <w:highlight w:val="none"/>
        </w:rPr>
        <w:t>（四）严肃开展追责问责。</w:t>
      </w:r>
      <w:r>
        <w:rPr>
          <w:rFonts w:hint="eastAsia" w:ascii="Times New Roman" w:hAnsi="Times New Roman" w:eastAsia="仿宋_GB2312"/>
          <w:spacing w:val="0"/>
          <w:sz w:val="32"/>
          <w:szCs w:val="32"/>
          <w:highlight w:val="none"/>
        </w:rPr>
        <w:t>切实发挥经济社会综合考核和专项督查等制度的监督作用，加大纪检、组织、生态环境联合追责问责力度，坚决压实各级各部门生态环境保护属地管理责任和部门行业监管责任，高质量完成各项治理任务。</w:t>
      </w:r>
    </w:p>
    <w:p>
      <w:pPr>
        <w:spacing w:line="606" w:lineRule="exact"/>
        <w:rPr>
          <w:rFonts w:ascii="仿宋_GB2312" w:hAnsi="仿宋_GB2312" w:eastAsia="仿宋_GB2312" w:cs="仿宋_GB2312"/>
          <w:spacing w:val="0"/>
          <w:sz w:val="32"/>
          <w:szCs w:val="32"/>
          <w:highlight w:val="yellow"/>
        </w:rPr>
      </w:pPr>
    </w:p>
    <w:p>
      <w:pPr>
        <w:spacing w:line="606" w:lineRule="exact"/>
        <w:ind w:firstLine="640" w:firstLineChars="200"/>
        <w:rPr>
          <w:rFonts w:ascii="Times New Roman" w:hAnsi="Times New Roman" w:eastAsia="仿宋_GB2312"/>
          <w:spacing w:val="0"/>
          <w:sz w:val="32"/>
          <w:szCs w:val="32"/>
          <w:highlight w:val="yellow"/>
        </w:rPr>
      </w:pPr>
      <w:r>
        <w:rPr>
          <w:rFonts w:hint="eastAsia" w:ascii="仿宋_GB2312" w:hAnsi="仿宋_GB2312" w:eastAsia="仿宋_GB2312" w:cs="仿宋_GB2312"/>
          <w:spacing w:val="0"/>
          <w:sz w:val="32"/>
          <w:szCs w:val="32"/>
          <w:highlight w:val="none"/>
        </w:rPr>
        <w:t>附件：</w:t>
      </w:r>
      <w:r>
        <w:rPr>
          <w:rFonts w:ascii="Times New Roman" w:hAnsi="Times New Roman" w:eastAsia="仿宋_GB2312"/>
          <w:spacing w:val="0"/>
          <w:sz w:val="32"/>
          <w:szCs w:val="32"/>
          <w:highlight w:val="none"/>
        </w:rPr>
        <w:t>2020</w:t>
      </w:r>
      <w:r>
        <w:rPr>
          <w:rFonts w:hint="eastAsia" w:ascii="Times New Roman" w:hAnsi="Times New Roman" w:eastAsia="仿宋_GB2312"/>
          <w:spacing w:val="0"/>
          <w:sz w:val="32"/>
          <w:szCs w:val="32"/>
          <w:highlight w:val="none"/>
        </w:rPr>
        <w:t>年全</w:t>
      </w:r>
      <w:r>
        <w:rPr>
          <w:rFonts w:hint="eastAsia" w:ascii="Times New Roman" w:hAnsi="Times New Roman" w:eastAsia="仿宋_GB2312"/>
          <w:spacing w:val="0"/>
          <w:sz w:val="32"/>
          <w:szCs w:val="32"/>
          <w:highlight w:val="none"/>
          <w:lang w:eastAsia="zh-CN"/>
        </w:rPr>
        <w:t>区</w:t>
      </w:r>
      <w:r>
        <w:rPr>
          <w:rFonts w:hint="eastAsia" w:ascii="Times New Roman" w:hAnsi="Times New Roman" w:eastAsia="仿宋_GB2312"/>
          <w:spacing w:val="0"/>
          <w:sz w:val="32"/>
          <w:szCs w:val="32"/>
          <w:highlight w:val="none"/>
        </w:rPr>
        <w:t>生态环境保护综合治理任务分解表</w:t>
      </w:r>
    </w:p>
    <w:p>
      <w:pPr>
        <w:spacing w:line="560" w:lineRule="exact"/>
        <w:rPr>
          <w:rFonts w:ascii="仿宋_GB2312" w:eastAsia="仿宋_GB2312"/>
          <w:spacing w:val="0"/>
          <w:sz w:val="32"/>
          <w:szCs w:val="32"/>
        </w:rPr>
      </w:pPr>
    </w:p>
    <w:p>
      <w:pPr>
        <w:pStyle w:val="2"/>
        <w:rPr>
          <w:rFonts w:ascii="仿宋_GB2312" w:eastAsia="仿宋_GB2312"/>
          <w:spacing w:val="0"/>
          <w:sz w:val="32"/>
          <w:szCs w:val="32"/>
        </w:rPr>
      </w:pPr>
    </w:p>
    <w:p>
      <w:pPr>
        <w:pStyle w:val="2"/>
        <w:rPr>
          <w:rFonts w:ascii="仿宋_GB2312" w:eastAsia="仿宋_GB2312"/>
          <w:spacing w:val="0"/>
          <w:sz w:val="32"/>
          <w:szCs w:val="32"/>
        </w:rPr>
      </w:pPr>
    </w:p>
    <w:p>
      <w:pPr>
        <w:pStyle w:val="2"/>
        <w:rPr>
          <w:rFonts w:ascii="仿宋_GB2312" w:eastAsia="仿宋_GB2312"/>
          <w:spacing w:val="0"/>
          <w:sz w:val="32"/>
          <w:szCs w:val="32"/>
        </w:rPr>
      </w:pPr>
    </w:p>
    <w:p>
      <w:pPr>
        <w:pStyle w:val="2"/>
        <w:rPr>
          <w:rFonts w:ascii="仿宋_GB2312" w:eastAsia="仿宋_GB2312"/>
          <w:spacing w:val="0"/>
          <w:sz w:val="32"/>
          <w:szCs w:val="32"/>
        </w:rPr>
      </w:pPr>
    </w:p>
    <w:p>
      <w:pPr>
        <w:pStyle w:val="2"/>
        <w:rPr>
          <w:rFonts w:ascii="仿宋_GB2312" w:eastAsia="仿宋_GB2312"/>
          <w:spacing w:val="0"/>
          <w:sz w:val="32"/>
          <w:szCs w:val="32"/>
        </w:rPr>
      </w:pPr>
    </w:p>
    <w:p>
      <w:pPr>
        <w:pStyle w:val="2"/>
        <w:rPr>
          <w:rFonts w:ascii="仿宋_GB2312" w:eastAsia="仿宋_GB2312"/>
          <w:spacing w:val="0"/>
          <w:sz w:val="32"/>
          <w:szCs w:val="32"/>
        </w:rPr>
      </w:pPr>
    </w:p>
    <w:p>
      <w:pPr>
        <w:pStyle w:val="2"/>
        <w:rPr>
          <w:rFonts w:ascii="仿宋_GB2312" w:eastAsia="仿宋_GB2312"/>
          <w:spacing w:val="0"/>
          <w:sz w:val="32"/>
          <w:szCs w:val="32"/>
        </w:rPr>
        <w:sectPr>
          <w:footerReference r:id="rId3" w:type="default"/>
          <w:pgSz w:w="11906" w:h="16838"/>
          <w:pgMar w:top="1985" w:right="1588" w:bottom="2098" w:left="1474"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tbl>
      <w:tblPr>
        <w:tblStyle w:val="7"/>
        <w:tblW w:w="15598" w:type="dxa"/>
        <w:jc w:val="center"/>
        <w:tblInd w:w="-1812" w:type="dxa"/>
        <w:shd w:val="clear" w:color="auto" w:fill="auto"/>
        <w:tblLayout w:type="fixed"/>
        <w:tblCellMar>
          <w:top w:w="0" w:type="dxa"/>
          <w:left w:w="0" w:type="dxa"/>
          <w:bottom w:w="0" w:type="dxa"/>
          <w:right w:w="0" w:type="dxa"/>
        </w:tblCellMar>
      </w:tblPr>
      <w:tblGrid>
        <w:gridCol w:w="676"/>
        <w:gridCol w:w="1271"/>
        <w:gridCol w:w="3765"/>
        <w:gridCol w:w="1707"/>
        <w:gridCol w:w="4613"/>
        <w:gridCol w:w="1310"/>
        <w:gridCol w:w="2256"/>
      </w:tblGrid>
      <w:tr>
        <w:tblPrEx>
          <w:shd w:val="clear" w:color="auto" w:fill="auto"/>
          <w:tblLayout w:type="fixed"/>
          <w:tblCellMar>
            <w:top w:w="0" w:type="dxa"/>
            <w:left w:w="0" w:type="dxa"/>
            <w:bottom w:w="0" w:type="dxa"/>
            <w:right w:w="0" w:type="dxa"/>
          </w:tblCellMar>
        </w:tblPrEx>
        <w:trPr>
          <w:trHeight w:val="580" w:hRule="atLeast"/>
          <w:jc w:val="center"/>
        </w:trPr>
        <w:tc>
          <w:tcPr>
            <w:tcW w:w="676"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w:t>
            </w:r>
          </w:p>
        </w:tc>
        <w:tc>
          <w:tcPr>
            <w:tcW w:w="1271"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c>
          <w:tcPr>
            <w:tcW w:w="376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0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1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5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60" w:hRule="atLeast"/>
          <w:jc w:val="center"/>
        </w:trPr>
        <w:tc>
          <w:tcPr>
            <w:tcW w:w="1559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2020年全区生态环境保护综合治理任务分解表</w:t>
            </w:r>
          </w:p>
        </w:tc>
      </w:tr>
      <w:tr>
        <w:tblPrEx>
          <w:tblLayout w:type="fixed"/>
          <w:tblCellMar>
            <w:top w:w="0" w:type="dxa"/>
            <w:left w:w="0" w:type="dxa"/>
            <w:bottom w:w="0" w:type="dxa"/>
            <w:right w:w="0" w:type="dxa"/>
          </w:tblCellMar>
        </w:tblPrEx>
        <w:trPr>
          <w:trHeight w:val="660" w:hRule="atLeast"/>
          <w:jc w:val="center"/>
        </w:trPr>
        <w:tc>
          <w:tcPr>
            <w:tcW w:w="15598"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i w:val="0"/>
                <w:color w:val="000000"/>
                <w:sz w:val="28"/>
                <w:szCs w:val="28"/>
                <w:u w:val="none"/>
              </w:rPr>
            </w:pPr>
            <w:r>
              <w:rPr>
                <w:rFonts w:hint="eastAsia" w:ascii="楷体_GB2312" w:hAnsi="宋体" w:eastAsia="楷体_GB2312" w:cs="楷体_GB2312"/>
                <w:i w:val="0"/>
                <w:color w:val="000000"/>
                <w:kern w:val="0"/>
                <w:sz w:val="28"/>
                <w:szCs w:val="28"/>
                <w:u w:val="none"/>
                <w:lang w:val="en-US" w:eastAsia="zh-CN" w:bidi="ar"/>
              </w:rPr>
              <w:t>开发区管委会</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417"/>
                <w:tab w:val="center" w:pos="913"/>
              </w:tabs>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淄博四砂泰益研磨有限公司</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淄博嗣明工贸有限公司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淄博强璞陶瓷有限公司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山东红阳高温节能材料股份有限公司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山东东耐高温材料股份有限公司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山东万方窑炉工程科技有限责任公司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淄博科超环保科技有限公司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山东维统科技有限公司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淄博冠虹有色金属铸造厂</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淄博金田轻工制品有限公司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淄博铸晟工贸有限公司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淄博钟楼特种耐火材料有限公司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淄博德正新材料有限公司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淄博市淄川华力高铝陶瓷厂</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淄博红雷磁环有限公司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淄博市淄川广汇有色金属铸造有限公司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淄博远大新材料科技有限公司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山东雷帕得汽车技术股份有限公司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6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淄博市淄川金星弹簧厂</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淄博旭丰包装制品有限公司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淄博盈宾机械工具有限公司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淄博万松工贸有限公司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山东金城生物药业有限公司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淄博鲁盛铁柜有限责任公司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淄博金冠铁柜有限公司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淄博杜高化工有限公司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山东唐骏欧铃汽车制造有限公司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鲁丰织染有限公司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淄博老杨家装饰材料有限公司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淄博惠华石油添加剂有限公司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淄博辰昊药用包装材料有限公司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淄博华瑞铝塑包装材料有限公司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5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24"/>
                <w:szCs w:val="24"/>
                <w:u w:val="none"/>
                <w:lang w:val="en-US" w:eastAsia="zh-CN" w:bidi="ar"/>
              </w:rPr>
              <w:t>山东万通集团淄博金顺油品有限公司第四十五加油中心</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淄博市亿豪昆泉石化有限公司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17"/>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淄博科泓燃气有限公司加油站</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淄博市淄川区新兴加油站</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淄博市淄川华夏加油站</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鲁诚纺织投资有限公司鲁诚加油站</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淄博市淄川超华物资销售中心</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淄博中沃石油化工有限责任公司万泰加油站</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立查立改，</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长期坚持</w:t>
            </w: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淄博嗣明工贸有限公司</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淄博市淄川华力高铝陶瓷厂</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淄博科超环保科技有限公司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山东维统科技有限公司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淄博市淄川金星弹簧厂</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淄博红雷瓷环有限公司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山东东耐高温材料股份有限公司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淄博鲁川汽车配件有限公司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淄博盛淇机械厂</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淄博隆泰机械科技有限公司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山东圣川陶瓷材料有限公司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淄博四砂泰益研磨有限公司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淄博强璞陶瓷有限公司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淄博盈宾机械工具有限公司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山东万方窑炉工程科技有限责任公司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淄博金田轻工制品有限公司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淄博祥峰陶瓷科技有限公司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淄博钟楼特种耐火材料有限公司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淄博市淄川新易氧化铝制品厂</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淄博金宇磨料有限公司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立查立改，</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长期坚持</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辖区内耐火、玻璃、铸造、化工医药、涉VOCs行业企业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9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淄博华瑞铝塑包装材料有限公司</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山东东耐高温材料股份有限公司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淄博嗣明工贸有限公司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淄博远大新材料科技有限公司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淄博钟楼特种耐火材料有限公司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淄川区岭子迎奥耐火材料加工厂</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山东唐骏欧铃汽车制造有限公司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淄博市淄川广汇有色金属铸造有限公司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32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9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9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城镇污水处理厂提改扩建工程</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加快实施城镇污水处理厂改扩建工程，即利民污水处理厂扩建项目；6月底前具备运行条件，12月底前完成验收。按照市委、市政府确定的标准和要求，完成提标改造年度任务。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淄博利民净化水有限公司</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区住房和城乡建设局</w:t>
            </w:r>
          </w:p>
        </w:tc>
      </w:tr>
      <w:tr>
        <w:tblPrEx>
          <w:tblLayout w:type="fixed"/>
          <w:tblCellMar>
            <w:top w:w="0" w:type="dxa"/>
            <w:left w:w="0" w:type="dxa"/>
            <w:bottom w:w="0" w:type="dxa"/>
            <w:right w:w="0" w:type="dxa"/>
          </w:tblCellMar>
        </w:tblPrEx>
        <w:trPr>
          <w:trHeight w:val="28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东方水岸、店子村、七星河、五里河开发区段雨污混排方沟雨污分流改造，完成庆淄路以东至孝妇河开发区污水管网雨污分流改造。</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11"/>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7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完成孝妇河淄川段、范阳河淄川段综合治理工程，对河道进行清淤、疏通。</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区政府投资工程建设中心、区河湖事业服务中心</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11"/>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4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对工业企业排放废水含盐量、含氟化物、总磷、总氮的进行再提升确保达到《流域水污染物综合排放标准》第3部分：小清河流域排放标准。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44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城市雨污分流改造</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市委市政府《关于印发&lt;淄博市贯彻落实中央环境保护督察组反馈意见整改实施方案&gt;的通知》（淄发〔2018〕20号）、市政府办公厅《关于加快对城市雨污合流管网进行分流改造的通知》（淄政办发明电〔2017〕26号）要求，完成2020年度雨污合流管网分流改造任务。优先对合流制主管网及截流倍数小的合流制管道进行雨污分流改造，暂不具备改造条件的，应采取增加截留倍数、调蓄等措施降低溢流量，采取快速净化措施对溢流污染进行处理，逐步降低雨季污染物入河湖量。</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区政府投资工程建设中心、区市政环卫服务中心、开发区管委会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区住房和城乡建设局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42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城市建成区黑臭水体治理</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张相湖潜流湿地、南河两条黑臭水体完成“长制久清”评估验收。</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开发区管委会、区园林绿化和公园管理服务中心、区政府投资工程建设中心</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5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4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16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开发区管委会、区自然资源局、区农业农村局</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12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开发区管委会、区自然资源局、区工业和信息化局</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4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抓好土壤污染治理与修复。</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全面完成重点行业企业用地详查，梳理受污染和疑似污染地块，建立清单、名录，严格按照规范流程开展污染地块的调查、风险管控、修复和评估工作。</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鲁丰织染有限公司地块</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3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鲁泰纺织股份有限公司（原淄博第七棉纺厂）西厂区地块</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60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深入抓好土壤污染重点监管企业环境管理</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督促企业依法落实《土壤污染防治法》和《土壤污染防治责任书》标准、要求，严格履行好控制有毒有害物质排放、建立隐患排查制度和开展自行监测等义务。</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淄博明泰电器科技有限公司</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6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山东唐骏欧铃汽车制造有限公司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淄博金城生物化工有限公司</w:t>
            </w: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5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7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淄博利民净化水有限公司、辖区内相关企业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6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推进重点企业实施重金属工程减排</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重点行业的重点重金属排放量比2015年下降9%。</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淄博明泰电器科技有限公司</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49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28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8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4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开发区</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管委会</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6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2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郝家社区、大邢社区、东山社区、双泉社区、夏庄社区、南苏社区、西谭社区巩固提升任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经济开发区管委会</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洪山镇人民政府</w:t>
      </w:r>
    </w:p>
    <w:tbl>
      <w:tblPr>
        <w:tblStyle w:val="7"/>
        <w:tblW w:w="15576" w:type="dxa"/>
        <w:jc w:val="center"/>
        <w:tblInd w:w="-1576" w:type="dxa"/>
        <w:shd w:val="clear" w:color="auto" w:fill="auto"/>
        <w:tblLayout w:type="fixed"/>
        <w:tblCellMar>
          <w:top w:w="0" w:type="dxa"/>
          <w:left w:w="0" w:type="dxa"/>
          <w:bottom w:w="0" w:type="dxa"/>
          <w:right w:w="0" w:type="dxa"/>
        </w:tblCellMar>
      </w:tblPr>
      <w:tblGrid>
        <w:gridCol w:w="660"/>
        <w:gridCol w:w="1409"/>
        <w:gridCol w:w="3630"/>
        <w:gridCol w:w="1707"/>
        <w:gridCol w:w="4494"/>
        <w:gridCol w:w="1395"/>
        <w:gridCol w:w="2281"/>
      </w:tblGrid>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淄博崇正水泥有限责任公司</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淄博鲁宏沃尔森陶瓷有限公司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山东绿澄新材料科技有限公司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淄博胜波全玻纤制品有限公司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淄博万刚玻纤制品有限公司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淄博元绪冶金机械有限公司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淄博北工新特耐火材料有限公司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淄博大业耐火材料有限公司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淄博市淄川富强耐火材料有限公司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淄博恒邦新材料有限公司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淄博双马新材料科技股份有限公司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淄博新峰耐火材料有限公司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淄博市淄川区洪山镇社会福利耐火厂</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49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山东先河悦新机电股份公司</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淄博永新化工有限公司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山东省淄博市淄川黉阳农药有限公司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淄博齐洪装饰工程有限公司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淄博天地行木业有限公司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淄川区洪山鑫军汽车修理厂</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淄博天正汽车修理有限公司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淄博艺佳木业有限公司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山东京博新能源控股发展有限公司淄博第二百八十八加油站</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中国石化销售有限公司山东淄博淄川第六加油加气站</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中国石化销售有限公司山东淄博淄川第十九加油站</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中国石油淄川聊斋路加油站</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淄博矿业集团物资供应有限公司加油站</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淄博淄川洪峨加油站</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山东先河悦新不锈钢制品公司</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山东崇正特种水泥有限公司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淄博北工新特耐火材料有限公司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淄博市淄川富强耐火材料有限公司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淄博元绪冶金机械有限公司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淄博永新化工有限公司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淄博煜光陶瓷新材料有限公司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淄博煜光水泥有限公司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淄博五松山水泥有限公司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7"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淄博天地行木业有限公司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73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辖区内火电、水泥、耐火、玻璃、铸造、化工医药、涉VOCs行业企业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40" w:hRule="exac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淄博北工新特耐火材料有限公司</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淄博大业耐火材料有限公司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淄博恒邦新材料有限公司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淄博市淄川富强耐火材料有限公司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淄博市淄川区洪山社会福利耐火厂</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淄博双马新材料科技股份有限公司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淄博新峰耐火材料有限公司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淄博崇正水泥有限责任公司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淄博五松山水泥有限公司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淄博煜光水泥有限公司</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03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64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全面排查市政污水管网，对雨污混流、清污混流管网进行改造，及时修复漏损管网。6月底前完成五里河洪山杨家段、般河洪山段雨污分流改造。</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8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6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 第3部分：小清河流域排放标准。</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农村千吨万人饮用水水源地保护</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完成农村“千吨万人”水源地（洪山水厂）规范化建设工程。</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10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5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洪山镇人民政府、区自然资源局、区农业农村局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9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1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淄川黉阳农药厂、洪山镇人民政府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洪山镇人民政府、区自然资源局、区工业和信息化局</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93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抓好土壤污染治理与修复</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全面完成重点行业企业用地详查，梳理受污染和疑似污染地块，建立清单、名录，严格按照规范流程开展污染地块的调查、风险管控、修复和评估工作。</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淄博永新化工有限公司地块</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4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42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49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27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2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4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洪山镇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与旱厕改造、管网建设有效衔接，通过纳管、建站、分散治理等方式，对厕所粪污、厨房用水、洗涤用水等进行集中收集处理或转运处理，完成东省村、田庄村、十里村治理任务和蒲家村、土峪村提升改造任务。</w:t>
            </w:r>
          </w:p>
        </w:tc>
        <w:tc>
          <w:tcPr>
            <w:tcW w:w="1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洪山镇人民政府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昆仑镇人民政府</w:t>
      </w:r>
    </w:p>
    <w:tbl>
      <w:tblPr>
        <w:tblStyle w:val="7"/>
        <w:tblW w:w="15657" w:type="dxa"/>
        <w:jc w:val="center"/>
        <w:tblInd w:w="0" w:type="dxa"/>
        <w:shd w:val="clear" w:color="auto" w:fill="auto"/>
        <w:tblLayout w:type="fixed"/>
        <w:tblCellMar>
          <w:top w:w="0" w:type="dxa"/>
          <w:left w:w="0" w:type="dxa"/>
          <w:bottom w:w="0" w:type="dxa"/>
          <w:right w:w="0" w:type="dxa"/>
        </w:tblCellMar>
      </w:tblPr>
      <w:tblGrid>
        <w:gridCol w:w="688"/>
        <w:gridCol w:w="1304"/>
        <w:gridCol w:w="3525"/>
        <w:gridCol w:w="1695"/>
        <w:gridCol w:w="4725"/>
        <w:gridCol w:w="1424"/>
        <w:gridCol w:w="2296"/>
      </w:tblGrid>
      <w:tr>
        <w:tblPrEx>
          <w:shd w:val="clear" w:color="auto" w:fill="auto"/>
          <w:tblLayout w:type="fixed"/>
          <w:tblCellMar>
            <w:top w:w="0" w:type="dxa"/>
            <w:left w:w="0" w:type="dxa"/>
            <w:bottom w:w="0" w:type="dxa"/>
            <w:right w:w="0" w:type="dxa"/>
          </w:tblCellMar>
        </w:tblPrEx>
        <w:trPr>
          <w:trHeight w:val="522"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燃煤小机组整合、淘汰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对30万千瓦及以上热电联产机组供热半径15公里范围内的燃煤锅炉再排查。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区发改局</w:t>
            </w:r>
          </w:p>
        </w:tc>
      </w:tr>
      <w:tr>
        <w:tblPrEx>
          <w:tblLayout w:type="fixed"/>
          <w:tblCellMar>
            <w:top w:w="0" w:type="dxa"/>
            <w:left w:w="0" w:type="dxa"/>
            <w:bottom w:w="0" w:type="dxa"/>
            <w:right w:w="0" w:type="dxa"/>
          </w:tblCellMar>
        </w:tblPrEx>
        <w:trPr>
          <w:trHeight w:val="312"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淄博云鹤彩色水泥有限公司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淄博市淄川良积建筑材料有限公司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淄博泰山瓷业有限公司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淄博宏大陶瓷有限公司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淄博五洲陶瓷有限公司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淄博衡煦瓷业有限公司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山东硅元新型材料有限责任公司国谊分公司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山东昆仑瓷器股份有限公司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淄博中齐电力设备有限公司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淄博硅元泰晟新材料有限公司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淄博市淄川和盛工业陶瓷厂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淄博科峰陶瓷有限公司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山东淄博电瓷厂股份有限公司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淄博华岩工业陶瓷有限公司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淄川区华鑫工业陶瓷厂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淄博丰涛工业陶瓷有限公司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淄博纳米特精细陶瓷有限公司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淄博泰利工业陶瓷有限公司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淄博安德浩工业陶瓷有限公司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淄博东润陶瓷科技有限公司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6985</wp:posOffset>
                  </wp:positionH>
                  <wp:positionV relativeFrom="paragraph">
                    <wp:posOffset>4445</wp:posOffset>
                  </wp:positionV>
                  <wp:extent cx="10401300" cy="1905"/>
                  <wp:effectExtent l="0" t="0" r="0" b="0"/>
                  <wp:wrapNone/>
                  <wp:docPr id="38" name="直接连接符_5"/>
                  <wp:cNvGraphicFramePr/>
                  <a:graphic xmlns:a="http://schemas.openxmlformats.org/drawingml/2006/main">
                    <a:graphicData uri="http://schemas.openxmlformats.org/drawingml/2006/picture">
                      <pic:pic xmlns:pic="http://schemas.openxmlformats.org/drawingml/2006/picture">
                        <pic:nvPicPr>
                          <pic:cNvPr id="38" name="直接连接符_5"/>
                          <pic:cNvPicPr/>
                        </pic:nvPicPr>
                        <pic:blipFill>
                          <a:blip r:link="rId5"/>
                          <a:stretch>
                            <a:fillRect/>
                          </a:stretch>
                        </pic:blipFill>
                        <pic:spPr>
                          <a:xfrm>
                            <a:off x="0" y="0"/>
                            <a:ext cx="10401300" cy="1905"/>
                          </a:xfrm>
                          <a:prstGeom prst="rect">
                            <a:avLst/>
                          </a:prstGeom>
                          <a:noFill/>
                          <a:ln>
                            <a:noFill/>
                          </a:ln>
                        </pic:spPr>
                      </pic:pic>
                    </a:graphicData>
                  </a:graphic>
                </wp:anchor>
              </w:drawing>
            </w:r>
            <w:r>
              <w:rPr>
                <w:rFonts w:hint="eastAsia" w:ascii="仿宋_GB2312" w:hAnsi="宋体" w:eastAsia="仿宋_GB2312" w:cs="仿宋_GB2312"/>
                <w:i w:val="0"/>
                <w:color w:val="000000"/>
                <w:sz w:val="24"/>
                <w:szCs w:val="24"/>
                <w:u w:val="none"/>
                <w:lang w:val="en-US" w:eastAsia="zh-CN"/>
              </w:rPr>
              <w:t>2</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淄博市淄川鹏飞化工瓷件厂</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淄博华鑫微珠厂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淄博市淄川昌烨耐磨陶瓷厂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淄博市淄川恒发工业陶瓷厂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淄博陶润德工贸有限公司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淄博晶盛陶瓷材料有限公司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淄博昂泰瓷业有限公司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淄博威德陶瓷有限公司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淄博宏泰陶瓷有限公司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w:t>
            </w:r>
            <w:r>
              <w:rPr>
                <w:rStyle w:val="18"/>
                <w:lang w:val="en-US" w:eastAsia="zh-CN" w:bidi="ar"/>
              </w:rPr>
              <w:t>崯</w:t>
            </w:r>
            <w:r>
              <w:rPr>
                <w:rFonts w:hint="eastAsia" w:ascii="仿宋_GB2312" w:hAnsi="宋体" w:eastAsia="仿宋_GB2312" w:cs="仿宋_GB2312"/>
                <w:i w:val="0"/>
                <w:color w:val="000000"/>
                <w:kern w:val="0"/>
                <w:sz w:val="24"/>
                <w:szCs w:val="24"/>
                <w:u w:val="none"/>
                <w:lang w:val="en-US" w:eastAsia="zh-CN" w:bidi="ar"/>
              </w:rPr>
              <w:t>基新材料科技发展有限公司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淄博市淄川区昆仑镇隆盛工业瓷厂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淄博淄川皓岳工业瓷厂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淄博万方特种陶瓷有限公司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淄博市淄川区中昊陶瓷厂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淄博世彬瓷件厂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淄博凯宏铭瓷业有限公司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淄博乾豪日用陶瓷加工厂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淄博嘉艺陶瓷有限公司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淄博奥克耐火材料科技有限公司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淄博市淄川华润化工填料厂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淄博汇宝陶瓷有限公司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淄博钢星耐火材料有限公司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淄博昊天节能材料有限公司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淄博华澳陶瓷原料有限公司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淄博华陶高温材料有限公司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淄博云峰工业陶瓷有限公司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淄博晶顺金能非金属管道有限公司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420370</wp:posOffset>
                  </wp:positionV>
                  <wp:extent cx="10400665" cy="1905"/>
                  <wp:effectExtent l="0" t="0" r="0" b="0"/>
                  <wp:wrapNone/>
                  <wp:docPr id="39" name="直接连接符_4"/>
                  <wp:cNvGraphicFramePr/>
                  <a:graphic xmlns:a="http://schemas.openxmlformats.org/drawingml/2006/main">
                    <a:graphicData uri="http://schemas.openxmlformats.org/drawingml/2006/picture">
                      <pic:pic xmlns:pic="http://schemas.openxmlformats.org/drawingml/2006/picture">
                        <pic:nvPicPr>
                          <pic:cNvPr id="39" name="直接连接符_4"/>
                          <pic:cNvPicPr/>
                        </pic:nvPicPr>
                        <pic:blipFill>
                          <a:blip r:link="rId6"/>
                          <a:stretch>
                            <a:fillRect/>
                          </a:stretch>
                        </pic:blipFill>
                        <pic:spPr>
                          <a:xfrm>
                            <a:off x="0" y="0"/>
                            <a:ext cx="10400665" cy="1905"/>
                          </a:xfrm>
                          <a:prstGeom prst="rect">
                            <a:avLst/>
                          </a:prstGeom>
                          <a:noFill/>
                          <a:ln>
                            <a:noFill/>
                          </a:ln>
                        </pic:spPr>
                      </pic:pic>
                    </a:graphicData>
                  </a:graphic>
                </wp:anchor>
              </w:drawing>
            </w:r>
            <w:r>
              <w:rPr>
                <w:rFonts w:hint="eastAsia" w:ascii="仿宋_GB2312" w:hAnsi="宋体" w:eastAsia="仿宋_GB2312" w:cs="仿宋_GB2312"/>
                <w:i w:val="0"/>
                <w:color w:val="000000"/>
                <w:sz w:val="24"/>
                <w:szCs w:val="24"/>
                <w:u w:val="none"/>
                <w:lang w:val="en-US" w:eastAsia="zh-CN"/>
              </w:rPr>
              <w:t>2</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淄博欧科新材料有限公司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淄博鲁康工业陶瓷厂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淄博雅琪工业瓷件厂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淄博德强瓷珠厂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山东淄川三峰社会福利硅碳棒厂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淄博凯翔碳化硅窑具厂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山东淄川三峰碳化硅耐火材料厂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淄博市华盛碳化硅有限公司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淄博增联建材有限公司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淄博市淄川福源耐火材料厂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淄博恒森耐火材料有限公司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淄博富邦元进耐火材料科技有限公司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淄博泰昶耐火材料有限公司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淄博市淄川区西高磷酸耐火材料厂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淄博市淄川盛发耐火材料厂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淄博津润节能材料有限公司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淄博欧利亚建陶有限公司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淄博昊星耐火材料有限公司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淄博坤德玉耐火材料有限公司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淄博久强保温材料有限公司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淄博市淄川和晟保温材料厂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淄博精进新材料有限公司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淄博市淄川春城耐火材料厂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淄博清孝炉业材料有限公司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淄博泰华节能材料有限公司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淄博意德新材料有限公司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淄博奎岳墙体材料有限公司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840105</wp:posOffset>
                  </wp:positionV>
                  <wp:extent cx="10400665" cy="1905"/>
                  <wp:effectExtent l="0" t="0" r="0" b="0"/>
                  <wp:wrapNone/>
                  <wp:docPr id="40" name="直接连接符_3"/>
                  <wp:cNvGraphicFramePr/>
                  <a:graphic xmlns:a="http://schemas.openxmlformats.org/drawingml/2006/main">
                    <a:graphicData uri="http://schemas.openxmlformats.org/drawingml/2006/picture">
                      <pic:pic xmlns:pic="http://schemas.openxmlformats.org/drawingml/2006/picture">
                        <pic:nvPicPr>
                          <pic:cNvPr id="40" name="直接连接符_3"/>
                          <pic:cNvPicPr/>
                        </pic:nvPicPr>
                        <pic:blipFill>
                          <a:blip r:link="rId7"/>
                          <a:stretch>
                            <a:fillRect/>
                          </a:stretch>
                        </pic:blipFill>
                        <pic:spPr>
                          <a:xfrm>
                            <a:off x="0" y="0"/>
                            <a:ext cx="10400665" cy="1905"/>
                          </a:xfrm>
                          <a:prstGeom prst="rect">
                            <a:avLst/>
                          </a:prstGeom>
                          <a:noFill/>
                          <a:ln>
                            <a:noFill/>
                          </a:ln>
                        </pic:spPr>
                      </pic:pic>
                    </a:graphicData>
                  </a:graphic>
                </wp:anchor>
              </w:drawing>
            </w:r>
            <w:r>
              <w:rPr>
                <w:rFonts w:hint="eastAsia" w:ascii="仿宋_GB2312" w:hAnsi="宋体" w:eastAsia="仿宋_GB2312" w:cs="仿宋_GB2312"/>
                <w:i w:val="0"/>
                <w:color w:val="000000"/>
                <w:sz w:val="24"/>
                <w:szCs w:val="24"/>
                <w:u w:val="none"/>
                <w:lang w:val="en-US" w:eastAsia="zh-CN"/>
              </w:rPr>
              <w:t>2</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淄博万宏节能砖厂</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淄博阔泰绝缘子有限公司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淄博创庆陶瓷有限公司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淄博圣跃窑炉材料有限公司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淄博永旭耐火材料有限公司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淄博利顺德新材料有限公司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淄博泓泉钙业有限公司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淄博兆东建材有限公司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山东舜天矿业有限公司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淄博顺丰金属制品有限公司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淄博鲁宝金属制品有限公司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淄博奥尼金属制品有限公司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淄博晟翔机械厂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淄博互利机械制造有限公司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淄博冠泰机械有限公司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淄博冠泰机械有限公司昆仑分公司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淄博冠泰机械有限公司淄川分公司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淄博淄川在立机械制造厂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淄博市淄川区成利铸造厂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淄博宏盛新材料有限公司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淄博光玉机械有限公司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淄博恒胜变速箱有限公司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淄博鲁嘟变速箱厂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淄博赫升机械制造有限公司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淄博江图机械制造有限公司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淄川区磁村繁盛铸造加工厂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淄博双基金属制品有限公司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1373505</wp:posOffset>
                  </wp:positionV>
                  <wp:extent cx="10400665" cy="1905"/>
                  <wp:effectExtent l="0" t="0" r="0" b="0"/>
                  <wp:wrapNone/>
                  <wp:docPr id="41" name="直接连接符_2"/>
                  <wp:cNvGraphicFramePr/>
                  <a:graphic xmlns:a="http://schemas.openxmlformats.org/drawingml/2006/main">
                    <a:graphicData uri="http://schemas.openxmlformats.org/drawingml/2006/picture">
                      <pic:pic xmlns:pic="http://schemas.openxmlformats.org/drawingml/2006/picture">
                        <pic:nvPicPr>
                          <pic:cNvPr id="41" name="直接连接符_2"/>
                          <pic:cNvPicPr/>
                        </pic:nvPicPr>
                        <pic:blipFill>
                          <a:blip r:link="rId8"/>
                          <a:stretch>
                            <a:fillRect/>
                          </a:stretch>
                        </pic:blipFill>
                        <pic:spPr>
                          <a:xfrm>
                            <a:off x="0" y="0"/>
                            <a:ext cx="10400665" cy="190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2</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淄博融智机械制造有限公司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淄博墨龙机械制造有限公司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淄博精卓机械厂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淄博恒昌铸造有限公司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淄川磁村守福铸造厂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淄博依澎机械有限公司淄川昆仑分公司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山东必拓重工有限公司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淄博神川电力金具有限公司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淄博盛刚机械有限公司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淄博建阳机械有限公司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淄博桥宇电瓷附件有限公司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淄博般阳机械有限公司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淄博金煌机械有限公司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淄博顺昌机械制造有限公司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淄博东汐机械有限公司河夹分公司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淄博荣辉机械有限公司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淄川区磁村龙涛机械加工厂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淄博刘瓦耐火材料有限公司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淄川区城南兴隆色釉加工厂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淄博银联工贸有限公司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淄博一名窑炉材料有限公司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淄博玉正陶瓷厂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淄博柏林机械有限公司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7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40"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山东金城医药化工有限公司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淄博市淄川福利化工原料厂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淄博市淄川鲁泰化工厂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淄博市淄川昆鑫助剂磨料厂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山东天晟机械装备股份有限公司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山东宝煤矿机有限公司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淄博佳坤花纸厂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淄博欣鸿艺花纸有限公司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淄博艺轩花纸有限公司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淄川昆仑惠通印刷加工厂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淄博睿</w:t>
            </w:r>
            <w:r>
              <w:rPr>
                <w:rStyle w:val="18"/>
                <w:lang w:val="en-US" w:eastAsia="zh-CN" w:bidi="ar"/>
              </w:rPr>
              <w:t>浛</w:t>
            </w:r>
            <w:r>
              <w:rPr>
                <w:rFonts w:hint="eastAsia" w:ascii="仿宋_GB2312" w:hAnsi="宋体" w:eastAsia="仿宋_GB2312" w:cs="仿宋_GB2312"/>
                <w:i w:val="0"/>
                <w:color w:val="000000"/>
                <w:kern w:val="0"/>
                <w:sz w:val="24"/>
                <w:szCs w:val="24"/>
                <w:u w:val="none"/>
                <w:lang w:val="en-US" w:eastAsia="zh-CN" w:bidi="ar"/>
              </w:rPr>
              <w:t>家具厂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山东汇丰石化集团销售有限公司淄博第108加油站</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山东万通集团淄博金顺油品有限公司第46加油站</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中国石化销售有限公司山东淄博淄川第25加油站</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510"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bdr w:val="single" w:color="000000" w:sz="4" w:space="0"/>
                <w:lang w:val="en-US" w:eastAsia="zh-CN" w:bidi="ar"/>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1991995</wp:posOffset>
                  </wp:positionV>
                  <wp:extent cx="10400665" cy="1905"/>
                  <wp:effectExtent l="0" t="0" r="0" b="0"/>
                  <wp:wrapNone/>
                  <wp:docPr id="42" name="直接连接符_6"/>
                  <wp:cNvGraphicFramePr/>
                  <a:graphic xmlns:a="http://schemas.openxmlformats.org/drawingml/2006/main">
                    <a:graphicData uri="http://schemas.openxmlformats.org/drawingml/2006/picture">
                      <pic:pic xmlns:pic="http://schemas.openxmlformats.org/drawingml/2006/picture">
                        <pic:nvPicPr>
                          <pic:cNvPr id="42" name="直接连接符_6"/>
                          <pic:cNvPicPr/>
                        </pic:nvPicPr>
                        <pic:blipFill>
                          <a:blip r:link="rId9"/>
                          <a:stretch>
                            <a:fillRect/>
                          </a:stretch>
                        </pic:blipFill>
                        <pic:spPr>
                          <a:xfrm>
                            <a:off x="0" y="0"/>
                            <a:ext cx="10400665" cy="1905"/>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bdr w:val="single" w:color="000000" w:sz="4" w:space="0"/>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bdr w:val="single" w:color="000000" w:sz="4" w:space="0"/>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bdr w:val="single" w:color="000000" w:sz="4" w:space="0"/>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bdr w:val="single" w:color="000000" w:sz="4" w:space="0"/>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sz w:val="24"/>
                <w:szCs w:val="24"/>
                <w:u w:val="none"/>
                <w:lang w:val="en-US" w:eastAsia="zh-CN"/>
              </w:rPr>
              <w:t>4</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中国石化销售有限公司山东淄博淄川第十八加油站</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51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中国石化销售有限公司山东淄博淄川第五加油站</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中国石油天然气股份有限公司山东淄博销售分公司康家坞加油站</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中国石油天然气股份有限公司山东淄博销售分公司淄川昆仑加油站</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淄博市淄川万通燃料运销中心</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淄博祖豪加油站</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淄博市淄川良积建筑材料有限公司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淄博泰山瓷业有限公司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淄博宏大陶瓷有限公司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淄博五洲陶瓷有限公司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淄博衡煦瓷业有限公司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淄博中齐电力设备有限公司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淄川区华鑫工业陶瓷厂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淄博纳米特精细陶瓷有限公司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淄博泰利工业陶瓷有限公司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淄博安德浩工业陶瓷有限公司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淄博东润陶瓷科技有限公司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淄博市淄川昌烨耐磨陶瓷厂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淄博陶润德工贸有限公司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功力机器有限公司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淄博硅元泰晟新材料有限公司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w:t>
            </w:r>
            <w:r>
              <w:rPr>
                <w:rStyle w:val="18"/>
                <w:lang w:val="en-US" w:eastAsia="zh-CN" w:bidi="ar"/>
              </w:rPr>
              <w:t>崯</w:t>
            </w:r>
            <w:r>
              <w:rPr>
                <w:rFonts w:hint="eastAsia" w:ascii="仿宋_GB2312" w:hAnsi="宋体" w:eastAsia="仿宋_GB2312" w:cs="仿宋_GB2312"/>
                <w:i w:val="0"/>
                <w:color w:val="000000"/>
                <w:kern w:val="0"/>
                <w:sz w:val="24"/>
                <w:szCs w:val="24"/>
                <w:u w:val="none"/>
                <w:lang w:val="en-US" w:eastAsia="zh-CN" w:bidi="ar"/>
              </w:rPr>
              <w:t>基新材料科技发展有限公司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淄博嘉艺陶瓷有限公司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淄博汇宝陶瓷有限公司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6"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1891030</wp:posOffset>
                  </wp:positionV>
                  <wp:extent cx="10400665" cy="1905"/>
                  <wp:effectExtent l="0" t="0" r="0" b="0"/>
                  <wp:wrapNone/>
                  <wp:docPr id="43" name="直接连接符_7"/>
                  <wp:cNvGraphicFramePr/>
                  <a:graphic xmlns:a="http://schemas.openxmlformats.org/drawingml/2006/main">
                    <a:graphicData uri="http://schemas.openxmlformats.org/drawingml/2006/picture">
                      <pic:pic xmlns:pic="http://schemas.openxmlformats.org/drawingml/2006/picture">
                        <pic:nvPicPr>
                          <pic:cNvPr id="43" name="直接连接符_7"/>
                          <pic:cNvPicPr/>
                        </pic:nvPicPr>
                        <pic:blipFill>
                          <a:blip r:link="rId10"/>
                          <a:stretch>
                            <a:fillRect/>
                          </a:stretch>
                        </pic:blipFill>
                        <pic:spPr>
                          <a:xfrm>
                            <a:off x="0" y="0"/>
                            <a:ext cx="10400665" cy="190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淄博华陶高温材料有限公司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淄博欧科新材料有限公司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淄博德强瓷珠厂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山东淄川三峰社会福利硅碳棒厂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淄博昊星耐火材料有限公司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淄博坤德玉耐火材料有限公司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淄博精进新材料有限公司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淄博意德新材料有限公司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淄博奎岳墙体材料有限公司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淄博兆东建材有限公司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淄博恒胜变速箱有限公司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淄博金煌机械有限公司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淄博顺昌机械制造有限公司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淄博玉正陶瓷厂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淄博柏林机械有限公司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淄博市淄川鹏飞化工瓷件厂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淄博晶盛陶瓷材料有限公司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淄博昂泰瓷业有限公司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淄博市华盛碳化硅有限公司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淄博增联建材有限公司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淄博欧利亚建陶有限公司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山东舜天矿业有限公司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淄博顺丰金属制品有限公司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淄博鲁宝金属制品有限公司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淄博晟翔机械厂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淄博昊普机械制造有限公司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淄博昊普机械制造有限公司甘泉分公司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6"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1890395</wp:posOffset>
                  </wp:positionV>
                  <wp:extent cx="10400665" cy="1905"/>
                  <wp:effectExtent l="0" t="0" r="0" b="0"/>
                  <wp:wrapNone/>
                  <wp:docPr id="44" name="直接连接符_8"/>
                  <wp:cNvGraphicFramePr/>
                  <a:graphic xmlns:a="http://schemas.openxmlformats.org/drawingml/2006/main">
                    <a:graphicData uri="http://schemas.openxmlformats.org/drawingml/2006/picture">
                      <pic:pic xmlns:pic="http://schemas.openxmlformats.org/drawingml/2006/picture">
                        <pic:nvPicPr>
                          <pic:cNvPr id="44" name="直接连接符_8"/>
                          <pic:cNvPicPr/>
                        </pic:nvPicPr>
                        <pic:blipFill>
                          <a:blip r:link="rId11"/>
                          <a:stretch>
                            <a:fillRect/>
                          </a:stretch>
                        </pic:blipFill>
                        <pic:spPr>
                          <a:xfrm>
                            <a:off x="0" y="0"/>
                            <a:ext cx="10400665" cy="190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淄博淄川在立机械制造厂</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淄博宏盛新材料有限公司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淄博光玉机械有限公司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淄博万发机械制造厂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淄川区磁村繁盛铸造加工厂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淄博双基金属制品有限公司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淄博融智机械制造有限公司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淄博精卓机械厂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淄川磁村守福铸造厂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淄博鹏博机械厂河夹分厂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淄博鹏博机械厂小百锡分厂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山东必拓重工有限公司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淄博桥宇电瓷附件有限公司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淄博银联工贸有限公司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淄博墨龙机械制造有限公司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淄博淄川皓岳工业瓷厂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淄博神川电力金具有限公司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山东淄川三峰碳化硅耐火材料厂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淄博恒森耐火材料有限公司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淄博雅琪工业瓷件厂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淄博创庆陶瓷有限公司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淄博宏泰陶瓷有限公司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淄博奥康机械有限公司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淄博般阳机械有限公司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淄博富邦元进耐火材料科技有限公司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淄博科峰陶瓷有限公司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淄博清孝炉业材料有限公司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2306955</wp:posOffset>
                  </wp:positionV>
                  <wp:extent cx="10400665" cy="1905"/>
                  <wp:effectExtent l="0" t="0" r="0" b="0"/>
                  <wp:wrapNone/>
                  <wp:docPr id="45" name="直接连接符_9"/>
                  <wp:cNvGraphicFramePr/>
                  <a:graphic xmlns:a="http://schemas.openxmlformats.org/drawingml/2006/main">
                    <a:graphicData uri="http://schemas.openxmlformats.org/drawingml/2006/picture">
                      <pic:pic xmlns:pic="http://schemas.openxmlformats.org/drawingml/2006/picture">
                        <pic:nvPicPr>
                          <pic:cNvPr id="45" name="直接连接符_9"/>
                          <pic:cNvPicPr/>
                        </pic:nvPicPr>
                        <pic:blipFill>
                          <a:blip r:link="rId12"/>
                          <a:stretch>
                            <a:fillRect/>
                          </a:stretch>
                        </pic:blipFill>
                        <pic:spPr>
                          <a:xfrm>
                            <a:off x="0" y="0"/>
                            <a:ext cx="10400665" cy="190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淄博市淄川春城耐火材料厂</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淄博永旭耐火材料有限公司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淄博凯宏铭瓷业有限公司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淄博乾豪日用陶瓷加工厂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淄博冠通混凝土有限公司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淄博万宏节能砖厂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淄博刘瓦耐火材料有限公司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淄博华岩工业陶瓷有限公司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淄川区城南兴隆色釉加工厂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淄博万方特种陶瓷有限公司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山东华澳陶瓷科技有限公司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淄博淄川隆盛工业瓷厂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淄博冠泰有限公司昆仑分公司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淄博鹏博机械厂马庄分厂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淄博东汐机械有限公司马庄分公司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淄博冠泰机械有限公司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淄川区磁村龙涛机械加工厂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山东淄博电瓷厂股份有限公司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淄博市淄川和晟保温材料厂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淄博威德陶瓷有限公司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淄博市淄川和盛工业陶瓷厂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淄博华鑫微珠厂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淄博泓泉钙业有限公司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淄博利顺德新材料有限公司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淄博依澎机械有限公司淄川西高分公司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淄博市淄川恒发工业陶瓷厂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淄博恒昌铸造有限公司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8890</wp:posOffset>
                  </wp:positionH>
                  <wp:positionV relativeFrom="paragraph">
                    <wp:posOffset>1887855</wp:posOffset>
                  </wp:positionV>
                  <wp:extent cx="10401300" cy="1905"/>
                  <wp:effectExtent l="0" t="0" r="0" b="0"/>
                  <wp:wrapNone/>
                  <wp:docPr id="46" name="直接连接符_10"/>
                  <wp:cNvGraphicFramePr/>
                  <a:graphic xmlns:a="http://schemas.openxmlformats.org/drawingml/2006/main">
                    <a:graphicData uri="http://schemas.openxmlformats.org/drawingml/2006/picture">
                      <pic:pic xmlns:pic="http://schemas.openxmlformats.org/drawingml/2006/picture">
                        <pic:nvPicPr>
                          <pic:cNvPr id="46" name="直接连接符_10"/>
                          <pic:cNvPicPr/>
                        </pic:nvPicPr>
                        <pic:blipFill>
                          <a:blip r:link="rId13"/>
                          <a:stretch>
                            <a:fillRect/>
                          </a:stretch>
                        </pic:blipFill>
                        <pic:spPr>
                          <a:xfrm>
                            <a:off x="0" y="0"/>
                            <a:ext cx="10401300" cy="190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淄博市淄川区西高磷酸耐火材料厂</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淄博市淄川盛发耐火材料厂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淄博一名窑炉材料有限公司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淄博东瑞建筑材料有限公司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淄博鲁嘟变速箱厂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淄博市淄川华润化工填料厂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淄博久强保温材料有限公司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淄博阔泰绝缘子有限公司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淄博云鹤彩色水泥有限公司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淄博祥升建筑垃圾处理有限公司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淄博钢星耐火材料有限公司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淄博泰华节能材料有限公司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山东昆仑瓷器股份有限公司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淄博冠泰机械有限公司淄川分公司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淄博昊普机械制造有限公司大百锡分公司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淄博市淄川区成利铸造厂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淄博万马机械制造有限公司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淄博万马机械制造有限公司刘瓦分公司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淄博云峰工业陶瓷有限公司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淄博津润节能材料有限公司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淄博荣辉机械有限公司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淄博市淄川福源耐火材料厂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淄博泰昶耐火材料有限公司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淄博万马机械制造有限公司张李分公司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8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辖区内火电、水泥、砖瓦、耐火、玻璃、铸造、碳酸钙、化工医药、涉VOCs行业企业</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69"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淄博富邦元进耐火材料科技有限公司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淄博昊星耐火材料有限公司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淄博恒森耐火材料有限公司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淄博坤德玉耐火材料有限公司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淄博欧利亚建陶有限公司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淄博市淄川福源耐火材料厂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淄博市淄川区西高磷酸耐火材料厂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淄博市淄川盛发耐火材料厂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淄博泰昶耐火材料有限公司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淄博泰华节能材料有限公司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淄博增联建材有限公司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淄博泓泉钙业有限公司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97" w:hRule="exac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淄博兆东建材有限公司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97"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淄博云鹤彩色水泥有限公司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山东华澳陶瓷科技有限公司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淄博泰山瓷业有限公司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淄博市淄川良积建筑材料有限公司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淄博万宏节能砖厂</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20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8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全面排查市政污水管网，对雨污混流、清污混流管网进行改造，及时修复漏损管网。6月底前完成淄博十中支流管网雨污分流改造。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30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完成孝妇河淄川段、范阳河淄川段综合治理工程，对河道进行清淤、疏通。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区政府投资工程建设中心、区河湖事业服务中心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1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69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 第3部分：小清河流域排放标准。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0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8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集中式饮用水水源地保护工程</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配合做好岭子磁村集中式饮用水水源地保护区调整和准保护区规范化建设工作。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2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2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1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矿井水治理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解决石谷矿矿井水溢流问题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6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昆仑镇人民政府、区自然资源局、区农业农村局</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97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4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4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昆仑镇人民政府、区自然资源局、区工业和信息化局</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66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抓好土壤污染治理与修复</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全面完成重点行业企业用地详查，梳理受污染和疑似污染地块，建立清单、名录，严格按照规范流程开展污染地块的调查、风险管控、修复和评估工作。</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山东金城医药化工有限公司（原山东金城医药集团股份有限公司）地块</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4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山东天晟机械装备股份有限公司（原淄博天晟实业有限责任公司、原山东天晟煤矿装备有限公司、原矿山机械建材厂、原淄博矿务局水泥厂、原东方红总厂、原淄博矿务局生产学习大队）地块</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8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淄博绿能环保能源有限公司地块</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淄博福禄新型材料有限责任公司（原淄博赛得克陶瓷颜料有限公司、原山东省硅酸盐研究设计院）地块</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淄博光正铝盐化工有限公司（原淄博矿务局石谷煤矿、原淄博矿务局石谷硫酸铝厂、原淄博光正实业有限责任公司）地块</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5"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淄博净洁净水剂有限公司（原磁村矿产公司）地块</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深入抓好土壤污染重点监管企业环境管理</w:t>
            </w:r>
          </w:p>
        </w:tc>
        <w:tc>
          <w:tcPr>
            <w:tcW w:w="3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督促企业依法落实《土壤污染防治法》和《土壤污染防治责任书》标准、要求，严格履行好控制有毒有害物质排放、建立隐患排查制度和开展自行监测等义务。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山东金城医药化工有限公司</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山东金城晖瑞环保科技有限公司</w:t>
            </w:r>
            <w:r>
              <w:rPr>
                <w:rFonts w:ascii="方正仿宋_GB2312" w:hAnsi="方正仿宋_GB2312" w:eastAsia="方正仿宋_GB2312" w:cs="方正仿宋_GB2312"/>
                <w:i w:val="0"/>
                <w:color w:val="000000"/>
                <w:kern w:val="0"/>
                <w:sz w:val="24"/>
                <w:szCs w:val="24"/>
                <w:u w:val="none"/>
                <w:lang w:val="en-US" w:eastAsia="zh-CN" w:bidi="ar"/>
              </w:rPr>
              <w:t xml:space="preserve"> </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淄博绿能环保能源有限公司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淄博福禄新型材料有限公司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0"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山东恒悦化工科技有限公司</w:t>
            </w:r>
          </w:p>
        </w:tc>
        <w:tc>
          <w:tcPr>
            <w:tcW w:w="14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28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69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9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提升固体废物处置能力建设</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淄川固体废物填埋场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45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72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296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41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昆仑镇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895"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西龙角村、马庄村治理任务和兴隆村、山嘴头村、东笠山村、上甘泉村、三台村、刘瓦村、坡子村、小邢村提升改造任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昆仑镇人民政府</w:t>
            </w:r>
          </w:p>
        </w:tc>
        <w:tc>
          <w:tcPr>
            <w:tcW w:w="14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jc w:val="both"/>
        <w:rPr>
          <w:rFonts w:hint="eastAsia" w:ascii="楷体_GB2312" w:hAnsi="楷体_GB2312" w:eastAsia="楷体_GB2312" w:cs="楷体_GB2312"/>
          <w:spacing w:val="0"/>
          <w:sz w:val="32"/>
          <w:szCs w:val="32"/>
        </w:rPr>
      </w:pPr>
    </w:p>
    <w:p>
      <w:pPr>
        <w:pStyle w:val="2"/>
        <w:jc w:val="both"/>
        <w:rPr>
          <w:rFonts w:hint="eastAsia" w:ascii="楷体_GB2312" w:hAnsi="楷体_GB2312" w:eastAsia="楷体_GB2312" w:cs="楷体_GB2312"/>
          <w:spacing w:val="0"/>
          <w:sz w:val="32"/>
          <w:szCs w:val="32"/>
        </w:rPr>
      </w:pPr>
    </w:p>
    <w:p>
      <w:pPr>
        <w:pStyle w:val="2"/>
        <w:jc w:val="both"/>
        <w:rPr>
          <w:rFonts w:hint="eastAsia" w:ascii="楷体_GB2312" w:hAnsi="楷体_GB2312" w:eastAsia="楷体_GB2312" w:cs="楷体_GB2312"/>
          <w:spacing w:val="0"/>
          <w:sz w:val="32"/>
          <w:szCs w:val="32"/>
        </w:rPr>
      </w:pPr>
    </w:p>
    <w:p>
      <w:pPr>
        <w:pStyle w:val="2"/>
        <w:jc w:val="both"/>
        <w:rPr>
          <w:rFonts w:hint="eastAsia" w:ascii="楷体_GB2312" w:hAnsi="楷体_GB2312" w:eastAsia="楷体_GB2312" w:cs="楷体_GB2312"/>
          <w:spacing w:val="0"/>
          <w:sz w:val="32"/>
          <w:szCs w:val="32"/>
        </w:rPr>
      </w:pPr>
    </w:p>
    <w:p>
      <w:pPr>
        <w:pStyle w:val="2"/>
        <w:jc w:val="both"/>
        <w:rPr>
          <w:rFonts w:hint="eastAsia" w:ascii="楷体_GB2312" w:hAnsi="楷体_GB2312" w:eastAsia="楷体_GB2312" w:cs="楷体_GB2312"/>
          <w:spacing w:val="0"/>
          <w:sz w:val="32"/>
          <w:szCs w:val="32"/>
        </w:rPr>
      </w:pPr>
    </w:p>
    <w:p>
      <w:pPr>
        <w:pStyle w:val="2"/>
        <w:jc w:val="both"/>
        <w:rPr>
          <w:rFonts w:hint="eastAsia" w:ascii="楷体_GB2312" w:hAnsi="楷体_GB2312" w:eastAsia="楷体_GB2312" w:cs="楷体_GB2312"/>
          <w:spacing w:val="0"/>
          <w:sz w:val="32"/>
          <w:szCs w:val="32"/>
        </w:rPr>
      </w:pPr>
    </w:p>
    <w:p>
      <w:pPr>
        <w:pStyle w:val="2"/>
        <w:jc w:val="both"/>
        <w:rPr>
          <w:rFonts w:hint="eastAsia" w:ascii="楷体_GB2312" w:hAnsi="楷体_GB2312" w:eastAsia="楷体_GB2312" w:cs="楷体_GB2312"/>
          <w:spacing w:val="0"/>
          <w:sz w:val="32"/>
          <w:szCs w:val="32"/>
        </w:rPr>
      </w:pPr>
    </w:p>
    <w:p>
      <w:pPr>
        <w:pStyle w:val="2"/>
        <w:jc w:val="both"/>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双杨镇人民政府</w:t>
      </w:r>
    </w:p>
    <w:tbl>
      <w:tblPr>
        <w:tblStyle w:val="7"/>
        <w:tblW w:w="15419" w:type="dxa"/>
        <w:jc w:val="center"/>
        <w:tblInd w:w="-1526" w:type="dxa"/>
        <w:shd w:val="clear" w:color="auto" w:fill="auto"/>
        <w:tblLayout w:type="fixed"/>
        <w:tblCellMar>
          <w:top w:w="0" w:type="dxa"/>
          <w:left w:w="0" w:type="dxa"/>
          <w:bottom w:w="0" w:type="dxa"/>
          <w:right w:w="0" w:type="dxa"/>
        </w:tblCellMar>
      </w:tblPr>
      <w:tblGrid>
        <w:gridCol w:w="615"/>
        <w:gridCol w:w="1320"/>
        <w:gridCol w:w="3645"/>
        <w:gridCol w:w="1649"/>
        <w:gridCol w:w="4620"/>
        <w:gridCol w:w="1350"/>
        <w:gridCol w:w="2220"/>
      </w:tblGrid>
      <w:tr>
        <w:tblPrEx>
          <w:shd w:val="clear" w:color="auto" w:fill="auto"/>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燃煤小机组整合、淘汰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对30万千瓦及以上热电联产机组供热半径15公里范围内的燃煤锅炉再排查。</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区发改局 </w:t>
            </w:r>
          </w:p>
        </w:tc>
      </w:tr>
      <w:tr>
        <w:tblPrEx>
          <w:tblLayout w:type="fixed"/>
          <w:tblCellMar>
            <w:top w:w="0" w:type="dxa"/>
            <w:left w:w="0" w:type="dxa"/>
            <w:bottom w:w="0" w:type="dxa"/>
            <w:right w:w="0" w:type="dxa"/>
          </w:tblCellMar>
        </w:tblPrEx>
        <w:trPr>
          <w:trHeight w:val="10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燃煤工业锅炉淘汰或清洁能源置换</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对10蒸吨/小时及以下高效煤粉锅炉关停淘汰或清洁燃料替代。</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山东盛泰化工科技有限公司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对全市工业炉窑再摸底排查，按照炉窑类型、燃料类型、生产工艺等分门别类实施综合整治，关停取缔一批、能源改造一批、治理提升一批。</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山东烨达耐火材料有限公司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山东亚行陶瓷有限公司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淄博市淄川鑫城瓷业有限公司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淄博峰霞陶瓷有限公司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山东狮子王陶瓷科技有限公司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淄博市淄川中盛陶瓷有限公司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淄博舜元建陶有限公司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山东远丰陶瓷有限公司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山东亮剑陶瓷有限公司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山东统一陶瓷科技有限公司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淄博耀川玻璃制品有限公司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淄博鑫楼琉璃瓦有限公司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淄博锋泰琉璃瓦厂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淄博尚达日用陶瓷有限公司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淄博金马琉璃瓦制品有限公司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95" w:hRule="exac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1905</wp:posOffset>
                  </wp:positionV>
                  <wp:extent cx="10241915" cy="3810"/>
                  <wp:effectExtent l="0" t="0" r="0" b="0"/>
                  <wp:wrapNone/>
                  <wp:docPr id="47" name="直接连接符_4"/>
                  <wp:cNvGraphicFramePr/>
                  <a:graphic xmlns:a="http://schemas.openxmlformats.org/drawingml/2006/main">
                    <a:graphicData uri="http://schemas.openxmlformats.org/drawingml/2006/picture">
                      <pic:pic xmlns:pic="http://schemas.openxmlformats.org/drawingml/2006/picture">
                        <pic:nvPicPr>
                          <pic:cNvPr id="47" name="直接连接符_4"/>
                          <pic:cNvPicPr/>
                        </pic:nvPicPr>
                        <pic:blipFill>
                          <a:blip r:link="rId6"/>
                          <a:stretch>
                            <a:fillRect/>
                          </a:stretch>
                        </pic:blipFill>
                        <pic:spPr>
                          <a:xfrm>
                            <a:off x="0" y="0"/>
                            <a:ext cx="10241915" cy="381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对全市工业炉窑再摸底排查，按照炉窑类型、燃料类型、生产工艺等分门别类实施综合整治，关停取缔一批、能源改造一批、治理提升一批。</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淄川白沙缸瓦厂</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淄川区双沟镇双杨砖瓦厂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淄博锦昊陶瓷有限公司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山东雅迪陶瓷有限公司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山东顺为陶瓷有限公司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山东狮王陶瓷有限公司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淄博市淄川龙凤琉璃瓦有限公司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淄博栋梁琉璃瓦有限公司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山东国润陶瓷有限公司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山东省淄博华洋陶瓷有限责任公司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山东齐都陶瓷有限公司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淄博嘉周玻璃有限公司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淄博金狮王科技陶瓷集团有限公司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淄博双凤陶瓷有限公司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山东天照建陶有限公司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淄博川烨日用陶瓷有限公司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淄博金卡陶瓷有限公司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淄博博冠瓦业科技有限公司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淄博业腾陶瓷有限公司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淄博恒特耐磨新材料有限公司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淄博创冠陶瓷有限公司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淄博珍龙建材有限公司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淄博市宝泉轻工制品有限公司双凤分公司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淄博宝平玻璃有限公司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淄博新博陶瓷科技有限公司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淄博卡普尔陶瓷有限公司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淄博隆泰工贸有限公司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淄博格伦凯陶瓷有限公司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4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3810</wp:posOffset>
                  </wp:positionV>
                  <wp:extent cx="10241915" cy="3810"/>
                  <wp:effectExtent l="0" t="0" r="0" b="0"/>
                  <wp:wrapNone/>
                  <wp:docPr id="48" name="直接连接符_6"/>
                  <wp:cNvGraphicFramePr/>
                  <a:graphic xmlns:a="http://schemas.openxmlformats.org/drawingml/2006/main">
                    <a:graphicData uri="http://schemas.openxmlformats.org/drawingml/2006/picture">
                      <pic:pic xmlns:pic="http://schemas.openxmlformats.org/drawingml/2006/picture">
                        <pic:nvPicPr>
                          <pic:cNvPr id="48" name="直接连接符_6"/>
                          <pic:cNvPicPr/>
                        </pic:nvPicPr>
                        <pic:blipFill>
                          <a:blip r:link="rId9"/>
                          <a:stretch>
                            <a:fillRect/>
                          </a:stretch>
                        </pic:blipFill>
                        <pic:spPr>
                          <a:xfrm>
                            <a:off x="0" y="0"/>
                            <a:ext cx="10241915" cy="381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山东鲁维制药有限公司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工信局</w:t>
            </w:r>
          </w:p>
        </w:tc>
      </w:tr>
      <w:tr>
        <w:tblPrEx>
          <w:tblLayout w:type="fixed"/>
          <w:tblCellMar>
            <w:top w:w="0" w:type="dxa"/>
            <w:left w:w="0" w:type="dxa"/>
            <w:bottom w:w="0" w:type="dxa"/>
            <w:right w:w="0" w:type="dxa"/>
          </w:tblCellMar>
        </w:tblPrEx>
        <w:trPr>
          <w:trHeight w:val="312"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山东兴辉化工有限公司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中国石化销售有限公司山东淄博淄川第二十加油站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山东壳牌石油有限公司淄博市淄川区杨萌路加油站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中国石化销售有限公司山东淄博淄川第二十二加油站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中国石化销售有限公司山东淄博淄川第一加油站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淄博淄川区双沟供销社加油站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中国石油天然气股份有限公司山东淄博淄川杨寨加油站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山东壳牌石油有限公司淄博市淄川区狮王大道加油站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淄博市淄川区辛晟石油化工有限公司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淄博市淄川双凤加油站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淄博市淄川区凯鑫加油站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淄博汉龙机械有限公司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淄博国韵红木家具有限公司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6" w:hRule="exac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5715</wp:posOffset>
                  </wp:positionH>
                  <wp:positionV relativeFrom="paragraph">
                    <wp:posOffset>1905</wp:posOffset>
                  </wp:positionV>
                  <wp:extent cx="10242550" cy="3810"/>
                  <wp:effectExtent l="0" t="0" r="0" b="0"/>
                  <wp:wrapNone/>
                  <wp:docPr id="49" name="直接连接符_3"/>
                  <wp:cNvGraphicFramePr/>
                  <a:graphic xmlns:a="http://schemas.openxmlformats.org/drawingml/2006/main">
                    <a:graphicData uri="http://schemas.openxmlformats.org/drawingml/2006/picture">
                      <pic:pic xmlns:pic="http://schemas.openxmlformats.org/drawingml/2006/picture">
                        <pic:nvPicPr>
                          <pic:cNvPr id="49" name="直接连接符_3"/>
                          <pic:cNvPicPr/>
                        </pic:nvPicPr>
                        <pic:blipFill>
                          <a:blip r:link="rId7"/>
                          <a:stretch>
                            <a:fillRect/>
                          </a:stretch>
                        </pic:blipFill>
                        <pic:spPr>
                          <a:xfrm>
                            <a:off x="0" y="0"/>
                            <a:ext cx="10242550" cy="381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淄博双凤山水水泥有限公司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山东统一陶瓷科技有限公司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山东远丰陶瓷有限公司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山东顺为陶瓷有限公司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淄博锦昊陶瓷有限公司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淄博新博陶瓷科技有限公司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淄博业腾陶瓷有限公司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淄博卡普尔陶瓷有限公司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山东国润陶瓷有限公司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淄博博冠瓦业科技有限公司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淄博珍龙建材有限公司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淄博鑫楼琉璃瓦有限公司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淄博栋梁琉璃瓦有限公司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山东亮剑陶瓷有限公司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淄博金卡陶瓷有限公司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山东亚行陶瓷有限公司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淄博舜元建陶有限公司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山东齐都陶瓷有限公司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山东玉玺陶瓷有限公司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山东鲁维制药有限公司自备电厂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山东狮子王陶瓷科技有限公司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淄博峰霞陶瓷有限公司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山东格伦凯陶瓷有限公司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山东雅迪陶瓷有限公司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淄博恒特耐磨新材料科技有限公司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淄博市淄川龙凤琉璃瓦有限公司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06"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19"/>
                <w:rFonts w:hAnsi="宋体"/>
                <w:lang w:val="en-US" w:eastAsia="zh-CN" w:bidi="ar"/>
              </w:rPr>
              <w:t>淄博新</w:t>
            </w:r>
            <w:r>
              <w:rPr>
                <w:rFonts w:hint="eastAsia" w:ascii="宋体" w:hAnsi="宋体" w:eastAsia="宋体" w:cs="宋体"/>
                <w:i w:val="0"/>
                <w:color w:val="000000"/>
                <w:kern w:val="0"/>
                <w:sz w:val="24"/>
                <w:szCs w:val="24"/>
                <w:u w:val="none"/>
                <w:lang w:val="en-US" w:eastAsia="zh-CN" w:bidi="ar"/>
              </w:rPr>
              <w:t>昇</w:t>
            </w:r>
            <w:r>
              <w:rPr>
                <w:rStyle w:val="19"/>
                <w:rFonts w:hAnsi="宋体"/>
                <w:lang w:val="en-US" w:eastAsia="zh-CN" w:bidi="ar"/>
              </w:rPr>
              <w:t>混凝土有限公司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7" w:hRule="exac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836295</wp:posOffset>
                  </wp:positionV>
                  <wp:extent cx="10247630" cy="6985"/>
                  <wp:effectExtent l="0" t="0" r="0" b="0"/>
                  <wp:wrapNone/>
                  <wp:docPr id="50" name="直接连接符_2"/>
                  <wp:cNvGraphicFramePr/>
                  <a:graphic xmlns:a="http://schemas.openxmlformats.org/drawingml/2006/main">
                    <a:graphicData uri="http://schemas.openxmlformats.org/drawingml/2006/picture">
                      <pic:pic xmlns:pic="http://schemas.openxmlformats.org/drawingml/2006/picture">
                        <pic:nvPicPr>
                          <pic:cNvPr id="50" name="直接连接符_2"/>
                          <pic:cNvPicPr/>
                        </pic:nvPicPr>
                        <pic:blipFill>
                          <a:blip r:link="rId8"/>
                          <a:stretch>
                            <a:fillRect/>
                          </a:stretch>
                        </pic:blipFill>
                        <pic:spPr>
                          <a:xfrm>
                            <a:off x="0" y="0"/>
                            <a:ext cx="10247630" cy="698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淄博晨光混凝土有限公司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山东省淄博华洋陶瓷有限责任公司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山东天照建陶有限公司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淄博凯盛混凝土有限公司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淄博金狮王科技陶瓷集团有限公司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淄博桂冠建材有限公司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淄川区双沟镇双杨砖瓦厂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淄博尚达日用陶瓷有限公司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淄博川烨日用陶瓷有限公司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淄博市淄川鑫城瓷业有限公司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山东烨达耐火材料有限公司（法家）</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淄博创冠陶瓷有限公司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山东狮王陶瓷有限公司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山东烨达耐火材料有限公司（南铺）</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淄博市淄川华宇工业陶瓷厂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淄博锋泰琉璃瓦厂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淄博金马琉璃瓦制品有限公司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淄博金城恒基混凝土有限公司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淄博龙翔琉璃瓦制品有限公司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淄博市淄川中盛陶瓷有限公司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辖区内火电、水泥、砖瓦、耐火、玻璃、铸造、化工医药、涉VOCs行业企业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3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11"/>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山东烨达耐火材料有限公司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淄博市淄川华宇工业陶瓷厂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淄博双凤山水水泥有限公司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山东亮剑陶瓷有限公司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山东省淄博华洋陶瓷有限责任公司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山东狮王陶瓷有限公司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山东狮子王陶瓷科技有限公司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山东顺为陶瓷有限公司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山东天照建陶有限公司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山东统一陶瓷科技有限公司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山东雅迪陶瓷有限公司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山东亚细亚陶瓷有限公司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山东远丰陶瓷有限公司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淄博超越耐火新材料有限公司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淄博创冠陶瓷有限公司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淄博峰霞陶瓷有限公司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淄博格伦凯陶瓷有限公司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淄博金卡陶瓷有限公司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淄博金狮王科技陶瓷集团有限公司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淄博锦昊陶瓷有限公司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淄博卡普尔陶瓷有限公司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1472565</wp:posOffset>
                  </wp:positionV>
                  <wp:extent cx="10248265" cy="0"/>
                  <wp:effectExtent l="0" t="0" r="0" b="0"/>
                  <wp:wrapNone/>
                  <wp:docPr id="51" name="直接连接符_1"/>
                  <wp:cNvGraphicFramePr/>
                  <a:graphic xmlns:a="http://schemas.openxmlformats.org/drawingml/2006/main">
                    <a:graphicData uri="http://schemas.openxmlformats.org/drawingml/2006/picture">
                      <pic:pic xmlns:pic="http://schemas.openxmlformats.org/drawingml/2006/picture">
                        <pic:nvPicPr>
                          <pic:cNvPr id="51" name="直接连接符_1"/>
                          <pic:cNvPicPr/>
                        </pic:nvPicPr>
                        <pic:blipFill>
                          <a:blip r:link="rId14"/>
                          <a:stretch>
                            <a:fillRect/>
                          </a:stretch>
                        </pic:blipFill>
                        <pic:spPr>
                          <a:xfrm>
                            <a:off x="0" y="0"/>
                            <a:ext cx="10248265" cy="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淄博市淄川中盛陶瓷有限公司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淄博双凤陶瓷有限公司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淄博舜元建陶有限公司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淄博业腾陶瓷有限公司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淄博栋梁琉璃瓦有限公司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淄博市淄川锋泰琉璃瓦厂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淄博金马琉璃瓦制品有限公司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淄博市淄川龙凤琉璃瓦有限公司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淄博鑫楼琉璃瓦有限公司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淄川白沙缸瓦厂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淄川区双沟镇双杨砖瓦厂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3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6月底前完成鲁维制药高盐废水治理项目。</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山东鲁维制药有限公司及辖区涉氟、氯化物涉水企业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04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全面排查市政污水管网，对雨污混流、清污混流管网进行改造，及时修复漏损管网。6月底前完成小庄支流、五里河双杨段雨污混排方沟雨污分流改造。</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区市政环卫服务中心、双杨镇人民政府</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86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区政府投资工程建设中心、双杨镇人民政府</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4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城镇污水处理厂提改扩建工程</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按照市委、市政府确定的标准和要求，完成提标改造年度任务。</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葛洲坝水务淄博淄川有限公司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完成孝妇河淄川段综合治理工程，对河道进行清淤、疏通。</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6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 第3部分：小清河流域排放标准。</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47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城市雨污分流改造</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市委市政府《关于印发&lt;淄博市贯彻落实中央环境保护督察组反馈意见整改实施方案&gt;的通知》（淄发〔2018〕20号）、市政府办公厅《关于加快对城市雨污合流管网进行分流改造的通知》（淄政办发明电〔2017〕26号）要求，完成2020年度雨污合流管网分流改造任务。优先对合流制主管网及截流倍数小的合流制管道进行雨污分流改造，暂不具备改造条件的，应采取增加截留倍数、调蓄等措施降低溢流量，采取快速净化措施对溢流污染进行处理，逐步降低雨季污染物入河湖量。</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区政府投资工程建设中心、区市政环卫服务中心、双杨镇人民政府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区住房和城乡建设局</w:t>
            </w:r>
          </w:p>
        </w:tc>
      </w:tr>
      <w:tr>
        <w:tblPrEx>
          <w:shd w:val="clear" w:color="auto" w:fill="auto"/>
          <w:tblLayout w:type="fixed"/>
          <w:tblCellMar>
            <w:top w:w="0" w:type="dxa"/>
            <w:left w:w="0" w:type="dxa"/>
            <w:bottom w:w="0" w:type="dxa"/>
            <w:right w:w="0" w:type="dxa"/>
          </w:tblCellMar>
        </w:tblPrEx>
        <w:trPr>
          <w:trHeight w:val="33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3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化工聚集区地下水监测</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罗村镇人民政府做好对列入中央环保督察的淄川新材料园区按照《山东省化工企业聚集区及其周边地下水水质监测井设立和监测的指导意见》和《淄川区新材料（医药化工）园区地下水污染防控方案》要求开展监测。</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8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2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双杨镇人民政府、区自然资源局、区农业农村局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9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1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双杨镇人民政府、区自然资源局、区工业和信息化局</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9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抓好土壤污染治理与修复。</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全面完成重点行业企业用地详查，梳理受污染和疑似污染地块，建立清单、名录，严格按照规范流程开展污染地块的调查、风险管控、修复和评估工作。</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山东鲁维制药有限公司（淄博鲁维食品生物有限公司、山东华龙化工股份有限公司）地块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737" w:hRule="exac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深入抓好土壤污染重点监管企业环境管理</w:t>
            </w:r>
          </w:p>
        </w:tc>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督促企业依法落实《土壤污染防治法》和《土壤污染防治责任书》标准、要求，严格履行好控制有毒有害物质排放、建立隐患排查制度和开展自行监测等义务。</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山东鲁维制药有限公司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73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山东凯盛新材料股份有限公司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37" w:hRule="exac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山东瑞柯林环保科技有限公司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8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葛洲坝水务淄博淄川有限公司、辖区内相关企业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52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30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5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9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4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双杨镇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7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十里村、耿家村、坡子村、法家村、赵家村、郭家村、东河村、西河村、庵头村、南铺村治理任务和双河村提升改造任务。</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双杨镇人民政府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罗村镇人民政府</w:t>
      </w:r>
    </w:p>
    <w:tbl>
      <w:tblPr>
        <w:tblStyle w:val="7"/>
        <w:tblW w:w="15427" w:type="dxa"/>
        <w:jc w:val="center"/>
        <w:tblInd w:w="-1670" w:type="dxa"/>
        <w:shd w:val="clear" w:color="auto" w:fill="auto"/>
        <w:tblLayout w:type="fixed"/>
        <w:tblCellMar>
          <w:top w:w="0" w:type="dxa"/>
          <w:left w:w="0" w:type="dxa"/>
          <w:bottom w:w="0" w:type="dxa"/>
          <w:right w:w="0" w:type="dxa"/>
        </w:tblCellMar>
      </w:tblPr>
      <w:tblGrid>
        <w:gridCol w:w="675"/>
        <w:gridCol w:w="1275"/>
        <w:gridCol w:w="3675"/>
        <w:gridCol w:w="1651"/>
        <w:gridCol w:w="4545"/>
        <w:gridCol w:w="1350"/>
        <w:gridCol w:w="2256"/>
      </w:tblGrid>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燃煤小机组整合、淘汰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关停1台落后燃煤小机组。对30万千瓦及以上热电联产机组供热半径15公里范围内的燃煤锅炉再排查。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区发改局</w:t>
            </w:r>
          </w:p>
        </w:tc>
      </w:tr>
      <w:tr>
        <w:tblPrEx>
          <w:tblLayout w:type="fixed"/>
          <w:tblCellMar>
            <w:top w:w="0" w:type="dxa"/>
            <w:left w:w="0" w:type="dxa"/>
            <w:bottom w:w="0" w:type="dxa"/>
            <w:right w:w="0" w:type="dxa"/>
          </w:tblCellMar>
        </w:tblPrEx>
        <w:trPr>
          <w:trHeight w:val="312"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淄博市淄川宏大耐火材料有限公司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山东名宇陶瓷科技有限公司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淄博鲁中水泥有限公司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淄博金亿陶瓷有限公司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淄博汇鹏陶瓷新材料有限公司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淄博唯能陶瓷有限公司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淄博锦川陶瓷有限公司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淄博华莱瓷业有限公司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淄博东铂工贸有限公司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淄博亚威工贸有限公司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淄博市淄川力王耐火材料厂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淄博官北钙业有限公司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淄博建陟工贸有限公司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山东鲁中钙业有限公司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淄博鑫亚钙业有限公司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淄博玲珑氧化钙厂（东厂）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山东恒隆碳酸钙有限公司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淄博巨宇建材有限公司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淄博恒丰建材厂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淄博晟堡建材厂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7620</wp:posOffset>
                  </wp:positionV>
                  <wp:extent cx="10247630" cy="3810"/>
                  <wp:effectExtent l="0" t="0" r="0" b="0"/>
                  <wp:wrapNone/>
                  <wp:docPr id="2" name="直接连接符_3"/>
                  <wp:cNvGraphicFramePr/>
                  <a:graphic xmlns:a="http://schemas.openxmlformats.org/drawingml/2006/main">
                    <a:graphicData uri="http://schemas.openxmlformats.org/drawingml/2006/picture">
                      <pic:pic xmlns:pic="http://schemas.openxmlformats.org/drawingml/2006/picture">
                        <pic:nvPicPr>
                          <pic:cNvPr id="2" name="直接连接符_3"/>
                          <pic:cNvPicPr/>
                        </pic:nvPicPr>
                        <pic:blipFill>
                          <a:blip r:link="rId7"/>
                          <a:stretch>
                            <a:fillRect/>
                          </a:stretch>
                        </pic:blipFill>
                        <pic:spPr>
                          <a:xfrm>
                            <a:off x="0" y="0"/>
                            <a:ext cx="10247630" cy="381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淄博仿古建材有限公司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w:t>
            </w:r>
            <w:r>
              <w:rPr>
                <w:rFonts w:hint="eastAsia" w:ascii="宋体" w:hAnsi="宋体" w:eastAsia="宋体" w:cs="宋体"/>
                <w:i w:val="0"/>
                <w:color w:val="000000"/>
                <w:kern w:val="0"/>
                <w:sz w:val="24"/>
                <w:szCs w:val="24"/>
                <w:u w:val="none"/>
                <w:lang w:val="en-US" w:eastAsia="zh-CN" w:bidi="ar"/>
              </w:rPr>
              <w:t>垚</w:t>
            </w:r>
            <w:r>
              <w:rPr>
                <w:rFonts w:hint="eastAsia" w:ascii="仿宋_GB2312" w:hAnsi="宋体" w:eastAsia="仿宋_GB2312" w:cs="仿宋_GB2312"/>
                <w:i w:val="0"/>
                <w:color w:val="000000"/>
                <w:kern w:val="0"/>
                <w:sz w:val="24"/>
                <w:szCs w:val="24"/>
                <w:u w:val="none"/>
                <w:lang w:val="en-US" w:eastAsia="zh-CN" w:bidi="ar"/>
              </w:rPr>
              <w:t>鑫新材料有限责任公司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淄博赛纳新材料科技有限公司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淄博市鲁中耐火材料有限公司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山东赢正纳米新材料科技有限公司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山东耿瓷集团有限公司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淄博新金亿陶瓷科技有限公司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山东万豪陶瓷有限公司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山东宏狮陶瓷科技有限公司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山东华煜陶瓷科技有限公司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淄博超科氧化铝材料有限公司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山东圣川新材料科技股份有限公司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山东西官氧化铝科技有限公司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山东鼎美新材料科技股份有限公司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2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山东创大钢丝制品有限公司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淄博市淄川区罗村供销合作社加油站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淄博超群加油站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中国石化淄川11站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中国石化淄川17站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中国石化淄川30站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山东汇丰石化集团销售有限公司淄博第一二九加油站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10"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中国石油天然气股份有限公司山东淄博销售分公司淄川湖罗路东加油站</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淄博金亿陶瓷有限公司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淄博国豪水泥有限公司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山东博克化学股份有限公司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淄博恒丰建材厂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淄博汇鹏陶瓷新材料有限公司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淄川区鸿坤水泥厂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淄博昊阳化工有限公司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淄博官北钙业有限公司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山东宏狮陶瓷科技有限公司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淄博达</w:t>
            </w:r>
            <w:r>
              <w:rPr>
                <w:rFonts w:hint="eastAsia" w:ascii="宋体" w:hAnsi="宋体" w:eastAsia="宋体" w:cs="宋体"/>
                <w:i w:val="0"/>
                <w:color w:val="000000"/>
                <w:kern w:val="0"/>
                <w:sz w:val="24"/>
                <w:szCs w:val="24"/>
                <w:u w:val="none"/>
                <w:lang w:val="en-US" w:eastAsia="zh-CN" w:bidi="ar"/>
              </w:rPr>
              <w:t>億</w:t>
            </w:r>
            <w:r>
              <w:rPr>
                <w:rFonts w:hint="eastAsia" w:ascii="仿宋_GB2312" w:hAnsi="宋体" w:eastAsia="仿宋_GB2312" w:cs="仿宋_GB2312"/>
                <w:i w:val="0"/>
                <w:color w:val="000000"/>
                <w:kern w:val="0"/>
                <w:sz w:val="24"/>
                <w:szCs w:val="24"/>
                <w:u w:val="none"/>
                <w:lang w:val="en-US" w:eastAsia="zh-CN" w:bidi="ar"/>
              </w:rPr>
              <w:t>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淄博晗光陶瓷有限公司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淄博恒发脚线加工厂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淄川区罗村镇王浩瓷砖加工厂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淄博大众食用化工股份有限公司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淄博天佑微粉厂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淄博赛纳新材料科技有限公司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淄博鲁中水泥有限公司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215900</wp:posOffset>
                  </wp:positionV>
                  <wp:extent cx="10247630" cy="3810"/>
                  <wp:effectExtent l="0" t="0" r="0" b="0"/>
                  <wp:wrapNone/>
                  <wp:docPr id="5" name="直接连接符_1"/>
                  <wp:cNvGraphicFramePr/>
                  <a:graphic xmlns:a="http://schemas.openxmlformats.org/drawingml/2006/main">
                    <a:graphicData uri="http://schemas.openxmlformats.org/drawingml/2006/picture">
                      <pic:pic xmlns:pic="http://schemas.openxmlformats.org/drawingml/2006/picture">
                        <pic:nvPicPr>
                          <pic:cNvPr id="5" name="直接连接符_1"/>
                          <pic:cNvPicPr/>
                        </pic:nvPicPr>
                        <pic:blipFill>
                          <a:blip r:link="rId14"/>
                          <a:stretch>
                            <a:fillRect/>
                          </a:stretch>
                        </pic:blipFill>
                        <pic:spPr>
                          <a:xfrm>
                            <a:off x="0" y="0"/>
                            <a:ext cx="10247630" cy="381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淄博市淄川松岭水泥有限公司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5"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bdr w:val="single" w:color="000000" w:sz="4" w:space="0"/>
                <w:lang w:val="en-US" w:eastAsia="zh-CN" w:bidi="ar"/>
              </w:rPr>
            </w:pPr>
          </w:p>
        </w:tc>
        <w:tc>
          <w:tcPr>
            <w:tcW w:w="12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36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none"/>
                <w:lang w:val="en-US" w:eastAsia="zh-CN" w:bidi="ar"/>
              </w:rPr>
            </w:pPr>
          </w:p>
        </w:tc>
        <w:tc>
          <w:tcPr>
            <w:tcW w:w="165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淄博锦川水泥有限公司</w:t>
            </w:r>
          </w:p>
        </w:tc>
        <w:tc>
          <w:tcPr>
            <w:tcW w:w="13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225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淄博鲁中水泥有限公司热电厂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淄博天德水泥有限责任公司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淄博唯能陶瓷有限公司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淄博建陟工贸有限公司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淄博鑫亚钙业有限公司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山东恒隆碳酸钙有限公司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淄博仿古建材有限公司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淄博巨宇建材有限公司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2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11"/>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辖区内火电、水泥、砖瓦、耐火、玻璃、铸造、碳酸钙、化工医药、涉VOCs行业企业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1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11"/>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65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1724660</wp:posOffset>
                  </wp:positionV>
                  <wp:extent cx="10247630" cy="331470"/>
                  <wp:effectExtent l="0" t="0" r="0" b="0"/>
                  <wp:wrapNone/>
                  <wp:docPr id="4" name="直接连接符_2"/>
                  <wp:cNvGraphicFramePr/>
                  <a:graphic xmlns:a="http://schemas.openxmlformats.org/drawingml/2006/main">
                    <a:graphicData uri="http://schemas.openxmlformats.org/drawingml/2006/picture">
                      <pic:pic xmlns:pic="http://schemas.openxmlformats.org/drawingml/2006/picture">
                        <pic:nvPicPr>
                          <pic:cNvPr id="4" name="直接连接符_2"/>
                          <pic:cNvPicPr/>
                        </pic:nvPicPr>
                        <pic:blipFill>
                          <a:blip r:link="rId8"/>
                          <a:stretch>
                            <a:fillRect/>
                          </a:stretch>
                        </pic:blipFill>
                        <pic:spPr>
                          <a:xfrm>
                            <a:off x="0" y="0"/>
                            <a:ext cx="10247630" cy="33147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8</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淄博市鲁中耐火材料有限公司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淄博宏大耐火材料有限公司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山东恒隆碳酸钙有限公司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山东鲁中钙业有限公司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山东赢正工贸有限公司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淄博官北钙业有限公司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淄博建陟工贸有限公司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淄博玲珑氧化钙厂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lang w:val="en-US" w:eastAsia="zh-CN"/>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4658360</wp:posOffset>
                  </wp:positionV>
                  <wp:extent cx="10247630" cy="861060"/>
                  <wp:effectExtent l="0" t="0" r="0" b="0"/>
                  <wp:wrapNone/>
                  <wp:docPr id="3" name="直接连接符_4"/>
                  <wp:cNvGraphicFramePr/>
                  <a:graphic xmlns:a="http://schemas.openxmlformats.org/drawingml/2006/main">
                    <a:graphicData uri="http://schemas.openxmlformats.org/drawingml/2006/picture">
                      <pic:pic xmlns:pic="http://schemas.openxmlformats.org/drawingml/2006/picture">
                        <pic:nvPicPr>
                          <pic:cNvPr id="3" name="直接连接符_4"/>
                          <pic:cNvPicPr/>
                        </pic:nvPicPr>
                        <pic:blipFill>
                          <a:blip r:link="rId6"/>
                          <a:stretch>
                            <a:fillRect/>
                          </a:stretch>
                        </pic:blipFill>
                        <pic:spPr>
                          <a:xfrm>
                            <a:off x="0" y="0"/>
                            <a:ext cx="10247630" cy="8610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8</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淄博市淄川力王耐火材料厂</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淄博鑫亚钙业有限公司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淄博国豪水泥有限公司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淄博锦川水泥有限公司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淄博鲁中水泥有限公司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淄博市淄川松岭水泥有限公司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淄博天德水泥有限责任公司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淄川区鸿坤水泥厂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山东耿瓷集团有限公司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山东宏狮陶瓷科技有限公司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山东华煜陶瓷科技有限公司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山东名宇陶瓷科技有限公司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山东万豪陶瓷科技有限公司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淄博汇鹏陶瓷新材料有限公司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淄博金亿陶瓷有限公司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淄博唯能陶瓷有限公司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淄博新金亿陶瓷科技有限公司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淄博仿古建材有限公司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淄博市淄川恒福瓦厂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淄博巨宇建材有限公司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淄博晟堡建材厂</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240"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6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园区污水处理厂建设</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加快实施化工区污水处理厂建设及运行，涉及淄川区罗村镇污水处理厂；6月底前具备运行条件，12月底前完成验收。</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9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淄川区罗村镇污水处理厂管网配套工程建设。</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区住房和城乡建设局</w:t>
            </w:r>
          </w:p>
        </w:tc>
      </w:tr>
      <w:tr>
        <w:tblPrEx>
          <w:tblLayout w:type="fixed"/>
          <w:tblCellMar>
            <w:top w:w="0" w:type="dxa"/>
            <w:left w:w="0" w:type="dxa"/>
            <w:bottom w:w="0" w:type="dxa"/>
            <w:right w:w="0" w:type="dxa"/>
          </w:tblCellMar>
        </w:tblPrEx>
        <w:trPr>
          <w:trHeight w:val="15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5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对工业企业排放废水含盐量、含氟化物、总磷、总氮的进行再提升确保达到《流域水污染物综合排放标准》第3部分：小清河流域排放标准。</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8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09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化工聚集区地下水监测</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对列入中央环保督察的淄川新材料园区按照《山东省化工企业聚集区及其周边地下水水质监测井设立和监测的指导意见》和《淄川区新材料（医药化工）园区地下水污染防控方案》要求开展监测。</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4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罗村镇人民政府、区自然资源局、区农业农村局</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2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罗村镇人民政府、淄博方友化工有限公司</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罗村镇人民政府、区自然资源局、区工业和信息化局</w:t>
            </w:r>
          </w:p>
        </w:tc>
        <w:tc>
          <w:tcPr>
            <w:tcW w:w="13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抓好土壤污染治理与修复</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全面完成重点行业企业用地详查，梳理受污染和疑似污染地块，建立清单、名录，严格按照规范流程开展污染地块的调查、风险管控、修复和评估工作。</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淄博南韩化工有限公司地块</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69" w:hRule="exac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深入抓好土壤污染重点监管企业环境管理</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督促企业依法落实《土壤污染防治法》和《土壤污染防治责任书》标准、要求，严格履行好控制有毒有害物质排放、建立隐患排查制度和开展自行监测等义务。</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淄博重山思沃瑞环保科技有限公司</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69"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山东创大钢丝制品有限公司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淄博南韩化工有限公司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山东中纤越弘化工科技有限公司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淄博恒生农药有限公司</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淄川区固体废弃物填埋场</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7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3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提升固体废物处置能力建设</w:t>
            </w:r>
          </w:p>
        </w:tc>
        <w:tc>
          <w:tcPr>
            <w:tcW w:w="3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淄川固体废物填埋场</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中节能大地（杭州）环境修复有限公司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9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39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提升危险废物处置能力建设</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催化剂还原项目</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山东中世嘉新材料有限公司</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495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27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5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罗村镇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5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与旱厕改造、管网建设有效衔接，通过纳管、建站、分散治理等方式，对厕所粪污、厨房用水、洗涤用水等进行集中收集处理或转运处理，完成道口村、河东村、演礼村、聂村村治理任务和南韩村、北韩村、大</w:t>
            </w:r>
            <w:r>
              <w:rPr>
                <w:rFonts w:hint="eastAsia" w:ascii="宋体" w:hAnsi="宋体" w:eastAsia="宋体" w:cs="宋体"/>
                <w:i w:val="0"/>
                <w:color w:val="000000"/>
                <w:kern w:val="0"/>
                <w:sz w:val="24"/>
                <w:szCs w:val="24"/>
                <w:u w:val="none"/>
                <w:lang w:val="en-US" w:eastAsia="zh-CN" w:bidi="ar"/>
              </w:rPr>
              <w:t>窎</w:t>
            </w:r>
            <w:r>
              <w:rPr>
                <w:rFonts w:hint="eastAsia" w:ascii="仿宋_GB2312" w:hAnsi="宋体" w:eastAsia="仿宋_GB2312" w:cs="仿宋_GB2312"/>
                <w:i w:val="0"/>
                <w:color w:val="000000"/>
                <w:kern w:val="0"/>
                <w:sz w:val="24"/>
                <w:szCs w:val="24"/>
                <w:u w:val="none"/>
                <w:lang w:val="en-US" w:eastAsia="zh-CN" w:bidi="ar"/>
              </w:rPr>
              <w:t>桥村提升改造任务。</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罗村镇人民政府</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寨里镇人民政府</w:t>
      </w:r>
    </w:p>
    <w:tbl>
      <w:tblPr>
        <w:tblStyle w:val="7"/>
        <w:tblW w:w="15480" w:type="dxa"/>
        <w:jc w:val="center"/>
        <w:tblInd w:w="-1670" w:type="dxa"/>
        <w:shd w:val="clear" w:color="auto" w:fill="auto"/>
        <w:tblLayout w:type="fixed"/>
        <w:tblCellMar>
          <w:top w:w="0" w:type="dxa"/>
          <w:left w:w="0" w:type="dxa"/>
          <w:bottom w:w="0" w:type="dxa"/>
          <w:right w:w="0" w:type="dxa"/>
        </w:tblCellMar>
      </w:tblPr>
      <w:tblGrid>
        <w:gridCol w:w="676"/>
        <w:gridCol w:w="1275"/>
        <w:gridCol w:w="3674"/>
        <w:gridCol w:w="1710"/>
        <w:gridCol w:w="4590"/>
        <w:gridCol w:w="1365"/>
        <w:gridCol w:w="2190"/>
      </w:tblGrid>
      <w:tr>
        <w:tblPrEx>
          <w:shd w:val="clear" w:color="auto" w:fill="auto"/>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4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燃煤小机组整合、淘汰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对30万千瓦及以上热电联产机组供热半径15公里范围内的燃煤锅炉再排查。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区发改局</w:t>
            </w:r>
          </w:p>
        </w:tc>
      </w:tr>
      <w:tr>
        <w:tblPrEx>
          <w:tblLayout w:type="fixed"/>
          <w:tblCellMar>
            <w:top w:w="0" w:type="dxa"/>
            <w:left w:w="0" w:type="dxa"/>
            <w:bottom w:w="0" w:type="dxa"/>
            <w:right w:w="0" w:type="dxa"/>
          </w:tblCellMar>
        </w:tblPrEx>
        <w:trPr>
          <w:trHeight w:val="369"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淄博鑫贵不锈钢制品厂</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淄博鑫沃机械有限公司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淄博铸锦机械有限公司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淄博市淄川区寨里耐火材料厂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淄博源隆坤泰陶瓷有限公司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淄博广信耐火材料有限公司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淄博圣凯高温材料有限公司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淄博宝塔钙业有限公司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淄博晶玉石玻璃制品有限公司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淄川区寨里永平化工产品供应站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淄川寨里福瑞克马赛克厂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淄博康宇高温材料有限公司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淄博市淄川欧斯克陶瓷有限公司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淄博乐可陶瓷腰线有限公司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54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淄博金坤化学工业有限公司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山东宝塔新能源有限公司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山东方大新材料科技有限公司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淄博市淄川区恒方塑料包装彩印厂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淄博健利轻工制品有限公司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中国石化销售股份有限公司山东淄博淄川第二十一加油站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中国石化销售股份有限公司山东淄博淄川第二十三加油站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中国石油天然气股份有限公司山东淄博销售分公司淄川寨里加油站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3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山东壳牌石油有限公司淄博市淄川区胶王路加油站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淄博汇鑫加油站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淄博万顺加油站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淄博市淄川环球石化有限公司第三加油站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淄博鑫昊加油站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淄博汇川丰泰燃油有限公司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淄博市淄川区顺达加油站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5080</wp:posOffset>
                  </wp:positionV>
                  <wp:extent cx="10234295" cy="1270"/>
                  <wp:effectExtent l="0" t="0" r="0" b="0"/>
                  <wp:wrapNone/>
                  <wp:docPr id="6" name="直接连接符_1"/>
                  <wp:cNvGraphicFramePr/>
                  <a:graphic xmlns:a="http://schemas.openxmlformats.org/drawingml/2006/main">
                    <a:graphicData uri="http://schemas.openxmlformats.org/drawingml/2006/picture">
                      <pic:pic xmlns:pic="http://schemas.openxmlformats.org/drawingml/2006/picture">
                        <pic:nvPicPr>
                          <pic:cNvPr id="6" name="直接连接符_1"/>
                          <pic:cNvPicPr/>
                        </pic:nvPicPr>
                        <pic:blipFill>
                          <a:blip r:link="rId14"/>
                          <a:stretch>
                            <a:fillRect/>
                          </a:stretch>
                        </pic:blipFill>
                        <pic:spPr>
                          <a:xfrm>
                            <a:off x="0" y="0"/>
                            <a:ext cx="10234295" cy="127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淄博博望矿业有限责任公司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淄博洪泉石料厂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淄博宝塔煤业股份有限公司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淄博瀚森水泥有限公司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淄博鲁晟建材有限公司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淄博圣泉纸业有限公司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淄博岳辰阻燃材料有限公司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淄博庄园混凝土有限公司天一拌站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淄博广信耐火材料有限公司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淄博圣凯高温材料有限公司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淄博鑫贵不锈钢制品厂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淄博鑫沃机械有限公司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淄博铸锦机械有限公司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淄博乐可陶瓷腰线有限公司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淄博市淄川欧斯克陶瓷有限公司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淄博源隆坤泰陶瓷有限公司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淄川区寨里永平化工产品供应站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淄博满山红农业发展有限公司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淄博高岭石英板材料有限公司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淄博市淄川区寨里耐火材料厂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淄博宝塔钙业有限公司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淄博晶玉石玻璃制品有限公司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淄川寨里福瑞克马赛克厂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淄博康宇高温材料有限公司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淄博金坤化学工业有限公司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淄博川凯新型建材有限公司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淄博川银硅铝微粉厂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567"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763905</wp:posOffset>
                  </wp:positionV>
                  <wp:extent cx="10243185" cy="1270"/>
                  <wp:effectExtent l="0" t="0" r="0" b="0"/>
                  <wp:wrapNone/>
                  <wp:docPr id="7" name="直接连接符_2"/>
                  <wp:cNvGraphicFramePr/>
                  <a:graphic xmlns:a="http://schemas.openxmlformats.org/drawingml/2006/main">
                    <a:graphicData uri="http://schemas.openxmlformats.org/drawingml/2006/picture">
                      <pic:pic xmlns:pic="http://schemas.openxmlformats.org/drawingml/2006/picture">
                        <pic:nvPicPr>
                          <pic:cNvPr id="7" name="直接连接符_2"/>
                          <pic:cNvPicPr/>
                        </pic:nvPicPr>
                        <pic:blipFill>
                          <a:blip r:link="rId8"/>
                          <a:stretch>
                            <a:fillRect/>
                          </a:stretch>
                        </pic:blipFill>
                        <pic:spPr>
                          <a:xfrm>
                            <a:off x="0" y="0"/>
                            <a:ext cx="10243185" cy="127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淄博鹏鹰微粉有限公司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淄博成达水泥有限公司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淄博黉阳水泥厂（有限公司）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淄博其泽水泥有限公司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淄博圣泉水泥厂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淄博重恒水泥有限公司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3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辖区内水泥、砖瓦、耐火、玻璃、铸造、碳酸钙、化工医药、涉VOCs行业企业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15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69"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莱芜钢铁集团淄博锚链有限公司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淄博广信耐火材料有限公司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淄博康宇高温材料有限公司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淄博圣凯高温材料有限公司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淄博宝塔钙业有限公司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淄博成达水泥有限公司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淄博瀚森水泥有限公司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淄博黉阳水泥厂（有限公司）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淄博其泽水泥有限公司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淄博圣泉水泥厂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淄博重恒水泥有限公司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38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8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5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全面排查市政污水管网，对雨污混流、清污混流管网进行改造，及时修复漏损管网。6月底前完成五里河寨里段雨污混排方沟雨污分流改造。</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完成淄河淄川段综合治理工程，对河道进行清淤、疏通。</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区河湖事业服务中心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8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4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对工业企业排放废水含盐量、含氟化物、总磷、总氮的进行再提升确保达到《流域水污染物综合排放标准》 第3部分：小清河流域排放标准。</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8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贫困村饮用水水源地保护</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完成东井、蓼坞贫困村水源地保护区的综合整治。</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05"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855"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0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集中式饮用水水源地保护工程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全面完成刘征水源地准保护区规范化建设，清理保护区内的违法违规建设项目。</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寨里镇人民政府、区自然资源局、区农业农村局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7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0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0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寨里镇人民政府、区自然资源局、区工业和信息化局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70"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抓好土壤污染治理与修复。</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全面完成重点行业企业用地详查，梳理受污染和疑似污染地块，建立清单、名录，严格按照规范流程开展污染地块的调查、风险管控、修复和评估工作。</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淄博金坤化学工业有限公司（原淄博市淄川柳泉化工厂）地块</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7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原山东黑旺铁矿（一）山东淄博锚链厂（二）地块</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原淄博晨旭工程机械厂地块</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原淄博正晋特钢有限公司地块</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原淄博宝塔焦化有限公司地块</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9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深入抓好土壤污染重点监管企业环境管理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督促企业依法落实《土壤污染防治法》和《土壤污染防治责任书》标准、要求，严格履行好控制有毒有害物质排放、建立隐患排查制度和开展自行监测等义务。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山东宝塔新能源有限公司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6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42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43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29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5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寨里镇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31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与旱厕改造、管网建设有效衔接，通过纳管、建站、分散治理等方式，对厕所粪污、厨房用水、洗涤用水等进行集中收集处理或转运处理，完成南峪村、赵家岭村、双旭村、土古堆村、孤山村治理任务。</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寨里镇人民政府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jc w:val="center"/>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龙泉镇人民政府</w:t>
      </w:r>
    </w:p>
    <w:tbl>
      <w:tblPr>
        <w:tblStyle w:val="7"/>
        <w:tblW w:w="15372" w:type="dxa"/>
        <w:jc w:val="center"/>
        <w:tblInd w:w="-1572" w:type="dxa"/>
        <w:shd w:val="clear" w:color="auto" w:fill="auto"/>
        <w:tblLayout w:type="fixed"/>
        <w:tblCellMar>
          <w:top w:w="0" w:type="dxa"/>
          <w:left w:w="0" w:type="dxa"/>
          <w:bottom w:w="0" w:type="dxa"/>
          <w:right w:w="0" w:type="dxa"/>
        </w:tblCellMar>
      </w:tblPr>
      <w:tblGrid>
        <w:gridCol w:w="578"/>
        <w:gridCol w:w="1275"/>
        <w:gridCol w:w="3674"/>
        <w:gridCol w:w="1592"/>
        <w:gridCol w:w="4605"/>
        <w:gridCol w:w="1365"/>
        <w:gridCol w:w="2283"/>
      </w:tblGrid>
      <w:tr>
        <w:tblPrEx>
          <w:shd w:val="clear" w:color="auto" w:fill="auto"/>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燃煤小机组整合、淘汰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对30万千瓦及以上热电联产机组供热半径15公里范围内的燃煤锅炉再排查。</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区发改局</w:t>
            </w:r>
          </w:p>
        </w:tc>
      </w:tr>
      <w:tr>
        <w:tblPrEx>
          <w:tblLayout w:type="fixed"/>
          <w:tblCellMar>
            <w:top w:w="0" w:type="dxa"/>
            <w:left w:w="0" w:type="dxa"/>
            <w:bottom w:w="0" w:type="dxa"/>
            <w:right w:w="0" w:type="dxa"/>
          </w:tblCellMar>
        </w:tblPrEx>
        <w:trPr>
          <w:trHeight w:val="312" w:hRule="exac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3563620</wp:posOffset>
                  </wp:positionV>
                  <wp:extent cx="10243185" cy="1905"/>
                  <wp:effectExtent l="0" t="0" r="0" b="0"/>
                  <wp:wrapNone/>
                  <wp:docPr id="8" name="直接连接符_3"/>
                  <wp:cNvGraphicFramePr/>
                  <a:graphic xmlns:a="http://schemas.openxmlformats.org/drawingml/2006/main">
                    <a:graphicData uri="http://schemas.openxmlformats.org/drawingml/2006/picture">
                      <pic:pic xmlns:pic="http://schemas.openxmlformats.org/drawingml/2006/picture">
                        <pic:nvPicPr>
                          <pic:cNvPr id="8" name="直接连接符_3"/>
                          <pic:cNvPicPr/>
                        </pic:nvPicPr>
                        <pic:blipFill>
                          <a:blip r:link="rId7"/>
                          <a:stretch>
                            <a:fillRect/>
                          </a:stretch>
                        </pic:blipFill>
                        <pic:spPr>
                          <a:xfrm>
                            <a:off x="0" y="0"/>
                            <a:ext cx="10243185" cy="190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w:t>
            </w:r>
            <w:r>
              <w:rPr>
                <w:rFonts w:hint="eastAsia" w:ascii="宋体" w:hAnsi="宋体" w:eastAsia="宋体" w:cs="宋体"/>
                <w:i w:val="0"/>
                <w:color w:val="000000"/>
                <w:kern w:val="0"/>
                <w:sz w:val="24"/>
                <w:szCs w:val="24"/>
                <w:u w:val="none"/>
                <w:lang w:val="en-US" w:eastAsia="zh-CN" w:bidi="ar"/>
              </w:rPr>
              <w:t>垚</w:t>
            </w:r>
            <w:r>
              <w:rPr>
                <w:rFonts w:hint="eastAsia" w:ascii="仿宋_GB2312" w:hAnsi="宋体" w:eastAsia="仿宋_GB2312" w:cs="仿宋_GB2312"/>
                <w:i w:val="0"/>
                <w:color w:val="000000"/>
                <w:kern w:val="0"/>
                <w:sz w:val="24"/>
                <w:szCs w:val="24"/>
                <w:u w:val="none"/>
                <w:lang w:val="en-US" w:eastAsia="zh-CN" w:bidi="ar"/>
              </w:rPr>
              <w:t>正陶瓷有限公司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淄博市淄川美泉建陶有限公司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淄博福来特建筑陶瓷有限公司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山东东华水泥有限公司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淄博帝航陶瓷制品有限公司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淄博旺坤环保科技有限公司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淄博旭玉陶瓷厂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淄博盛业陶瓷有限公司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淄博东汇陶瓷厂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淄博荣辉工贸有限公司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淄博万圣翔电瓷科技有限公司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淄川环宇陶瓷厂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淄博淄川顺龙机械制造厂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山东大林豪丽尔洁具有限公司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淄博渭河瓷业有限公司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淄博顺泰陶瓷厂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淄博丰川环保科技有限公司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淄博鲁冠镁铝耐火材料厂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淄川区龙泉豪泰陶瓷耐火材料厂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淄博市淄川振华玻璃制品有限公司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69" w:hRule="exac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淄博聚鑫晟环保科技有限公司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淄博悦美轻工制品有限公司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山东坤芝澜电力科技有限公司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淄博柳泉电瓷有限责任公司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淄博柳泉陶瓷有限责任公司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淄博奥泰耐火材料有限公司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淄博市淄川渭二道昌陶管厂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淄博淄阀工贸有限公司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淄博龙宽陶瓷有限公司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淄博市淄川区宇航陶瓷厂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淄博金沃矿用材料有限公司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淄博市淄川科翔建材厂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淄博齐辉日用陶瓷厂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淄川区华豪机械厂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淄川区石化机械厂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山东鲁安自动化设备有限公司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淄博兴利陶瓷有限公司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淄博锦成新材料有限公司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山东高亚绝缘子有限公司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淄博瑞琛特种玻璃有限公司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淄博川磊钙业有限公司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45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83" w:hRule="exac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淄博兴源包装厂韩庄分厂</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283"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淄博鹤鸿花纸有限公司、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淄博鹏宇祥包装印务有限公司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淄博伊诗兰顿橱柜厂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柳韵工贸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山东壳牌石油有限公司淄川龙泉路加油站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中石化淄川13加油站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83"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中石化淄川26加油站</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635</wp:posOffset>
                  </wp:positionH>
                  <wp:positionV relativeFrom="paragraph">
                    <wp:posOffset>1734820</wp:posOffset>
                  </wp:positionV>
                  <wp:extent cx="10244455" cy="0"/>
                  <wp:effectExtent l="0" t="0" r="0" b="0"/>
                  <wp:wrapNone/>
                  <wp:docPr id="9" name="直接连接符_2"/>
                  <wp:cNvGraphicFramePr/>
                  <a:graphic xmlns:a="http://schemas.openxmlformats.org/drawingml/2006/main">
                    <a:graphicData uri="http://schemas.openxmlformats.org/drawingml/2006/picture">
                      <pic:pic xmlns:pic="http://schemas.openxmlformats.org/drawingml/2006/picture">
                        <pic:nvPicPr>
                          <pic:cNvPr id="9" name="直接连接符_2"/>
                          <pic:cNvPicPr/>
                        </pic:nvPicPr>
                        <pic:blipFill>
                          <a:blip r:link="rId8"/>
                          <a:stretch>
                            <a:fillRect/>
                          </a:stretch>
                        </pic:blipFill>
                        <pic:spPr>
                          <a:xfrm>
                            <a:off x="0" y="0"/>
                            <a:ext cx="10244455" cy="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淄博市淄川区宇航陶瓷厂</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淄博聚鑫晟环保科技有限公司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淄博丰川环保科技有限公司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淄博渭河瓷业有限公司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淄博淄川顺龙机械制造厂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淄博旭玉陶瓷厂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淄博东汇陶瓷厂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淄博龙宽陶瓷有限公司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山东大林豪丽尔洁具有限公司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淄博恒力水泥有限公司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山东东华水泥有限公司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淄博锦成新材料有限公司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淄博广通化工有限责任公司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淄博悦美轻工制品有限公司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山东鲁安自动化设备有限公司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淄博金沃矿用材料有限公司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淄川环宇陶瓷厂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淄博市淄川科翔建材厂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淄博旭峰金刚石制品有限公司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山东硕博环保设备有限公司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淄博市淄川渭二道昌陶管厂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淄博淄阀工贸有限公司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淄博齐辉日用陶瓷厂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淄博兴利陶瓷有限公司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淄博市淄川美泉建陶有限公司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淄博顺正筛分设备有限公司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w:t>
            </w:r>
            <w:r>
              <w:rPr>
                <w:rFonts w:hint="eastAsia" w:ascii="宋体" w:hAnsi="宋体" w:eastAsia="宋体" w:cs="宋体"/>
                <w:i w:val="0"/>
                <w:color w:val="000000"/>
                <w:kern w:val="0"/>
                <w:sz w:val="24"/>
                <w:szCs w:val="24"/>
                <w:u w:val="none"/>
                <w:lang w:val="en-US" w:eastAsia="zh-CN" w:bidi="ar"/>
              </w:rPr>
              <w:t>垚</w:t>
            </w:r>
            <w:r>
              <w:rPr>
                <w:rFonts w:hint="eastAsia" w:ascii="仿宋_GB2312" w:hAnsi="宋体" w:eastAsia="仿宋_GB2312" w:cs="仿宋_GB2312"/>
                <w:i w:val="0"/>
                <w:color w:val="000000"/>
                <w:kern w:val="0"/>
                <w:sz w:val="24"/>
                <w:szCs w:val="24"/>
                <w:u w:val="none"/>
                <w:lang w:val="en-US" w:eastAsia="zh-CN" w:bidi="ar"/>
              </w:rPr>
              <w:t>正陶瓷有限公司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山东坤芝澜电力科技有限公司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淄博万圣翔电瓷科技有限公司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淄博福来特建筑陶瓷有限公司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0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辖区内水泥、砖瓦、耐火、玻璃、铸造、碳酸钙、化工医药、涉VOCs行业企业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73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淄博奥泰耐火材料有限公司</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淄博丰川环保科技有限公司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淄博衡烁瓷业有限公司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淄博鲁冠镁铝耐火材料厂</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山东东华水泥有限公司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淄博恒力水泥有限公司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淄博福来特建筑陶瓷有限公司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淄博市淄川美泉建陶有限公司</w:t>
            </w: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3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8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57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全面排查市政污水管网，对雨污混流、清污混流管网进行改造，及时修复漏损管网。6月底前完成般河龙泉段雨污分流改造。</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69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7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 第3部分：小清河流域排放标准。</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09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560"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24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54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龙泉镇人民政府、区自然资源局、区农业农村局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9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05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4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龙泉镇人民政府、区自然资源局、区工业和信息化局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3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深入抓好土壤污染重点监管企业环境管理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督促企业依法落实《土壤污染防治法》和《土壤污染防治责任书》标准、要求，严格履行好控制有毒有害物质排放、建立隐患排查制度和开展自行监测等义务。</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淄博广通化工有限责任公司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6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6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08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提升危险废物处置能力建设</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回转窑协同处置工业固体废物项目(二期)</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2020年3月底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淄博祖天环保科技有限公司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42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255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52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3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9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龙泉镇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67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矾场村、泉头村、渭一村、龙一村、龙二村、龙三村、龙四村、韩圣村、土屋村、尚庄村、韩庄村、北旺村提升改造任务。</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龙泉镇人民政府</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岭子镇人民政府</w:t>
      </w:r>
    </w:p>
    <w:tbl>
      <w:tblPr>
        <w:tblStyle w:val="7"/>
        <w:tblW w:w="15530" w:type="dxa"/>
        <w:jc w:val="center"/>
        <w:tblInd w:w="-1670" w:type="dxa"/>
        <w:shd w:val="clear" w:color="auto" w:fill="auto"/>
        <w:tblLayout w:type="fixed"/>
        <w:tblCellMar>
          <w:top w:w="0" w:type="dxa"/>
          <w:left w:w="0" w:type="dxa"/>
          <w:bottom w:w="0" w:type="dxa"/>
          <w:right w:w="0" w:type="dxa"/>
        </w:tblCellMar>
      </w:tblPr>
      <w:tblGrid>
        <w:gridCol w:w="676"/>
        <w:gridCol w:w="1275"/>
        <w:gridCol w:w="3674"/>
        <w:gridCol w:w="1620"/>
        <w:gridCol w:w="4680"/>
        <w:gridCol w:w="1410"/>
        <w:gridCol w:w="2195"/>
      </w:tblGrid>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山东宝山科技有限公司</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淄博山水水泥有限公司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山东春程新材料科技有限公司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淄博宝兴工贸有限公司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淄博志远耐火材料厂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淄川区岭子迎奥耐火材料加工厂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淄博迎洲耐火材料厂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山东昌盛耐火材料有限公司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淄博群惠耐火材料有限公司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淄博金珂耐火材料有限公司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山东广巍新材料有限公司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山东鑫淦实业有限公司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山东永安达耐材科技股份有限公司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山东金安耐火有限公司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54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680"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中国石油天然气股份有限公司山东淄博销售分公司淄川岭子镇加油站</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68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山东汇丰石化集团销售有限公司淄博第一二三加油站</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淄博市淄川区一路顺加油站</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淄博淄川岭洲加油站</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淄博昶莱生物肥料有限公司</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淄博中赫新材料有限公司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淄博迎洲耐火材料厂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淄博博发新材料有限公司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淄博翔云新材料有限公司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淄川下河耐火材料加工厂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淄博众科新材料有限公司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淄博驰宇保温材料有限公司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山东永安达耐材科技股份有限公司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淄川区岭子迎奥耐火材料加工厂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山东昌盛耐火材料有限公司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淄博志远耐火材料厂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山东春程新材料科技有限公司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淄博群惠耐火材料有限公司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淄博光岳耐火材料有限公司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淄博嘉微新材料有限公司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淄博熠晨防水材料有限公司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山东宝山科技有限公司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淄博山水水泥有限公司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山东广巍新材料有限公司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1270</wp:posOffset>
                  </wp:positionH>
                  <wp:positionV relativeFrom="paragraph">
                    <wp:posOffset>224155</wp:posOffset>
                  </wp:positionV>
                  <wp:extent cx="10244455" cy="1905"/>
                  <wp:effectExtent l="0" t="0" r="0" b="0"/>
                  <wp:wrapNone/>
                  <wp:docPr id="10" name="直接连接符_1"/>
                  <wp:cNvGraphicFramePr/>
                  <a:graphic xmlns:a="http://schemas.openxmlformats.org/drawingml/2006/main">
                    <a:graphicData uri="http://schemas.openxmlformats.org/drawingml/2006/picture">
                      <pic:pic xmlns:pic="http://schemas.openxmlformats.org/drawingml/2006/picture">
                        <pic:nvPicPr>
                          <pic:cNvPr id="10" name="直接连接符_1"/>
                          <pic:cNvPicPr/>
                        </pic:nvPicPr>
                        <pic:blipFill>
                          <a:blip r:link="rId14"/>
                          <a:stretch>
                            <a:fillRect/>
                          </a:stretch>
                        </pic:blipFill>
                        <pic:spPr>
                          <a:xfrm>
                            <a:off x="0" y="0"/>
                            <a:ext cx="10244455" cy="1905"/>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山东鑫淦实业有限公司</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淄博金珂耐火材料有限公司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淄博宝兴工贸有限公司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淄博市淄川区岭子镇杨家村石料厂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淄博西崇山矿业科技有限公司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淄博华胜矿业有限公司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淄博昌峰新材料有限公司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淄博岭南铸造有限公司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淄博赛龙新材料有限公司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淄博圣霖新材料有限公司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淄博锦江混凝土制品有限公司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90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辖区内火电、水泥、砖瓦、耐火、玻璃、铸造、碳酸钙、化工医药、涉VOCs行业企业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4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40"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山东昌盛耐火材料有限公司</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山东春程新材料科技有限公司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山东金安耐火有限公司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山东永安达耐材科技股份有限公司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淄博宝兴工贸有限公司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淄博金珂耐火材料有限公司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淄博群惠耐火材料有限公司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淄博迎洲耐火材料厂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淄博志远耐火材料厂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淄川区岭子迎奥耐火材料加工厂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山东广巍新材料有限公司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山东鑫淦实业有限公司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淄博市淄川区宝山水泥厂</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4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淄博山水水泥有限公司</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1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9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51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5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6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 第3部分：小清河流域排放标准。</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4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集中式饮用水水源地保护工程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完成岭子磁村集中式饮用水水源地保护区调整，进一步提升规范化建设水平，清理保护区内的违法违规建设项目，设立标示牌、警示牌和隔离防护设施。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岭子镇人民政府、淄博星辰供水有限公司</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4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岭子镇人民政府、区自然资源局、区农业农村局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2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1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岭子镇人民政府、区自然资源局、区工业和信息化局</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0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深入抓好土壤污染重点监管企业环境管理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督促企业依法落实《土壤污染防治法》和《土壤污染防治责任书》标准、要求，严格履行好控制有毒有害物质排放、建立隐患排查制度和开展自行监测等义务。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淄博晨越宝山环保科技有限公司</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48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6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29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5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岭子镇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6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与旱厕改造、管网建设有效衔接，通过纳管、建站、分散治理等方式，对厕所粪污、厨房用水、洗涤用水等进行集中收集处理或转运处理，完成小王家庄村、河洼村、郝家村、宋家村、龙泉村、槲林村治理任务。</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岭子镇人民政府</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西河镇人民政府</w:t>
      </w:r>
    </w:p>
    <w:tbl>
      <w:tblPr>
        <w:tblStyle w:val="7"/>
        <w:tblW w:w="15540" w:type="dxa"/>
        <w:jc w:val="center"/>
        <w:tblInd w:w="-1670" w:type="dxa"/>
        <w:shd w:val="clear" w:color="auto" w:fill="auto"/>
        <w:tblLayout w:type="fixed"/>
        <w:tblCellMar>
          <w:top w:w="0" w:type="dxa"/>
          <w:left w:w="0" w:type="dxa"/>
          <w:bottom w:w="0" w:type="dxa"/>
          <w:right w:w="0" w:type="dxa"/>
        </w:tblCellMar>
      </w:tblPr>
      <w:tblGrid>
        <w:gridCol w:w="676"/>
        <w:gridCol w:w="1275"/>
        <w:gridCol w:w="3674"/>
        <w:gridCol w:w="1575"/>
        <w:gridCol w:w="4530"/>
        <w:gridCol w:w="1575"/>
        <w:gridCol w:w="2235"/>
      </w:tblGrid>
      <w:tr>
        <w:tblPrEx>
          <w:shd w:val="clear" w:color="auto" w:fill="auto"/>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淄博正金耐火厂</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淄博三桥钙业有限公司东线</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淄博东岭陶瓷厂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淄博东耐新材料科技有限公司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淄博市淄川永盛铸钢厂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淄博文发新材料科技有限公司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淄博丰永聚新材料有限公司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淄博中弘信新材料科技有限公司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山东淄博沈淄耐火材料有限公司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淄博超祥新材料科技有限公司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淄博正和耐火材料有限公司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淄川顺峰泵阀厂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淄博宗盈陶瓷有限公司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淄川西河新颖陶瓷网坠加工厂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淄博金石矿业有限公司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淄博汉林钙业有限公司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淄博三桥钙业有限公司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淄博亨禄钙业有限公司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淄博岳明研磨材料有限公司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淄博方大耐火材料有限公司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淄博欣明电瓷制品有限公司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淄博欣昌陶瓷网坠厂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29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95"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2020年9月底</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淄博丹一包装厂</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淄博隆盛祥实木家具厂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淄博昊宇气瓶检测有限公司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淄川区西河众业工艺品加工厂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淄川区西河桦煜花纸加工厂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淄博馨城花纸厂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淄博澳升新材料有限公司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淄博佳德花纸有限公司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淄博市淄川顺峰泵阀厂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淄博丰硕机械有限公司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淄博宏泽木制品有限公司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淄博盛威包装制品有限公司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淄博市淄川宏源包装制品厂</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淄博隆腾测控设备有限公司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淄博国阳硅酸铝制品有限公司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淄博宝泉轻工制品有限公司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淄博英翔汽车内饰有限公司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淄博正立纺织有限公司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淄博市淄川益顺加油站</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95"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中国石化山东淄博淄川第十四加油站</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680"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淄博三桥钙业有限公司</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68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淄博超祥新材料科技有限公司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8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淄博金石矿业有限公司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8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山东淄博沈淄耐火材料有限公司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80"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淄博宗盈陶瓷有限公司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10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辖区内水泥、砖瓦、耐火、玻璃、铸造、碳酸钙、化工医药、涉VOCs行业企业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2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567" w:hRule="exac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山东淄博沈淄耐火材料有限公司</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淄博汉林钙业有限公司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淄博金石矿业有限公司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淄博三桥钙业有限公司</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0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7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9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6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对工业企业排放废水含盐量、含氟化物、总磷、总氮的进行再提升确保达到《流域水污染物综合排放标准》第3部分：小清河流域排放标准。</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20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4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集中式饮用水水源地保护工程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全面完成太河水库水源地准保护区规范化建设，清理保护区内的违法违规建设项目。</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西河镇人民政府、区自然资源局、区农业农村局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94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49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西河镇人民政府、区自然资源局、区工业和信息化局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47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7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18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52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31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4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西河镇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505"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罗圈峪、宝泉村、龙台村、节茄峪村、东坡地村、东庄村（东坪）、龙湾峪、窟空峪、苗峪村、薛家峪村、护宝泉村、小马陵村治理任务和河湾村、南峪村、小东坪村、后角村、大东坪村提升改造任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西河镇人民政府</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太河镇人民政府</w:t>
      </w:r>
    </w:p>
    <w:tbl>
      <w:tblPr>
        <w:tblStyle w:val="7"/>
        <w:tblW w:w="15548" w:type="dxa"/>
        <w:jc w:val="center"/>
        <w:tblInd w:w="-1670" w:type="dxa"/>
        <w:shd w:val="clear" w:color="auto" w:fill="auto"/>
        <w:tblLayout w:type="fixed"/>
        <w:tblCellMar>
          <w:top w:w="0" w:type="dxa"/>
          <w:left w:w="0" w:type="dxa"/>
          <w:bottom w:w="0" w:type="dxa"/>
          <w:right w:w="0" w:type="dxa"/>
        </w:tblCellMar>
      </w:tblPr>
      <w:tblGrid>
        <w:gridCol w:w="675"/>
        <w:gridCol w:w="1275"/>
        <w:gridCol w:w="3674"/>
        <w:gridCol w:w="1653"/>
        <w:gridCol w:w="4530"/>
        <w:gridCol w:w="1500"/>
        <w:gridCol w:w="2241"/>
      </w:tblGrid>
      <w:tr>
        <w:tblPrEx>
          <w:shd w:val="clear" w:color="auto" w:fill="auto"/>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淄博市淄川福明陶瓷釉料厂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29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51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淄博学柱泡沫制品厂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淄博市淄川福明陶瓷釉料厂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0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辖区内耐火、涉VOCs行业企业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71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88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完成淄河淄川段综合治理工程，对河道进行清淤、疏通。</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区河湖事业服务中心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集中式饮用水水源地保护工程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进一步提升太河水库饮用水水源地保护规范化建设水平，全面完成北下册、口头、刘征（准保护区）集中式饮用水水源地规范化建设，清理保护区内的违法违规建设项目。</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淄博市太河水库集中式饮用水水源地水环境综合治理工程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对太河水库饮用水水源地上游小流域进行综合治理，采取修建小型水质净化湿地、河道整治保障饮用水安全，完成太河水库上游淄河幸福支流等河道整治。</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区河湖事业服务中心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太河镇人民政府、区自然资源局、区农业农村局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83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太河镇人民政府、区自然资源局、区工业和信息化局</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494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4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30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65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太河镇</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人民政府</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516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有效处理，完成前怀村、孙家庄村、马陵村、南阳村、厚庄村、西南牟村、东峪村、东太河村、北牟村、东南牟村、东崖村、太河村、淄河村、东石门村、西石门村、南镇后村、北镇后村、城子村、梦泉村、永泉村、本齐村、东东峪村、山桥村、上雀峪村、上岛坪村、上端村、下端士村、石安峪村、幸福村、郭家庄村、杨泉村、林泉村、双山村、老峪村、南下册村、小后沟村治理任务和柏树村提升改造任务。</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r>
        <w:tblPrEx>
          <w:shd w:val="clear" w:color="auto" w:fill="auto"/>
          <w:tblLayout w:type="fixed"/>
          <w:tblCellMar>
            <w:top w:w="0" w:type="dxa"/>
            <w:left w:w="0" w:type="dxa"/>
            <w:bottom w:w="0" w:type="dxa"/>
            <w:right w:w="0" w:type="dxa"/>
          </w:tblCellMar>
        </w:tblPrEx>
        <w:trPr>
          <w:trHeight w:val="18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“两山”创新实践基地创建设</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以太河镇为创建单元，重点体现淄川区贯彻落实“绿水青山就是金山银山”理念，通过优质的生态资源优势，带动太河镇经济社会发展和脱贫攻坚成果。</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太河镇人民政府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般阳路街道办事处</w:t>
      </w:r>
    </w:p>
    <w:tbl>
      <w:tblPr>
        <w:tblStyle w:val="7"/>
        <w:tblW w:w="15523" w:type="dxa"/>
        <w:jc w:val="center"/>
        <w:tblInd w:w="-82" w:type="dxa"/>
        <w:shd w:val="clear" w:color="auto" w:fill="auto"/>
        <w:tblLayout w:type="fixed"/>
        <w:tblCellMar>
          <w:top w:w="0" w:type="dxa"/>
          <w:left w:w="0" w:type="dxa"/>
          <w:bottom w:w="0" w:type="dxa"/>
          <w:right w:w="0" w:type="dxa"/>
        </w:tblCellMar>
      </w:tblPr>
      <w:tblGrid>
        <w:gridCol w:w="660"/>
        <w:gridCol w:w="1373"/>
        <w:gridCol w:w="3674"/>
        <w:gridCol w:w="1632"/>
        <w:gridCol w:w="4485"/>
        <w:gridCol w:w="1485"/>
        <w:gridCol w:w="2214"/>
      </w:tblGrid>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燃煤小机组整合、淘汰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对30万千瓦及以上热电联产机组供热半径15公里范围内的燃煤锅炉再排查。</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区发改局</w:t>
            </w:r>
          </w:p>
        </w:tc>
      </w:tr>
      <w:tr>
        <w:tblPrEx>
          <w:tblLayout w:type="fixed"/>
          <w:tblCellMar>
            <w:top w:w="0" w:type="dxa"/>
            <w:left w:w="0" w:type="dxa"/>
            <w:bottom w:w="0" w:type="dxa"/>
            <w:right w:w="0" w:type="dxa"/>
          </w:tblCellMar>
        </w:tblPrEx>
        <w:trPr>
          <w:trHeight w:val="28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840"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中国石化销售股份有限公司山东淄博淄川第三十六加油站</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8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淄博市淄川区城二加油站</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84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淄博市淄川汇江加油站</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134" w:hRule="exac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淄博九鹿纸业有限公司</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134"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淄博市淄川丰华排管有限公司</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134" w:hRule="exac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淄博丰安利矿山机械厂</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6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辖区内涉VOCs行业企业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8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55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6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w:t>
            </w:r>
          </w:p>
        </w:tc>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区市政环卫服务中心、般阳路街道办事处</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685"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完成文化路、松龄东路雨污分流工程。</w:t>
            </w:r>
          </w:p>
        </w:tc>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4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完成孝妇河淄川段综合治理工程，对河道进行清淤、疏通。</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15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对工业企业排放废水含盐量、含氟化物、总磷、总氮的进行再提升确保达到《流域水污染物综合排放标准》第3部分：小清河流域排放标准。</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城市雨污分流改造</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市委市政府《关于印发&lt;淄博市贯彻落实中央环境保护督察组反馈意见整改实施方案&gt;的通知》（淄发〔2018〕20号）、市政府办公厅《关于加快对城市雨污合流管网进行分流改造的通知》（淄政办发明电〔2017〕26号）要求，完成2020年度雨污合流管网分流改造任务。优先对合流制主管网及截流倍数小的合流制管道进行雨污分流改造，暂不具备改造条件的，应采取增加截留倍数、调蓄等措施降低溢流量，采取快速净化措施对溢流污染进行处理，逐步降低雨季污染物入河湖量。</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区政府投资工程建设中心、区市政环卫服务中心、般阳路街道办事处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区住房和城乡建设局</w:t>
            </w:r>
          </w:p>
        </w:tc>
      </w:tr>
      <w:tr>
        <w:tblPrEx>
          <w:shd w:val="clear" w:color="auto" w:fill="auto"/>
          <w:tblLayout w:type="fixed"/>
          <w:tblCellMar>
            <w:top w:w="0" w:type="dxa"/>
            <w:left w:w="0" w:type="dxa"/>
            <w:bottom w:w="0" w:type="dxa"/>
            <w:right w:w="0" w:type="dxa"/>
          </w:tblCellMar>
        </w:tblPrEx>
        <w:trPr>
          <w:trHeight w:val="1385" w:hRule="atLeast"/>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060"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37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般阳路街道办事处、区自然资源局、区农业农村局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04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02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般阳路街道办事处、区自然资源局、区工业和信息化局</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15"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般阳路街道办事处</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0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49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3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30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50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般阳路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将军路街道办事处</w:t>
      </w:r>
    </w:p>
    <w:tbl>
      <w:tblPr>
        <w:tblStyle w:val="7"/>
        <w:tblW w:w="15537" w:type="dxa"/>
        <w:jc w:val="center"/>
        <w:tblInd w:w="-1587" w:type="dxa"/>
        <w:shd w:val="clear" w:color="auto" w:fill="auto"/>
        <w:tblLayout w:type="fixed"/>
        <w:tblCellMar>
          <w:top w:w="0" w:type="dxa"/>
          <w:left w:w="0" w:type="dxa"/>
          <w:bottom w:w="0" w:type="dxa"/>
          <w:right w:w="0" w:type="dxa"/>
        </w:tblCellMar>
      </w:tblPr>
      <w:tblGrid>
        <w:gridCol w:w="593"/>
        <w:gridCol w:w="1275"/>
        <w:gridCol w:w="3674"/>
        <w:gridCol w:w="1598"/>
        <w:gridCol w:w="4710"/>
        <w:gridCol w:w="1455"/>
        <w:gridCol w:w="2232"/>
      </w:tblGrid>
      <w:tr>
        <w:tblPrEx>
          <w:shd w:val="clear" w:color="auto" w:fill="auto"/>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12" w:hRule="exac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工业炉窑综合整治</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对工业炉窑再摸底排查，按照炉窑类型、燃料类型、生产工艺等分门别类实施综合整治，关停取缔一批、能源改造一批、治理提升一批。</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淄博铮发工贸有限公司</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淄博彤泰陶瓷有限公司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淄博圳隆建材厂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淄博庆淄特种耐火材料有限公司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淄博华康耐火材料有限公司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淄博照鑫耐火材料有限公司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淄博大丰碳化硅有限公司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29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12" w:hRule="exac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淄博昂立包装制品有限公司</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淄川将军路海通汽车修理厂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淄博宏承汽车配件有限公司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淄博雷波德陶瓷花纸有限公司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淄博丽车源汽车装饰有限公司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淄博牧霖包装制品有限公司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淄博顺利家具有限公司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12"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淄博石油化工销售有限责任公司吉祥加油站</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69" w:hRule="exac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淄博太平洋办公设备有限公司</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淄川将军路天蚨汽车修理厂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37"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山东万通集团淄博金顺油品有限公司第四十二加油中心</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37"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淄博沃通石油化工销售有限公司宏图加油站</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淄博永宏汽车烤漆修理厂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淄博正佳花纸有限公司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淄博金圆金属制品厂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淄川王树涛汽车服务部</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淄川将军路漆神汽车划痕维修部</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79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中石油天然气股份有限公司山东淄博销售分公司淄川松岭西路水产城加油站</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淄川将军路锦家祥木门加工厂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淄川将军路东城名居木制品加工厂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淄博鸿瑾彩印包装限公司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淄川将军路旭盛橱柜加工厂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淄博金盾办公设备有限公司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淄川将军路广伟汽车美容店</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大杨整形烤漆</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淄博万彩印务有限公司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69" w:hRule="exac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工业企业扬尘综合整治大会战</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十大重点行业通过采取密闭、围挡、遮盖、喷淋、洒水降尘、绿化及设置车清洗设施等措施，做到厂区道路及连接道路冲洗见本色，并长期保持；有组织达标排放；涉尘物料在运输、装卸、输送、储存等环节，实现全密闭并配备洒水等抑尘措施；对日进出车辆10辆次及以上的企业，厂区门口安装视频监控，保存时间不少于3个月。</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淄博圳隆建材厂</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淄博华康耐火材料有限公司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淄博庆淄特种耐火材料有限公司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淄博照鑫耐火材料有限公司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淄博大丰碳化硅有限公司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淄博彤泰陶瓷有限公司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淄博铮发工贸有限公司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淄博鑫胜热电有限公司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69"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淄博恒建混凝土有限公司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25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辖区内火电、砖瓦、耐火、玻璃、铸造、化工医药、涉VOCs行业企业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2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397" w:hRule="exac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用电智能监控系统建设，对排污单位生产排污设施与对应污染治理设施的用电电量、分时负荷、异常用电进行实时监测，有效实现对排污单位停产限产、治污设施擅自停运与低负荷运行的实时监测、预警、分析与管理。</w:t>
            </w:r>
          </w:p>
        </w:tc>
        <w:tc>
          <w:tcPr>
            <w:tcW w:w="15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淄博大丰碳化硅有限公司</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97"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淄博华康耐火材料有限公司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淄博华越耐火材料有限公司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淄博庆淄特种耐火材料有限公司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淄博照鑫耐火材料有限公司</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97" w:hRule="exac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淄博圳隆建材厂</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24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7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77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全面排查市政污水管网，对雨污混流、清污混流管网进行改造，及时修复漏损管网。6月底前完成将军路樊家窝南侧支流、松龄西路雨污混排方沟雨污分流改造。</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84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完成孝妇河淄川段综合治理工程，对河道进行清淤、疏通。</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对工业企业排放废水含盐量、含氟化物、总磷、总氮的进行再提升确保达到《流域水污染物综合排放标准》 第3部分：小清河流域排放标准。</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445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城市雨污分流改造</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pacing w:val="-6"/>
                <w:kern w:val="0"/>
                <w:sz w:val="24"/>
                <w:szCs w:val="24"/>
                <w:u w:val="none"/>
                <w:lang w:val="en-US" w:eastAsia="zh-CN" w:bidi="ar"/>
              </w:rPr>
              <w:t>按照市委市政府《关于印发&lt;淄博市贯彻落实中央环境保护督察组反馈意见整改实施方案&gt;的通知》（淄发〔2018〕20号）、市政府办公厅《关于加快对城市雨污合流管网进行分流改造的通知》（淄政办发明电〔2017〕26号）要求，完成2020年度雨污合流管网分流改造任务。优先对合流制主管网及截流倍数小的合流制管道进行雨污分流改造，暂不具备改造条件的，应采取增加截留倍数、调蓄等措施降低溢流量，采取快速净化措施对溢流污染进行处理，逐步降低雨季污染物入河湖量。</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区政府投资工程建设中心、区市政环卫服务中心、将军路街道办事处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区住房和城乡建设局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5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城市建成区黑臭水体治理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完成柳泉潜流湿地“长制久清”评估验收。</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区园林绿化和公园管理服务中心、区政府投资工程建设中心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00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2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03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1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矿井水治理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解决山川矿井水溢流问题</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6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将军路街道办事处、区自然资源局、区农业农村局</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6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04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将军路街道办事处、区自然资源局、区工业和信息化局</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74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5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42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33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303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37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将军路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4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农村生活污水治理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与旱厕改造、管网建设有效衔接，通过纳管、建站、分散治理等方式，对厕所粪污、厨房用水、洗涤用水等进行集中收集处理或转运处理，完成七里村治理任务和贾官村提升改造任务。</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2020年11月底</w:t>
            </w:r>
          </w:p>
        </w:tc>
        <w:tc>
          <w:tcPr>
            <w:tcW w:w="4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将军路街道办事处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区农业农村局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2020年全区生态环境保护综合治理任务分解表</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spacing w:val="0"/>
          <w:sz w:val="32"/>
          <w:szCs w:val="32"/>
        </w:rPr>
        <w:t>松龄路街道办事处</w:t>
      </w:r>
    </w:p>
    <w:tbl>
      <w:tblPr>
        <w:tblStyle w:val="7"/>
        <w:tblW w:w="15566" w:type="dxa"/>
        <w:jc w:val="center"/>
        <w:tblInd w:w="-1587" w:type="dxa"/>
        <w:shd w:val="clear" w:color="auto" w:fill="auto"/>
        <w:tblLayout w:type="fixed"/>
        <w:tblCellMar>
          <w:top w:w="0" w:type="dxa"/>
          <w:left w:w="0" w:type="dxa"/>
          <w:bottom w:w="0" w:type="dxa"/>
          <w:right w:w="0" w:type="dxa"/>
        </w:tblCellMar>
      </w:tblPr>
      <w:tblGrid>
        <w:gridCol w:w="593"/>
        <w:gridCol w:w="1276"/>
        <w:gridCol w:w="3674"/>
        <w:gridCol w:w="1609"/>
        <w:gridCol w:w="4724"/>
        <w:gridCol w:w="1440"/>
        <w:gridCol w:w="2250"/>
      </w:tblGrid>
      <w:tr>
        <w:tblPrEx>
          <w:shd w:val="clear" w:color="auto" w:fill="auto"/>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41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工业企业脱硫、脱硝、除尘深度治理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落实山东省第四时段大气污染物排放标准要求及重点行业特别排放限值排放要求，对不能稳定达到第四时段排放标准要求的脱硫、脱硝、除尘设施进行升级改造，对生产工艺段时间内难以停产的玻璃窑炉等设施，推进建设备用脱硫、脱硝、除尘设施。</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33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淄博市淄川商城汽车维修中心</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淄川松龄众诚汽车维修服务部</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淄博通和汽车维修有限公司</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淄川松龄瑞达汽车修理厂</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淄川松龄富宾汽车修理厂</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淄川松龄元泽汽修服务部</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淄博市淄川区中大汽车烤漆厂</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淄川松龄福泰汽修厂</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淄川松龄学军汽车用品经营部</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淄博健达汽车维护有限公司</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淄博恒彤汽车配件商行</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64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中国石化销售股份有限公司山东淄博石油分公司淄川二十九加油站</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567" w:hRule="exact"/>
          <w:jc w:val="center"/>
        </w:trPr>
        <w:tc>
          <w:tcPr>
            <w:tcW w:w="593"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7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重点行业挥发性有机物综合治理</w:t>
            </w:r>
          </w:p>
        </w:tc>
        <w:tc>
          <w:tcPr>
            <w:tcW w:w="367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中开展VOCs综合整治，切实堵住工业跑冒滴漏，督促企业开展自查自纠，并对现有的石化化工、包装印刷、表面涂装等企业的治理设施进行评估改造，对效率低下的治理设施进行淘汰，引导企业提高VOCs治理效率，减少VOCs排放量。</w:t>
            </w:r>
          </w:p>
        </w:tc>
        <w:tc>
          <w:tcPr>
            <w:tcW w:w="16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2020年9月底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中国石化销售股份有限公司山东淄博石油分公司淄川第八加油站</w:t>
            </w:r>
          </w:p>
        </w:tc>
        <w:tc>
          <w:tcPr>
            <w:tcW w:w="14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区工业和信息化局</w:t>
            </w:r>
          </w:p>
        </w:tc>
      </w:tr>
      <w:tr>
        <w:tblPrEx>
          <w:tblLayout w:type="fixed"/>
          <w:tblCellMar>
            <w:top w:w="0" w:type="dxa"/>
            <w:left w:w="0" w:type="dxa"/>
            <w:bottom w:w="0" w:type="dxa"/>
            <w:right w:w="0" w:type="dxa"/>
          </w:tblCellMar>
        </w:tblPrEx>
        <w:trPr>
          <w:trHeight w:val="567" w:hRule="exact"/>
          <w:jc w:val="center"/>
        </w:trPr>
        <w:tc>
          <w:tcPr>
            <w:tcW w:w="59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中国石化销售股份有限公司山东淄博石油分公司淄川第二加油站</w:t>
            </w: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67" w:hRule="exact"/>
          <w:jc w:val="center"/>
        </w:trPr>
        <w:tc>
          <w:tcPr>
            <w:tcW w:w="59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山东壳牌石油有限公司淄博市淄川区淄城路加油站</w:t>
            </w: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淄博世创复合材料有限公司</w:t>
            </w: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山东省淄博市塑料彩印厂</w:t>
            </w: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淄博市淄川鲁顺塑料编织厂</w:t>
            </w: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淄博奥盛泵阀制造有限公司淄川分公司</w:t>
            </w: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330" w:hRule="atLeast"/>
          <w:jc w:val="center"/>
        </w:trPr>
        <w:tc>
          <w:tcPr>
            <w:tcW w:w="593"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_GB2312" w:hAnsi="宋体" w:eastAsia="仿宋_GB2312" w:cs="仿宋_GB2312"/>
                <w:i w:val="0"/>
                <w:color w:val="000000"/>
                <w:sz w:val="24"/>
                <w:szCs w:val="24"/>
                <w:u w:val="none"/>
              </w:rPr>
            </w:pPr>
          </w:p>
        </w:tc>
        <w:tc>
          <w:tcPr>
            <w:tcW w:w="16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淄博发众印刷有限公司</w:t>
            </w:r>
          </w:p>
        </w:tc>
        <w:tc>
          <w:tcPr>
            <w:tcW w:w="14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16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重点行业精细化环境管理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对照《淄博市重点行业精细化环境管理规范》要求，对火电、水泥、砖瓦、耐火、玻璃、铸造、碳酸钙、化工医药、涉VOCs行业实施精细化环境管理。</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立查立改，</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长期坚持</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辖区内玻璃、涉VOCs行业企业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4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大气应急监测项目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配合完成全区大气应急监测能力和防护装备水平提升，不断增强我区应对大气类突发环境事件和处置新冠肺炎等各类“急难险重”事件的能力。</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排污单位用电智能监管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对不具备在线监控设施安装条件的工业企业的污染排放点源，要开展用电智能监控系统建设。</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7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工业污染点源</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氟化物、氯化物等影响水环境质量全面达标的污染物为重点，实施废水治理再提高工程。2020年2月完成摸底调查，不能稳定达到直排标准及纳管标准的一律实施治理，2020年年底完成治理任务。达到《流域水污染物综合排放标准》第3部分小清河流域排放标准。</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辖区涉氟、氯化物涉水企业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6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污水管网工程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全面排查市政污水管网，对雨污混流、清污混流管网进行改造，及时修复漏损管网。6月底前完成苇沟河、三里沟河、五里河松龄段雨污混排方沟雨污分流改造。</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区市政环卫服务中心、松龄路街道办事处</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759"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完成文化路、松龄东路雨污分流工程。</w:t>
            </w: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9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河道综合治理工程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完成孝妇河淄川段综合治理工程，对河道进行清淤、疏通。</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9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直排口封堵工作</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开展排污口后督查工作，封堵所有不达标入河排污口：对河道沿岸各类排污口建立台账，进行分类管理，并对非法及排放不达标的排污口进行封堵。</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区水利局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1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水质再提升工程</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对工业企业排放废水含盐量、含氟化物、总磷、总氮的进行再提升确保达到《流域水污染物综合排放标准》第3部分：小清河流域排放标准。</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辖区各涉水企业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64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城市雨污分流改造</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市委市政府《关于印发&lt;淄博市贯彻落实中央环境保护督察组反馈意见整改实施方案&gt;的通知》（淄发〔2018〕20号）、市政府办公厅《关于加快对城市雨污合流管网进行分流改造的通知》（淄政办发明电〔2017〕26号）要求，完成2020年度雨污合流管网分流改造任务。优先对合流制主管网及截流倍数小的合流制管道进行雨污分流改造，暂不具备改造条件的，应采取增加截留倍数、调蓄等措施降低溢流量，采取快速净化措施对溢流污染进行处理，逐步降低雨季污染物入河湖量。</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区政府投资工程建设中心、区市政环卫服务中心、松龄路街道办事处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区住房和城乡建设局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97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化工聚集区及化工企业布设监测井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山东省化工企业聚集区及其周边地下水水质监测井设立和监测的指导意见》对化工聚集区、园区内化工企业、园区外化工企业设立地下水监测井，4月份建设完成，5月份自行组织验收并制定风险隐患排查和整改清单，按照“一井一档”要求编制成井档案，并按要求开展监测。</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辖区各化工企业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3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加强排水户监管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督促纳管企业向城镇排水主管部门申请领取污水排入排水管网许可证，并与城镇污水处理厂签订污水委托处理协议。</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210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按照淄博市人民政府办公室《关于做好全市城市污水处理工作的通知》要求，组织专家对纳管企业进行评估，经评估认定污染物不能被城市污水处理厂有效处理或可能影响出水稳定达标的，要限期退出。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区市政环卫服务中心</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152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重点区域土壤污染状况隐患排查及调查评估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配合开展土壤污染隐患排查，对土壤和地下水污染整治事情和环境质量改善情况进行调查评估。</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松龄路街道办事处、区自然资源局、区农业农村局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7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疑似污染地块调查报告评审、风险评估及管控项目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监督污染地块开展场地调查，提交场地调查报告。配合完成污染无主污染风险管控。</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1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无主地块土壤污染状况调查</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完成无主地块土壤污染状况调查。</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w:t>
            </w:r>
            <w:r>
              <w:rPr>
                <w:rFonts w:hint="eastAsia" w:ascii="仿宋_GB2312" w:hAnsi="宋体" w:eastAsia="仿宋_GB2312" w:cs="仿宋_GB2312"/>
                <w:i w:val="0"/>
                <w:color w:val="000000"/>
                <w:kern w:val="0"/>
                <w:sz w:val="24"/>
                <w:szCs w:val="24"/>
                <w:u w:val="none"/>
                <w:lang w:val="en-US" w:eastAsia="zh-CN" w:bidi="ar"/>
              </w:rPr>
              <w:t>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29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建立疑似污染地块和污染地块名录</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完成已确定的疑似污染地块土壤环境质量状况调查。</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51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污染地块安全利用率</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明确辖区内获得建设工程规划许可证的再开发利用污染地块及面积和污染地块达到土壤环境质量标准的地块及面积，并能提供证明材料。</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松龄路街道办事处、区自然资源局、区工业和信息化局</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000"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抓好土壤污染治理与修复</w:t>
            </w:r>
          </w:p>
        </w:tc>
        <w:tc>
          <w:tcPr>
            <w:tcW w:w="3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全面完成重点行业企业用地详查，梳理受污染和疑似污染地块，建立清单、名录，严格按照规范流程开展污染地块的调查、风险管控、修复和评估工作。</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w:t>
            </w:r>
            <w:r>
              <w:rPr>
                <w:rFonts w:hint="eastAsia" w:ascii="仿宋_GB2312" w:hAnsi="宋体" w:eastAsia="仿宋_GB2312" w:cs="仿宋_GB2312"/>
                <w:i w:val="0"/>
                <w:color w:val="000000"/>
                <w:kern w:val="0"/>
                <w:sz w:val="24"/>
                <w:szCs w:val="24"/>
                <w:u w:val="none"/>
                <w:lang w:val="en-US" w:eastAsia="zh-CN" w:bidi="ar"/>
              </w:rPr>
              <w:t>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鲁泰纺织股份有限公司总厂（原淄博第七棉纺厂）地块</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1020"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原淄博市淄川隆烨电镀厂（原淄川区电镀厂）地块</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12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建立固体废物与重金属重点监管源清单，推进固体废物重金属规范化管理。</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松龄路街道办事处</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w:t>
            </w:r>
            <w:bookmarkStart w:id="1" w:name="_GoBack"/>
            <w:bookmarkEnd w:id="1"/>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r>
        <w:tblPrEx>
          <w:tblLayout w:type="fixed"/>
          <w:tblCellMar>
            <w:top w:w="0" w:type="dxa"/>
            <w:left w:w="0" w:type="dxa"/>
            <w:bottom w:w="0" w:type="dxa"/>
            <w:right w:w="0" w:type="dxa"/>
          </w:tblCellMar>
        </w:tblPrEx>
        <w:trPr>
          <w:trHeight w:val="26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提升固体废物、重金属环境监管能力</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提升污水处理污泥管理水平，对城镇污水处理厂污泥及时合法规范处置，不得大量堆存；对园区污水处理厂和企业自建污水处理设施污泥未明确固废危废属性的，开展危险废物鉴别工作，根据结论规范处置；建立污泥产生、贮存、转移及处置台账，确保环境安全。</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辖区内相关企业</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区综合行政执法局</w:t>
            </w:r>
          </w:p>
        </w:tc>
      </w:tr>
      <w:tr>
        <w:tblPrEx>
          <w:tblLayout w:type="fixed"/>
          <w:tblCellMar>
            <w:top w:w="0" w:type="dxa"/>
            <w:left w:w="0" w:type="dxa"/>
            <w:bottom w:w="0" w:type="dxa"/>
            <w:right w:w="0" w:type="dxa"/>
          </w:tblCellMar>
        </w:tblPrEx>
        <w:trPr>
          <w:trHeight w:val="424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医疗废物</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管理综合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治理项目</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持续加大医疗废物源头管理水平，完善医疗废物分类管理制度。严格落实医疗废物分类管理、专用包装、集中贮存要求，加强收集、转运设施设备配套，因地制宜推行以处置企业为主体的农村医疗废物收集转运工作模式。严格落实医疗废物管理的规章制度、工作流程，加强对医疗机构医疗废物收集、运送和暂时贮存过程中的防护管理。到2020年，全区医疗废物无害化处置率达到100%，力争各级各类医疗卫生机构医疗废物全部纳入集中处置。</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区卫生健康局</w:t>
            </w:r>
          </w:p>
        </w:tc>
      </w:tr>
      <w:tr>
        <w:tblPrEx>
          <w:tblLayout w:type="fixed"/>
          <w:tblCellMar>
            <w:top w:w="0" w:type="dxa"/>
            <w:left w:w="0" w:type="dxa"/>
            <w:bottom w:w="0" w:type="dxa"/>
            <w:right w:w="0" w:type="dxa"/>
          </w:tblCellMar>
        </w:tblPrEx>
        <w:trPr>
          <w:trHeight w:val="5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治理内容</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完成时限</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督导单位</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区级督导单位</w:t>
            </w:r>
          </w:p>
        </w:tc>
      </w:tr>
      <w:tr>
        <w:tblPrEx>
          <w:tblLayout w:type="fixed"/>
          <w:tblCellMar>
            <w:top w:w="0" w:type="dxa"/>
            <w:left w:w="0" w:type="dxa"/>
            <w:bottom w:w="0" w:type="dxa"/>
            <w:right w:w="0" w:type="dxa"/>
          </w:tblCellMar>
        </w:tblPrEx>
        <w:trPr>
          <w:trHeight w:val="239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辐射环境</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安全监管</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照放射源安全检查专项行动方案要求，完成所有放射源单位监督检查。强化放射源安全防护与安全保卫措施，规范放射源单位落实各项辐射环境管理制度，消除辐射环境安全隐患。废旧放射源安全收贮率保持100%。杜绝辐射环境事故发生。</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辖区内相关单位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区公安分局</w:t>
            </w:r>
          </w:p>
        </w:tc>
      </w:tr>
      <w:tr>
        <w:tblPrEx>
          <w:tblLayout w:type="fixed"/>
          <w:tblCellMar>
            <w:top w:w="0" w:type="dxa"/>
            <w:left w:w="0" w:type="dxa"/>
            <w:bottom w:w="0" w:type="dxa"/>
            <w:right w:w="0"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机动车污染防治</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配合淄博市生态环境局做好机动车污染防治相关项目的建设运行，内容包括：1、开展国五重型柴油车安装车载诊断系统远程在线设备；2、排放标准自动监控设施的建设安装，确定重点车辆进行执法检测的能力；3、建成OBD检查终端，做好车辆日常路抽检对污染控制装置的检查工作。</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2020年12月底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辖区内各运输公司、物流园区和相关个人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区生态环境分局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区交通运输局</w:t>
            </w:r>
          </w:p>
        </w:tc>
      </w:tr>
      <w:tr>
        <w:tblPrEx>
          <w:tblLayout w:type="fixed"/>
          <w:tblCellMar>
            <w:top w:w="0" w:type="dxa"/>
            <w:left w:w="0" w:type="dxa"/>
            <w:bottom w:w="0" w:type="dxa"/>
            <w:right w:w="0" w:type="dxa"/>
          </w:tblCellMar>
        </w:tblPrEx>
        <w:trPr>
          <w:trHeight w:val="235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非道路移动机械摸底调查和编码</w:t>
            </w:r>
          </w:p>
        </w:tc>
        <w:tc>
          <w:tcPr>
            <w:tcW w:w="3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对全区非道路移动机械进行摸底调查、编码；配合市生态环境局做好监控设备安装和平台建设</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2020年6月底</w:t>
            </w:r>
          </w:p>
        </w:tc>
        <w:tc>
          <w:tcPr>
            <w:tcW w:w="4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辖区内拥有非道路移动机械的企业和个人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松龄路</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街道办事处</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区自然资源局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区住房和城乡建设局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区交通运输局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区水利局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区市场监督管理局</w:t>
            </w:r>
          </w:p>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区综合行政执法局</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区生态环境分局</w:t>
            </w:r>
          </w:p>
        </w:tc>
      </w:tr>
    </w:tbl>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pacing w:val="0"/>
          <w:sz w:val="32"/>
          <w:szCs w:val="32"/>
        </w:rPr>
      </w:pPr>
    </w:p>
    <w:sectPr>
      <w:pgSz w:w="16838" w:h="11906" w:orient="landscape"/>
      <w:pgMar w:top="1474" w:right="1985" w:bottom="1587" w:left="2098" w:header="851" w:footer="992" w:gutter="0"/>
      <w:pgBorders w:offsetFrom="page">
        <w:top w:val="none" w:sz="0" w:space="0"/>
        <w:left w:val="none" w:sz="0" w:space="0"/>
        <w:bottom w:val="none" w:sz="0" w:space="0"/>
        <w:right w:val="none" w:sz="0" w:space="0"/>
      </w:pgBorders>
      <w:pgNumType w:fmt="decimal"/>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8240;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FY8p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CB3"/>
    <w:rsid w:val="00003887"/>
    <w:rsid w:val="00061E3E"/>
    <w:rsid w:val="00220900"/>
    <w:rsid w:val="0033654F"/>
    <w:rsid w:val="003D61EC"/>
    <w:rsid w:val="00402EFB"/>
    <w:rsid w:val="004543F0"/>
    <w:rsid w:val="0049445D"/>
    <w:rsid w:val="004F7CCE"/>
    <w:rsid w:val="005C3CB3"/>
    <w:rsid w:val="00625025"/>
    <w:rsid w:val="006F680E"/>
    <w:rsid w:val="0071112C"/>
    <w:rsid w:val="008203DD"/>
    <w:rsid w:val="00862D6D"/>
    <w:rsid w:val="008C4445"/>
    <w:rsid w:val="00917A2C"/>
    <w:rsid w:val="00D57BFA"/>
    <w:rsid w:val="00DB33F7"/>
    <w:rsid w:val="00E016DD"/>
    <w:rsid w:val="00E55470"/>
    <w:rsid w:val="027375C9"/>
    <w:rsid w:val="03DB4516"/>
    <w:rsid w:val="05120C36"/>
    <w:rsid w:val="062F5D97"/>
    <w:rsid w:val="088F7D7E"/>
    <w:rsid w:val="08C37EA0"/>
    <w:rsid w:val="0A0E2E4A"/>
    <w:rsid w:val="0C6F1CC7"/>
    <w:rsid w:val="0D277241"/>
    <w:rsid w:val="0EBD4890"/>
    <w:rsid w:val="11605BDC"/>
    <w:rsid w:val="11AE093E"/>
    <w:rsid w:val="14336900"/>
    <w:rsid w:val="14A96141"/>
    <w:rsid w:val="15212A84"/>
    <w:rsid w:val="159B32DF"/>
    <w:rsid w:val="17EE71F2"/>
    <w:rsid w:val="1AE86DC4"/>
    <w:rsid w:val="1E3160AE"/>
    <w:rsid w:val="2EB22177"/>
    <w:rsid w:val="3326644F"/>
    <w:rsid w:val="366113CB"/>
    <w:rsid w:val="405433F0"/>
    <w:rsid w:val="458D7970"/>
    <w:rsid w:val="473C385A"/>
    <w:rsid w:val="47C356FF"/>
    <w:rsid w:val="4A19359E"/>
    <w:rsid w:val="4B24326C"/>
    <w:rsid w:val="4C174402"/>
    <w:rsid w:val="4EA81869"/>
    <w:rsid w:val="53C82177"/>
    <w:rsid w:val="57DE675A"/>
    <w:rsid w:val="57F45B94"/>
    <w:rsid w:val="5B31075C"/>
    <w:rsid w:val="5EE66398"/>
    <w:rsid w:val="6C61367C"/>
    <w:rsid w:val="6DD9411F"/>
    <w:rsid w:val="6E584718"/>
    <w:rsid w:val="71ED18A5"/>
    <w:rsid w:val="75ED483E"/>
    <w:rsid w:val="769A5636"/>
    <w:rsid w:val="76D646FC"/>
    <w:rsid w:val="79224794"/>
    <w:rsid w:val="7D1F5EA6"/>
    <w:rsid w:val="7EFF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rPr>
      <w:rFonts w:ascii="Times New Roman" w:hAnsi="Times New Roman"/>
      <w:sz w:val="28"/>
    </w:rPr>
  </w:style>
  <w:style w:type="paragraph" w:styleId="3">
    <w:name w:val="Body Text Indent"/>
    <w:basedOn w:val="1"/>
    <w:link w:val="12"/>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3"/>
    <w:link w:val="13"/>
    <w:qFormat/>
    <w:uiPriority w:val="0"/>
    <w:pPr>
      <w:spacing w:after="0"/>
      <w:ind w:firstLine="420" w:firstLineChars="200"/>
    </w:p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 Char"/>
    <w:basedOn w:val="8"/>
    <w:link w:val="2"/>
    <w:qFormat/>
    <w:uiPriority w:val="0"/>
    <w:rPr>
      <w:rFonts w:ascii="Times New Roman" w:hAnsi="Times New Roman" w:eastAsia="宋体" w:cs="Times New Roman"/>
      <w:sz w:val="28"/>
      <w:szCs w:val="24"/>
    </w:rPr>
  </w:style>
  <w:style w:type="character" w:customStyle="1" w:styleId="12">
    <w:name w:val="正文文本缩进 Char"/>
    <w:basedOn w:val="8"/>
    <w:link w:val="3"/>
    <w:semiHidden/>
    <w:qFormat/>
    <w:uiPriority w:val="99"/>
    <w:rPr>
      <w:rFonts w:ascii="Calibri" w:hAnsi="Calibri" w:eastAsia="宋体" w:cs="Times New Roman"/>
      <w:szCs w:val="24"/>
    </w:rPr>
  </w:style>
  <w:style w:type="character" w:customStyle="1" w:styleId="13">
    <w:name w:val="正文首行缩进 2 Char"/>
    <w:basedOn w:val="12"/>
    <w:link w:val="6"/>
    <w:qFormat/>
    <w:uiPriority w:val="0"/>
  </w:style>
  <w:style w:type="paragraph" w:customStyle="1" w:styleId="14">
    <w:name w:val="新A4正文"/>
    <w:basedOn w:val="1"/>
    <w:qFormat/>
    <w:uiPriority w:val="0"/>
    <w:pPr>
      <w:ind w:firstLine="698" w:firstLineChars="133"/>
    </w:pPr>
    <w:rPr>
      <w:rFonts w:ascii="Times New Roman" w:hAnsi="Times New Roman" w:eastAsia="仿宋_GB2312"/>
      <w:spacing w:val="12"/>
      <w:kern w:val="0"/>
      <w:sz w:val="32"/>
      <w:szCs w:val="32"/>
    </w:rPr>
  </w:style>
  <w:style w:type="character" w:customStyle="1" w:styleId="15">
    <w:name w:val="font41"/>
    <w:basedOn w:val="8"/>
    <w:uiPriority w:val="0"/>
    <w:rPr>
      <w:rFonts w:hint="eastAsia" w:ascii="仿宋_GB2312" w:eastAsia="仿宋_GB2312" w:cs="仿宋_GB2312"/>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01"/>
    <w:basedOn w:val="8"/>
    <w:uiPriority w:val="0"/>
    <w:rPr>
      <w:rFonts w:ascii="方正仿宋_GB2312" w:hAnsi="方正仿宋_GB2312" w:eastAsia="方正仿宋_GB2312" w:cs="方正仿宋_GB2312"/>
      <w:color w:val="000000"/>
      <w:sz w:val="24"/>
      <w:szCs w:val="24"/>
      <w:u w:val="none"/>
    </w:rPr>
  </w:style>
  <w:style w:type="character" w:customStyle="1" w:styleId="18">
    <w:name w:val="font31"/>
    <w:basedOn w:val="8"/>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file:///C:\Users\lenovo\AppData\Local\Temp\ksohtml\clip_image7.png" TargetMode="External"/><Relationship Id="rId8" Type="http://schemas.openxmlformats.org/officeDocument/2006/relationships/image" Target="file:///C:\Users\lenovo\AppData\Local\Temp\ksohtml\clip_image3.png" TargetMode="External"/><Relationship Id="rId7" Type="http://schemas.openxmlformats.org/officeDocument/2006/relationships/image" Target="file:///C:\Users\lenovo\AppData\Local\Temp\ksohtml\clip_image4.png" TargetMode="External"/><Relationship Id="rId6" Type="http://schemas.openxmlformats.org/officeDocument/2006/relationships/image" Target="file:///C:\Users\lenovo\AppData\Local\Temp\ksohtml\clip_image5.png" TargetMode="External"/><Relationship Id="rId5" Type="http://schemas.openxmlformats.org/officeDocument/2006/relationships/image" Target="file:///C:\Users\lenovo\AppData\Local\Temp\ksohtml\clip_image6.png"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file:///C:\Users\lenovo\AppData\Local\Temp\ksohtml\clip_image2.png" TargetMode="External"/><Relationship Id="rId13" Type="http://schemas.openxmlformats.org/officeDocument/2006/relationships/image" Target="file:///C:\Users\lenovo\AppData\Local\Temp\ksohtml\clip_image11.png" TargetMode="External"/><Relationship Id="rId12" Type="http://schemas.openxmlformats.org/officeDocument/2006/relationships/image" Target="file:///C:\Users\lenovo\AppData\Local\Temp\ksohtml\clip_image10.png" TargetMode="External"/><Relationship Id="rId11" Type="http://schemas.openxmlformats.org/officeDocument/2006/relationships/image" Target="file:///C:\Users\lenovo\AppData\Local\Temp\ksohtml\clip_image9.png" TargetMode="External"/><Relationship Id="rId10" Type="http://schemas.openxmlformats.org/officeDocument/2006/relationships/image" Target="file:///C:\Users\lenovo\AppData\Local\Temp\ksohtml\clip_image8.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4131</Characters>
  <Lines>34</Lines>
  <Paragraphs>9</Paragraphs>
  <TotalTime>0</TotalTime>
  <ScaleCrop>false</ScaleCrop>
  <LinksUpToDate>false</LinksUpToDate>
  <CharactersWithSpaces>4846</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2020-04-08T02:44:00Z</dcterms:created>
  <dc:creator>NTKO</dc:creator>
  <cp:lastModifiedBy>zchbbgs</cp:lastModifiedBy>
  <cp:lastPrinted>2020-05-26T01:57:00Z</cp:lastPrinted>
  <dcterms:modified xsi:type="dcterms:W3CDTF">2020-06-08T07:01:09Z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