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2"/>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一、建设项目</w:t>
      </w:r>
      <w:r>
        <w:rPr>
          <w:rFonts w:hint="default" w:ascii="Times New Roman" w:hAnsi="Times New Roman" w:eastAsia="黑体" w:cs="Times New Roman"/>
          <w:snapToGrid w:val="0"/>
          <w:color w:val="auto"/>
          <w:sz w:val="30"/>
          <w:szCs w:val="30"/>
          <w:highlight w:val="none"/>
        </w:rPr>
        <w:t>基本</w:t>
      </w:r>
      <w:r>
        <w:rPr>
          <w:rFonts w:hint="default" w:ascii="Times New Roman" w:hAnsi="Times New Roman" w:eastAsia="黑体" w:cs="Times New Roman"/>
          <w:snapToGrid w:val="0"/>
          <w:color w:val="auto"/>
          <w:sz w:val="30"/>
          <w:szCs w:val="30"/>
        </w:rPr>
        <w:t>情况</w:t>
      </w:r>
    </w:p>
    <w:tbl>
      <w:tblPr>
        <w:tblStyle w:val="26"/>
        <w:tblW w:w="499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53"/>
        <w:gridCol w:w="1899"/>
        <w:gridCol w:w="83"/>
        <w:gridCol w:w="1900"/>
        <w:gridCol w:w="174"/>
        <w:gridCol w:w="284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建设项目名称</w:t>
            </w:r>
          </w:p>
        </w:tc>
        <w:tc>
          <w:tcPr>
            <w:tcW w:w="3896" w:type="pct"/>
            <w:gridSpan w:val="5"/>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淄博宝发顺仓储有限公司仓储项目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项目代码</w:t>
            </w:r>
          </w:p>
        </w:tc>
        <w:tc>
          <w:tcPr>
            <w:tcW w:w="3896" w:type="pct"/>
            <w:gridSpan w:val="5"/>
            <w:vAlign w:val="center"/>
          </w:tcPr>
          <w:p>
            <w:pPr>
              <w:adjustRightInd w:val="0"/>
              <w:snapToGrid w:val="0"/>
              <w:jc w:val="center"/>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eastAsia="zh-CN"/>
              </w:rPr>
              <w:t>2212-370302-89-01-767949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建设单位联系人</w:t>
            </w:r>
          </w:p>
        </w:tc>
        <w:tc>
          <w:tcPr>
            <w:tcW w:w="1119" w:type="pct"/>
            <w:gridSpan w:val="2"/>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赵家颖</w:t>
            </w:r>
          </w:p>
        </w:tc>
        <w:tc>
          <w:tcPr>
            <w:tcW w:w="1171" w:type="pct"/>
            <w:gridSpan w:val="2"/>
            <w:vAlign w:val="center"/>
          </w:tcPr>
          <w:p>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联系方式</w:t>
            </w:r>
          </w:p>
        </w:tc>
        <w:tc>
          <w:tcPr>
            <w:tcW w:w="1605" w:type="pct"/>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15805337199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建设地点</w:t>
            </w:r>
          </w:p>
        </w:tc>
        <w:tc>
          <w:tcPr>
            <w:tcW w:w="3896" w:type="pct"/>
            <w:gridSpan w:val="5"/>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淄博市淄川区寨里镇土湾村胶王路与一干渠路交叉口东10米，原淄博正晋特钢有限公司厂区内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地理坐标</w:t>
            </w:r>
          </w:p>
        </w:tc>
        <w:tc>
          <w:tcPr>
            <w:tcW w:w="3896" w:type="pct"/>
            <w:gridSpan w:val="5"/>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u w:val="single"/>
              </w:rPr>
              <w:t xml:space="preserve"> 118 </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u w:val="single"/>
              </w:rPr>
              <w:t xml:space="preserve"> </w:t>
            </w:r>
            <w:r>
              <w:rPr>
                <w:rFonts w:hint="eastAsia" w:cs="Times New Roman"/>
                <w:color w:val="auto"/>
                <w:sz w:val="24"/>
                <w:szCs w:val="24"/>
                <w:u w:val="single"/>
                <w:lang w:val="en-US" w:eastAsia="zh-CN"/>
              </w:rPr>
              <w:t>10</w:t>
            </w:r>
            <w:r>
              <w:rPr>
                <w:rFonts w:hint="default" w:ascii="Times New Roman" w:hAnsi="Times New Roman" w:cs="Times New Roman"/>
                <w:color w:val="auto"/>
                <w:sz w:val="24"/>
                <w:szCs w:val="24"/>
                <w:u w:val="single"/>
              </w:rPr>
              <w:t xml:space="preserve"> </w:t>
            </w:r>
            <w:r>
              <w:rPr>
                <w:rFonts w:hint="default" w:ascii="Times New Roman" w:hAnsi="Times New Roman" w:cs="Times New Roman"/>
                <w:color w:val="auto"/>
                <w:sz w:val="24"/>
                <w:szCs w:val="24"/>
              </w:rPr>
              <w:t>分</w:t>
            </w:r>
            <w:r>
              <w:rPr>
                <w:rFonts w:hint="default" w:ascii="Times New Roman" w:hAnsi="Times New Roman" w:cs="Times New Roman"/>
                <w:color w:val="auto"/>
                <w:sz w:val="24"/>
                <w:szCs w:val="24"/>
                <w:u w:val="single"/>
              </w:rPr>
              <w:t xml:space="preserve"> </w:t>
            </w:r>
            <w:r>
              <w:rPr>
                <w:rFonts w:hint="eastAsia" w:cs="Times New Roman"/>
                <w:color w:val="auto"/>
                <w:sz w:val="24"/>
                <w:szCs w:val="24"/>
                <w:u w:val="single"/>
                <w:lang w:val="en-US" w:eastAsia="zh-CN"/>
              </w:rPr>
              <w:t>32.628</w:t>
            </w:r>
            <w:r>
              <w:rPr>
                <w:rFonts w:hint="default" w:ascii="Times New Roman" w:hAnsi="Times New Roman" w:cs="Times New Roman"/>
                <w:color w:val="auto"/>
                <w:sz w:val="24"/>
                <w:szCs w:val="24"/>
                <w:u w:val="single"/>
                <w:lang w:val="en-US" w:eastAsia="zh-CN"/>
              </w:rPr>
              <w:t xml:space="preserve"> </w:t>
            </w:r>
            <w:r>
              <w:rPr>
                <w:rFonts w:hint="default" w:ascii="Times New Roman" w:hAnsi="Times New Roman" w:cs="Times New Roman"/>
                <w:color w:val="auto"/>
                <w:sz w:val="24"/>
                <w:szCs w:val="24"/>
              </w:rPr>
              <w:t>秒，</w:t>
            </w:r>
            <w:r>
              <w:rPr>
                <w:rFonts w:hint="default" w:ascii="Times New Roman" w:hAnsi="Times New Roman" w:cs="Times New Roman"/>
                <w:color w:val="auto"/>
                <w:sz w:val="24"/>
                <w:szCs w:val="24"/>
                <w:u w:val="single"/>
              </w:rPr>
              <w:t xml:space="preserve"> 36 </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u w:val="single"/>
              </w:rPr>
              <w:t xml:space="preserve"> </w:t>
            </w:r>
            <w:r>
              <w:rPr>
                <w:rFonts w:hint="eastAsia" w:cs="Times New Roman"/>
                <w:color w:val="auto"/>
                <w:sz w:val="24"/>
                <w:szCs w:val="24"/>
                <w:u w:val="single"/>
                <w:lang w:val="en-US" w:eastAsia="zh-CN"/>
              </w:rPr>
              <w:t>37</w:t>
            </w:r>
            <w:r>
              <w:rPr>
                <w:rFonts w:hint="default" w:ascii="Times New Roman" w:hAnsi="Times New Roman" w:cs="Times New Roman"/>
                <w:color w:val="auto"/>
                <w:sz w:val="24"/>
                <w:szCs w:val="24"/>
                <w:u w:val="single"/>
              </w:rPr>
              <w:t xml:space="preserve"> </w:t>
            </w:r>
            <w:r>
              <w:rPr>
                <w:rFonts w:hint="default" w:ascii="Times New Roman" w:hAnsi="Times New Roman" w:cs="Times New Roman"/>
                <w:color w:val="auto"/>
                <w:sz w:val="24"/>
                <w:szCs w:val="24"/>
              </w:rPr>
              <w:t>分</w:t>
            </w:r>
            <w:r>
              <w:rPr>
                <w:rFonts w:hint="default" w:ascii="Times New Roman" w:hAnsi="Times New Roman" w:cs="Times New Roman"/>
                <w:color w:val="auto"/>
                <w:sz w:val="24"/>
                <w:szCs w:val="24"/>
                <w:u w:val="single"/>
                <w:lang w:val="en-US" w:eastAsia="zh-CN"/>
              </w:rPr>
              <w:t xml:space="preserve"> </w:t>
            </w:r>
            <w:r>
              <w:rPr>
                <w:rFonts w:hint="eastAsia" w:cs="Times New Roman"/>
                <w:color w:val="auto"/>
                <w:sz w:val="24"/>
                <w:szCs w:val="24"/>
                <w:u w:val="single"/>
                <w:lang w:val="en-US" w:eastAsia="zh-CN"/>
              </w:rPr>
              <w:t>11.479</w:t>
            </w:r>
            <w:r>
              <w:rPr>
                <w:rFonts w:hint="default" w:ascii="Times New Roman" w:hAnsi="Times New Roman" w:cs="Times New Roman"/>
                <w:color w:val="auto"/>
                <w:sz w:val="24"/>
                <w:szCs w:val="24"/>
                <w:u w:val="single"/>
                <w:lang w:val="en-US" w:eastAsia="zh-CN"/>
              </w:rPr>
              <w:t xml:space="preserve"> 秒</w:t>
            </w:r>
            <w:r>
              <w:rPr>
                <w:rFonts w:hint="default" w:ascii="Times New Roman" w:hAnsi="Times New Roman" w:cs="Times New Roman"/>
                <w:color w:val="auto"/>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黑体" w:hAnsi="黑体" w:eastAsia="黑体" w:cs="黑体"/>
                <w:color w:val="auto"/>
                <w:sz w:val="24"/>
                <w:szCs w:val="24"/>
                <w:highlight w:val="none"/>
                <w:lang w:val="en-US" w:eastAsia="zh-CN"/>
              </w:rPr>
            </w:pPr>
            <w:r>
              <w:rPr>
                <w:rFonts w:hint="default" w:ascii="黑体" w:hAnsi="黑体" w:eastAsia="黑体" w:cs="黑体"/>
                <w:color w:val="auto"/>
                <w:sz w:val="24"/>
                <w:szCs w:val="24"/>
                <w:highlight w:val="none"/>
                <w:lang w:val="en-US" w:eastAsia="zh-CN"/>
              </w:rPr>
              <w:t>国民经济</w:t>
            </w:r>
          </w:p>
          <w:p>
            <w:pPr>
              <w:adjustRightInd w:val="0"/>
              <w:snapToGrid w:val="0"/>
              <w:jc w:val="center"/>
              <w:rPr>
                <w:rFonts w:hint="default" w:ascii="黑体" w:hAnsi="黑体" w:eastAsia="黑体" w:cs="黑体"/>
                <w:color w:val="auto"/>
                <w:sz w:val="24"/>
                <w:szCs w:val="24"/>
                <w:highlight w:val="none"/>
                <w:lang w:val="en-US" w:eastAsia="zh-CN"/>
              </w:rPr>
            </w:pPr>
            <w:r>
              <w:rPr>
                <w:rFonts w:hint="default" w:ascii="黑体" w:hAnsi="黑体" w:eastAsia="黑体" w:cs="黑体"/>
                <w:color w:val="auto"/>
                <w:sz w:val="24"/>
                <w:szCs w:val="24"/>
                <w:highlight w:val="none"/>
                <w:lang w:val="en-US" w:eastAsia="zh-CN"/>
              </w:rPr>
              <w:t>行业类别</w:t>
            </w:r>
          </w:p>
        </w:tc>
        <w:tc>
          <w:tcPr>
            <w:tcW w:w="1072" w:type="pct"/>
            <w:vAlign w:val="center"/>
          </w:tcPr>
          <w:p>
            <w:pPr>
              <w:adjustRightInd w:val="0"/>
              <w:snapToGrid w:val="0"/>
              <w:jc w:val="center"/>
              <w:rPr>
                <w:rFonts w:hint="eastAsia" w:cs="Times New Roman"/>
                <w:color w:val="auto"/>
                <w:sz w:val="24"/>
                <w:szCs w:val="24"/>
                <w:lang w:val="en-US" w:eastAsia="zh-CN"/>
              </w:rPr>
            </w:pPr>
            <w:r>
              <w:rPr>
                <w:rFonts w:hint="eastAsia" w:cs="Times New Roman"/>
                <w:color w:val="auto"/>
                <w:sz w:val="24"/>
                <w:szCs w:val="24"/>
                <w:lang w:val="en-US" w:eastAsia="zh-CN"/>
              </w:rPr>
              <w:t>G5941</w:t>
            </w:r>
          </w:p>
          <w:p>
            <w:pPr>
              <w:adjustRightInd w:val="0"/>
              <w:snapToGrid w:val="0"/>
              <w:jc w:val="center"/>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油气仓储</w:t>
            </w:r>
          </w:p>
        </w:tc>
        <w:tc>
          <w:tcPr>
            <w:tcW w:w="1120" w:type="pct"/>
            <w:gridSpan w:val="2"/>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黑体" w:hAnsi="黑体" w:eastAsia="黑体" w:cs="黑体"/>
                <w:color w:val="auto"/>
                <w:sz w:val="24"/>
                <w:szCs w:val="22"/>
                <w:lang w:val="en-US" w:eastAsia="zh-CN"/>
              </w:rPr>
            </w:pPr>
            <w:bookmarkStart w:id="0" w:name="_Hlk49843745"/>
            <w:r>
              <w:rPr>
                <w:rFonts w:hint="eastAsia" w:ascii="黑体" w:hAnsi="黑体" w:eastAsia="黑体" w:cs="黑体"/>
                <w:color w:val="auto"/>
                <w:sz w:val="24"/>
                <w:szCs w:val="22"/>
                <w:lang w:val="en-US" w:eastAsia="zh-CN"/>
              </w:rPr>
              <w:t>建设项目</w:t>
            </w:r>
          </w:p>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黑体" w:hAnsi="黑体" w:eastAsia="黑体" w:cs="黑体"/>
                <w:color w:val="auto"/>
                <w:sz w:val="24"/>
                <w:szCs w:val="22"/>
                <w:lang w:val="en-US" w:eastAsia="zh-CN"/>
              </w:rPr>
            </w:pPr>
            <w:r>
              <w:rPr>
                <w:rFonts w:hint="eastAsia" w:ascii="黑体" w:hAnsi="黑体" w:eastAsia="黑体" w:cs="黑体"/>
                <w:color w:val="auto"/>
                <w:sz w:val="24"/>
                <w:szCs w:val="22"/>
                <w:lang w:val="en-US" w:eastAsia="zh-CN"/>
              </w:rPr>
              <w:t>行业类别</w:t>
            </w:r>
            <w:bookmarkEnd w:id="0"/>
          </w:p>
        </w:tc>
        <w:tc>
          <w:tcPr>
            <w:tcW w:w="1703" w:type="pct"/>
            <w:gridSpan w:val="2"/>
            <w:vAlign w:val="center"/>
          </w:tcPr>
          <w:p>
            <w:pPr>
              <w:jc w:val="left"/>
              <w:rPr>
                <w:rFonts w:hint="eastAsia" w:ascii="Times New Roman" w:hAnsi="Times New Roman" w:eastAsia="宋体" w:cs="Times New Roman"/>
                <w:color w:val="auto"/>
                <w:sz w:val="24"/>
                <w:szCs w:val="22"/>
                <w:lang w:val="en-US" w:eastAsia="zh-CN"/>
              </w:rPr>
            </w:pPr>
            <w:r>
              <w:rPr>
                <w:rFonts w:hint="eastAsia" w:cs="Times New Roman"/>
                <w:color w:val="auto"/>
                <w:sz w:val="24"/>
                <w:szCs w:val="24"/>
                <w:lang w:val="en-US" w:eastAsia="zh-CN"/>
              </w:rPr>
              <w:t>五十三、装卸搬运和仓储业59；149、危险品仓储594（不含加油站的油库；不含加气站的气库）；其他（含有毒、有害、危险品的仓储；含液化天然气库）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建设性质</w:t>
            </w:r>
          </w:p>
        </w:tc>
        <w:tc>
          <w:tcPr>
            <w:tcW w:w="1072" w:type="pct"/>
            <w:vAlign w:val="center"/>
          </w:tcPr>
          <w:p>
            <w:pPr>
              <w:jc w:val="left"/>
              <w:rPr>
                <w:rFonts w:hint="default" w:ascii="Times New Roman" w:hAnsi="Times New Roman" w:cs="Times New Roman"/>
                <w:color w:val="auto"/>
                <w:sz w:val="24"/>
                <w:szCs w:val="24"/>
              </w:rPr>
            </w:pPr>
            <w:r>
              <w:rPr>
                <w:rFonts w:hint="eastAsia" w:cs="Times New Roman"/>
                <w:color w:val="auto"/>
                <w:sz w:val="24"/>
                <w:szCs w:val="24"/>
                <w:lang w:eastAsia="zh-CN"/>
              </w:rPr>
              <w:sym w:font="Wingdings 2" w:char="0052"/>
            </w:r>
            <w:r>
              <w:rPr>
                <w:rFonts w:hint="default" w:ascii="Times New Roman" w:hAnsi="Times New Roman" w:cs="Times New Roman"/>
                <w:color w:val="auto"/>
                <w:sz w:val="24"/>
                <w:szCs w:val="24"/>
              </w:rPr>
              <w:t>新建（迁建）</w:t>
            </w:r>
          </w:p>
          <w:p>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sym w:font="Wingdings 2" w:char="00A3"/>
            </w:r>
            <w:r>
              <w:rPr>
                <w:rFonts w:hint="default" w:ascii="Times New Roman" w:hAnsi="Times New Roman" w:cs="Times New Roman"/>
                <w:color w:val="auto"/>
                <w:sz w:val="24"/>
                <w:szCs w:val="24"/>
              </w:rPr>
              <w:t>改建</w:t>
            </w:r>
          </w:p>
          <w:p>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扩建</w:t>
            </w:r>
          </w:p>
          <w:p>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技术改造</w:t>
            </w:r>
          </w:p>
        </w:tc>
        <w:tc>
          <w:tcPr>
            <w:tcW w:w="1120" w:type="pct"/>
            <w:gridSpan w:val="2"/>
            <w:vAlign w:val="center"/>
          </w:tcPr>
          <w:p>
            <w:pPr>
              <w:adjustRightInd w:val="0"/>
              <w:snapToGrid w:val="0"/>
              <w:jc w:val="center"/>
              <w:rPr>
                <w:rFonts w:hint="eastAsia" w:ascii="黑体" w:hAnsi="黑体" w:eastAsia="黑体" w:cs="黑体"/>
                <w:color w:val="auto"/>
                <w:sz w:val="24"/>
                <w:szCs w:val="24"/>
              </w:rPr>
            </w:pPr>
            <w:r>
              <w:rPr>
                <w:rFonts w:hint="eastAsia" w:ascii="黑体" w:hAnsi="黑体" w:eastAsia="黑体" w:cs="黑体"/>
                <w:color w:val="auto"/>
                <w:sz w:val="24"/>
                <w:szCs w:val="24"/>
              </w:rPr>
              <w:t>建设项目</w:t>
            </w:r>
          </w:p>
          <w:p>
            <w:pPr>
              <w:adjustRightInd w:val="0"/>
              <w:snapToGrid w:val="0"/>
              <w:jc w:val="center"/>
              <w:rPr>
                <w:rFonts w:hint="eastAsia" w:ascii="黑体" w:hAnsi="黑体" w:eastAsia="黑体" w:cs="黑体"/>
                <w:color w:val="auto"/>
                <w:sz w:val="24"/>
                <w:szCs w:val="24"/>
              </w:rPr>
            </w:pPr>
            <w:r>
              <w:rPr>
                <w:rFonts w:hint="eastAsia" w:ascii="黑体" w:hAnsi="黑体" w:eastAsia="黑体" w:cs="黑体"/>
                <w:color w:val="auto"/>
                <w:sz w:val="24"/>
                <w:szCs w:val="24"/>
              </w:rPr>
              <w:t>申报情形</w:t>
            </w:r>
          </w:p>
        </w:tc>
        <w:tc>
          <w:tcPr>
            <w:tcW w:w="1703" w:type="pct"/>
            <w:gridSpan w:val="2"/>
            <w:vAlign w:val="center"/>
          </w:tcPr>
          <w:p>
            <w:pPr>
              <w:jc w:val="left"/>
              <w:rPr>
                <w:rFonts w:hint="default" w:ascii="Times New Roman" w:hAnsi="Times New Roman" w:cs="Times New Roman"/>
                <w:color w:val="auto"/>
                <w:sz w:val="24"/>
                <w:szCs w:val="24"/>
              </w:rPr>
            </w:pPr>
            <w:r>
              <w:rPr>
                <w:rFonts w:hint="eastAsia" w:cs="Times New Roman"/>
                <w:color w:val="auto"/>
                <w:sz w:val="24"/>
                <w:szCs w:val="24"/>
                <w:lang w:eastAsia="zh-CN"/>
              </w:rPr>
              <w:t>☑</w:t>
            </w:r>
            <w:r>
              <w:rPr>
                <w:rFonts w:hint="default" w:ascii="Times New Roman" w:hAnsi="Times New Roman" w:cs="Times New Roman"/>
                <w:color w:val="auto"/>
                <w:sz w:val="24"/>
                <w:szCs w:val="24"/>
              </w:rPr>
              <w:t xml:space="preserve">首次申报项目             </w:t>
            </w:r>
          </w:p>
          <w:p>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不予批准后再次申报项目</w:t>
            </w:r>
          </w:p>
          <w:p>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 xml:space="preserve">超五年重新审核项目     </w:t>
            </w:r>
          </w:p>
          <w:p>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项目审批（核准/</w:t>
            </w:r>
          </w:p>
          <w:p>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备案）部门</w:t>
            </w:r>
          </w:p>
        </w:tc>
        <w:tc>
          <w:tcPr>
            <w:tcW w:w="1072" w:type="pct"/>
            <w:vAlign w:val="center"/>
          </w:tcPr>
          <w:p>
            <w:pPr>
              <w:adjustRightInd w:val="0"/>
              <w:snapToGrid w:val="0"/>
              <w:jc w:val="center"/>
              <w:rPr>
                <w:rFonts w:hint="default" w:ascii="Times New Roman" w:hAnsi="Times New Roman" w:cs="Times New Roman"/>
                <w:color w:val="auto"/>
                <w:sz w:val="24"/>
                <w:szCs w:val="24"/>
              </w:rPr>
            </w:pPr>
            <w:r>
              <w:rPr>
                <w:rFonts w:hint="eastAsia" w:cs="Times New Roman"/>
                <w:color w:val="auto"/>
                <w:sz w:val="24"/>
                <w:szCs w:val="24"/>
                <w:lang w:eastAsia="zh-CN"/>
              </w:rPr>
              <w:t>淄川区</w:t>
            </w:r>
            <w:r>
              <w:rPr>
                <w:rFonts w:hint="eastAsia" w:ascii="Times New Roman" w:hAnsi="Times New Roman" w:eastAsia="宋体" w:cs="Times New Roman"/>
                <w:color w:val="auto"/>
                <w:sz w:val="24"/>
                <w:szCs w:val="24"/>
                <w:lang w:eastAsia="zh-CN"/>
              </w:rPr>
              <w:t>行政审批服务局</w:t>
            </w:r>
          </w:p>
        </w:tc>
        <w:tc>
          <w:tcPr>
            <w:tcW w:w="1120" w:type="pct"/>
            <w:gridSpan w:val="2"/>
            <w:vAlign w:val="center"/>
          </w:tcPr>
          <w:p>
            <w:pPr>
              <w:adjustRightInd w:val="0"/>
              <w:snapToGrid w:val="0"/>
              <w:jc w:val="center"/>
              <w:rPr>
                <w:rFonts w:hint="eastAsia" w:ascii="黑体" w:hAnsi="黑体" w:eastAsia="黑体" w:cs="黑体"/>
                <w:color w:val="auto"/>
                <w:sz w:val="24"/>
                <w:szCs w:val="24"/>
              </w:rPr>
            </w:pPr>
            <w:r>
              <w:rPr>
                <w:rFonts w:hint="eastAsia" w:ascii="黑体" w:hAnsi="黑体" w:eastAsia="黑体" w:cs="黑体"/>
                <w:color w:val="auto"/>
                <w:sz w:val="24"/>
                <w:szCs w:val="24"/>
              </w:rPr>
              <w:t>项目审批（核准/</w:t>
            </w:r>
          </w:p>
          <w:p>
            <w:pPr>
              <w:adjustRightInd w:val="0"/>
              <w:snapToGrid w:val="0"/>
              <w:jc w:val="center"/>
              <w:rPr>
                <w:rFonts w:hint="eastAsia" w:ascii="黑体" w:hAnsi="黑体" w:eastAsia="黑体" w:cs="黑体"/>
                <w:color w:val="auto"/>
                <w:sz w:val="24"/>
                <w:szCs w:val="24"/>
              </w:rPr>
            </w:pPr>
            <w:r>
              <w:rPr>
                <w:rFonts w:hint="eastAsia" w:ascii="黑体" w:hAnsi="黑体" w:eastAsia="黑体" w:cs="黑体"/>
                <w:color w:val="auto"/>
                <w:sz w:val="24"/>
                <w:szCs w:val="24"/>
              </w:rPr>
              <w:t>备案）文号</w:t>
            </w:r>
          </w:p>
        </w:tc>
        <w:tc>
          <w:tcPr>
            <w:tcW w:w="1703" w:type="pct"/>
            <w:gridSpan w:val="2"/>
            <w:vAlign w:val="center"/>
          </w:tcPr>
          <w:p>
            <w:pPr>
              <w:adjustRightInd w:val="0"/>
              <w:snapToGrid w:val="0"/>
              <w:jc w:val="center"/>
              <w:rPr>
                <w:rFonts w:hint="eastAsia" w:ascii="Times New Roman" w:hAnsi="Times New Roman" w:eastAsia="宋体" w:cs="Times New Roman"/>
                <w:color w:val="auto"/>
                <w:sz w:val="24"/>
                <w:szCs w:val="24"/>
                <w:lang w:eastAsia="zh-CN"/>
              </w:rPr>
            </w:pPr>
            <w:r>
              <w:rPr>
                <w:rFonts w:hint="eastAsia" w:cs="Times New Roman"/>
                <w:color w:val="auto"/>
                <w:sz w:val="24"/>
                <w:szCs w:val="24"/>
                <w:lang w:eastAsia="zh-CN"/>
              </w:rPr>
              <w:t>2212-370302-89-01-767949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总投资（万元）</w:t>
            </w:r>
          </w:p>
        </w:tc>
        <w:tc>
          <w:tcPr>
            <w:tcW w:w="1072" w:type="pct"/>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28000</w:t>
            </w:r>
          </w:p>
        </w:tc>
        <w:tc>
          <w:tcPr>
            <w:tcW w:w="1120" w:type="pct"/>
            <w:gridSpan w:val="2"/>
            <w:tcMar>
              <w:top w:w="16" w:type="dxa"/>
              <w:left w:w="16" w:type="dxa"/>
              <w:right w:w="16" w:type="dxa"/>
            </w:tcMar>
            <w:vAlign w:val="center"/>
          </w:tcPr>
          <w:p>
            <w:pPr>
              <w:adjustRightInd w:val="0"/>
              <w:snapToGrid w:val="0"/>
              <w:jc w:val="center"/>
              <w:rPr>
                <w:rFonts w:hint="eastAsia" w:ascii="黑体" w:hAnsi="黑体" w:eastAsia="黑体" w:cs="黑体"/>
                <w:color w:val="auto"/>
                <w:sz w:val="24"/>
                <w:szCs w:val="24"/>
              </w:rPr>
            </w:pPr>
            <w:r>
              <w:rPr>
                <w:rFonts w:hint="eastAsia" w:ascii="黑体" w:hAnsi="黑体" w:eastAsia="黑体" w:cs="黑体"/>
                <w:color w:val="auto"/>
                <w:sz w:val="24"/>
                <w:szCs w:val="24"/>
              </w:rPr>
              <w:t>环保投资（万元）</w:t>
            </w:r>
          </w:p>
        </w:tc>
        <w:tc>
          <w:tcPr>
            <w:tcW w:w="1703" w:type="pct"/>
            <w:gridSpan w:val="2"/>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500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环保投资占比（%）</w:t>
            </w:r>
          </w:p>
        </w:tc>
        <w:tc>
          <w:tcPr>
            <w:tcW w:w="1072" w:type="pct"/>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1.79</w:t>
            </w:r>
          </w:p>
        </w:tc>
        <w:tc>
          <w:tcPr>
            <w:tcW w:w="1120" w:type="pct"/>
            <w:gridSpan w:val="2"/>
            <w:tcMar>
              <w:top w:w="16" w:type="dxa"/>
              <w:left w:w="16" w:type="dxa"/>
              <w:right w:w="16" w:type="dxa"/>
            </w:tcMar>
            <w:vAlign w:val="center"/>
          </w:tcPr>
          <w:p>
            <w:pPr>
              <w:adjustRightInd w:val="0"/>
              <w:snapToGrid w:val="0"/>
              <w:jc w:val="center"/>
              <w:rPr>
                <w:rFonts w:hint="eastAsia" w:ascii="黑体" w:hAnsi="黑体" w:eastAsia="黑体" w:cs="黑体"/>
                <w:color w:val="auto"/>
                <w:sz w:val="22"/>
                <w:szCs w:val="22"/>
              </w:rPr>
            </w:pPr>
            <w:r>
              <w:rPr>
                <w:rFonts w:hint="eastAsia" w:ascii="黑体" w:hAnsi="黑体" w:eastAsia="黑体" w:cs="黑体"/>
                <w:color w:val="auto"/>
                <w:sz w:val="22"/>
                <w:szCs w:val="22"/>
              </w:rPr>
              <w:t>施工工期</w:t>
            </w:r>
          </w:p>
        </w:tc>
        <w:tc>
          <w:tcPr>
            <w:tcW w:w="1703" w:type="pct"/>
            <w:gridSpan w:val="2"/>
            <w:vAlign w:val="center"/>
          </w:tcPr>
          <w:p>
            <w:pPr>
              <w:adjustRightInd w:val="0"/>
              <w:snapToGrid w:val="0"/>
              <w:jc w:val="center"/>
              <w:rPr>
                <w:rFonts w:hint="default" w:ascii="Times New Roman" w:hAnsi="Times New Roman" w:cs="Times New Roman"/>
                <w:color w:val="auto"/>
                <w:sz w:val="22"/>
                <w:szCs w:val="22"/>
              </w:rPr>
            </w:pPr>
            <w:r>
              <w:rPr>
                <w:rFonts w:hint="eastAsia" w:cs="Times New Roman"/>
                <w:color w:val="auto"/>
                <w:sz w:val="22"/>
                <w:szCs w:val="22"/>
                <w:lang w:val="en-US" w:eastAsia="zh-CN"/>
              </w:rPr>
              <w:t>20</w:t>
            </w:r>
            <w:r>
              <w:rPr>
                <w:rFonts w:hint="default" w:ascii="Times New Roman" w:hAnsi="Times New Roman" w:cs="Times New Roman"/>
                <w:color w:val="auto"/>
                <w:sz w:val="22"/>
                <w:szCs w:val="22"/>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是否开工建设</w:t>
            </w:r>
          </w:p>
        </w:tc>
        <w:tc>
          <w:tcPr>
            <w:tcW w:w="1072" w:type="pct"/>
            <w:vAlign w:val="center"/>
          </w:tcPr>
          <w:p>
            <w:pPr>
              <w:adjustRightInd w:val="0"/>
              <w:snapToGrid w:val="0"/>
              <w:rPr>
                <w:rFonts w:hint="default" w:ascii="Times New Roman" w:hAnsi="Times New Roman" w:cs="Times New Roman"/>
                <w:color w:val="auto"/>
                <w:sz w:val="24"/>
                <w:szCs w:val="24"/>
              </w:rPr>
            </w:pPr>
            <w:r>
              <w:rPr>
                <w:rFonts w:hint="eastAsia" w:cs="Times New Roman"/>
                <w:color w:val="auto"/>
                <w:sz w:val="24"/>
                <w:szCs w:val="24"/>
                <w:lang w:eastAsia="zh-CN"/>
              </w:rPr>
              <w:t>☑</w:t>
            </w:r>
            <w:r>
              <w:rPr>
                <w:rFonts w:hint="default" w:ascii="Times New Roman" w:hAnsi="Times New Roman" w:cs="Times New Roman"/>
                <w:color w:val="auto"/>
                <w:sz w:val="24"/>
                <w:szCs w:val="24"/>
              </w:rPr>
              <w:t>否</w:t>
            </w:r>
          </w:p>
          <w:p>
            <w:pPr>
              <w:adjustRightInd w:val="0"/>
              <w:snapToGrid w:val="0"/>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lang w:eastAsia="zh-CN"/>
              </w:rPr>
              <w:sym w:font="Wingdings 2" w:char="00A3"/>
            </w:r>
            <w:r>
              <w:rPr>
                <w:rFonts w:hint="default" w:ascii="Times New Roman" w:hAnsi="Times New Roman" w:cs="Times New Roman"/>
                <w:color w:val="auto"/>
                <w:sz w:val="24"/>
                <w:szCs w:val="24"/>
              </w:rPr>
              <w:t>是：</w:t>
            </w:r>
            <w:r>
              <w:rPr>
                <w:rFonts w:hint="default" w:ascii="Times New Roman" w:hAnsi="Times New Roman" w:cs="Times New Roman"/>
                <w:color w:val="auto"/>
                <w:sz w:val="24"/>
                <w:szCs w:val="24"/>
                <w:u w:val="single"/>
              </w:rPr>
              <w:t xml:space="preserve"> </w:t>
            </w:r>
            <w:r>
              <w:rPr>
                <w:rFonts w:hint="eastAsia" w:cs="Times New Roman"/>
                <w:color w:val="auto"/>
                <w:sz w:val="24"/>
                <w:szCs w:val="24"/>
                <w:u w:val="single"/>
                <w:lang w:val="en-US" w:eastAsia="zh-CN"/>
              </w:rPr>
              <w:t>/</w:t>
            </w:r>
            <w:r>
              <w:rPr>
                <w:rFonts w:hint="default" w:ascii="Times New Roman" w:hAnsi="Times New Roman" w:cs="Times New Roman"/>
                <w:color w:val="auto"/>
                <w:sz w:val="24"/>
                <w:szCs w:val="24"/>
                <w:u w:val="single"/>
              </w:rPr>
              <w:t xml:space="preserve">  </w:t>
            </w:r>
          </w:p>
        </w:tc>
        <w:tc>
          <w:tcPr>
            <w:tcW w:w="1120" w:type="pct"/>
            <w:gridSpan w:val="2"/>
            <w:tcMar>
              <w:top w:w="16" w:type="dxa"/>
              <w:left w:w="16" w:type="dxa"/>
              <w:right w:w="16" w:type="dxa"/>
            </w:tcMar>
            <w:vAlign w:val="center"/>
          </w:tcPr>
          <w:p>
            <w:pPr>
              <w:adjustRightInd w:val="0"/>
              <w:snapToGrid w:val="0"/>
              <w:jc w:val="center"/>
              <w:rPr>
                <w:rFonts w:hint="eastAsia" w:ascii="黑体" w:hAnsi="黑体" w:eastAsia="黑体" w:cs="黑体"/>
                <w:color w:val="auto"/>
                <w:spacing w:val="-6"/>
                <w:sz w:val="24"/>
                <w:szCs w:val="24"/>
              </w:rPr>
            </w:pPr>
            <w:r>
              <w:rPr>
                <w:rFonts w:hint="eastAsia" w:ascii="黑体" w:hAnsi="黑体" w:eastAsia="黑体" w:cs="黑体"/>
                <w:color w:val="auto"/>
                <w:spacing w:val="-6"/>
                <w:sz w:val="24"/>
                <w:szCs w:val="24"/>
              </w:rPr>
              <w:t>用地（用海）</w:t>
            </w:r>
          </w:p>
          <w:p>
            <w:pPr>
              <w:adjustRightInd w:val="0"/>
              <w:snapToGrid w:val="0"/>
              <w:jc w:val="center"/>
              <w:rPr>
                <w:rFonts w:hint="eastAsia" w:ascii="黑体" w:hAnsi="黑体" w:eastAsia="黑体" w:cs="黑体"/>
                <w:color w:val="auto"/>
                <w:sz w:val="24"/>
                <w:szCs w:val="24"/>
              </w:rPr>
            </w:pPr>
            <w:r>
              <w:rPr>
                <w:rFonts w:hint="eastAsia" w:ascii="黑体" w:hAnsi="黑体" w:eastAsia="黑体" w:cs="黑体"/>
                <w:color w:val="auto"/>
                <w:spacing w:val="-6"/>
                <w:sz w:val="24"/>
                <w:szCs w:val="24"/>
              </w:rPr>
              <w:t>面积（m</w:t>
            </w:r>
            <w:r>
              <w:rPr>
                <w:rFonts w:hint="eastAsia" w:ascii="黑体" w:hAnsi="黑体" w:eastAsia="黑体" w:cs="黑体"/>
                <w:color w:val="auto"/>
                <w:spacing w:val="-6"/>
                <w:sz w:val="24"/>
                <w:szCs w:val="24"/>
                <w:vertAlign w:val="superscript"/>
              </w:rPr>
              <w:t>2</w:t>
            </w:r>
            <w:r>
              <w:rPr>
                <w:rFonts w:hint="eastAsia" w:ascii="黑体" w:hAnsi="黑体" w:eastAsia="黑体" w:cs="黑体"/>
                <w:color w:val="auto"/>
                <w:spacing w:val="-6"/>
                <w:sz w:val="24"/>
                <w:szCs w:val="24"/>
              </w:rPr>
              <w:t>）</w:t>
            </w:r>
          </w:p>
        </w:tc>
        <w:tc>
          <w:tcPr>
            <w:tcW w:w="1703" w:type="pct"/>
            <w:gridSpan w:val="2"/>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131992.89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3" w:type="pct"/>
            <w:vAlign w:val="center"/>
          </w:tcPr>
          <w:p>
            <w:pPr>
              <w:autoSpaceDE w:val="0"/>
              <w:autoSpaceDN w:val="0"/>
              <w:adjustRightInd w:val="0"/>
              <w:snapToGrid w:val="0"/>
              <w:jc w:val="center"/>
              <w:rPr>
                <w:rFonts w:hint="default" w:ascii="黑体" w:hAnsi="黑体" w:eastAsia="黑体" w:cs="黑体"/>
                <w:color w:val="auto"/>
                <w:kern w:val="0"/>
                <w:sz w:val="24"/>
                <w:szCs w:val="24"/>
                <w:highlight w:val="none"/>
              </w:rPr>
            </w:pPr>
            <w:r>
              <w:rPr>
                <w:rFonts w:hint="default" w:ascii="黑体" w:hAnsi="黑体" w:eastAsia="黑体" w:cs="黑体"/>
                <w:color w:val="auto"/>
                <w:kern w:val="0"/>
                <w:sz w:val="24"/>
                <w:szCs w:val="24"/>
                <w:highlight w:val="none"/>
              </w:rPr>
              <w:t>专项评价</w:t>
            </w:r>
          </w:p>
          <w:p>
            <w:pPr>
              <w:autoSpaceDE w:val="0"/>
              <w:autoSpaceDN w:val="0"/>
              <w:adjustRightInd w:val="0"/>
              <w:snapToGrid w:val="0"/>
              <w:jc w:val="center"/>
              <w:rPr>
                <w:rFonts w:hint="default" w:ascii="Times New Roman" w:hAnsi="Times New Roman" w:cs="Times New Roman"/>
                <w:color w:val="auto"/>
                <w:kern w:val="0"/>
                <w:sz w:val="24"/>
              </w:rPr>
            </w:pPr>
            <w:r>
              <w:rPr>
                <w:rFonts w:hint="default" w:ascii="黑体" w:hAnsi="黑体" w:eastAsia="黑体" w:cs="黑体"/>
                <w:color w:val="auto"/>
                <w:kern w:val="0"/>
                <w:sz w:val="24"/>
                <w:szCs w:val="24"/>
                <w:highlight w:val="none"/>
              </w:rPr>
              <w:t>设置情况</w:t>
            </w:r>
          </w:p>
        </w:tc>
        <w:tc>
          <w:tcPr>
            <w:tcW w:w="3896" w:type="pct"/>
            <w:gridSpan w:val="5"/>
            <w:vAlign w:val="center"/>
          </w:tcPr>
          <w:p>
            <w:pPr>
              <w:autoSpaceDE w:val="0"/>
              <w:autoSpaceDN w:val="0"/>
              <w:adjustRightInd w:val="0"/>
              <w:snapToGrid w:val="0"/>
              <w:spacing w:line="360" w:lineRule="auto"/>
              <w:ind w:left="0" w:leftChars="0" w:right="0" w:rightChars="0" w:firstLine="480" w:firstLineChars="200"/>
              <w:jc w:val="both"/>
              <w:rPr>
                <w:rFonts w:hint="default" w:ascii="Times New Roman" w:hAnsi="Times New Roman" w:eastAsia="宋体" w:cs="Times New Roman"/>
                <w:color w:val="auto"/>
                <w:kern w:val="0"/>
                <w:sz w:val="24"/>
                <w:szCs w:val="24"/>
              </w:rPr>
            </w:pPr>
            <w:r>
              <w:rPr>
                <w:rFonts w:hint="default" w:ascii="Times New Roman" w:hAnsi="Times New Roman" w:eastAsia="宋体" w:cs="Times New Roman"/>
                <w:b w:val="0"/>
                <w:bCs w:val="0"/>
                <w:color w:val="auto"/>
                <w:sz w:val="24"/>
                <w:szCs w:val="24"/>
                <w:lang w:val="en-US" w:eastAsia="zh-CN"/>
              </w:rPr>
              <w:t>本项目专项评价确定依据见下表：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rPr>
            </w:pPr>
            <w:r>
              <w:rPr>
                <w:rFonts w:hint="eastAsia" w:ascii="Times New Roman" w:hAnsi="Times New Roman" w:eastAsia="黑体" w:cs="Times New Roman"/>
                <w:b w:val="0"/>
                <w:bCs w:val="0"/>
                <w:color w:val="auto"/>
                <w:kern w:val="0"/>
                <w:sz w:val="24"/>
                <w:szCs w:val="24"/>
                <w:lang w:val="en-US" w:eastAsia="zh-CN"/>
              </w:rPr>
              <w:t>表1</w:t>
            </w:r>
            <w:r>
              <w:rPr>
                <w:rFonts w:hint="default" w:ascii="Times New Roman" w:hAnsi="Times New Roman" w:eastAsia="黑体" w:cs="Times New Roman"/>
                <w:b w:val="0"/>
                <w:bCs w:val="0"/>
                <w:color w:val="auto"/>
                <w:kern w:val="0"/>
                <w:sz w:val="24"/>
                <w:szCs w:val="24"/>
                <w:lang w:val="en-US" w:eastAsia="zh-CN"/>
              </w:rPr>
              <w:t>-1</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rPr>
              <w:t>专项评价设置</w:t>
            </w:r>
            <w:r>
              <w:rPr>
                <w:rFonts w:hint="default" w:ascii="Times New Roman" w:hAnsi="Times New Roman" w:eastAsia="黑体" w:cs="Times New Roman"/>
                <w:b w:val="0"/>
                <w:bCs w:val="0"/>
                <w:color w:val="auto"/>
                <w:kern w:val="0"/>
                <w:sz w:val="24"/>
                <w:szCs w:val="24"/>
                <w:lang w:eastAsia="zh-CN"/>
              </w:rPr>
              <w:t>情况一览</w:t>
            </w:r>
            <w:r>
              <w:rPr>
                <w:rFonts w:hint="default" w:ascii="Times New Roman" w:hAnsi="Times New Roman" w:eastAsia="黑体" w:cs="Times New Roman"/>
                <w:b w:val="0"/>
                <w:bCs w:val="0"/>
                <w:color w:val="auto"/>
                <w:kern w:val="0"/>
                <w:sz w:val="24"/>
                <w:szCs w:val="24"/>
              </w:rPr>
              <w:t>表</w:t>
            </w:r>
          </w:p>
          <w:tbl>
            <w:tblPr>
              <w:tblStyle w:val="2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94"/>
              <w:gridCol w:w="2685"/>
              <w:gridCol w:w="2593"/>
              <w:gridCol w:w="5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95"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专项评价的类别</w:t>
                  </w:r>
                </w:p>
              </w:tc>
              <w:tc>
                <w:tcPr>
                  <w:tcW w:w="2012"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设置原则</w:t>
                  </w:r>
                </w:p>
              </w:tc>
              <w:tc>
                <w:tcPr>
                  <w:tcW w:w="1943"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本项目情况</w:t>
                  </w:r>
                </w:p>
              </w:tc>
              <w:tc>
                <w:tcPr>
                  <w:tcW w:w="448"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是否设置专项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95"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大气</w:t>
                  </w:r>
                </w:p>
              </w:tc>
              <w:tc>
                <w:tcPr>
                  <w:tcW w:w="2012"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widowControl/>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kern w:val="0"/>
                      <w:szCs w:val="21"/>
                    </w:rPr>
                    <w:t>排放废气含有毒有害污染物、二噁英、苯并[</w:t>
                  </w:r>
                  <w:r>
                    <w:rPr>
                      <w:rFonts w:hint="default" w:ascii="Times New Roman" w:hAnsi="Times New Roman" w:cs="Times New Roman"/>
                      <w:i/>
                      <w:iCs/>
                      <w:color w:val="auto"/>
                      <w:kern w:val="0"/>
                      <w:szCs w:val="21"/>
                    </w:rPr>
                    <w:t>a</w:t>
                  </w:r>
                  <w:r>
                    <w:rPr>
                      <w:rFonts w:hint="default" w:ascii="Times New Roman" w:hAnsi="Times New Roman" w:cs="Times New Roman"/>
                      <w:color w:val="auto"/>
                      <w:kern w:val="0"/>
                      <w:szCs w:val="21"/>
                    </w:rPr>
                    <w:t>]芘、氰化物、氯气且厂界外500米范围内有环境空气保护目标的建设项目</w:t>
                  </w:r>
                  <w:r>
                    <w:rPr>
                      <w:rFonts w:hint="default" w:ascii="Times New Roman" w:hAnsi="Times New Roman" w:cs="Times New Roman"/>
                      <w:color w:val="auto"/>
                      <w:kern w:val="0"/>
                      <w:szCs w:val="21"/>
                      <w:lang w:eastAsia="zh-CN"/>
                    </w:rPr>
                    <w:t>。</w:t>
                  </w:r>
                </w:p>
              </w:tc>
              <w:tc>
                <w:tcPr>
                  <w:tcW w:w="1943"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eastAsia" w:ascii="Times New Roman" w:hAnsi="Times New Roman" w:cs="Times New Roman"/>
                      <w:color w:val="auto"/>
                      <w:szCs w:val="21"/>
                    </w:rPr>
                    <w:t>不涉及</w:t>
                  </w:r>
                </w:p>
              </w:tc>
              <w:tc>
                <w:tcPr>
                  <w:tcW w:w="448"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95"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地表水</w:t>
                  </w:r>
                </w:p>
              </w:tc>
              <w:tc>
                <w:tcPr>
                  <w:tcW w:w="2012"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widowControl/>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kern w:val="0"/>
                      <w:szCs w:val="21"/>
                    </w:rPr>
                    <w:t>新增工业废水直排建设项目（槽罐车外送污水处理厂的除外）；新增废水直排的污水集中处理厂</w:t>
                  </w:r>
                  <w:r>
                    <w:rPr>
                      <w:rFonts w:hint="default" w:ascii="Times New Roman" w:hAnsi="Times New Roman" w:cs="Times New Roman"/>
                      <w:color w:val="auto"/>
                      <w:kern w:val="0"/>
                      <w:szCs w:val="21"/>
                      <w:lang w:eastAsia="zh-CN"/>
                    </w:rPr>
                    <w:t>。</w:t>
                  </w:r>
                </w:p>
              </w:tc>
              <w:tc>
                <w:tcPr>
                  <w:tcW w:w="1943"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b w:val="0"/>
                      <w:bCs w:val="0"/>
                      <w:color w:val="auto"/>
                      <w:lang w:val="en-US" w:eastAsia="zh-CN"/>
                    </w:rPr>
                    <w:t>项目生活污水经化粪池收集后定期清运；</w:t>
                  </w:r>
                  <w:r>
                    <w:rPr>
                      <w:rFonts w:hint="eastAsia" w:ascii="Times New Roman" w:hAnsi="Times New Roman" w:eastAsia="宋体" w:cs="Times New Roman"/>
                      <w:b w:val="0"/>
                      <w:bCs w:val="0"/>
                      <w:color w:val="auto"/>
                      <w:lang w:val="zh-CN" w:eastAsia="zh-CN"/>
                    </w:rPr>
                    <w:t>蒸汽锅炉排污水、软水制备排污水</w:t>
                  </w:r>
                  <w:r>
                    <w:rPr>
                      <w:rFonts w:hint="eastAsia" w:ascii="Times New Roman" w:hAnsi="Times New Roman" w:eastAsia="宋体" w:cs="Times New Roman"/>
                      <w:b w:val="0"/>
                      <w:bCs w:val="0"/>
                      <w:color w:val="auto"/>
                      <w:lang w:val="en-US" w:eastAsia="zh-CN"/>
                    </w:rPr>
                    <w:t>、含油污水进入厂区污水处理站处理达标后回用。</w:t>
                  </w:r>
                </w:p>
              </w:tc>
              <w:tc>
                <w:tcPr>
                  <w:tcW w:w="448"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95"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环境风险</w:t>
                  </w:r>
                </w:p>
              </w:tc>
              <w:tc>
                <w:tcPr>
                  <w:tcW w:w="2012"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widowControl/>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kern w:val="0"/>
                      <w:szCs w:val="21"/>
                    </w:rPr>
                    <w:t>有毒有害和易燃易爆危险物质存储量超过临界量的建设项目</w:t>
                  </w:r>
                  <w:r>
                    <w:rPr>
                      <w:rFonts w:hint="default" w:ascii="Times New Roman" w:hAnsi="Times New Roman" w:cs="Times New Roman"/>
                      <w:color w:val="auto"/>
                      <w:kern w:val="0"/>
                      <w:szCs w:val="21"/>
                      <w:lang w:eastAsia="zh-CN"/>
                    </w:rPr>
                    <w:t>。</w:t>
                  </w:r>
                </w:p>
              </w:tc>
              <w:tc>
                <w:tcPr>
                  <w:tcW w:w="2592" w:type="dxa"/>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本项目危险物质储存量超过临界量</w:t>
                  </w:r>
                </w:p>
              </w:tc>
              <w:tc>
                <w:tcPr>
                  <w:tcW w:w="598" w:type="dxa"/>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95"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生态</w:t>
                  </w:r>
                </w:p>
              </w:tc>
              <w:tc>
                <w:tcPr>
                  <w:tcW w:w="2012"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widowControl/>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kern w:val="0"/>
                      <w:szCs w:val="21"/>
                    </w:rPr>
                    <w:t>取水口下游500米范围内有重要水生生物的自然产卵场、索饵场、越冬场和洄游通道的新增河道取水的污染类建设项目</w:t>
                  </w:r>
                  <w:r>
                    <w:rPr>
                      <w:rFonts w:hint="default" w:ascii="Times New Roman" w:hAnsi="Times New Roman" w:cs="Times New Roman"/>
                      <w:color w:val="auto"/>
                      <w:kern w:val="0"/>
                      <w:szCs w:val="21"/>
                      <w:lang w:eastAsia="zh-CN"/>
                    </w:rPr>
                    <w:t>。</w:t>
                  </w:r>
                </w:p>
              </w:tc>
              <w:tc>
                <w:tcPr>
                  <w:tcW w:w="2592" w:type="dxa"/>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不涉及</w:t>
                  </w:r>
                </w:p>
              </w:tc>
              <w:tc>
                <w:tcPr>
                  <w:tcW w:w="598" w:type="dxa"/>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95"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海洋</w:t>
                  </w:r>
                </w:p>
              </w:tc>
              <w:tc>
                <w:tcPr>
                  <w:tcW w:w="2012"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直接向海排放污染物的海洋工程建设项目</w:t>
                  </w:r>
                  <w:r>
                    <w:rPr>
                      <w:rFonts w:hint="default" w:ascii="Times New Roman" w:hAnsi="Times New Roman" w:cs="Times New Roman"/>
                      <w:color w:val="auto"/>
                      <w:szCs w:val="21"/>
                      <w:lang w:eastAsia="zh-CN"/>
                    </w:rPr>
                    <w:t>。</w:t>
                  </w:r>
                </w:p>
              </w:tc>
              <w:tc>
                <w:tcPr>
                  <w:tcW w:w="2592" w:type="dxa"/>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不涉及</w:t>
                  </w:r>
                </w:p>
              </w:tc>
              <w:tc>
                <w:tcPr>
                  <w:tcW w:w="598" w:type="dxa"/>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否</w:t>
                  </w:r>
                </w:p>
              </w:tc>
            </w:tr>
          </w:tbl>
          <w:p>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注：1.废气中有毒有害污染物指纳入《有毒有害大气污染物名录》的污染物（不包括无排放标准的污染物）。</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2.环境空气保护目标指自然保护区、风景名胜区、居住区、文化区和农村地区中人群较集中的区域。</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jc w:val="left"/>
              <w:textAlignment w:val="auto"/>
              <w:rPr>
                <w:rFonts w:hint="default" w:ascii="Times New Roman" w:hAnsi="Times New Roman" w:cs="Times New Roman"/>
                <w:color w:val="auto"/>
                <w:kern w:val="0"/>
                <w:sz w:val="24"/>
              </w:rPr>
            </w:pPr>
            <w:r>
              <w:rPr>
                <w:rFonts w:hint="default" w:ascii="Times New Roman" w:hAnsi="Times New Roman" w:eastAsia="宋体" w:cs="Times New Roman"/>
                <w:color w:val="auto"/>
                <w:sz w:val="21"/>
                <w:szCs w:val="21"/>
              </w:rPr>
              <w:t>3.临界量及其计算方法可参考《建设项目环境风险评价技术导则》（HJ 169）附录B、附录C。</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4" w:hRule="atLeast"/>
          <w:jc w:val="center"/>
        </w:trPr>
        <w:tc>
          <w:tcPr>
            <w:tcW w:w="1103" w:type="pct"/>
            <w:vAlign w:val="center"/>
          </w:tcPr>
          <w:p>
            <w:pPr>
              <w:autoSpaceDE w:val="0"/>
              <w:autoSpaceDN w:val="0"/>
              <w:adjustRightInd w:val="0"/>
              <w:snapToGrid w:val="0"/>
              <w:jc w:val="center"/>
              <w:rPr>
                <w:rFonts w:hint="eastAsia" w:ascii="黑体" w:hAnsi="黑体" w:eastAsia="黑体" w:cs="黑体"/>
                <w:color w:val="auto"/>
                <w:kern w:val="0"/>
                <w:sz w:val="24"/>
              </w:rPr>
            </w:pPr>
            <w:r>
              <w:rPr>
                <w:rFonts w:hint="eastAsia" w:ascii="黑体" w:hAnsi="黑体" w:eastAsia="黑体" w:cs="黑体"/>
                <w:color w:val="auto"/>
                <w:sz w:val="24"/>
              </w:rPr>
              <w:t>规划情况</w:t>
            </w:r>
          </w:p>
        </w:tc>
        <w:tc>
          <w:tcPr>
            <w:tcW w:w="3896" w:type="pct"/>
            <w:gridSpan w:val="5"/>
            <w:vAlign w:val="center"/>
          </w:tcPr>
          <w:p>
            <w:pPr>
              <w:autoSpaceDE w:val="0"/>
              <w:autoSpaceDN w:val="0"/>
              <w:adjustRightInd w:val="0"/>
              <w:snapToGrid w:val="0"/>
              <w:spacing w:line="360" w:lineRule="auto"/>
              <w:ind w:right="0" w:rightChars="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kern w:val="0"/>
                <w:sz w:val="24"/>
                <w:szCs w:val="24"/>
                <w:highlight w:val="none"/>
                <w:lang w:val="en-US" w:eastAsia="zh-CN"/>
              </w:rPr>
              <w:t>规划名称：</w:t>
            </w:r>
            <w:r>
              <w:rPr>
                <w:rFonts w:hint="eastAsia" w:ascii="Times New Roman" w:hAnsi="Times New Roman" w:eastAsia="宋体" w:cs="Times New Roman"/>
                <w:color w:val="auto"/>
                <w:sz w:val="24"/>
                <w:szCs w:val="24"/>
                <w:lang w:val="en-US" w:eastAsia="zh-CN"/>
              </w:rPr>
              <w:t>寨里镇蓼花河工业集聚区</w:t>
            </w:r>
          </w:p>
          <w:p>
            <w:pPr>
              <w:autoSpaceDE w:val="0"/>
              <w:autoSpaceDN w:val="0"/>
              <w:adjustRightInd w:val="0"/>
              <w:snapToGrid w:val="0"/>
              <w:spacing w:line="360" w:lineRule="auto"/>
              <w:ind w:right="0" w:rightChars="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kern w:val="0"/>
                <w:sz w:val="24"/>
                <w:szCs w:val="24"/>
                <w:highlight w:val="none"/>
                <w:lang w:val="en-US" w:eastAsia="zh-CN"/>
              </w:rPr>
              <w:t>审批机关：</w:t>
            </w:r>
            <w:r>
              <w:rPr>
                <w:rFonts w:hint="eastAsia" w:ascii="Times New Roman" w:hAnsi="Times New Roman" w:cs="Times New Roman"/>
                <w:color w:val="auto"/>
                <w:sz w:val="24"/>
                <w:szCs w:val="24"/>
                <w:lang w:val="en-US" w:eastAsia="zh-CN"/>
              </w:rPr>
              <w:t>淄博市淄川区工业和信息化局</w:t>
            </w:r>
          </w:p>
          <w:p>
            <w:pPr>
              <w:autoSpaceDE w:val="0"/>
              <w:autoSpaceDN w:val="0"/>
              <w:adjustRightInd w:val="0"/>
              <w:snapToGrid w:val="0"/>
              <w:jc w:val="both"/>
              <w:rPr>
                <w:rFonts w:hint="eastAsia" w:ascii="Times New Roman" w:hAnsi="Times New Roman" w:eastAsia="宋体" w:cs="Times New Roman"/>
                <w:color w:val="auto"/>
                <w:kern w:val="0"/>
                <w:sz w:val="24"/>
                <w:lang w:eastAsia="zh-CN"/>
              </w:rPr>
            </w:pPr>
            <w:r>
              <w:rPr>
                <w:rFonts w:hint="eastAsia" w:ascii="Times New Roman" w:hAnsi="Times New Roman" w:eastAsia="宋体" w:cs="Times New Roman"/>
                <w:b/>
                <w:bCs/>
                <w:color w:val="auto"/>
                <w:kern w:val="0"/>
                <w:sz w:val="24"/>
                <w:szCs w:val="24"/>
                <w:highlight w:val="none"/>
                <w:lang w:val="en-US" w:eastAsia="zh-CN"/>
              </w:rPr>
              <w:t>审批文件名称及文号：</w:t>
            </w:r>
            <w:r>
              <w:rPr>
                <w:rFonts w:hint="eastAsia" w:ascii="Times New Roman" w:hAnsi="Times New Roman" w:cs="Times New Roman"/>
                <w:color w:val="auto"/>
                <w:sz w:val="24"/>
                <w:szCs w:val="24"/>
                <w:lang w:val="en-US" w:eastAsia="zh-CN"/>
              </w:rPr>
              <w:t>川工信发</w:t>
            </w:r>
            <w:r>
              <w:rPr>
                <w:rFonts w:hint="eastAsia" w:ascii="Times New Roman" w:hAnsi="Times New Roman" w:eastAsia="宋体" w:cs="Times New Roman"/>
                <w:color w:val="auto"/>
                <w:sz w:val="24"/>
                <w:szCs w:val="24"/>
                <w:lang w:val="en-US" w:eastAsia="zh-CN"/>
              </w:rPr>
              <w:t>[202</w:t>
            </w:r>
            <w:r>
              <w:rPr>
                <w:rFonts w:hint="eastAsia" w:ascii="Times New Roman" w:hAnsi="Times New Roman"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w:t>
            </w:r>
            <w:r>
              <w:rPr>
                <w:rFonts w:hint="eastAsia" w:ascii="Times New Roman" w:hAnsi="Times New Roman" w:cs="Times New Roman"/>
                <w:color w:val="auto"/>
                <w:sz w:val="24"/>
                <w:szCs w:val="24"/>
                <w:lang w:val="en-US" w:eastAsia="zh-CN"/>
              </w:rPr>
              <w:t>142</w:t>
            </w:r>
            <w:r>
              <w:rPr>
                <w:rFonts w:hint="eastAsia" w:ascii="Times New Roman" w:hAnsi="Times New Roman" w:eastAsia="宋体" w:cs="Times New Roman"/>
                <w:color w:val="auto"/>
                <w:sz w:val="24"/>
                <w:szCs w:val="24"/>
                <w:lang w:val="en-US" w:eastAsia="zh-CN"/>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7" w:hRule="atLeast"/>
          <w:jc w:val="center"/>
        </w:trPr>
        <w:tc>
          <w:tcPr>
            <w:tcW w:w="1103" w:type="pct"/>
            <w:vAlign w:val="center"/>
          </w:tcPr>
          <w:p>
            <w:pPr>
              <w:adjustRightInd w:val="0"/>
              <w:snapToGrid w:val="0"/>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规划环境影</w:t>
            </w:r>
          </w:p>
          <w:p>
            <w:pPr>
              <w:autoSpaceDE w:val="0"/>
              <w:autoSpaceDN w:val="0"/>
              <w:adjustRightInd w:val="0"/>
              <w:snapToGrid w:val="0"/>
              <w:jc w:val="center"/>
              <w:rPr>
                <w:rFonts w:hint="eastAsia" w:ascii="黑体" w:hAnsi="黑体" w:eastAsia="黑体" w:cs="黑体"/>
                <w:color w:val="auto"/>
                <w:kern w:val="0"/>
                <w:sz w:val="24"/>
              </w:rPr>
            </w:pPr>
            <w:r>
              <w:rPr>
                <w:rFonts w:hint="eastAsia" w:ascii="黑体" w:hAnsi="黑体" w:eastAsia="黑体" w:cs="黑体"/>
                <w:color w:val="auto"/>
                <w:sz w:val="24"/>
                <w:szCs w:val="24"/>
                <w:highlight w:val="none"/>
              </w:rPr>
              <w:t>响评价情况</w:t>
            </w:r>
          </w:p>
        </w:tc>
        <w:tc>
          <w:tcPr>
            <w:tcW w:w="3896" w:type="pct"/>
            <w:gridSpan w:val="5"/>
            <w:vAlign w:val="center"/>
          </w:tcPr>
          <w:p>
            <w:pPr>
              <w:autoSpaceDE w:val="0"/>
              <w:autoSpaceDN w:val="0"/>
              <w:adjustRightInd w:val="0"/>
              <w:snapToGrid w:val="0"/>
              <w:jc w:val="center"/>
              <w:rPr>
                <w:rFonts w:hint="eastAsia" w:ascii="Times New Roman" w:hAnsi="Times New Roman" w:eastAsia="宋体" w:cs="Times New Roman"/>
                <w:color w:val="auto"/>
                <w:kern w:val="0"/>
                <w:sz w:val="24"/>
                <w:lang w:eastAsia="zh-CN"/>
              </w:rPr>
            </w:pPr>
            <w:r>
              <w:rPr>
                <w:rFonts w:hint="eastAsia" w:ascii="Times New Roman" w:hAnsi="Times New Roman" w:eastAsia="宋体" w:cs="Times New Roman"/>
                <w:color w:val="auto"/>
                <w:kern w:val="0"/>
                <w:sz w:val="24"/>
                <w:lang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1103" w:type="pct"/>
            <w:vAlign w:val="center"/>
          </w:tcPr>
          <w:p>
            <w:pPr>
              <w:autoSpaceDE w:val="0"/>
              <w:autoSpaceDN w:val="0"/>
              <w:adjustRightInd w:val="0"/>
              <w:snapToGrid w:val="0"/>
              <w:jc w:val="center"/>
              <w:rPr>
                <w:rFonts w:hint="default" w:ascii="Times New Roman" w:hAnsi="Times New Roman" w:cs="Times New Roman"/>
                <w:color w:val="auto"/>
                <w:kern w:val="0"/>
                <w:sz w:val="24"/>
              </w:rPr>
            </w:pPr>
            <w:r>
              <w:rPr>
                <w:rFonts w:hint="eastAsia" w:ascii="黑体" w:hAnsi="黑体" w:eastAsia="黑体" w:cs="黑体"/>
                <w:color w:val="auto"/>
                <w:kern w:val="0"/>
                <w:sz w:val="24"/>
                <w:szCs w:val="24"/>
                <w:highlight w:val="none"/>
              </w:rPr>
              <w:t>规划及规划环境影响评价符合性分析</w:t>
            </w:r>
          </w:p>
        </w:tc>
        <w:tc>
          <w:tcPr>
            <w:tcW w:w="3896" w:type="pct"/>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lang w:eastAsia="zh-CN"/>
              </w:rPr>
            </w:pPr>
            <w:r>
              <w:rPr>
                <w:rFonts w:hint="eastAsia" w:ascii="Times New Roman" w:hAnsi="Times New Roman" w:cs="Times New Roman"/>
                <w:color w:val="auto"/>
                <w:sz w:val="24"/>
                <w:szCs w:val="24"/>
                <w:highlight w:val="none"/>
                <w:lang w:val="en-US" w:eastAsia="zh-CN"/>
              </w:rPr>
              <w:t>寨里镇蓼花河工业集聚区范围为北至宝塔煤业公司北院墙，南至蓼花河，西至原正晋特钢公司西侧院墙，东至九力建科公司东侧院墙，占地面积 587.7 亩。本项目位于</w:t>
            </w:r>
            <w:r>
              <w:rPr>
                <w:rFonts w:hint="eastAsia" w:cs="Times New Roman"/>
                <w:color w:val="auto"/>
                <w:sz w:val="24"/>
                <w:szCs w:val="24"/>
                <w:lang w:val="en-US" w:eastAsia="zh-CN"/>
              </w:rPr>
              <w:t>淄博市淄川区寨里镇土湾村胶王路与一干渠路</w:t>
            </w:r>
            <w:r>
              <w:rPr>
                <w:rFonts w:hint="eastAsia" w:ascii="Times New Roman" w:hAnsi="Times New Roman" w:cs="Times New Roman"/>
                <w:color w:val="auto"/>
                <w:sz w:val="24"/>
                <w:szCs w:val="24"/>
                <w:highlight w:val="none"/>
                <w:lang w:val="en-US" w:eastAsia="zh-CN"/>
              </w:rPr>
              <w:t>交叉口东10米，原淄博正晋特钢有限公司厂区内。项目位于寨里镇蓼花河工业集聚区范围内，符合寨里镇</w:t>
            </w:r>
            <w:r>
              <w:rPr>
                <w:rFonts w:hint="default" w:ascii="Times New Roman" w:hAnsi="Times New Roman" w:cs="Times New Roman"/>
                <w:color w:val="auto"/>
                <w:sz w:val="24"/>
                <w:szCs w:val="24"/>
                <w:highlight w:val="none"/>
                <w:lang w:val="en-US" w:eastAsia="zh-CN"/>
              </w:rPr>
              <w:t>土地利用规划</w:t>
            </w:r>
            <w:r>
              <w:rPr>
                <w:rFonts w:hint="eastAsia" w:ascii="Times New Roman" w:hAnsi="Times New Roman" w:cs="Times New Roman"/>
                <w:color w:val="auto"/>
                <w:sz w:val="24"/>
                <w:szCs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03" w:hRule="atLeast"/>
          <w:jc w:val="center"/>
        </w:trPr>
        <w:tc>
          <w:tcPr>
            <w:tcW w:w="1103" w:type="pct"/>
            <w:vAlign w:val="center"/>
          </w:tcPr>
          <w:p>
            <w:pPr>
              <w:autoSpaceDE w:val="0"/>
              <w:autoSpaceDN w:val="0"/>
              <w:adjustRightInd w:val="0"/>
              <w:snapToGrid w:val="0"/>
              <w:jc w:val="center"/>
              <w:rPr>
                <w:rFonts w:hint="eastAsia" w:ascii="黑体" w:hAnsi="黑体" w:eastAsia="黑体" w:cs="黑体"/>
                <w:color w:val="auto"/>
                <w:kern w:val="0"/>
                <w:sz w:val="24"/>
                <w:szCs w:val="24"/>
                <w:highlight w:val="none"/>
              </w:rPr>
            </w:pPr>
            <w:r>
              <w:rPr>
                <w:rFonts w:hint="eastAsia" w:ascii="黑体" w:hAnsi="黑体" w:eastAsia="黑体" w:cs="黑体"/>
                <w:color w:val="auto"/>
                <w:kern w:val="0"/>
                <w:sz w:val="24"/>
                <w:szCs w:val="24"/>
                <w:highlight w:val="none"/>
              </w:rPr>
              <w:t>其他符合</w:t>
            </w:r>
          </w:p>
          <w:p>
            <w:pPr>
              <w:autoSpaceDE w:val="0"/>
              <w:autoSpaceDN w:val="0"/>
              <w:adjustRightInd w:val="0"/>
              <w:snapToGrid w:val="0"/>
              <w:jc w:val="center"/>
              <w:rPr>
                <w:rFonts w:hint="default" w:ascii="Times New Roman" w:hAnsi="Times New Roman" w:cs="Times New Roman"/>
                <w:color w:val="auto"/>
                <w:kern w:val="0"/>
                <w:sz w:val="24"/>
              </w:rPr>
            </w:pPr>
            <w:r>
              <w:rPr>
                <w:rFonts w:hint="eastAsia" w:ascii="黑体" w:hAnsi="黑体" w:eastAsia="黑体" w:cs="黑体"/>
                <w:color w:val="auto"/>
                <w:kern w:val="0"/>
                <w:sz w:val="24"/>
                <w:szCs w:val="24"/>
                <w:highlight w:val="none"/>
              </w:rPr>
              <w:t>性分析</w:t>
            </w:r>
          </w:p>
        </w:tc>
        <w:tc>
          <w:tcPr>
            <w:tcW w:w="3896" w:type="pct"/>
            <w:gridSpan w:val="5"/>
          </w:tcPr>
          <w:p>
            <w:pPr>
              <w:spacing w:line="360" w:lineRule="auto"/>
              <w:ind w:firstLine="482" w:firstLineChars="200"/>
              <w:rPr>
                <w:rFonts w:hint="default" w:ascii="黑体" w:hAnsi="黑体" w:eastAsia="黑体" w:cs="黑体"/>
                <w:b/>
                <w:bCs/>
                <w:color w:val="auto"/>
                <w:sz w:val="24"/>
                <w:szCs w:val="24"/>
                <w:highlight w:val="none"/>
                <w:lang w:val="en-US" w:eastAsia="zh-CN"/>
              </w:rPr>
            </w:pPr>
            <w:r>
              <w:rPr>
                <w:rFonts w:hint="eastAsia" w:ascii="黑体" w:hAnsi="黑体" w:eastAsia="黑体" w:cs="黑体"/>
                <w:b/>
                <w:bCs/>
                <w:color w:val="auto"/>
                <w:sz w:val="24"/>
                <w:szCs w:val="24"/>
                <w:highlight w:val="none"/>
                <w:lang w:val="en-US" w:eastAsia="zh-CN"/>
              </w:rPr>
              <w:t>一</w:t>
            </w:r>
            <w:r>
              <w:rPr>
                <w:rFonts w:hint="default" w:ascii="黑体" w:hAnsi="黑体" w:eastAsia="黑体" w:cs="黑体"/>
                <w:b/>
                <w:bCs/>
                <w:color w:val="auto"/>
                <w:sz w:val="24"/>
                <w:szCs w:val="24"/>
                <w:highlight w:val="none"/>
                <w:lang w:val="en-US" w:eastAsia="zh-CN"/>
              </w:rPr>
              <w:t>、“三线一单”符合性分析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与《淄博市人民政府关于印发淄博市</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三线一单</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生态环境分区管控方案的通知》（淄政字</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2021</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49号）符合性分析</w:t>
            </w:r>
          </w:p>
          <w:p>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（1）与生态保护红线及一般生态空间符合性分析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rPr>
              <w:t>主要目标：全市生态保护红线充分衔接最新成果数据，主要生态系统服务功能为防风固沙、水土保持及水源涵养。一般生态空间涵盖水产种质资源保护区、城市集中式饮用水水源保护区等各类受保护</w:t>
            </w:r>
            <w:r>
              <w:rPr>
                <w:rFonts w:hint="default" w:ascii="Times New Roman" w:hAnsi="Times New Roman" w:eastAsia="宋体" w:cs="Times New Roman"/>
                <w:color w:val="auto"/>
                <w:sz w:val="24"/>
                <w:szCs w:val="24"/>
                <w:highlight w:val="none"/>
              </w:rPr>
              <w:t>区域，以及生态公益林等其他需保护区。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rPr>
              <w:t>符合性分析：距离本项目厂址最近的生态红线保护区为</w:t>
            </w:r>
            <w:r>
              <w:rPr>
                <w:rFonts w:hint="eastAsia" w:ascii="Times New Roman" w:hAnsi="Times New Roman" w:eastAsia="宋体" w:cs="Times New Roman"/>
                <w:color w:val="auto"/>
                <w:sz w:val="24"/>
                <w:szCs w:val="24"/>
                <w:highlight w:val="none"/>
                <w:lang w:eastAsia="zh-CN"/>
              </w:rPr>
              <w:t>厂区南</w:t>
            </w:r>
            <w:r>
              <w:rPr>
                <w:rFonts w:hint="default" w:ascii="Times New Roman" w:hAnsi="Times New Roman" w:eastAsia="宋体" w:cs="Times New Roman"/>
                <w:color w:val="auto"/>
                <w:sz w:val="24"/>
                <w:szCs w:val="24"/>
                <w:highlight w:val="none"/>
              </w:rPr>
              <w:t>侧</w:t>
            </w:r>
            <w:r>
              <w:rPr>
                <w:rFonts w:hint="eastAsia" w:ascii="Times New Roman" w:hAnsi="Times New Roman" w:eastAsia="宋体" w:cs="Times New Roman"/>
                <w:color w:val="auto"/>
                <w:sz w:val="24"/>
                <w:szCs w:val="24"/>
                <w:highlight w:val="none"/>
                <w:lang w:eastAsia="zh-CN"/>
              </w:rPr>
              <w:t>约</w:t>
            </w:r>
            <w:r>
              <w:rPr>
                <w:rFonts w:hint="eastAsia" w:cs="Times New Roman"/>
                <w:color w:val="auto"/>
                <w:sz w:val="24"/>
                <w:szCs w:val="24"/>
                <w:highlight w:val="none"/>
                <w:lang w:val="en-US" w:eastAsia="zh-CN"/>
              </w:rPr>
              <w:t>680</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rPr>
              <w:t>处的</w:t>
            </w:r>
            <w:r>
              <w:rPr>
                <w:rFonts w:hint="eastAsia" w:ascii="Times New Roman" w:hAnsi="Times New Roman" w:eastAsia="宋体" w:cs="Times New Roman"/>
                <w:color w:val="auto"/>
                <w:sz w:val="24"/>
                <w:szCs w:val="24"/>
                <w:highlight w:val="none"/>
              </w:rPr>
              <w:t>淄川生态公益林北部生物多样性维护生态保护红线区（代码为SD-03-B</w:t>
            </w:r>
            <w:r>
              <w:rPr>
                <w:rFonts w:hint="default" w:ascii="Times New Roman" w:hAnsi="Times New Roman" w:eastAsia="宋体" w:cs="Times New Roman"/>
                <w:color w:val="auto"/>
                <w:sz w:val="24"/>
                <w:szCs w:val="24"/>
                <w:highlight w:val="none"/>
              </w:rPr>
              <w:t>4</w:t>
            </w:r>
            <w:r>
              <w:rPr>
                <w:rFonts w:hint="eastAsia"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05</w:t>
            </w:r>
            <w:r>
              <w:rPr>
                <w:rFonts w:hint="eastAsia"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rPr>
              <w:t>本项目不在淄博市各生态保护红线区范围内，符合《山东省生态保护红线规划》（2016-2020年）的相关要求。项目与淄博市态保护红线相对位置关系图见附图。</w:t>
            </w:r>
          </w:p>
          <w:tbl>
            <w:tblPr>
              <w:tblStyle w:val="27"/>
              <w:tblW w:w="67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
              <w:gridCol w:w="62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49" w:type="dxa"/>
                  <w:noWrap w:val="0"/>
                  <w:vAlign w:val="center"/>
                </w:tcPr>
                <w:p>
                  <w:pPr>
                    <w:pStyle w:val="9"/>
                    <w:jc w:val="center"/>
                    <w:rPr>
                      <w:rFonts w:hint="eastAsia" w:eastAsia="仿宋_GB2312"/>
                      <w:color w:val="auto"/>
                      <w:vertAlign w:val="baseline"/>
                      <w:lang w:eastAsia="zh-CN"/>
                    </w:rPr>
                  </w:pPr>
                  <w:r>
                    <w:rPr>
                      <w:rFonts w:hint="eastAsia" w:ascii="宋体" w:hAnsi="宋体" w:eastAsia="宋体" w:cs="宋体"/>
                      <w:color w:val="auto"/>
                      <w:sz w:val="21"/>
                      <w:szCs w:val="21"/>
                      <w:vertAlign w:val="baseline"/>
                      <w:lang w:eastAsia="zh-CN"/>
                    </w:rPr>
                    <w:t>淄博市生态保护红线图</w:t>
                  </w:r>
                </w:p>
              </w:tc>
              <w:tc>
                <w:tcPr>
                  <w:tcW w:w="6273" w:type="dxa"/>
                  <w:noWrap w:val="0"/>
                  <w:vAlign w:val="top"/>
                </w:tcPr>
                <w:p>
                  <w:pPr>
                    <w:pStyle w:val="9"/>
                    <w:rPr>
                      <w:rFonts w:hint="eastAsia" w:eastAsia="宋体"/>
                      <w:color w:val="auto"/>
                      <w:vertAlign w:val="baseline"/>
                      <w:lang w:eastAsia="zh-CN"/>
                    </w:rPr>
                  </w:pPr>
                  <w:r>
                    <w:rPr>
                      <w:rFonts w:hint="default" w:ascii="Times New Roman" w:hAnsi="Times New Roman" w:cs="Times New Roman"/>
                      <w:b/>
                      <w:color w:val="auto"/>
                      <w:sz w:val="24"/>
                      <w:szCs w:val="24"/>
                    </w:rPr>
                    <mc:AlternateContent>
                      <mc:Choice Requires="wps">
                        <w:drawing>
                          <wp:anchor distT="0" distB="0" distL="114300" distR="114300" simplePos="0" relativeHeight="251674624" behindDoc="0" locked="0" layoutInCell="1" allowOverlap="1">
                            <wp:simplePos x="0" y="0"/>
                            <wp:positionH relativeFrom="column">
                              <wp:posOffset>1398270</wp:posOffset>
                            </wp:positionH>
                            <wp:positionV relativeFrom="paragraph">
                              <wp:posOffset>76200</wp:posOffset>
                            </wp:positionV>
                            <wp:extent cx="1082675" cy="297180"/>
                            <wp:effectExtent l="5080" t="5080" r="340995" b="383540"/>
                            <wp:wrapNone/>
                            <wp:docPr id="93" name="矩形标注 93"/>
                            <wp:cNvGraphicFramePr/>
                            <a:graphic xmlns:a="http://schemas.openxmlformats.org/drawingml/2006/main">
                              <a:graphicData uri="http://schemas.microsoft.com/office/word/2010/wordprocessingShape">
                                <wps:wsp>
                                  <wps:cNvSpPr/>
                                  <wps:spPr>
                                    <a:xfrm>
                                      <a:off x="0" y="0"/>
                                      <a:ext cx="1082675" cy="297180"/>
                                    </a:xfrm>
                                    <a:prstGeom prst="wedgeRectCallout">
                                      <a:avLst>
                                        <a:gd name="adj1" fmla="val 78152"/>
                                        <a:gd name="adj2" fmla="val 169230"/>
                                      </a:avLst>
                                    </a:prstGeom>
                                    <a:solidFill>
                                      <a:srgbClr val="C0C0C0">
                                        <a:alpha val="60001"/>
                                      </a:srgbClr>
                                    </a:solidFill>
                                    <a:ln w="9525" cap="flat" cmpd="sng">
                                      <a:solidFill>
                                        <a:srgbClr val="0000CC"/>
                                      </a:solidFill>
                                      <a:prstDash val="solid"/>
                                      <a:miter/>
                                      <a:headEnd type="none" w="med" len="med"/>
                                      <a:tailEnd type="none" w="med" len="med"/>
                                    </a:ln>
                                  </wps:spPr>
                                  <wps:txbx>
                                    <w:txbxContent>
                                      <w:p>
                                        <w:pPr>
                                          <w:jc w:val="center"/>
                                          <w:rPr>
                                            <w:rFonts w:ascii="Calibri" w:hAnsi="Calibri" w:eastAsia="宋体" w:cs="Times New Roman"/>
                                            <w:b/>
                                            <w:color w:val="0000CC"/>
                                          </w:rPr>
                                        </w:pPr>
                                        <w:r>
                                          <w:rPr>
                                            <w:rFonts w:hint="eastAsia" w:ascii="Calibri" w:hAnsi="Calibri" w:eastAsia="宋体" w:cs="Times New Roman"/>
                                            <w:b/>
                                            <w:color w:val="0000CC"/>
                                          </w:rPr>
                                          <w:t>项目位置</w:t>
                                        </w:r>
                                      </w:p>
                                    </w:txbxContent>
                                  </wps:txbx>
                                  <wps:bodyPr upright="1"/>
                                </wps:wsp>
                              </a:graphicData>
                            </a:graphic>
                          </wp:anchor>
                        </w:drawing>
                      </mc:Choice>
                      <mc:Fallback>
                        <w:pict>
                          <v:shape id="_x0000_s1026" o:spid="_x0000_s1026" o:spt="61" type="#_x0000_t61" style="position:absolute;left:0pt;margin-left:110.1pt;margin-top:6pt;height:23.4pt;width:85.25pt;z-index:251674624;mso-width-relative:page;mso-height-relative:page;" fillcolor="#C0C0C0" filled="t" stroked="t" coordsize="21600,21600" o:gfxdata="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GRWVv9kAAAAJAQAADwAAAAAAAAAB&#10;ACAAAAAiAAAAZHJzL2Rvd25yZXYueG1sUEsBAhQAFAAAAAgAh07iQNJjgEpIAgAAsAQAAA4AAAAA&#10;AAAAAQAgAAAAKAEAAGRycy9lMm9Eb2MueG1sUEsFBgAAAAAGAAYAWQEAAOIFAAAAAA==&#10;" adj="27681,47354">
                            <v:fill on="t" opacity="39322f" focussize="0,0"/>
                            <v:stroke color="#0000CC" joinstyle="miter"/>
                            <v:imagedata o:title=""/>
                            <o:lock v:ext="edit" aspectratio="f"/>
                            <v:textbox>
                              <w:txbxContent>
                                <w:p>
                                  <w:pPr>
                                    <w:jc w:val="center"/>
                                    <w:rPr>
                                      <w:rFonts w:ascii="Calibri" w:hAnsi="Calibri" w:eastAsia="宋体" w:cs="Times New Roman"/>
                                      <w:b/>
                                      <w:color w:val="0000CC"/>
                                    </w:rPr>
                                  </w:pPr>
                                  <w:r>
                                    <w:rPr>
                                      <w:rFonts w:hint="eastAsia" w:ascii="Calibri" w:hAnsi="Calibri" w:eastAsia="宋体" w:cs="Times New Roman"/>
                                      <w:b/>
                                      <w:color w:val="0000CC"/>
                                    </w:rPr>
                                    <w:t>项目位置</w:t>
                                  </w:r>
                                </w:p>
                              </w:txbxContent>
                            </v:textbox>
                          </v:shape>
                        </w:pict>
                      </mc:Fallback>
                    </mc:AlternateContent>
                  </w:r>
                  <w:r>
                    <w:rPr>
                      <w:color w:val="auto"/>
                      <w:sz w:val="24"/>
                    </w:rPr>
                    <mc:AlternateContent>
                      <mc:Choice Requires="wps">
                        <w:drawing>
                          <wp:anchor distT="0" distB="0" distL="114300" distR="114300" simplePos="0" relativeHeight="251675648" behindDoc="0" locked="0" layoutInCell="1" allowOverlap="1">
                            <wp:simplePos x="0" y="0"/>
                            <wp:positionH relativeFrom="column">
                              <wp:posOffset>2752725</wp:posOffset>
                            </wp:positionH>
                            <wp:positionV relativeFrom="paragraph">
                              <wp:posOffset>687070</wp:posOffset>
                            </wp:positionV>
                            <wp:extent cx="76200" cy="76200"/>
                            <wp:effectExtent l="0" t="0" r="0" b="0"/>
                            <wp:wrapNone/>
                            <wp:docPr id="94" name="椭圆 94"/>
                            <wp:cNvGraphicFramePr/>
                            <a:graphic xmlns:a="http://schemas.openxmlformats.org/drawingml/2006/main">
                              <a:graphicData uri="http://schemas.microsoft.com/office/word/2010/wordprocessingShape">
                                <wps:wsp>
                                  <wps:cNvSpPr/>
                                  <wps:spPr>
                                    <a:xfrm flipH="1" flipV="1">
                                      <a:off x="0" y="0"/>
                                      <a:ext cx="76200" cy="76200"/>
                                    </a:xfrm>
                                    <a:prstGeom prst="ellips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 y;margin-left:216.75pt;margin-top:54.1pt;height:6pt;width:6pt;z-index:251675648;v-text-anchor:middle;mso-width-relative:page;mso-height-relative:page;" fillcolor="#92D050" filled="t" stroked="f" coordsize="21600,21600" o:gfxdata="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HPs3ZAAAACwEAAA8AAAAAAAAAAQAgAAAAIgAAAGRycy9kb3ducmV2&#10;LnhtbFBLAQIUABQAAAAIAIdO4kBCG0webQIAANUEAAAOAAAAAAAAAAEAIAAAACgBAABkcnMvZTJv&#10;RG9jLnhtbFBLBQYAAAAABgAGAFkBAAAHBgAAAAA=&#10;">
                            <v:fill on="t" focussize="0,0"/>
                            <v:stroke on="f" weight="2pt"/>
                            <v:imagedata o:title=""/>
                            <o:lock v:ext="edit" aspectratio="f"/>
                            <v:textbox>
                              <w:txbxContent>
                                <w:p>
                                  <w:pPr>
                                    <w:jc w:val="center"/>
                                  </w:pPr>
                                </w:p>
                              </w:txbxContent>
                            </v:textbox>
                          </v:shape>
                        </w:pict>
                      </mc:Fallback>
                    </mc:AlternateContent>
                  </w:r>
                  <w:r>
                    <w:rPr>
                      <w:rFonts w:hint="eastAsia" w:eastAsia="宋体"/>
                      <w:color w:val="auto"/>
                      <w:vertAlign w:val="baseline"/>
                      <w:lang w:eastAsia="zh-CN"/>
                    </w:rPr>
                    <w:drawing>
                      <wp:inline distT="0" distB="0" distL="114300" distR="114300">
                        <wp:extent cx="3844290" cy="2293620"/>
                        <wp:effectExtent l="0" t="0" r="3810" b="11430"/>
                        <wp:docPr id="92" name="图片 92" descr="微信截图_2023020213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微信截图_20230202135732"/>
                                <pic:cNvPicPr>
                                  <a:picLocks noChangeAspect="1"/>
                                </pic:cNvPicPr>
                              </pic:nvPicPr>
                              <pic:blipFill>
                                <a:blip r:embed="rId6"/>
                                <a:stretch>
                                  <a:fillRect/>
                                </a:stretch>
                              </pic:blipFill>
                              <pic:spPr>
                                <a:xfrm>
                                  <a:off x="0" y="0"/>
                                  <a:ext cx="3844290" cy="2293620"/>
                                </a:xfrm>
                                <a:prstGeom prst="rect">
                                  <a:avLst/>
                                </a:prstGeom>
                              </pic:spPr>
                            </pic:pic>
                          </a:graphicData>
                        </a:graphic>
                      </wp:inline>
                    </w:drawing>
                  </w:r>
                </w:p>
              </w:tc>
            </w:tr>
          </w:tbl>
          <w:p>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（2）与环境质量底线符合性分析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本项目位于</w:t>
            </w:r>
            <w:r>
              <w:rPr>
                <w:rFonts w:hint="eastAsia" w:cs="Times New Roman"/>
                <w:color w:val="auto"/>
                <w:kern w:val="0"/>
                <w:sz w:val="24"/>
                <w:szCs w:val="24"/>
                <w:lang w:val="en-US" w:eastAsia="zh-CN"/>
              </w:rPr>
              <w:t>淄博市淄川区寨里镇土湾村胶王路与一干渠路交叉口东10米，原淄博正晋特钢有限公司厂区内</w:t>
            </w:r>
            <w:r>
              <w:rPr>
                <w:rFonts w:hint="eastAsia" w:ascii="Times New Roman" w:hAnsi="Times New Roman" w:eastAsia="宋体" w:cs="Times New Roman"/>
                <w:color w:val="auto"/>
                <w:kern w:val="0"/>
                <w:sz w:val="24"/>
                <w:szCs w:val="24"/>
                <w:lang w:val="en-US" w:eastAsia="zh-CN"/>
              </w:rPr>
              <w:t>。项目所在区域大气环境功能区划分为二类区、地表水环境功能区划分为Ⅲ类区，地下水环境功能区划分为Ⅲ类区，声环境功能区划分为2类区。目前项目所在区域环境空气不能满足环境功能区划要求，对此淄博市已出台了《2021年淄博市生态环境保护综合治理工程任务清单》（淄环委办[2021]2号）等环保治理措施以改善区域大气及地表水环境质量。</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项目“三废”治理措施成熟可靠，根据工程分析和环境影响预测结论，项目建成后只要能按照本环评要求落实“三废”治理措施，则项目运营期污染物排放能达到国家相关排放标准要求，项目的实施不会影响区域环境质量目标的实现。</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szCs w:val="24"/>
                <w:lang w:val="en-US" w:eastAsia="zh-CN"/>
              </w:rPr>
            </w:pPr>
            <w:r>
              <w:rPr>
                <w:rFonts w:hint="default" w:ascii="Times New Roman" w:hAnsi="Times New Roman" w:cs="Times New Roman"/>
                <w:color w:val="auto"/>
                <w:kern w:val="0"/>
                <w:sz w:val="24"/>
                <w:szCs w:val="24"/>
                <w:lang w:val="en-US" w:eastAsia="zh-CN"/>
              </w:rPr>
              <w:t>（3）资源利用上线符合性判定</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szCs w:val="24"/>
                <w:lang w:val="en-US" w:eastAsia="zh-CN"/>
              </w:rPr>
            </w:pPr>
            <w:r>
              <w:rPr>
                <w:rFonts w:hint="default" w:ascii="Times New Roman" w:hAnsi="Times New Roman" w:cs="Times New Roman"/>
                <w:color w:val="auto"/>
                <w:kern w:val="0"/>
                <w:sz w:val="24"/>
                <w:szCs w:val="24"/>
                <w:lang w:val="en-US" w:eastAsia="zh-CN"/>
              </w:rPr>
              <w:t>本项目新鲜水用水量为</w:t>
            </w:r>
            <w:r>
              <w:rPr>
                <w:rFonts w:hint="eastAsia" w:cs="Times New Roman"/>
                <w:color w:val="auto"/>
                <w:kern w:val="0"/>
                <w:sz w:val="24"/>
                <w:szCs w:val="24"/>
                <w:lang w:val="en-US" w:eastAsia="zh-CN"/>
              </w:rPr>
              <w:t>554.06</w:t>
            </w:r>
            <w:r>
              <w:rPr>
                <w:rFonts w:hint="default" w:ascii="Times New Roman" w:hAnsi="Times New Roman" w:cs="Times New Roman"/>
                <w:color w:val="auto"/>
                <w:kern w:val="0"/>
                <w:sz w:val="24"/>
                <w:szCs w:val="24"/>
                <w:lang w:val="en-US" w:eastAsia="zh-CN"/>
              </w:rPr>
              <w:t>m</w:t>
            </w:r>
            <w:r>
              <w:rPr>
                <w:rFonts w:hint="default" w:ascii="Times New Roman" w:hAnsi="Times New Roman" w:cs="Times New Roman"/>
                <w:color w:val="auto"/>
                <w:kern w:val="0"/>
                <w:sz w:val="24"/>
                <w:szCs w:val="24"/>
                <w:vertAlign w:val="superscript"/>
                <w:lang w:val="en-US" w:eastAsia="zh-CN"/>
              </w:rPr>
              <w:t>3</w:t>
            </w:r>
            <w:r>
              <w:rPr>
                <w:rFonts w:hint="default" w:ascii="Times New Roman" w:hAnsi="Times New Roman" w:cs="Times New Roman"/>
                <w:color w:val="auto"/>
                <w:kern w:val="0"/>
                <w:sz w:val="24"/>
                <w:szCs w:val="24"/>
                <w:lang w:val="en-US" w:eastAsia="zh-CN"/>
              </w:rPr>
              <w:t>/a、用</w:t>
            </w:r>
            <w:r>
              <w:rPr>
                <w:rFonts w:hint="default" w:ascii="Times New Roman" w:hAnsi="Times New Roman" w:cs="Times New Roman"/>
                <w:color w:val="auto"/>
                <w:kern w:val="0"/>
                <w:sz w:val="24"/>
                <w:szCs w:val="24"/>
                <w:lang w:val="en-US" w:eastAsia="zh-CN"/>
              </w:rPr>
              <w:t>电量为</w:t>
            </w:r>
            <w:r>
              <w:rPr>
                <w:rFonts w:hint="eastAsia" w:ascii="Times New Roman" w:hAnsi="Times New Roman" w:eastAsia="宋体" w:cs="Times New Roman"/>
                <w:color w:val="auto"/>
                <w:sz w:val="24"/>
              </w:rPr>
              <w:t>2389.608</w:t>
            </w:r>
            <w:r>
              <w:rPr>
                <w:rFonts w:hint="default" w:ascii="Times New Roman" w:hAnsi="Times New Roman" w:cs="Times New Roman"/>
                <w:color w:val="auto"/>
                <w:kern w:val="0"/>
                <w:sz w:val="24"/>
                <w:szCs w:val="24"/>
                <w:lang w:val="en-US" w:eastAsia="zh-CN"/>
              </w:rPr>
              <w:t>万kWh/a，水、电资源消耗量相对区域资源利用总量较少，符合资源利用上线要求。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（4）生态环境准入清单</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根据《淄博市“三线一单”生态环境准入清单》，项目所在</w:t>
            </w:r>
            <w:r>
              <w:rPr>
                <w:rFonts w:hint="eastAsia" w:ascii="Times New Roman" w:hAnsi="Times New Roman" w:eastAsia="宋体" w:cs="Times New Roman"/>
                <w:color w:val="auto"/>
                <w:kern w:val="0"/>
                <w:sz w:val="24"/>
                <w:szCs w:val="24"/>
                <w:lang w:val="en-US" w:eastAsia="zh-CN"/>
              </w:rPr>
              <w:t>地</w:t>
            </w:r>
            <w:r>
              <w:rPr>
                <w:rFonts w:hint="eastAsia" w:cs="Times New Roman"/>
                <w:color w:val="auto"/>
                <w:kern w:val="0"/>
                <w:sz w:val="24"/>
                <w:szCs w:val="24"/>
                <w:lang w:val="en-US" w:eastAsia="zh-CN"/>
              </w:rPr>
              <w:t>淄川区寨里镇</w:t>
            </w:r>
            <w:r>
              <w:rPr>
                <w:rFonts w:hint="default" w:ascii="Times New Roman" w:hAnsi="Times New Roman" w:eastAsia="宋体" w:cs="Times New Roman"/>
                <w:color w:val="auto"/>
                <w:kern w:val="0"/>
                <w:sz w:val="24"/>
                <w:szCs w:val="24"/>
                <w:lang w:val="en-US" w:eastAsia="zh-CN"/>
              </w:rPr>
              <w:t>为</w:t>
            </w:r>
            <w:r>
              <w:rPr>
                <w:rFonts w:hint="eastAsia" w:ascii="Times New Roman" w:hAnsi="Times New Roman" w:eastAsia="宋体" w:cs="Times New Roman"/>
                <w:color w:val="auto"/>
                <w:kern w:val="0"/>
                <w:sz w:val="24"/>
                <w:szCs w:val="24"/>
                <w:lang w:val="en-US" w:eastAsia="zh-CN"/>
              </w:rPr>
              <w:t>优先保护单元</w:t>
            </w:r>
            <w:r>
              <w:rPr>
                <w:rFonts w:hint="default" w:ascii="Times New Roman" w:hAnsi="Times New Roman" w:eastAsia="宋体" w:cs="Times New Roman"/>
                <w:color w:val="auto"/>
                <w:kern w:val="0"/>
                <w:sz w:val="24"/>
                <w:szCs w:val="24"/>
                <w:lang w:val="en-US" w:eastAsia="zh-CN"/>
              </w:rPr>
              <w:t>，具体符合性分析见下表</w:t>
            </w:r>
            <w:r>
              <w:rPr>
                <w:rFonts w:hint="eastAsia" w:ascii="Times New Roman" w:hAnsi="Times New Roman" w:cs="Times New Roman"/>
                <w:color w:val="auto"/>
                <w:kern w:val="0"/>
                <w:sz w:val="24"/>
                <w:szCs w:val="24"/>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表1-</w:t>
            </w:r>
            <w:r>
              <w:rPr>
                <w:rFonts w:hint="eastAsia" w:eastAsia="黑体" w:cs="Times New Roman"/>
                <w:b w:val="0"/>
                <w:bCs w:val="0"/>
                <w:color w:val="auto"/>
                <w:kern w:val="0"/>
                <w:sz w:val="24"/>
                <w:szCs w:val="24"/>
                <w:lang w:val="en-US" w:eastAsia="zh-CN"/>
              </w:rPr>
              <w:t>2</w:t>
            </w:r>
            <w:r>
              <w:rPr>
                <w:rFonts w:hint="eastAsia" w:ascii="Times New Roman" w:hAnsi="Times New Roman" w:eastAsia="黑体" w:cs="Times New Roman"/>
                <w:b w:val="0"/>
                <w:bCs w:val="0"/>
                <w:color w:val="auto"/>
                <w:kern w:val="0"/>
                <w:sz w:val="24"/>
                <w:szCs w:val="24"/>
                <w:lang w:val="en-US" w:eastAsia="zh-CN"/>
              </w:rPr>
              <w:t xml:space="preserve"> 与淄博市“三线一单”生态环境准入清单符合性分析</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3600"/>
              <w:gridCol w:w="25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70" w:type="dxa"/>
                  <w:noWrap w:val="0"/>
                  <w:tcMar>
                    <w:top w:w="0" w:type="dxa"/>
                    <w:left w:w="28" w:type="dxa"/>
                    <w:bottom w:w="0" w:type="dxa"/>
                    <w:right w:w="28" w:type="dxa"/>
                  </w:tcMar>
                  <w:vAlign w:val="center"/>
                </w:tcPr>
                <w:p>
                  <w:pPr>
                    <w:pStyle w:val="57"/>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分类</w:t>
                  </w:r>
                </w:p>
              </w:tc>
              <w:tc>
                <w:tcPr>
                  <w:tcW w:w="3600" w:type="dxa"/>
                  <w:noWrap w:val="0"/>
                  <w:tcMar>
                    <w:top w:w="0" w:type="dxa"/>
                    <w:left w:w="28" w:type="dxa"/>
                    <w:bottom w:w="0" w:type="dxa"/>
                    <w:right w:w="28" w:type="dxa"/>
                  </w:tcMar>
                  <w:vAlign w:val="center"/>
                </w:tcPr>
                <w:p>
                  <w:pPr>
                    <w:pStyle w:val="57"/>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要求</w:t>
                  </w:r>
                </w:p>
              </w:tc>
              <w:tc>
                <w:tcPr>
                  <w:tcW w:w="2505" w:type="dxa"/>
                  <w:noWrap w:val="0"/>
                  <w:tcMar>
                    <w:top w:w="0" w:type="dxa"/>
                    <w:left w:w="28" w:type="dxa"/>
                    <w:bottom w:w="0" w:type="dxa"/>
                    <w:right w:w="28" w:type="dxa"/>
                  </w:tcMar>
                  <w:vAlign w:val="center"/>
                </w:tcPr>
                <w:p>
                  <w:pPr>
                    <w:pStyle w:val="57"/>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0" w:type="dxa"/>
                  <w:noWrap w:val="0"/>
                  <w:tcMar>
                    <w:top w:w="0" w:type="dxa"/>
                    <w:left w:w="28" w:type="dxa"/>
                    <w:bottom w:w="0" w:type="dxa"/>
                    <w:right w:w="28" w:type="dxa"/>
                  </w:tcMar>
                  <w:vAlign w:val="center"/>
                </w:tcPr>
                <w:p>
                  <w:pPr>
                    <w:pStyle w:val="5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3600" w:type="dxa"/>
                  <w:noWrap w:val="0"/>
                  <w:tcMar>
                    <w:top w:w="0" w:type="dxa"/>
                    <w:left w:w="28" w:type="dxa"/>
                    <w:bottom w:w="0" w:type="dxa"/>
                    <w:right w:w="28" w:type="dxa"/>
                  </w:tcMar>
                  <w:vAlign w:val="center"/>
                </w:tcPr>
                <w:p>
                  <w:pPr>
                    <w:pStyle w:val="57"/>
                    <w:jc w:val="both"/>
                    <w:rPr>
                      <w:rFonts w:hint="default" w:ascii="Times New Roman" w:hAnsi="Times New Roman" w:cs="Times New Roman"/>
                      <w:color w:val="auto"/>
                    </w:rPr>
                  </w:pPr>
                  <w:r>
                    <w:rPr>
                      <w:rFonts w:hint="default" w:ascii="Times New Roman" w:hAnsi="Times New Roman" w:cs="Times New Roman"/>
                      <w:color w:val="auto"/>
                    </w:rPr>
                    <w:t>1.禁止新建、扩建《产业结构调整指导目录》（现行）明确的淘汰类项目和引入《市场准入负面清单》（现行）禁止准入类事项；鼓励对列入《产业结构调整指导目录》的限制类、淘汰类工业项目进行淘汰和提升改造。</w:t>
                  </w:r>
                </w:p>
                <w:p>
                  <w:pPr>
                    <w:pStyle w:val="57"/>
                    <w:jc w:val="both"/>
                    <w:rPr>
                      <w:rFonts w:hint="default" w:ascii="Times New Roman" w:hAnsi="Times New Roman" w:cs="Times New Roman"/>
                      <w:color w:val="auto"/>
                    </w:rPr>
                  </w:pPr>
                  <w:r>
                    <w:rPr>
                      <w:rFonts w:hint="default" w:ascii="Times New Roman" w:hAnsi="Times New Roman" w:cs="Times New Roman"/>
                      <w:color w:val="auto"/>
                    </w:rPr>
                    <w:t>2.严格控制钢铁、焦化、电解铝、水泥和平板玻璃等行业新增产能。</w:t>
                  </w:r>
                </w:p>
                <w:p>
                  <w:pPr>
                    <w:pStyle w:val="57"/>
                    <w:jc w:val="both"/>
                    <w:rPr>
                      <w:rFonts w:hint="default" w:ascii="Times New Roman" w:hAnsi="Times New Roman" w:eastAsia="宋体" w:cs="Times New Roman"/>
                      <w:color w:val="auto"/>
                      <w:lang w:eastAsia="zh-CN"/>
                    </w:rPr>
                  </w:pPr>
                  <w:r>
                    <w:rPr>
                      <w:rFonts w:hint="default" w:ascii="Times New Roman" w:hAnsi="Times New Roman" w:cs="Times New Roman"/>
                      <w:color w:val="auto"/>
                    </w:rPr>
                    <w:t>3.生态保护红线内禁止城镇化和工业化活动，严禁开展不符合主体功能定位的各类开发活动。对生态保护红线内淄川省级风景名胜区的管理，严格按照《关于在国土空间规划中统筹划定落实三条控制线的指导意见》（2019年11月）、《关于划定并严守生态保护红线的若干意见》《自然生态空间用途管制办法（试行）》（国土资发〔2017〕33号）等相关要求管控。</w:t>
                  </w:r>
                </w:p>
                <w:p>
                  <w:pPr>
                    <w:pStyle w:val="57"/>
                    <w:jc w:val="both"/>
                    <w:rPr>
                      <w:rFonts w:hint="default" w:ascii="Times New Roman" w:hAnsi="Times New Roman" w:eastAsia="宋体" w:cs="Times New Roman"/>
                      <w:color w:val="auto"/>
                      <w:lang w:eastAsia="zh-CN"/>
                    </w:rPr>
                  </w:pPr>
                  <w:r>
                    <w:rPr>
                      <w:rFonts w:hint="default" w:ascii="Times New Roman" w:hAnsi="Times New Roman" w:cs="Times New Roman"/>
                      <w:color w:val="auto"/>
                    </w:rPr>
                    <w:t>4.生态保护红线淄川省级风景名胜区外的生态空间依据《风景名胜区条例》的要求进行管控。</w:t>
                  </w:r>
                </w:p>
                <w:p>
                  <w:pPr>
                    <w:pStyle w:val="57"/>
                    <w:jc w:val="both"/>
                    <w:rPr>
                      <w:rFonts w:hint="default" w:ascii="Times New Roman" w:hAnsi="Times New Roman" w:cs="Times New Roman"/>
                      <w:color w:val="auto"/>
                      <w:lang w:eastAsia="zh-CN"/>
                    </w:rPr>
                  </w:pPr>
                  <w:r>
                    <w:rPr>
                      <w:rFonts w:hint="default" w:ascii="Times New Roman" w:hAnsi="Times New Roman" w:cs="Times New Roman"/>
                      <w:color w:val="auto"/>
                    </w:rPr>
                    <w:t>5.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2505" w:type="dxa"/>
                  <w:noWrap w:val="0"/>
                  <w:tcMar>
                    <w:top w:w="0" w:type="dxa"/>
                    <w:left w:w="28" w:type="dxa"/>
                    <w:bottom w:w="0" w:type="dxa"/>
                    <w:right w:w="28" w:type="dxa"/>
                  </w:tcMar>
                  <w:vAlign w:val="center"/>
                </w:tcPr>
                <w:p>
                  <w:pPr>
                    <w:pStyle w:val="57"/>
                    <w:jc w:val="both"/>
                    <w:rPr>
                      <w:rFonts w:hint="default" w:ascii="Times New Roman" w:hAnsi="Times New Roman" w:eastAsia="宋体" w:cs="Times New Roman"/>
                      <w:color w:val="auto"/>
                      <w:lang w:val="en-US" w:eastAsia="zh-CN"/>
                    </w:rPr>
                  </w:pPr>
                  <w:r>
                    <w:rPr>
                      <w:rFonts w:hint="default" w:ascii="Times New Roman" w:hAnsi="Times New Roman" w:cs="Times New Roman"/>
                      <w:color w:val="auto"/>
                    </w:rPr>
                    <w:t>1.项</w:t>
                  </w:r>
                  <w:r>
                    <w:rPr>
                      <w:rFonts w:hint="default" w:ascii="Times New Roman" w:hAnsi="Times New Roman" w:eastAsia="宋体" w:cs="Times New Roman"/>
                      <w:color w:val="auto"/>
                      <w:lang w:val="en-US" w:eastAsia="zh-CN"/>
                    </w:rPr>
                    <w:t>目的规模、产品、工艺以及采用的生产设备均不属于《产业结构调整指导目录（2019年本）》淘汰类和限制类项目。</w:t>
                  </w:r>
                </w:p>
                <w:p>
                  <w:pPr>
                    <w:pStyle w:val="57"/>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2.本项目不属于钢铁、焦化、电解铝、水泥和平板玻璃等行业。</w:t>
                  </w:r>
                </w:p>
                <w:p>
                  <w:pPr>
                    <w:pStyle w:val="57"/>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3.距离本项目厂址最近的生态红线保护区为厂区南侧约680m处的淄川生态公益林北部生物多样性维护生态保护红线区。本项目不在淄博市各生态保护红线区范围内。</w:t>
                  </w:r>
                </w:p>
                <w:p>
                  <w:pPr>
                    <w:pStyle w:val="57"/>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4.本项目利用现有场地进行建设，符合相关要求。</w:t>
                  </w:r>
                </w:p>
                <w:p>
                  <w:pPr>
                    <w:pStyle w:val="57"/>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5.本项目不属于</w:t>
                  </w:r>
                  <w:r>
                    <w:rPr>
                      <w:rFonts w:hint="default" w:ascii="Times New Roman" w:hAnsi="Times New Roman" w:cs="Times New Roman"/>
                      <w:color w:val="auto"/>
                      <w:lang w:eastAsia="zh-CN"/>
                    </w:rPr>
                    <w:t>色金属冶炼、石油加工、化工、焦化、电镀、制革等行业，不占用基本农田</w:t>
                  </w:r>
                  <w:r>
                    <w:rPr>
                      <w:rFonts w:hint="default" w:ascii="Times New Roman" w:hAnsi="Times New Roman" w:eastAsia="宋体" w:cs="Times New Roman"/>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0" w:type="dxa"/>
                  <w:noWrap w:val="0"/>
                  <w:tcMar>
                    <w:top w:w="0" w:type="dxa"/>
                    <w:left w:w="28" w:type="dxa"/>
                    <w:bottom w:w="0" w:type="dxa"/>
                    <w:right w:w="28" w:type="dxa"/>
                  </w:tcMar>
                  <w:vAlign w:val="center"/>
                </w:tcPr>
                <w:p>
                  <w:pPr>
                    <w:pStyle w:val="5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污染物排放管控</w:t>
                  </w:r>
                </w:p>
              </w:tc>
              <w:tc>
                <w:tcPr>
                  <w:tcW w:w="3600" w:type="dxa"/>
                  <w:noWrap w:val="0"/>
                  <w:tcMar>
                    <w:top w:w="0" w:type="dxa"/>
                    <w:left w:w="28" w:type="dxa"/>
                    <w:bottom w:w="0" w:type="dxa"/>
                    <w:right w:w="28" w:type="dxa"/>
                  </w:tcMar>
                  <w:vAlign w:val="center"/>
                </w:tcPr>
                <w:p>
                  <w:pPr>
                    <w:pStyle w:val="57"/>
                    <w:jc w:val="both"/>
                    <w:rPr>
                      <w:rFonts w:hint="default" w:ascii="Times New Roman" w:hAnsi="Times New Roman" w:eastAsia="宋体" w:cs="Times New Roman"/>
                      <w:color w:val="auto"/>
                      <w:lang w:eastAsia="zh-CN"/>
                    </w:rPr>
                  </w:pPr>
                  <w:r>
                    <w:rPr>
                      <w:rFonts w:hint="default" w:ascii="Times New Roman" w:hAnsi="Times New Roman" w:cs="Times New Roman"/>
                      <w:color w:val="auto"/>
                    </w:rPr>
                    <w:t>1.严格控制“两高”项目，确需建设的需严格执行产能、煤耗、能耗、碳排放、污染物排放减量替代制度。</w:t>
                  </w:r>
                </w:p>
                <w:p>
                  <w:pPr>
                    <w:pStyle w:val="57"/>
                    <w:jc w:val="both"/>
                    <w:rPr>
                      <w:rFonts w:hint="default" w:ascii="Times New Roman" w:hAnsi="Times New Roman" w:eastAsia="宋体" w:cs="Times New Roman"/>
                      <w:color w:val="auto"/>
                      <w:lang w:eastAsia="zh-CN"/>
                    </w:rPr>
                  </w:pPr>
                  <w:r>
                    <w:rPr>
                      <w:rFonts w:hint="default" w:ascii="Times New Roman" w:hAnsi="Times New Roman" w:cs="Times New Roman"/>
                      <w:color w:val="auto"/>
                    </w:rPr>
                    <w:t>2.落实主要污染物总量控制和排污许可制度。新（改、扩）建工业项目生产工艺应达到国内先进水平，主要污染物治理要达到国内同行业先进水平，实施主要污染物总量等量或倍量替代。</w:t>
                  </w:r>
                </w:p>
                <w:p>
                  <w:pPr>
                    <w:pStyle w:val="57"/>
                    <w:jc w:val="both"/>
                    <w:rPr>
                      <w:rFonts w:hint="default" w:ascii="Times New Roman" w:hAnsi="Times New Roman" w:eastAsia="宋体" w:cs="Times New Roman"/>
                      <w:color w:val="auto"/>
                      <w:lang w:eastAsia="zh-CN"/>
                    </w:rPr>
                  </w:pPr>
                  <w:r>
                    <w:rPr>
                      <w:rFonts w:hint="default" w:ascii="Times New Roman" w:hAnsi="Times New Roman" w:cs="Times New Roman"/>
                      <w:color w:val="auto"/>
                    </w:rPr>
                    <w:t>3.废水应当按照分类收集、分质处理的要求进行预处理，达到行业排放标准或是综合排放标准后方可排放。</w:t>
                  </w:r>
                </w:p>
                <w:p>
                  <w:pPr>
                    <w:pStyle w:val="57"/>
                    <w:jc w:val="both"/>
                    <w:rPr>
                      <w:rFonts w:hint="default" w:ascii="Times New Roman" w:hAnsi="Times New Roman" w:eastAsia="宋体" w:cs="Times New Roman"/>
                      <w:color w:val="auto"/>
                      <w:lang w:eastAsia="zh-CN"/>
                    </w:rPr>
                  </w:pPr>
                  <w:r>
                    <w:rPr>
                      <w:rFonts w:hint="default" w:ascii="Times New Roman" w:hAnsi="Times New Roman" w:cs="Times New Roman"/>
                      <w:color w:val="auto"/>
                    </w:rPr>
                    <w:t>4.禁止工业废水和生活污水未经处理直排环境；原则上除工业污水集中处理设施、城镇污水处理厂外不得新建入河排污口。</w:t>
                  </w:r>
                </w:p>
                <w:p>
                  <w:pPr>
                    <w:pStyle w:val="57"/>
                    <w:jc w:val="both"/>
                    <w:rPr>
                      <w:rFonts w:hint="default" w:ascii="Times New Roman" w:hAnsi="Times New Roman" w:eastAsia="宋体" w:cs="Times New Roman"/>
                      <w:color w:val="auto"/>
                      <w:lang w:eastAsia="zh-CN"/>
                    </w:rPr>
                  </w:pPr>
                  <w:r>
                    <w:rPr>
                      <w:rFonts w:hint="default" w:ascii="Times New Roman" w:hAnsi="Times New Roman" w:cs="Times New Roman"/>
                      <w:color w:val="auto"/>
                    </w:rPr>
                    <w:t>5.陶瓷、化工、表面涂装、建材、塑料加工等严格按照淄博市行业环境管控要求，实施源头替代，建立健全治理设施，确保污染物稳定达标排放，做到持证排污。</w:t>
                  </w:r>
                </w:p>
                <w:p>
                  <w:pPr>
                    <w:pStyle w:val="57"/>
                    <w:jc w:val="both"/>
                    <w:rPr>
                      <w:rFonts w:hint="default" w:ascii="Times New Roman" w:hAnsi="Times New Roman" w:cs="Times New Roman"/>
                      <w:color w:val="auto"/>
                    </w:rPr>
                  </w:pPr>
                  <w:r>
                    <w:rPr>
                      <w:rFonts w:hint="default" w:ascii="Times New Roman" w:hAnsi="Times New Roman" w:cs="Times New Roman"/>
                      <w:color w:val="auto"/>
                    </w:rPr>
                    <w:t>6.规模养殖场（小区）粪污处理设施装备配套率达到100%。通过管网截污、小型污水处理站和氧化塘、人工湿地等方式因地制宜处理处置农村生活污水，解决农村污水直排问题。</w:t>
                  </w:r>
                </w:p>
                <w:p>
                  <w:pPr>
                    <w:pStyle w:val="57"/>
                    <w:jc w:val="both"/>
                    <w:rPr>
                      <w:rFonts w:hint="default" w:ascii="Times New Roman" w:hAnsi="Times New Roman" w:cs="Times New Roman"/>
                      <w:color w:val="auto"/>
                      <w:lang w:val="en-US" w:eastAsia="zh-CN"/>
                    </w:rPr>
                  </w:pPr>
                  <w:r>
                    <w:rPr>
                      <w:rFonts w:hint="default" w:ascii="Times New Roman" w:hAnsi="Times New Roman" w:cs="Times New Roman"/>
                      <w:color w:val="auto"/>
                    </w:rPr>
                    <w:t>7.进一步加强对建设工程施工、建筑物拆除、交通运输、道路保洁、物料运输与堆存、采石取土、养护绿化等活动的扬尘管理。</w:t>
                  </w:r>
                </w:p>
              </w:tc>
              <w:tc>
                <w:tcPr>
                  <w:tcW w:w="2505" w:type="dxa"/>
                  <w:noWrap w:val="0"/>
                  <w:tcMar>
                    <w:top w:w="0" w:type="dxa"/>
                    <w:left w:w="28" w:type="dxa"/>
                    <w:bottom w:w="0" w:type="dxa"/>
                    <w:right w:w="28" w:type="dxa"/>
                  </w:tcMar>
                  <w:vAlign w:val="center"/>
                </w:tcPr>
                <w:p>
                  <w:pPr>
                    <w:pStyle w:val="57"/>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1.本项目不属于“两高”项目。</w:t>
                  </w:r>
                </w:p>
                <w:p>
                  <w:pPr>
                    <w:pStyle w:val="57"/>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2.本项目建成后需</w:t>
                  </w:r>
                  <w:r>
                    <w:rPr>
                      <w:rFonts w:hint="default" w:ascii="Times New Roman" w:hAnsi="Times New Roman" w:cs="Times New Roman"/>
                      <w:color w:val="auto"/>
                      <w:sz w:val="21"/>
                      <w:szCs w:val="21"/>
                      <w:highlight w:val="none"/>
                      <w:lang w:eastAsia="zh-CN"/>
                    </w:rPr>
                    <w:t>申请总量指标，并</w:t>
                  </w:r>
                  <w:r>
                    <w:rPr>
                      <w:rFonts w:hint="default" w:ascii="Times New Roman" w:hAnsi="Times New Roman" w:cs="Times New Roman"/>
                      <w:color w:val="auto"/>
                      <w:sz w:val="21"/>
                      <w:szCs w:val="21"/>
                      <w:highlight w:val="none"/>
                    </w:rPr>
                    <w:t>进行排污许可填报；本项目生产工艺较先进，污染物治理水平可达到国内同行业先进水平</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bidi="ar-SA"/>
                    </w:rPr>
                    <w:t>实施主要污染物总量倍量替代。</w:t>
                  </w:r>
                </w:p>
                <w:p>
                  <w:pPr>
                    <w:pStyle w:val="57"/>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r>
                    <w:rPr>
                      <w:rFonts w:hint="default" w:ascii="Times New Roman" w:hAnsi="Times New Roman" w:eastAsia="宋体" w:cs="Times New Roman"/>
                      <w:b w:val="0"/>
                      <w:bCs w:val="0"/>
                      <w:color w:val="auto"/>
                      <w:lang w:val="en-US" w:eastAsia="zh-CN"/>
                    </w:rPr>
                    <w:t>项目生活污水经化粪池收集后定期清运；</w:t>
                  </w:r>
                  <w:r>
                    <w:rPr>
                      <w:rFonts w:hint="default" w:ascii="Times New Roman" w:hAnsi="Times New Roman" w:eastAsia="宋体" w:cs="Times New Roman"/>
                      <w:b w:val="0"/>
                      <w:bCs w:val="0"/>
                      <w:color w:val="auto"/>
                      <w:lang w:val="zh-CN" w:eastAsia="zh-CN"/>
                    </w:rPr>
                    <w:t>蒸汽锅炉排污水、软水制备排污水</w:t>
                  </w:r>
                  <w:r>
                    <w:rPr>
                      <w:rFonts w:hint="default" w:ascii="Times New Roman" w:hAnsi="Times New Roman" w:eastAsia="宋体" w:cs="Times New Roman"/>
                      <w:b w:val="0"/>
                      <w:bCs w:val="0"/>
                      <w:color w:val="auto"/>
                      <w:lang w:val="en-US" w:eastAsia="zh-CN"/>
                    </w:rPr>
                    <w:t>、含油污水进入厂区污水处理站处理达标后回用</w:t>
                  </w:r>
                  <w:r>
                    <w:rPr>
                      <w:rFonts w:hint="default" w:ascii="Times New Roman" w:hAnsi="Times New Roman" w:eastAsia="宋体" w:cs="Times New Roman"/>
                      <w:color w:val="auto"/>
                      <w:sz w:val="21"/>
                      <w:szCs w:val="21"/>
                      <w:lang w:eastAsia="zh-CN"/>
                    </w:rPr>
                    <w:t>。</w:t>
                  </w:r>
                  <w:r>
                    <w:rPr>
                      <w:rFonts w:hint="default" w:ascii="Times New Roman" w:hAnsi="Times New Roman" w:cs="Times New Roman"/>
                      <w:color w:val="auto"/>
                      <w:sz w:val="21"/>
                      <w:szCs w:val="21"/>
                      <w:lang w:eastAsia="zh-CN"/>
                    </w:rPr>
                    <w:t>满足区域管控要求</w:t>
                  </w:r>
                  <w:r>
                    <w:rPr>
                      <w:rFonts w:hint="default" w:ascii="Times New Roman" w:hAnsi="Times New Roman" w:cs="Times New Roman"/>
                      <w:color w:val="auto"/>
                      <w:sz w:val="21"/>
                      <w:szCs w:val="21"/>
                      <w:highlight w:val="none"/>
                    </w:rPr>
                    <w:t>。</w:t>
                  </w:r>
                </w:p>
                <w:p>
                  <w:pPr>
                    <w:pStyle w:val="57"/>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r>
                    <w:rPr>
                      <w:rFonts w:hint="default" w:ascii="Times New Roman" w:hAnsi="Times New Roman" w:eastAsia="宋体" w:cs="Times New Roman"/>
                      <w:b w:val="0"/>
                      <w:bCs w:val="0"/>
                      <w:color w:val="auto"/>
                      <w:lang w:val="en-US" w:eastAsia="zh-CN"/>
                    </w:rPr>
                    <w:t>项目生活污水经化粪池收集后定期清运；</w:t>
                  </w:r>
                  <w:r>
                    <w:rPr>
                      <w:rFonts w:hint="default" w:ascii="Times New Roman" w:hAnsi="Times New Roman" w:eastAsia="宋体" w:cs="Times New Roman"/>
                      <w:b w:val="0"/>
                      <w:bCs w:val="0"/>
                      <w:color w:val="auto"/>
                      <w:lang w:val="zh-CN" w:eastAsia="zh-CN"/>
                    </w:rPr>
                    <w:t>蒸汽锅炉排污水、软水制备排污水</w:t>
                  </w:r>
                  <w:r>
                    <w:rPr>
                      <w:rFonts w:hint="default" w:ascii="Times New Roman" w:hAnsi="Times New Roman" w:eastAsia="宋体" w:cs="Times New Roman"/>
                      <w:b w:val="0"/>
                      <w:bCs w:val="0"/>
                      <w:color w:val="auto"/>
                      <w:lang w:val="en-US" w:eastAsia="zh-CN"/>
                    </w:rPr>
                    <w:t>、含油污水进入厂区污水处理站处理达标后回用</w:t>
                  </w:r>
                  <w:r>
                    <w:rPr>
                      <w:rFonts w:hint="default" w:ascii="Times New Roman" w:hAnsi="Times New Roman" w:eastAsia="宋体" w:cs="Times New Roman"/>
                      <w:color w:val="auto"/>
                      <w:sz w:val="21"/>
                      <w:szCs w:val="21"/>
                      <w:lang w:eastAsia="zh-CN"/>
                    </w:rPr>
                    <w:t>。</w:t>
                  </w:r>
                  <w:r>
                    <w:rPr>
                      <w:rFonts w:hint="default" w:ascii="Times New Roman" w:hAnsi="Times New Roman" w:cs="Times New Roman"/>
                      <w:color w:val="auto"/>
                      <w:sz w:val="21"/>
                      <w:szCs w:val="21"/>
                      <w:lang w:eastAsia="zh-CN"/>
                    </w:rPr>
                    <w:t>满足区域管控要求</w:t>
                  </w:r>
                  <w:r>
                    <w:rPr>
                      <w:rFonts w:hint="default" w:ascii="Times New Roman" w:hAnsi="Times New Roman" w:cs="Times New Roman"/>
                      <w:color w:val="auto"/>
                      <w:sz w:val="21"/>
                      <w:szCs w:val="21"/>
                      <w:highlight w:val="none"/>
                    </w:rPr>
                    <w:t>。</w:t>
                  </w:r>
                </w:p>
                <w:p>
                  <w:pPr>
                    <w:pStyle w:val="57"/>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5</w:t>
                  </w:r>
                  <w:r>
                    <w:rPr>
                      <w:rFonts w:hint="default" w:ascii="Times New Roman" w:hAnsi="Times New Roman" w:eastAsia="宋体" w:cs="Times New Roman"/>
                      <w:color w:val="auto"/>
                      <w:lang w:val="en-US" w:eastAsia="zh-CN"/>
                    </w:rPr>
                    <w:t>.本项目为仓储项目，不属于</w:t>
                  </w:r>
                  <w:r>
                    <w:rPr>
                      <w:rFonts w:hint="default" w:ascii="Times New Roman" w:hAnsi="Times New Roman" w:eastAsia="宋体" w:cs="Times New Roman"/>
                      <w:color w:val="auto"/>
                    </w:rPr>
                    <w:t>陶瓷、化工、表面涂装、建材、塑料加工</w:t>
                  </w:r>
                  <w:r>
                    <w:rPr>
                      <w:rFonts w:hint="default" w:ascii="Times New Roman" w:hAnsi="Times New Roman" w:eastAsia="宋体" w:cs="Times New Roman"/>
                      <w:color w:val="auto"/>
                      <w:lang w:eastAsia="zh-CN"/>
                    </w:rPr>
                    <w:t>行业</w:t>
                  </w:r>
                  <w:r>
                    <w:rPr>
                      <w:rFonts w:hint="default" w:ascii="Times New Roman" w:hAnsi="Times New Roman" w:eastAsia="宋体" w:cs="Times New Roman"/>
                      <w:color w:val="auto"/>
                      <w:lang w:val="en-US" w:eastAsia="zh-CN"/>
                    </w:rPr>
                    <w:t>。</w:t>
                  </w:r>
                </w:p>
                <w:p>
                  <w:pPr>
                    <w:pStyle w:val="57"/>
                    <w:jc w:val="both"/>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6.项目</w:t>
                  </w:r>
                  <w:r>
                    <w:rPr>
                      <w:rFonts w:hint="default" w:ascii="Times New Roman" w:hAnsi="Times New Roman" w:cs="Times New Roman"/>
                      <w:color w:val="auto"/>
                      <w:kern w:val="0"/>
                      <w:sz w:val="21"/>
                      <w:szCs w:val="21"/>
                      <w:highlight w:val="none"/>
                      <w:lang w:val="en-US" w:eastAsia="zh-CN" w:bidi="ar-SA"/>
                    </w:rPr>
                    <w:t>不属于</w:t>
                  </w:r>
                  <w:r>
                    <w:rPr>
                      <w:rFonts w:hint="default" w:ascii="Times New Roman" w:hAnsi="Times New Roman" w:cs="Times New Roman"/>
                      <w:color w:val="auto"/>
                    </w:rPr>
                    <w:t>养殖场</w:t>
                  </w:r>
                  <w:r>
                    <w:rPr>
                      <w:rFonts w:hint="default" w:ascii="Times New Roman" w:hAnsi="Times New Roman" w:eastAsia="宋体" w:cs="Times New Roman"/>
                      <w:color w:val="auto"/>
                      <w:kern w:val="0"/>
                      <w:sz w:val="21"/>
                      <w:szCs w:val="21"/>
                      <w:highlight w:val="none"/>
                      <w:lang w:val="en-US" w:eastAsia="zh-CN" w:bidi="ar-SA"/>
                    </w:rPr>
                    <w:t>。</w:t>
                  </w:r>
                </w:p>
                <w:p>
                  <w:pPr>
                    <w:pStyle w:val="57"/>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7.项目</w:t>
                  </w:r>
                  <w:r>
                    <w:rPr>
                      <w:rFonts w:hint="default" w:ascii="Times New Roman" w:hAnsi="Times New Roman" w:cs="Times New Roman"/>
                      <w:color w:val="auto"/>
                      <w:kern w:val="0"/>
                      <w:sz w:val="21"/>
                      <w:szCs w:val="21"/>
                      <w:highlight w:val="none"/>
                      <w:lang w:val="en-US" w:eastAsia="zh-CN" w:bidi="ar-SA"/>
                    </w:rPr>
                    <w:t>施工期严格控制扬尘排放，</w:t>
                  </w:r>
                  <w:r>
                    <w:rPr>
                      <w:rFonts w:hint="default" w:ascii="Times New Roman" w:hAnsi="Times New Roman" w:eastAsia="宋体" w:cs="Times New Roman"/>
                      <w:color w:val="auto"/>
                      <w:kern w:val="0"/>
                      <w:sz w:val="21"/>
                      <w:szCs w:val="21"/>
                      <w:highlight w:val="none"/>
                      <w:lang w:val="en-US" w:eastAsia="zh-CN" w:bidi="ar-SA"/>
                    </w:rPr>
                    <w:t>污染物排放能达到国家相关排放标准要求。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0" w:type="dxa"/>
                  <w:noWrap w:val="0"/>
                  <w:tcMar>
                    <w:top w:w="0" w:type="dxa"/>
                    <w:left w:w="28" w:type="dxa"/>
                    <w:bottom w:w="0" w:type="dxa"/>
                    <w:right w:w="28" w:type="dxa"/>
                  </w:tcMar>
                  <w:vAlign w:val="center"/>
                </w:tcPr>
                <w:p>
                  <w:pPr>
                    <w:pStyle w:val="5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环境风险防控</w:t>
                  </w:r>
                </w:p>
              </w:tc>
              <w:tc>
                <w:tcPr>
                  <w:tcW w:w="3600" w:type="dxa"/>
                  <w:noWrap w:val="0"/>
                  <w:tcMar>
                    <w:top w:w="0" w:type="dxa"/>
                    <w:left w:w="28" w:type="dxa"/>
                    <w:bottom w:w="0" w:type="dxa"/>
                    <w:right w:w="28" w:type="dxa"/>
                  </w:tcMar>
                  <w:vAlign w:val="center"/>
                </w:tcPr>
                <w:p>
                  <w:pPr>
                    <w:pStyle w:val="57"/>
                    <w:jc w:val="both"/>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1.建立生态保护红线常态化日常巡护。</w:t>
                  </w:r>
                </w:p>
                <w:p>
                  <w:pPr>
                    <w:pStyle w:val="57"/>
                    <w:jc w:val="both"/>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2.加强农田土壤、灌溉水的监测，对周边区域环境风险源进行评估。</w:t>
                  </w:r>
                </w:p>
                <w:p>
                  <w:pPr>
                    <w:pStyle w:val="57"/>
                    <w:jc w:val="both"/>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3.企业应按照《企业事业单位突发环境事件应急预案备案管理办法（试行）》等要求，依法依规编制环境应急预案并定期开展演练。</w:t>
                  </w:r>
                </w:p>
                <w:p>
                  <w:pPr>
                    <w:pStyle w:val="57"/>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4.建立各企业危险废物的贮存、申报、经营许可、转移及处置管理制度，并负责对危废相应活动的全程监管和环境安全保障。</w:t>
                  </w:r>
                </w:p>
              </w:tc>
              <w:tc>
                <w:tcPr>
                  <w:tcW w:w="2505" w:type="dxa"/>
                  <w:noWrap w:val="0"/>
                  <w:tcMar>
                    <w:top w:w="0" w:type="dxa"/>
                    <w:left w:w="28" w:type="dxa"/>
                    <w:bottom w:w="0" w:type="dxa"/>
                    <w:right w:w="28" w:type="dxa"/>
                  </w:tcMar>
                  <w:vAlign w:val="center"/>
                </w:tcPr>
                <w:p>
                  <w:pPr>
                    <w:pStyle w:val="57"/>
                    <w:jc w:val="both"/>
                    <w:rPr>
                      <w:rFonts w:hint="default" w:ascii="Times New Roman" w:hAnsi="Times New Roman" w:cs="Times New Roman"/>
                      <w:color w:val="auto"/>
                      <w:sz w:val="21"/>
                      <w:szCs w:val="21"/>
                      <w:highlight w:val="none"/>
                      <w:lang w:eastAsia="zh-CN"/>
                    </w:rPr>
                  </w:pPr>
                </w:p>
                <w:p>
                  <w:pPr>
                    <w:pStyle w:val="57"/>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本项目建成后，需</w:t>
                  </w:r>
                  <w:r>
                    <w:rPr>
                      <w:rFonts w:hint="default" w:ascii="Times New Roman" w:hAnsi="Times New Roman" w:eastAsia="宋体" w:cs="Times New Roman"/>
                      <w:color w:val="auto"/>
                      <w:sz w:val="21"/>
                      <w:szCs w:val="21"/>
                      <w:highlight w:val="none"/>
                      <w:lang w:val="en-US" w:eastAsia="zh-CN"/>
                    </w:rPr>
                    <w:t>编制环境应急预案并定期开展演练</w:t>
                  </w:r>
                  <w:r>
                    <w:rPr>
                      <w:rFonts w:hint="default" w:ascii="Times New Roman" w:hAnsi="Times New Roman" w:cs="Times New Roman"/>
                      <w:color w:val="auto"/>
                      <w:sz w:val="21"/>
                      <w:szCs w:val="21"/>
                      <w:highlight w:val="none"/>
                      <w:lang w:val="en-US" w:eastAsia="zh-CN"/>
                    </w:rPr>
                    <w:t>，并</w:t>
                  </w:r>
                  <w:r>
                    <w:rPr>
                      <w:rFonts w:hint="default" w:ascii="Times New Roman" w:hAnsi="Times New Roman" w:cs="Times New Roman"/>
                      <w:color w:val="auto"/>
                      <w:sz w:val="21"/>
                      <w:szCs w:val="21"/>
                      <w:highlight w:val="none"/>
                      <w:lang w:eastAsia="zh-CN"/>
                    </w:rPr>
                    <w:t>通过加强企业自身环境风险管理不会对周边环境风险造成影响。企业产生危险废物暂存于危废暂存间，定期委托有资质单位处理。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0" w:type="dxa"/>
                  <w:noWrap w:val="0"/>
                  <w:tcMar>
                    <w:top w:w="0" w:type="dxa"/>
                    <w:left w:w="28" w:type="dxa"/>
                    <w:bottom w:w="0" w:type="dxa"/>
                    <w:right w:w="28" w:type="dxa"/>
                  </w:tcMar>
                  <w:vAlign w:val="center"/>
                </w:tcPr>
                <w:p>
                  <w:pPr>
                    <w:pStyle w:val="5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资源开发效率要求</w:t>
                  </w:r>
                </w:p>
              </w:tc>
              <w:tc>
                <w:tcPr>
                  <w:tcW w:w="3600" w:type="dxa"/>
                  <w:noWrap w:val="0"/>
                  <w:tcMar>
                    <w:top w:w="0" w:type="dxa"/>
                    <w:left w:w="28" w:type="dxa"/>
                    <w:bottom w:w="0" w:type="dxa"/>
                    <w:right w:w="28" w:type="dxa"/>
                  </w:tcMar>
                  <w:vAlign w:val="center"/>
                </w:tcPr>
                <w:p>
                  <w:pPr>
                    <w:pStyle w:val="57"/>
                    <w:jc w:val="both"/>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1.严格执行淄博市高污染燃料禁燃区划定范围及管控要求。</w:t>
                  </w:r>
                </w:p>
                <w:p>
                  <w:pPr>
                    <w:pStyle w:val="57"/>
                    <w:jc w:val="both"/>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2.加强农业节水，提高水资源使用效率。</w:t>
                  </w:r>
                </w:p>
                <w:p>
                  <w:pPr>
                    <w:pStyle w:val="57"/>
                    <w:jc w:val="both"/>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3.提升土地集约化水平。</w:t>
                  </w:r>
                </w:p>
                <w:p>
                  <w:pPr>
                    <w:pStyle w:val="57"/>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4.调整能源利用结构，控制煤炭消费量，实现减量化，鼓励使用清洁能源、新能源和可再生能源。</w:t>
                  </w:r>
                </w:p>
              </w:tc>
              <w:tc>
                <w:tcPr>
                  <w:tcW w:w="2505" w:type="dxa"/>
                  <w:noWrap w:val="0"/>
                  <w:tcMar>
                    <w:top w:w="0" w:type="dxa"/>
                    <w:left w:w="28" w:type="dxa"/>
                    <w:bottom w:w="0" w:type="dxa"/>
                    <w:right w:w="28" w:type="dxa"/>
                  </w:tcMar>
                  <w:vAlign w:val="center"/>
                </w:tcPr>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本项目用水用电量较少，所用天然气为清洁能源，满足区域</w:t>
                  </w:r>
                  <w:r>
                    <w:rPr>
                      <w:rFonts w:hint="default" w:ascii="Times New Roman" w:hAnsi="Times New Roman" w:cs="Times New Roman"/>
                      <w:color w:val="auto"/>
                      <w:sz w:val="21"/>
                      <w:szCs w:val="21"/>
                      <w:highlight w:val="none"/>
                    </w:rPr>
                    <w:t>资源开发效率要求</w:t>
                  </w:r>
                  <w:r>
                    <w:rPr>
                      <w:rFonts w:hint="default" w:ascii="Times New Roman" w:hAnsi="Times New Roman" w:cs="Times New Roman"/>
                      <w:color w:val="auto"/>
                      <w:sz w:val="21"/>
                      <w:szCs w:val="21"/>
                      <w:highlight w:val="none"/>
                      <w:lang w:eastAsia="zh-CN"/>
                    </w:rPr>
                    <w:t>。</w:t>
                  </w:r>
                </w:p>
              </w:tc>
            </w:tr>
          </w:tbl>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rPr>
              <w:t>综上分析，在落实区域环境保护治理措施的前提下，项目建设符合“三线一单”要求</w:t>
            </w:r>
            <w:r>
              <w:rPr>
                <w:rFonts w:hint="eastAsia" w:cs="Times New Roman"/>
                <w:color w:val="auto"/>
                <w:kern w:val="0"/>
                <w:sz w:val="24"/>
                <w:szCs w:val="24"/>
                <w:lang w:val="en-US" w:eastAsia="zh-CN"/>
              </w:rPr>
              <w:t>。</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（5）生态环境分区管控符合性分析</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按照生态环境法律法规和国家、省环境管理政策，结合区域发展战略和生态功能定位，全市共划定环境管控单元117个，分为优先保护单元、重点管控单元和一般管控单元三类。本项目位于</w:t>
            </w:r>
            <w:r>
              <w:rPr>
                <w:rFonts w:hint="eastAsia" w:cs="Times New Roman"/>
                <w:color w:val="auto"/>
                <w:kern w:val="0"/>
                <w:sz w:val="24"/>
                <w:szCs w:val="24"/>
                <w:lang w:val="en-US" w:eastAsia="zh-CN"/>
              </w:rPr>
              <w:t>淄川区寨里镇</w:t>
            </w:r>
            <w:r>
              <w:rPr>
                <w:rFonts w:hint="default" w:ascii="Times New Roman" w:hAnsi="Times New Roman" w:eastAsia="宋体" w:cs="Times New Roman"/>
                <w:color w:val="auto"/>
                <w:kern w:val="0"/>
                <w:sz w:val="24"/>
                <w:szCs w:val="24"/>
                <w:lang w:val="en-US" w:eastAsia="zh-CN"/>
              </w:rPr>
              <w:t>，根据淄博市环境管控单元图，项目所在区域属于</w:t>
            </w:r>
            <w:r>
              <w:rPr>
                <w:rFonts w:hint="eastAsia" w:ascii="Times New Roman" w:hAnsi="Times New Roman" w:eastAsia="宋体" w:cs="Times New Roman"/>
                <w:color w:val="auto"/>
                <w:kern w:val="0"/>
                <w:sz w:val="24"/>
                <w:szCs w:val="24"/>
                <w:lang w:val="en-US" w:eastAsia="zh-CN"/>
              </w:rPr>
              <w:t>优先保护单元</w:t>
            </w:r>
            <w:r>
              <w:rPr>
                <w:rFonts w:hint="default" w:ascii="Times New Roman" w:hAnsi="Times New Roman" w:eastAsia="宋体" w:cs="Times New Roman"/>
                <w:color w:val="auto"/>
                <w:kern w:val="0"/>
                <w:sz w:val="24"/>
                <w:szCs w:val="24"/>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w:t>
            </w:r>
            <w:r>
              <w:rPr>
                <w:rFonts w:hint="eastAsia" w:ascii="Times New Roman" w:hAnsi="Times New Roman" w:eastAsia="黑体" w:cs="Times New Roman"/>
                <w:b w:val="0"/>
                <w:bCs w:val="0"/>
                <w:color w:val="auto"/>
                <w:kern w:val="0"/>
                <w:sz w:val="24"/>
                <w:szCs w:val="24"/>
                <w:lang w:val="en-US" w:eastAsia="zh-CN"/>
              </w:rPr>
              <w:t>1-</w:t>
            </w:r>
            <w:r>
              <w:rPr>
                <w:rFonts w:hint="eastAsia" w:eastAsia="黑体" w:cs="Times New Roman"/>
                <w:b w:val="0"/>
                <w:bCs w:val="0"/>
                <w:color w:val="auto"/>
                <w:kern w:val="0"/>
                <w:sz w:val="24"/>
                <w:szCs w:val="24"/>
                <w:lang w:val="en-US" w:eastAsia="zh-CN"/>
              </w:rPr>
              <w:t>3</w:t>
            </w:r>
            <w:r>
              <w:rPr>
                <w:rFonts w:hint="default" w:ascii="Times New Roman" w:hAnsi="Times New Roman" w:eastAsia="黑体" w:cs="Times New Roman"/>
                <w:b w:val="0"/>
                <w:bCs w:val="0"/>
                <w:color w:val="auto"/>
                <w:kern w:val="0"/>
                <w:sz w:val="24"/>
                <w:szCs w:val="24"/>
                <w:lang w:val="en-US" w:eastAsia="zh-CN"/>
              </w:rPr>
              <w:t xml:space="preserve"> 与淄博市</w:t>
            </w:r>
            <w:r>
              <w:rPr>
                <w:rFonts w:hint="eastAsia" w:ascii="Times New Roman" w:hAnsi="Times New Roman" w:eastAsia="黑体" w:cs="Times New Roman"/>
                <w:b w:val="0"/>
                <w:bCs w:val="0"/>
                <w:color w:val="auto"/>
                <w:kern w:val="0"/>
                <w:sz w:val="24"/>
                <w:szCs w:val="24"/>
                <w:lang w:val="en-US" w:eastAsia="zh-CN"/>
              </w:rPr>
              <w:t>“</w:t>
            </w:r>
            <w:r>
              <w:rPr>
                <w:rFonts w:hint="default" w:ascii="Times New Roman" w:hAnsi="Times New Roman" w:eastAsia="黑体" w:cs="Times New Roman"/>
                <w:b w:val="0"/>
                <w:bCs w:val="0"/>
                <w:color w:val="auto"/>
                <w:kern w:val="0"/>
                <w:sz w:val="24"/>
                <w:szCs w:val="24"/>
                <w:lang w:val="en-US" w:eastAsia="zh-CN"/>
              </w:rPr>
              <w:t>三线一单</w:t>
            </w:r>
            <w:r>
              <w:rPr>
                <w:rFonts w:hint="eastAsia" w:ascii="Times New Roman" w:hAnsi="Times New Roman" w:eastAsia="黑体" w:cs="Times New Roman"/>
                <w:b w:val="0"/>
                <w:bCs w:val="0"/>
                <w:color w:val="auto"/>
                <w:kern w:val="0"/>
                <w:sz w:val="24"/>
                <w:szCs w:val="24"/>
                <w:lang w:val="en-US" w:eastAsia="zh-CN"/>
              </w:rPr>
              <w:t>”</w:t>
            </w:r>
            <w:r>
              <w:rPr>
                <w:rFonts w:hint="default" w:ascii="Times New Roman" w:hAnsi="Times New Roman" w:eastAsia="黑体" w:cs="Times New Roman"/>
                <w:b w:val="0"/>
                <w:bCs w:val="0"/>
                <w:color w:val="auto"/>
                <w:kern w:val="0"/>
                <w:sz w:val="24"/>
                <w:szCs w:val="24"/>
                <w:lang w:val="en-US" w:eastAsia="zh-CN"/>
              </w:rPr>
              <w:t>生态环境分区管控方案符合性分析</w:t>
            </w:r>
          </w:p>
          <w:tbl>
            <w:tblPr>
              <w:tblStyle w:val="26"/>
              <w:tblW w:w="66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15"/>
              <w:gridCol w:w="3509"/>
              <w:gridCol w:w="2311"/>
              <w:gridCol w:w="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31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内容</w:t>
                  </w:r>
                </w:p>
              </w:tc>
              <w:tc>
                <w:tcPr>
                  <w:tcW w:w="350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具体要求</w:t>
                  </w:r>
                </w:p>
              </w:tc>
              <w:tc>
                <w:tcPr>
                  <w:tcW w:w="231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本项目情况</w:t>
                  </w:r>
                </w:p>
              </w:tc>
              <w:tc>
                <w:tcPr>
                  <w:tcW w:w="54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7" w:hRule="atLeast"/>
              </w:trPr>
              <w:tc>
                <w:tcPr>
                  <w:tcW w:w="31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优先保护单元</w:t>
                  </w:r>
                </w:p>
              </w:tc>
              <w:tc>
                <w:tcPr>
                  <w:tcW w:w="350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rPr>
                    <w:t>优先保护单元依法禁止或限制大规模、高强度的工业和城镇建设，确保生态环境功能不降低；优先开展生态功能受损区域生态保护修复活动，恢复生态系统服务功能。涉及生态保护红线、一般生态空间、地下水饮用水水源保护区等区域严格按照相关法律法规和管控要求执行。其他区域除按照对应环境要素的分区管控要求外，应执行以下管控要求：禁止未经法定许可在河流两岸、干线公路两侧规划控制范围内进行采石、取土、采砂等活动；合理控制矿产资源开发建设规模；严格执行畜禽养殖禁养区规定。</w:t>
                  </w:r>
                </w:p>
              </w:tc>
              <w:tc>
                <w:tcPr>
                  <w:tcW w:w="231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本项目</w:t>
                  </w:r>
                  <w:r>
                    <w:rPr>
                      <w:rFonts w:hint="default" w:ascii="Times New Roman" w:hAnsi="Times New Roman" w:eastAsia="宋体" w:cs="Times New Roman"/>
                      <w:color w:val="auto"/>
                      <w:sz w:val="21"/>
                      <w:szCs w:val="21"/>
                      <w:highlight w:val="none"/>
                      <w:lang w:val="en-US" w:eastAsia="zh-CN"/>
                    </w:rPr>
                    <w:t>位于</w:t>
                  </w:r>
                  <w:r>
                    <w:rPr>
                      <w:rFonts w:hint="eastAsia" w:ascii="Times New Roman" w:hAnsi="Times New Roman" w:eastAsia="宋体" w:cs="Times New Roman"/>
                      <w:color w:val="auto"/>
                      <w:sz w:val="21"/>
                      <w:szCs w:val="21"/>
                      <w:highlight w:val="none"/>
                      <w:lang w:val="en-US" w:eastAsia="zh-CN"/>
                    </w:rPr>
                    <w:t>淄博市淄川区寨里镇土湾村胶王路与一干渠路交叉口东10米，原淄博正晋特钢有限公司厂区内</w:t>
                  </w:r>
                  <w:r>
                    <w:rPr>
                      <w:rFonts w:hint="eastAsia" w:ascii="Times New Roman" w:hAnsi="Times New Roman" w:eastAsia="宋体" w:cs="Times New Roman"/>
                      <w:color w:val="auto"/>
                      <w:sz w:val="21"/>
                      <w:szCs w:val="21"/>
                      <w:highlight w:val="none"/>
                      <w:lang w:val="zh-CN" w:eastAsia="zh-CN"/>
                    </w:rPr>
                    <w:t>，不新增占地，不涉及</w:t>
                  </w:r>
                  <w:r>
                    <w:rPr>
                      <w:rFonts w:hint="eastAsia" w:ascii="Times New Roman" w:hAnsi="Times New Roman" w:eastAsia="宋体" w:cs="Times New Roman"/>
                      <w:color w:val="auto"/>
                      <w:sz w:val="21"/>
                      <w:szCs w:val="21"/>
                      <w:highlight w:val="none"/>
                      <w:lang w:val="en-US"/>
                    </w:rPr>
                    <w:t>生态保护红线、一般生态空间、地下水饮用水水源保护区等区域</w:t>
                  </w:r>
                  <w:r>
                    <w:rPr>
                      <w:rFonts w:hint="eastAsia" w:ascii="Times New Roman" w:hAnsi="Times New Roman" w:eastAsia="宋体" w:cs="Times New Roman"/>
                      <w:color w:val="auto"/>
                      <w:sz w:val="21"/>
                      <w:szCs w:val="21"/>
                      <w:highlight w:val="none"/>
                      <w:lang w:val="en-US" w:eastAsia="zh-CN"/>
                    </w:rPr>
                    <w:t>，不涉及</w:t>
                  </w:r>
                  <w:r>
                    <w:rPr>
                      <w:rFonts w:hint="eastAsia" w:ascii="Times New Roman" w:hAnsi="Times New Roman" w:eastAsia="宋体" w:cs="Times New Roman"/>
                      <w:color w:val="auto"/>
                      <w:sz w:val="21"/>
                      <w:szCs w:val="21"/>
                      <w:highlight w:val="none"/>
                      <w:lang w:val="en-US"/>
                    </w:rPr>
                    <w:t>采石、取土、采砂等活动</w:t>
                  </w:r>
                  <w:r>
                    <w:rPr>
                      <w:rFonts w:hint="eastAsia" w:ascii="Times New Roman" w:hAnsi="Times New Roman" w:eastAsia="宋体" w:cs="Times New Roman"/>
                      <w:color w:val="auto"/>
                      <w:sz w:val="21"/>
                      <w:szCs w:val="21"/>
                      <w:highlight w:val="none"/>
                      <w:lang w:val="en-US" w:eastAsia="zh-CN"/>
                    </w:rPr>
                    <w:t>，不涉及</w:t>
                  </w:r>
                  <w:r>
                    <w:rPr>
                      <w:rFonts w:hint="eastAsia" w:ascii="Times New Roman" w:hAnsi="Times New Roman" w:eastAsia="宋体" w:cs="Times New Roman"/>
                      <w:color w:val="auto"/>
                      <w:sz w:val="21"/>
                      <w:szCs w:val="21"/>
                      <w:highlight w:val="none"/>
                      <w:lang w:val="en-US"/>
                    </w:rPr>
                    <w:t>矿产资源开发</w:t>
                  </w:r>
                  <w:r>
                    <w:rPr>
                      <w:rFonts w:hint="eastAsia" w:ascii="Times New Roman" w:hAnsi="Times New Roman" w:eastAsia="宋体" w:cs="Times New Roman"/>
                      <w:color w:val="auto"/>
                      <w:sz w:val="21"/>
                      <w:szCs w:val="21"/>
                      <w:highlight w:val="none"/>
                      <w:lang w:val="en-US" w:eastAsia="zh-CN"/>
                    </w:rPr>
                    <w:t>及畜牧养殖。</w:t>
                  </w:r>
                </w:p>
              </w:tc>
              <w:tc>
                <w:tcPr>
                  <w:tcW w:w="54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1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淄博市环境管控单元图</w:t>
                  </w:r>
                </w:p>
              </w:tc>
              <w:tc>
                <w:tcPr>
                  <w:tcW w:w="6362"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jc w:val="center"/>
                    <w:textAlignment w:val="auto"/>
                    <w:rPr>
                      <w:rFonts w:hint="eastAsia" w:eastAsia="仿宋_GB2312"/>
                      <w:color w:val="auto"/>
                      <w:vertAlign w:val="baseline"/>
                      <w:lang w:eastAsia="zh-CN"/>
                    </w:rPr>
                  </w:pPr>
                  <w:r>
                    <w:rPr>
                      <w:rFonts w:hint="eastAsia" w:eastAsia="仿宋_GB2312"/>
                      <w:color w:val="auto"/>
                      <w:vertAlign w:val="baseline"/>
                      <w:lang w:eastAsia="zh-CN"/>
                    </w:rPr>
                    <w:drawing>
                      <wp:inline distT="0" distB="0" distL="114300" distR="114300">
                        <wp:extent cx="3905250" cy="2324100"/>
                        <wp:effectExtent l="0" t="0" r="0" b="0"/>
                        <wp:docPr id="95" name="图片 95" descr="微信截图_2023020214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微信截图_20230202143245"/>
                                <pic:cNvPicPr>
                                  <a:picLocks noChangeAspect="1"/>
                                </pic:cNvPicPr>
                              </pic:nvPicPr>
                              <pic:blipFill>
                                <a:blip r:embed="rId7"/>
                                <a:stretch>
                                  <a:fillRect/>
                                </a:stretch>
                              </pic:blipFill>
                              <pic:spPr>
                                <a:xfrm>
                                  <a:off x="0" y="0"/>
                                  <a:ext cx="3905250" cy="2324100"/>
                                </a:xfrm>
                                <a:prstGeom prst="rect">
                                  <a:avLst/>
                                </a:prstGeom>
                              </pic:spPr>
                            </pic:pic>
                          </a:graphicData>
                        </a:graphic>
                      </wp:inline>
                    </w:drawing>
                  </w:r>
                </w:p>
              </w:tc>
            </w:tr>
          </w:tbl>
          <w:p>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综上，该项目建设符合《淄博市人民政府关于印发淄博市</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三线一单</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生态环境分区管控方案的通知》（淄政字〔2021〕49号）的要求。</w:t>
            </w:r>
          </w:p>
          <w:p>
            <w:pPr>
              <w:spacing w:line="360" w:lineRule="auto"/>
              <w:ind w:firstLine="482" w:firstLineChars="200"/>
              <w:rPr>
                <w:rFonts w:hint="eastAsia" w:ascii="黑体" w:hAnsi="黑体" w:eastAsia="黑体" w:cs="黑体"/>
                <w:b/>
                <w:bCs w:val="0"/>
                <w:color w:val="auto"/>
                <w:sz w:val="24"/>
                <w:szCs w:val="24"/>
                <w:highlight w:val="none"/>
                <w:lang w:val="en-US" w:eastAsia="zh-CN"/>
              </w:rPr>
            </w:pPr>
            <w:r>
              <w:rPr>
                <w:rFonts w:hint="eastAsia" w:ascii="黑体" w:hAnsi="黑体" w:eastAsia="黑体" w:cs="黑体"/>
                <w:b/>
                <w:bCs w:val="0"/>
                <w:color w:val="auto"/>
                <w:sz w:val="24"/>
                <w:szCs w:val="24"/>
                <w:highlight w:val="none"/>
                <w:lang w:val="en-US" w:eastAsia="zh-CN"/>
              </w:rPr>
              <w:t>二、</w:t>
            </w:r>
            <w:r>
              <w:rPr>
                <w:rFonts w:hint="eastAsia" w:ascii="黑体" w:hAnsi="黑体" w:eastAsia="黑体" w:cs="黑体"/>
                <w:b/>
                <w:bCs/>
                <w:color w:val="auto"/>
                <w:sz w:val="24"/>
                <w:szCs w:val="24"/>
                <w:highlight w:val="none"/>
                <w:lang w:val="en-US" w:eastAsia="zh-CN"/>
              </w:rPr>
              <w:t>淄川区</w:t>
            </w:r>
            <w:r>
              <w:rPr>
                <w:rFonts w:hint="eastAsia" w:ascii="黑体" w:hAnsi="黑体" w:eastAsia="黑体" w:cs="黑体"/>
                <w:b/>
                <w:bCs w:val="0"/>
                <w:color w:val="auto"/>
                <w:sz w:val="24"/>
                <w:szCs w:val="24"/>
                <w:highlight w:val="none"/>
                <w:lang w:val="en-US" w:eastAsia="zh-CN"/>
              </w:rPr>
              <w:t>饮用水水源保护区相对位置符合性</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根据《关于印发淄博市饮用水水源保护区划分方案的通知》（淄环发[2019]46号）及《</w:t>
            </w:r>
            <w:r>
              <w:rPr>
                <w:rFonts w:hint="default" w:ascii="Times New Roman" w:hAnsi="Times New Roman" w:eastAsia="宋体" w:cs="Times New Roman"/>
                <w:color w:val="auto"/>
                <w:sz w:val="24"/>
                <w:szCs w:val="24"/>
                <w:lang w:val="en-US" w:eastAsia="zh-CN"/>
              </w:rPr>
              <w:t>淄博市</w:t>
            </w:r>
            <w:r>
              <w:rPr>
                <w:rFonts w:hint="eastAsia" w:ascii="Times New Roman" w:hAnsi="Times New Roman" w:eastAsia="宋体" w:cs="Times New Roman"/>
                <w:color w:val="auto"/>
                <w:sz w:val="24"/>
                <w:szCs w:val="24"/>
                <w:lang w:val="en-US" w:eastAsia="zh-CN"/>
              </w:rPr>
              <w:t>饮用水水源保护区划分方案》、《淄博市水利局关于公布淄博市部分饮用水水源地退出重要饮用水水源地名录的通知》，淄博市城镇以上集中式饮用水源地共1</w:t>
            </w:r>
            <w:r>
              <w:rPr>
                <w:rFonts w:hint="eastAsia" w:cs="Times New Roman"/>
                <w:color w:val="auto"/>
                <w:sz w:val="24"/>
                <w:szCs w:val="24"/>
                <w:lang w:val="en-US" w:eastAsia="zh-CN"/>
              </w:rPr>
              <w:t>8</w:t>
            </w:r>
            <w:r>
              <w:rPr>
                <w:rFonts w:hint="eastAsia" w:ascii="Times New Roman" w:hAnsi="Times New Roman" w:eastAsia="宋体" w:cs="Times New Roman"/>
                <w:color w:val="auto"/>
                <w:sz w:val="24"/>
                <w:szCs w:val="24"/>
                <w:lang w:val="en-US" w:eastAsia="zh-CN"/>
              </w:rPr>
              <w:t>处，其中地表水源地3处，地下水源地1</w:t>
            </w:r>
            <w:r>
              <w:rPr>
                <w:rFonts w:hint="eastAsia" w:cs="Times New Roman"/>
                <w:color w:val="auto"/>
                <w:sz w:val="24"/>
                <w:szCs w:val="24"/>
                <w:lang w:val="en-US" w:eastAsia="zh-CN"/>
              </w:rPr>
              <w:t>5</w:t>
            </w:r>
            <w:r>
              <w:rPr>
                <w:rFonts w:hint="eastAsia" w:ascii="Times New Roman" w:hAnsi="Times New Roman" w:eastAsia="宋体" w:cs="Times New Roman"/>
                <w:color w:val="auto"/>
                <w:sz w:val="24"/>
                <w:szCs w:val="24"/>
                <w:lang w:val="en-US" w:eastAsia="zh-CN"/>
              </w:rPr>
              <w:t>处。其中</w:t>
            </w:r>
            <w:r>
              <w:rPr>
                <w:rFonts w:hint="eastAsia" w:cs="Times New Roman"/>
                <w:color w:val="auto"/>
                <w:sz w:val="24"/>
                <w:szCs w:val="24"/>
                <w:lang w:val="en-US" w:eastAsia="zh-CN"/>
              </w:rPr>
              <w:t>淄川区</w:t>
            </w:r>
            <w:r>
              <w:rPr>
                <w:rFonts w:hint="eastAsia" w:ascii="Times New Roman" w:hAnsi="Times New Roman" w:eastAsia="宋体" w:cs="Times New Roman"/>
                <w:color w:val="auto"/>
                <w:sz w:val="24"/>
                <w:szCs w:val="24"/>
                <w:lang w:val="en-US" w:eastAsia="zh-CN"/>
              </w:rPr>
              <w:t>城镇以上集中式饮用水源地包括</w:t>
            </w:r>
            <w:r>
              <w:rPr>
                <w:rFonts w:hint="eastAsia" w:cs="Times New Roman"/>
                <w:color w:val="auto"/>
                <w:sz w:val="24"/>
                <w:szCs w:val="24"/>
                <w:lang w:val="en-US" w:eastAsia="zh-CN"/>
              </w:rPr>
              <w:t>磁村-岭子</w:t>
            </w:r>
            <w:r>
              <w:rPr>
                <w:rFonts w:hint="eastAsia" w:ascii="Times New Roman" w:hAnsi="Times New Roman" w:eastAsia="宋体" w:cs="Times New Roman"/>
                <w:color w:val="auto"/>
                <w:sz w:val="24"/>
                <w:szCs w:val="24"/>
                <w:lang w:val="en-US" w:eastAsia="zh-CN"/>
              </w:rPr>
              <w:t>水源地、</w:t>
            </w:r>
            <w:r>
              <w:rPr>
                <w:rFonts w:hint="eastAsia" w:cs="Times New Roman"/>
                <w:color w:val="auto"/>
                <w:sz w:val="24"/>
                <w:szCs w:val="24"/>
                <w:lang w:val="en-US" w:eastAsia="zh-CN"/>
              </w:rPr>
              <w:t>口头</w:t>
            </w:r>
            <w:r>
              <w:rPr>
                <w:rFonts w:hint="eastAsia" w:ascii="Times New Roman" w:hAnsi="Times New Roman" w:eastAsia="宋体" w:cs="Times New Roman"/>
                <w:color w:val="auto"/>
                <w:sz w:val="24"/>
                <w:szCs w:val="24"/>
                <w:lang w:val="en-US" w:eastAsia="zh-CN"/>
              </w:rPr>
              <w:t>水源地、</w:t>
            </w:r>
            <w:r>
              <w:rPr>
                <w:rFonts w:hint="eastAsia" w:cs="Times New Roman"/>
                <w:color w:val="auto"/>
                <w:sz w:val="24"/>
                <w:szCs w:val="24"/>
                <w:lang w:val="en-US" w:eastAsia="zh-CN"/>
              </w:rPr>
              <w:t>北下册</w:t>
            </w:r>
            <w:r>
              <w:rPr>
                <w:rFonts w:hint="eastAsia" w:ascii="Times New Roman" w:hAnsi="Times New Roman" w:eastAsia="宋体" w:cs="Times New Roman"/>
                <w:color w:val="auto"/>
                <w:sz w:val="24"/>
                <w:szCs w:val="24"/>
                <w:lang w:val="en-US" w:eastAsia="zh-CN"/>
              </w:rPr>
              <w:t>水源地</w:t>
            </w:r>
            <w:r>
              <w:rPr>
                <w:rFonts w:hint="eastAsia" w:cs="Times New Roman"/>
                <w:color w:val="auto"/>
                <w:sz w:val="24"/>
                <w:szCs w:val="24"/>
                <w:lang w:val="en-US" w:eastAsia="zh-CN"/>
              </w:rPr>
              <w:t>、太河水库</w:t>
            </w:r>
            <w:r>
              <w:rPr>
                <w:rFonts w:hint="eastAsia" w:ascii="Times New Roman" w:hAnsi="Times New Roman" w:eastAsia="宋体" w:cs="Times New Roman"/>
                <w:color w:val="auto"/>
                <w:sz w:val="24"/>
                <w:szCs w:val="24"/>
                <w:lang w:val="en-US" w:eastAsia="zh-CN"/>
              </w:rPr>
              <w:t>。</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本项目位于</w:t>
            </w:r>
            <w:r>
              <w:rPr>
                <w:rFonts w:hint="eastAsia" w:cs="Times New Roman"/>
                <w:color w:val="auto"/>
                <w:sz w:val="24"/>
                <w:szCs w:val="24"/>
                <w:lang w:val="en-US" w:eastAsia="zh-CN"/>
              </w:rPr>
              <w:t>淄博市淄川区寨里镇土湾村胶王路与一干渠路交叉口东10米，原淄博正晋特钢有限公司厂区内。</w:t>
            </w:r>
            <w:r>
              <w:rPr>
                <w:rFonts w:hint="eastAsia" w:ascii="Times New Roman" w:hAnsi="Times New Roman" w:eastAsia="宋体" w:cs="Times New Roman"/>
                <w:color w:val="auto"/>
                <w:sz w:val="24"/>
                <w:szCs w:val="24"/>
                <w:lang w:val="en-US" w:eastAsia="zh-CN"/>
              </w:rPr>
              <w:t>距离饮用水源地较远，距离项目最近的饮用水源保护区为项目厂界西</w:t>
            </w:r>
            <w:r>
              <w:rPr>
                <w:rFonts w:hint="eastAsia" w:cs="Times New Roman"/>
                <w:color w:val="auto"/>
                <w:sz w:val="24"/>
                <w:szCs w:val="24"/>
                <w:lang w:val="en-US" w:eastAsia="zh-CN"/>
              </w:rPr>
              <w:t>南</w:t>
            </w:r>
            <w:r>
              <w:rPr>
                <w:rFonts w:hint="eastAsia" w:ascii="Times New Roman" w:hAnsi="Times New Roman" w:eastAsia="宋体" w:cs="Times New Roman"/>
                <w:color w:val="auto"/>
                <w:sz w:val="24"/>
                <w:szCs w:val="24"/>
                <w:lang w:val="en-US" w:eastAsia="zh-CN"/>
              </w:rPr>
              <w:t>方向约</w:t>
            </w:r>
            <w:r>
              <w:rPr>
                <w:rFonts w:hint="eastAsia" w:cs="Times New Roman"/>
                <w:color w:val="auto"/>
                <w:sz w:val="24"/>
                <w:szCs w:val="24"/>
                <w:lang w:val="en-US" w:eastAsia="zh-CN"/>
              </w:rPr>
              <w:t>9.1</w:t>
            </w:r>
            <w:r>
              <w:rPr>
                <w:rFonts w:hint="eastAsia" w:ascii="Times New Roman" w:hAnsi="Times New Roman" w:eastAsia="宋体" w:cs="Times New Roman"/>
                <w:color w:val="auto"/>
                <w:sz w:val="24"/>
                <w:szCs w:val="24"/>
                <w:lang w:val="en-US" w:eastAsia="zh-CN"/>
              </w:rPr>
              <w:t>km处的</w:t>
            </w:r>
            <w:r>
              <w:rPr>
                <w:rFonts w:hint="eastAsia"/>
                <w:color w:val="auto"/>
                <w:kern w:val="0"/>
                <w:sz w:val="24"/>
                <w:lang w:eastAsia="zh-CN"/>
              </w:rPr>
              <w:t>北下册</w:t>
            </w:r>
            <w:r>
              <w:rPr>
                <w:rFonts w:hint="eastAsia" w:ascii="Times New Roman" w:hAnsi="Times New Roman" w:eastAsia="宋体" w:cs="Times New Roman"/>
                <w:color w:val="auto"/>
                <w:sz w:val="24"/>
                <w:szCs w:val="24"/>
                <w:lang w:val="en-US" w:eastAsia="zh-CN"/>
              </w:rPr>
              <w:t>水源地，本项目不在饮用水源保护区范围内</w:t>
            </w:r>
            <w:r>
              <w:rPr>
                <w:rFonts w:hint="eastAsia" w:ascii="Times New Roman" w:hAnsi="Times New Roman" w:eastAsia="宋体" w:cs="Times New Roman"/>
                <w:color w:val="auto"/>
                <w:sz w:val="24"/>
                <w:lang w:eastAsia="zh-CN"/>
              </w:rPr>
              <w:t>，详见附图</w:t>
            </w:r>
            <w:r>
              <w:rPr>
                <w:rFonts w:hint="eastAsia" w:cs="Times New Roman"/>
                <w:color w:val="auto"/>
                <w:sz w:val="24"/>
                <w:lang w:val="en-US" w:eastAsia="zh-CN"/>
              </w:rPr>
              <w:t>3</w:t>
            </w:r>
            <w:r>
              <w:rPr>
                <w:rFonts w:hint="eastAsia" w:ascii="Times New Roman" w:hAnsi="Times New Roman" w:eastAsia="宋体" w:cs="Times New Roman"/>
                <w:color w:val="auto"/>
                <w:sz w:val="24"/>
                <w:szCs w:val="24"/>
                <w:lang w:val="en-US" w:eastAsia="zh-CN"/>
              </w:rPr>
              <w:t>。</w:t>
            </w:r>
          </w:p>
          <w:p>
            <w:pPr>
              <w:spacing w:line="360" w:lineRule="auto"/>
              <w:ind w:firstLine="482" w:firstLineChars="200"/>
              <w:rPr>
                <w:rFonts w:hint="default" w:ascii="黑体" w:hAnsi="黑体" w:eastAsia="黑体" w:cs="黑体"/>
                <w:b/>
                <w:bCs w:val="0"/>
                <w:color w:val="auto"/>
                <w:sz w:val="24"/>
                <w:szCs w:val="24"/>
                <w:highlight w:val="none"/>
                <w:lang w:val="en-US" w:eastAsia="zh-CN"/>
              </w:rPr>
            </w:pPr>
            <w:r>
              <w:rPr>
                <w:rFonts w:hint="eastAsia" w:ascii="黑体" w:hAnsi="黑体" w:eastAsia="黑体" w:cs="黑体"/>
                <w:b/>
                <w:bCs w:val="0"/>
                <w:color w:val="auto"/>
                <w:sz w:val="24"/>
                <w:szCs w:val="24"/>
                <w:highlight w:val="none"/>
                <w:lang w:val="en-US" w:eastAsia="zh-CN"/>
              </w:rPr>
              <w:t>三</w:t>
            </w:r>
            <w:r>
              <w:rPr>
                <w:rFonts w:hint="default" w:ascii="黑体" w:hAnsi="黑体" w:eastAsia="黑体" w:cs="黑体"/>
                <w:b/>
                <w:bCs w:val="0"/>
                <w:color w:val="auto"/>
                <w:sz w:val="24"/>
                <w:szCs w:val="24"/>
                <w:highlight w:val="none"/>
                <w:lang w:val="en-US" w:eastAsia="zh-CN"/>
              </w:rPr>
              <w:t>、项目</w:t>
            </w:r>
            <w:r>
              <w:rPr>
                <w:rFonts w:hint="default" w:ascii="黑体" w:hAnsi="黑体" w:eastAsia="黑体" w:cs="黑体"/>
                <w:b/>
                <w:bCs/>
                <w:color w:val="auto"/>
                <w:sz w:val="24"/>
                <w:szCs w:val="24"/>
                <w:highlight w:val="none"/>
                <w:lang w:val="en-US" w:eastAsia="zh-CN"/>
              </w:rPr>
              <w:t>周围</w:t>
            </w:r>
            <w:r>
              <w:rPr>
                <w:rFonts w:hint="default" w:ascii="黑体" w:hAnsi="黑体" w:eastAsia="黑体" w:cs="黑体"/>
                <w:b/>
                <w:bCs w:val="0"/>
                <w:color w:val="auto"/>
                <w:sz w:val="24"/>
                <w:szCs w:val="24"/>
                <w:highlight w:val="none"/>
                <w:lang w:val="en-US" w:eastAsia="zh-CN"/>
              </w:rPr>
              <w:t>情况及选址合理性分析</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项目位于</w:t>
            </w:r>
            <w:r>
              <w:rPr>
                <w:rFonts w:hint="eastAsia" w:cs="Times New Roman"/>
                <w:color w:val="auto"/>
                <w:sz w:val="24"/>
                <w:szCs w:val="24"/>
                <w:lang w:val="en-US" w:eastAsia="zh-CN"/>
              </w:rPr>
              <w:t>淄博市淄川区寨里镇土湾村胶王路与一干渠路交叉口东10米，原淄博正晋特钢有限公司厂区内。</w:t>
            </w:r>
            <w:r>
              <w:rPr>
                <w:rFonts w:hint="default" w:ascii="Times New Roman" w:hAnsi="Times New Roman" w:eastAsia="宋体" w:cs="Times New Roman"/>
                <w:color w:val="auto"/>
                <w:sz w:val="24"/>
                <w:szCs w:val="24"/>
                <w:lang w:val="en-US" w:eastAsia="zh-CN"/>
              </w:rPr>
              <w:t>项目所在地位置优越，交通运输便利。</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w:t>
            </w:r>
            <w:r>
              <w:rPr>
                <w:rFonts w:hint="eastAsia" w:ascii="Times New Roman" w:hAnsi="Times New Roman" w:cs="Times New Roman"/>
                <w:color w:val="auto"/>
                <w:sz w:val="24"/>
                <w:szCs w:val="24"/>
                <w:highlight w:val="none"/>
                <w:lang w:val="en-US" w:eastAsia="zh-CN"/>
              </w:rPr>
              <w:t>位于寨里镇蓼花河工业集聚区范围内，</w:t>
            </w:r>
            <w:r>
              <w:rPr>
                <w:rFonts w:hint="eastAsia" w:ascii="Times New Roman" w:hAnsi="Times New Roman" w:eastAsia="宋体" w:cs="Times New Roman"/>
                <w:color w:val="auto"/>
                <w:sz w:val="24"/>
                <w:szCs w:val="24"/>
                <w:lang w:val="en-US" w:eastAsia="zh-CN"/>
              </w:rPr>
              <w:t>所在地用地性质为</w:t>
            </w:r>
            <w:r>
              <w:rPr>
                <w:rFonts w:hint="eastAsia" w:cs="Times New Roman"/>
                <w:color w:val="auto"/>
                <w:sz w:val="24"/>
                <w:szCs w:val="24"/>
                <w:lang w:val="en-US" w:eastAsia="zh-CN"/>
              </w:rPr>
              <w:t>工业用地</w:t>
            </w:r>
            <w:r>
              <w:rPr>
                <w:rFonts w:hint="eastAsia" w:ascii="Times New Roman" w:hAnsi="Times New Roman" w:eastAsia="宋体" w:cs="Times New Roman"/>
                <w:color w:val="auto"/>
                <w:sz w:val="24"/>
                <w:szCs w:val="24"/>
                <w:lang w:val="en-US" w:eastAsia="zh-CN"/>
              </w:rPr>
              <w:t>，符合</w:t>
            </w:r>
            <w:r>
              <w:rPr>
                <w:rFonts w:hint="eastAsia" w:cs="Times New Roman"/>
                <w:color w:val="auto"/>
                <w:sz w:val="24"/>
                <w:szCs w:val="24"/>
                <w:lang w:val="en-US" w:eastAsia="zh-CN"/>
              </w:rPr>
              <w:t>淄川区</w:t>
            </w:r>
            <w:r>
              <w:rPr>
                <w:rFonts w:hint="eastAsia" w:ascii="Times New Roman" w:hAnsi="Times New Roman" w:eastAsia="宋体" w:cs="Times New Roman"/>
                <w:color w:val="auto"/>
                <w:sz w:val="24"/>
                <w:szCs w:val="24"/>
                <w:lang w:val="en-US" w:eastAsia="zh-CN"/>
              </w:rPr>
              <w:t>土地利用规划。</w:t>
            </w:r>
          </w:p>
          <w:p>
            <w:pPr>
              <w:keepNext w:val="0"/>
              <w:keepLines w:val="0"/>
              <w:pageBreakBefore w:val="0"/>
              <w:kinsoku/>
              <w:wordWrap/>
              <w:overflowPunct/>
              <w:topLinePunct w:val="0"/>
              <w:autoSpaceDE w:val="0"/>
              <w:autoSpaceDN w:val="0"/>
              <w:bidi w:val="0"/>
              <w:adjustRightInd w:val="0"/>
              <w:snapToGrid w:val="0"/>
              <w:spacing w:line="360" w:lineRule="auto"/>
              <w:ind w:firstLine="482" w:firstLineChars="200"/>
              <w:jc w:val="left"/>
              <w:rPr>
                <w:rFonts w:hint="default" w:ascii="黑体" w:hAnsi="黑体" w:eastAsia="黑体" w:cs="黑体"/>
                <w:b/>
                <w:bCs/>
                <w:color w:val="auto"/>
                <w:kern w:val="0"/>
                <w:sz w:val="24"/>
                <w:szCs w:val="24"/>
                <w:highlight w:val="none"/>
                <w:lang w:val="en-US" w:eastAsia="zh-CN"/>
              </w:rPr>
            </w:pPr>
            <w:r>
              <w:rPr>
                <w:rFonts w:hint="eastAsia" w:ascii="黑体" w:hAnsi="黑体" w:eastAsia="黑体" w:cs="黑体"/>
                <w:b/>
                <w:bCs/>
                <w:color w:val="auto"/>
                <w:kern w:val="0"/>
                <w:sz w:val="24"/>
                <w:szCs w:val="24"/>
                <w:highlight w:val="none"/>
                <w:lang w:val="en-US" w:eastAsia="zh-CN"/>
              </w:rPr>
              <w:t>四</w:t>
            </w:r>
            <w:r>
              <w:rPr>
                <w:rFonts w:hint="default" w:ascii="黑体" w:hAnsi="黑体" w:eastAsia="黑体" w:cs="黑体"/>
                <w:b/>
                <w:bCs/>
                <w:color w:val="auto"/>
                <w:kern w:val="0"/>
                <w:sz w:val="24"/>
                <w:szCs w:val="24"/>
                <w:highlight w:val="none"/>
                <w:lang w:val="en-US" w:eastAsia="zh-CN"/>
              </w:rPr>
              <w:t>、产业政策符合性分析</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highlight w:val="none"/>
                <w:lang w:val="en-US" w:eastAsia="zh-CN"/>
              </w:rPr>
              <w:t>本项目</w:t>
            </w:r>
            <w:r>
              <w:rPr>
                <w:rFonts w:hint="eastAsia" w:cs="Times New Roman"/>
                <w:color w:val="auto"/>
                <w:sz w:val="24"/>
                <w:lang w:val="en-US" w:eastAsia="zh-CN"/>
              </w:rPr>
              <w:t>为仓储项目</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不属于国家发展和改革委员会发布的《产业结构调整指导目录（2019年本）》中“鼓励类”、“限制类”、“淘汰类”，属于允许建设项目，项目符合国家产业政策。</w:t>
            </w:r>
          </w:p>
          <w:p>
            <w:pPr>
              <w:keepNext w:val="0"/>
              <w:keepLines w:val="0"/>
              <w:pageBreakBefore w:val="0"/>
              <w:kinsoku/>
              <w:wordWrap/>
              <w:overflowPunct/>
              <w:topLinePunct w:val="0"/>
              <w:autoSpaceDE/>
              <w:autoSpaceDN/>
              <w:bidi w:val="0"/>
              <w:adjustRightInd w:val="0"/>
              <w:snapToGrid w:val="0"/>
              <w:spacing w:line="360" w:lineRule="auto"/>
              <w:ind w:firstLine="480" w:firstLineChars="200"/>
              <w:contextualSpacing/>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该项目所用设备、生产工艺不属于《淄博市重点淘汰的落后工艺技术、装备及产品目录》中落后的工艺技术、装备及产品，不属于《关于印发淄博市产业结构调整指导意见和指导目录的通知》（淄政办发[2011]35号）中</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鼓励类</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限制类</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和</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淘汰类</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之列，属于允许建设项目，符合淄博市产业政策。</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lang w:val="zh-CN"/>
              </w:rPr>
            </w:pPr>
            <w:r>
              <w:rPr>
                <w:rFonts w:hint="default" w:ascii="Times New Roman" w:hAnsi="Times New Roman" w:cs="Times New Roman"/>
                <w:color w:val="auto"/>
                <w:sz w:val="24"/>
                <w:szCs w:val="24"/>
              </w:rPr>
              <w:t>该项目为备案制，已取得山东省建设项目备案证明，项目代码为</w:t>
            </w:r>
            <w:r>
              <w:rPr>
                <w:rFonts w:hint="eastAsia" w:cs="Times New Roman"/>
                <w:color w:val="auto"/>
                <w:sz w:val="24"/>
                <w:szCs w:val="24"/>
                <w:lang w:eastAsia="zh-CN"/>
              </w:rPr>
              <w:t>2212-370302-89-01-767949</w:t>
            </w:r>
            <w:r>
              <w:rPr>
                <w:rFonts w:hint="default" w:ascii="Times New Roman" w:hAnsi="Times New Roman" w:cs="Times New Roman"/>
                <w:color w:val="auto"/>
                <w:sz w:val="24"/>
                <w:szCs w:val="24"/>
              </w:rPr>
              <w:t>。</w:t>
            </w:r>
          </w:p>
          <w:p>
            <w:pPr>
              <w:keepNext w:val="0"/>
              <w:keepLines w:val="0"/>
              <w:pageBreakBefore w:val="0"/>
              <w:kinsoku/>
              <w:wordWrap/>
              <w:overflowPunct/>
              <w:topLinePunct w:val="0"/>
              <w:autoSpaceDE w:val="0"/>
              <w:autoSpaceDN w:val="0"/>
              <w:bidi w:val="0"/>
              <w:adjustRightInd w:val="0"/>
              <w:snapToGrid w:val="0"/>
              <w:spacing w:line="360" w:lineRule="auto"/>
              <w:ind w:firstLine="482" w:firstLineChars="200"/>
              <w:jc w:val="left"/>
              <w:rPr>
                <w:rFonts w:hint="default" w:ascii="黑体" w:hAnsi="黑体" w:eastAsia="黑体" w:cs="黑体"/>
                <w:b/>
                <w:bCs/>
                <w:color w:val="auto"/>
                <w:kern w:val="0"/>
                <w:sz w:val="24"/>
                <w:szCs w:val="24"/>
                <w:highlight w:val="none"/>
                <w:lang w:val="en-US" w:eastAsia="zh-CN"/>
              </w:rPr>
            </w:pPr>
            <w:r>
              <w:rPr>
                <w:rFonts w:hint="eastAsia" w:ascii="黑体" w:hAnsi="黑体" w:eastAsia="黑体" w:cs="黑体"/>
                <w:b/>
                <w:bCs/>
                <w:color w:val="auto"/>
                <w:kern w:val="0"/>
                <w:sz w:val="24"/>
                <w:szCs w:val="24"/>
                <w:highlight w:val="none"/>
                <w:lang w:val="en-US" w:eastAsia="zh-CN"/>
              </w:rPr>
              <w:t>五、与相关文件要求符合性</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eastAsia="zh-CN"/>
              </w:rPr>
            </w:pPr>
            <w:r>
              <w:rPr>
                <w:rFonts w:hint="default" w:ascii="Times New Roman" w:hAnsi="Times New Roman" w:cs="Times New Roman"/>
                <w:bCs/>
                <w:color w:val="auto"/>
                <w:sz w:val="24"/>
                <w:szCs w:val="24"/>
                <w:lang w:eastAsia="zh-CN"/>
              </w:rPr>
              <w:t>（</w:t>
            </w:r>
            <w:r>
              <w:rPr>
                <w:rFonts w:hint="eastAsia" w:cs="Times New Roman"/>
                <w:bCs/>
                <w:color w:val="auto"/>
                <w:sz w:val="24"/>
                <w:szCs w:val="24"/>
                <w:lang w:val="en-US" w:eastAsia="zh-CN"/>
              </w:rPr>
              <w:t>1</w:t>
            </w:r>
            <w:r>
              <w:rPr>
                <w:rFonts w:hint="default" w:ascii="Times New Roman" w:hAnsi="Times New Roman" w:cs="Times New Roman"/>
                <w:bCs/>
                <w:color w:val="auto"/>
                <w:sz w:val="24"/>
                <w:szCs w:val="24"/>
                <w:lang w:eastAsia="zh-CN"/>
              </w:rPr>
              <w:t>）与《</w:t>
            </w:r>
            <w:r>
              <w:rPr>
                <w:rFonts w:hint="default" w:ascii="Times New Roman" w:hAnsi="Times New Roman" w:cs="Times New Roman"/>
                <w:bCs/>
                <w:color w:val="auto"/>
                <w:sz w:val="24"/>
                <w:szCs w:val="24"/>
                <w:lang w:val="en-US" w:eastAsia="zh-CN"/>
              </w:rPr>
              <w:t>关于严格项目审批工作坚决防止新上“散乱污”项目的通知</w:t>
            </w:r>
            <w:r>
              <w:rPr>
                <w:rFonts w:hint="default" w:ascii="Times New Roman" w:hAnsi="Times New Roman" w:cs="Times New Roman"/>
                <w:bCs/>
                <w:color w:val="auto"/>
                <w:sz w:val="24"/>
                <w:szCs w:val="24"/>
                <w:lang w:eastAsia="zh-CN"/>
              </w:rPr>
              <w:t>》（</w:t>
            </w:r>
            <w:r>
              <w:rPr>
                <w:rFonts w:hint="default" w:ascii="Times New Roman" w:hAnsi="Times New Roman" w:cs="Times New Roman"/>
                <w:bCs/>
                <w:color w:val="auto"/>
                <w:sz w:val="24"/>
                <w:szCs w:val="24"/>
                <w:lang w:val="en-US" w:eastAsia="zh-CN"/>
              </w:rPr>
              <w:t>鲁环字〔2021〕58号</w:t>
            </w:r>
            <w:r>
              <w:rPr>
                <w:rFonts w:hint="default" w:ascii="Times New Roman" w:hAnsi="Times New Roman" w:cs="Times New Roman"/>
                <w:bCs/>
                <w:color w:val="auto"/>
                <w:sz w:val="24"/>
                <w:szCs w:val="24"/>
                <w:lang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eastAsia="zh-CN"/>
              </w:rPr>
            </w:pPr>
            <w:r>
              <w:rPr>
                <w:rFonts w:hint="default" w:ascii="Times New Roman" w:hAnsi="Times New Roman" w:eastAsia="黑体" w:cs="Times New Roman"/>
                <w:b w:val="0"/>
                <w:bCs w:val="0"/>
                <w:color w:val="auto"/>
                <w:kern w:val="0"/>
                <w:sz w:val="24"/>
                <w:szCs w:val="24"/>
                <w:lang w:eastAsia="zh-CN"/>
              </w:rPr>
              <w:t>表</w:t>
            </w:r>
            <w:r>
              <w:rPr>
                <w:rFonts w:hint="default" w:ascii="Times New Roman" w:hAnsi="Times New Roman" w:eastAsia="黑体" w:cs="Times New Roman"/>
                <w:b w:val="0"/>
                <w:bCs w:val="0"/>
                <w:color w:val="auto"/>
                <w:kern w:val="0"/>
                <w:sz w:val="24"/>
                <w:szCs w:val="24"/>
                <w:lang w:val="en-US" w:eastAsia="zh-CN"/>
              </w:rPr>
              <w:t>1-</w:t>
            </w:r>
            <w:r>
              <w:rPr>
                <w:rFonts w:hint="eastAsia" w:eastAsia="黑体" w:cs="Times New Roman"/>
                <w:b w:val="0"/>
                <w:bCs w:val="0"/>
                <w:color w:val="auto"/>
                <w:kern w:val="0"/>
                <w:sz w:val="24"/>
                <w:szCs w:val="24"/>
                <w:lang w:val="en-US" w:eastAsia="zh-CN"/>
              </w:rPr>
              <w:t>4</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lang w:val="en-US" w:eastAsia="zh-CN"/>
              </w:rPr>
              <w:t>与《关于严格项目审批工作坚决防止新上“散乱污”项目的通知》（鲁环字〔2021〕58号）符合性分析</w:t>
            </w:r>
          </w:p>
          <w:tbl>
            <w:tblPr>
              <w:tblStyle w:val="26"/>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3"/>
              <w:gridCol w:w="3959"/>
              <w:gridCol w:w="1969"/>
              <w:gridCol w:w="4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序号</w:t>
                  </w:r>
                </w:p>
              </w:tc>
              <w:tc>
                <w:tcPr>
                  <w:tcW w:w="2967"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规定</w:t>
                  </w:r>
                </w:p>
              </w:tc>
              <w:tc>
                <w:tcPr>
                  <w:tcW w:w="1476"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本项目情况</w:t>
                  </w:r>
                </w:p>
              </w:tc>
              <w:tc>
                <w:tcPr>
                  <w:tcW w:w="357"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符合情况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2967"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认真贯彻执行产业政策。新上项目必须符合国家产业政策要求，禁止采用国家公布的淘汰工艺和落后设备，不得引进耗能高、污染大、生产粗放、不符合国家产业政策的项目。各级立项部门在为企业办理手续时，要认真对照《产业结构调整指导目录（2019年本）》（如有更新，以更新后文件为准），对鼓励类项目，按照有关规定审批、核准或备案；对限制类项目，禁止新建，现有生产能力允许在一定期限内改造升级；对淘汰类项目，市场主体不得进入，行政机关不予审批。</w:t>
                  </w:r>
                </w:p>
              </w:tc>
              <w:tc>
                <w:tcPr>
                  <w:tcW w:w="1476"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lang w:val="en-US" w:eastAsia="zh-CN"/>
                    </w:rPr>
                    <w:t>本项目</w:t>
                  </w:r>
                  <w:r>
                    <w:rPr>
                      <w:rFonts w:hint="eastAsia" w:ascii="Times New Roman" w:hAnsi="Times New Roman" w:cs="Times New Roman"/>
                      <w:color w:val="auto"/>
                      <w:szCs w:val="21"/>
                      <w:lang w:val="en-US" w:eastAsia="zh-CN"/>
                    </w:rPr>
                    <w:t>为淄博宝发顺仓储有限公司仓储项目，</w:t>
                  </w:r>
                  <w:r>
                    <w:rPr>
                      <w:rFonts w:hint="default" w:ascii="Times New Roman" w:hAnsi="Times New Roman" w:cs="Times New Roman"/>
                      <w:color w:val="auto"/>
                      <w:szCs w:val="21"/>
                      <w:lang w:val="en-US" w:eastAsia="zh-CN"/>
                    </w:rPr>
                    <w:t>不属于国家发展和改革委员会发布的《产业结构调整指导目录（2019年本）》中“鼓励类”、“限制类”、“淘汰类”，属于允许建设项目</w:t>
                  </w:r>
                  <w:r>
                    <w:rPr>
                      <w:rFonts w:hint="default" w:ascii="Times New Roman" w:hAnsi="Times New Roman" w:eastAsia="宋体" w:cs="Times New Roman"/>
                      <w:color w:val="auto"/>
                      <w:sz w:val="21"/>
                      <w:szCs w:val="21"/>
                      <w:highlight w:val="none"/>
                      <w:lang w:val="en-US" w:eastAsia="zh-CN"/>
                    </w:rPr>
                    <w:t>，项目符合国家产业政策。</w:t>
                  </w:r>
                </w:p>
              </w:tc>
              <w:tc>
                <w:tcPr>
                  <w:tcW w:w="357"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2967"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强化规划刚性约束。新上项目必须符合国土空间规划、产业发展规划等要求，积极引导产业园区外“散乱污”整治搬迁改造企业进入产业园区或工业集聚区，并鼓励租赁标准厂房。按照“布局集中、用地集约、产业集聚、空间优化”的原则，高标准制定产业发展规划，明确主导产业、布局和产业发展方向，引导企业规范化、规模化、集约化发展。</w:t>
                  </w:r>
                </w:p>
              </w:tc>
              <w:tc>
                <w:tcPr>
                  <w:tcW w:w="1476"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项目位于</w:t>
                  </w:r>
                  <w:r>
                    <w:rPr>
                      <w:rFonts w:hint="eastAsia" w:ascii="Times New Roman" w:hAnsi="Times New Roman" w:cs="Times New Roman"/>
                      <w:color w:val="auto"/>
                      <w:sz w:val="21"/>
                      <w:szCs w:val="21"/>
                      <w:highlight w:val="none"/>
                      <w:lang w:val="en-US" w:eastAsia="zh-CN"/>
                    </w:rPr>
                    <w:t>淄博市淄川区寨里镇土湾村胶王路与一干渠路交叉口东10米，原淄博正晋特钢有限公司厂区内。位于寨里镇蓼花河工业集聚区范围内项目规划用地为工业用地</w:t>
                  </w:r>
                  <w:r>
                    <w:rPr>
                      <w:rFonts w:hint="default" w:ascii="Times New Roman" w:hAnsi="Times New Roman" w:cs="Times New Roman"/>
                      <w:color w:val="auto"/>
                      <w:sz w:val="21"/>
                      <w:szCs w:val="21"/>
                      <w:highlight w:val="none"/>
                      <w:lang w:val="en-US" w:eastAsia="zh-CN"/>
                    </w:rPr>
                    <w:t>。</w:t>
                  </w:r>
                </w:p>
              </w:tc>
              <w:tc>
                <w:tcPr>
                  <w:tcW w:w="357"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2967"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科学把好项目选址关。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p>
              </w:tc>
              <w:tc>
                <w:tcPr>
                  <w:tcW w:w="1476"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项目位于</w:t>
                  </w:r>
                  <w:r>
                    <w:rPr>
                      <w:rFonts w:hint="eastAsia" w:cs="Times New Roman"/>
                      <w:color w:val="auto"/>
                      <w:sz w:val="21"/>
                      <w:szCs w:val="21"/>
                      <w:highlight w:val="none"/>
                      <w:lang w:val="en-US" w:eastAsia="zh-CN"/>
                    </w:rPr>
                    <w:t>淄博市淄川区寨里镇土湾村胶王路与一干渠路交叉口东10米</w:t>
                  </w:r>
                  <w:r>
                    <w:rPr>
                      <w:rFonts w:hint="eastAsia" w:ascii="Times New Roman" w:hAnsi="Times New Roman" w:eastAsia="宋体" w:cs="Times New Roman"/>
                      <w:color w:val="auto"/>
                      <w:sz w:val="21"/>
                      <w:szCs w:val="21"/>
                      <w:highlight w:val="none"/>
                      <w:lang w:val="en-US" w:eastAsia="zh-CN"/>
                    </w:rPr>
                    <w:t>，原淄博正晋特钢有限公司厂区内。位于寨里镇蓼花河工业集聚区范围内</w:t>
                  </w:r>
                  <w:r>
                    <w:rPr>
                      <w:rFonts w:hint="default" w:ascii="Times New Roman" w:hAnsi="Times New Roman" w:eastAsia="宋体" w:cs="Times New Roman"/>
                      <w:color w:val="auto"/>
                      <w:sz w:val="21"/>
                      <w:szCs w:val="21"/>
                      <w:highlight w:val="none"/>
                      <w:lang w:val="en-US" w:eastAsia="zh-CN"/>
                    </w:rPr>
                    <w:t>。项目已完成立项，备案文号为：</w:t>
                  </w:r>
                  <w:r>
                    <w:rPr>
                      <w:rFonts w:hint="eastAsia" w:cs="Times New Roman"/>
                      <w:color w:val="auto"/>
                      <w:sz w:val="21"/>
                      <w:szCs w:val="21"/>
                      <w:highlight w:val="none"/>
                      <w:lang w:val="en-US" w:eastAsia="zh-CN"/>
                    </w:rPr>
                    <w:t>2212-370302-89-01-767949。</w:t>
                  </w:r>
                </w:p>
              </w:tc>
              <w:tc>
                <w:tcPr>
                  <w:tcW w:w="357"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2967"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p>
              </w:tc>
              <w:tc>
                <w:tcPr>
                  <w:tcW w:w="1476"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项目符合“三线一单”要求，不涉及煤炭消耗。</w:t>
                  </w:r>
                </w:p>
              </w:tc>
              <w:tc>
                <w:tcPr>
                  <w:tcW w:w="357"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bl>
          <w:p>
            <w:pPr>
              <w:pStyle w:val="77"/>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kern w:val="0"/>
                <w:sz w:val="21"/>
                <w:szCs w:val="21"/>
              </w:rPr>
            </w:pPr>
            <w:r>
              <w:rPr>
                <w:rFonts w:hint="default" w:ascii="Times New Roman" w:hAnsi="Times New Roman" w:cs="Times New Roman"/>
                <w:bCs/>
                <w:color w:val="auto"/>
                <w:sz w:val="24"/>
                <w:szCs w:val="24"/>
              </w:rPr>
              <w:t>综上，拟建项目建设符合</w:t>
            </w:r>
            <w:r>
              <w:rPr>
                <w:rFonts w:hint="default" w:ascii="Times New Roman" w:hAnsi="Times New Roman" w:cs="Times New Roman"/>
                <w:bCs/>
                <w:color w:val="auto"/>
                <w:sz w:val="24"/>
                <w:szCs w:val="24"/>
                <w:lang w:eastAsia="zh-CN"/>
              </w:rPr>
              <w:t>《</w:t>
            </w:r>
            <w:r>
              <w:rPr>
                <w:rFonts w:hint="default" w:ascii="Times New Roman" w:hAnsi="Times New Roman" w:cs="Times New Roman"/>
                <w:bCs/>
                <w:color w:val="auto"/>
                <w:sz w:val="24"/>
                <w:szCs w:val="24"/>
                <w:lang w:val="en-US" w:eastAsia="zh-CN"/>
              </w:rPr>
              <w:t>关于严格项目审批工作坚决防止新上“散乱污”项目的通知</w:t>
            </w:r>
            <w:r>
              <w:rPr>
                <w:rFonts w:hint="default" w:ascii="Times New Roman" w:hAnsi="Times New Roman" w:cs="Times New Roman"/>
                <w:bCs/>
                <w:color w:val="auto"/>
                <w:sz w:val="24"/>
                <w:szCs w:val="24"/>
                <w:lang w:eastAsia="zh-CN"/>
              </w:rPr>
              <w:t>》（</w:t>
            </w:r>
            <w:r>
              <w:rPr>
                <w:rFonts w:hint="default" w:ascii="Times New Roman" w:hAnsi="Times New Roman" w:cs="Times New Roman"/>
                <w:bCs/>
                <w:color w:val="auto"/>
                <w:sz w:val="24"/>
                <w:szCs w:val="24"/>
                <w:lang w:val="en-US" w:eastAsia="zh-CN"/>
              </w:rPr>
              <w:t>鲁环字〔2021〕58号</w:t>
            </w:r>
            <w:r>
              <w:rPr>
                <w:rFonts w:hint="default" w:ascii="Times New Roman" w:hAnsi="Times New Roman" w:cs="Times New Roman"/>
                <w:bCs/>
                <w:color w:val="auto"/>
                <w:sz w:val="24"/>
                <w:szCs w:val="24"/>
                <w:lang w:eastAsia="zh-CN"/>
              </w:rPr>
              <w:t>）</w:t>
            </w:r>
            <w:r>
              <w:rPr>
                <w:rFonts w:hint="default" w:ascii="Times New Roman" w:hAnsi="Times New Roman" w:cs="Times New Roman"/>
                <w:bCs/>
                <w:color w:val="auto"/>
                <w:sz w:val="24"/>
                <w:szCs w:val="24"/>
              </w:rPr>
              <w:t>要求。</w:t>
            </w:r>
          </w:p>
          <w:p>
            <w:pPr>
              <w:pStyle w:val="77"/>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color w:val="auto"/>
                <w:sz w:val="24"/>
                <w:szCs w:val="24"/>
                <w:lang w:val="en-US" w:eastAsia="zh-CN"/>
              </w:rPr>
            </w:pPr>
            <w:r>
              <w:rPr>
                <w:rFonts w:hint="eastAsia" w:ascii="Times New Roman" w:hAnsi="Times New Roman" w:eastAsia="宋体" w:cs="Times New Roman"/>
                <w:bCs/>
                <w:color w:val="auto"/>
                <w:sz w:val="24"/>
                <w:szCs w:val="24"/>
                <w:lang w:val="en-US" w:eastAsia="zh-CN"/>
              </w:rPr>
              <w:t>（2）与《山东省环境保护条例》（2018年11月30日修订版）</w:t>
            </w:r>
            <w:r>
              <w:rPr>
                <w:rFonts w:hint="default" w:ascii="Times New Roman" w:hAnsi="Times New Roman" w:cs="Times New Roman"/>
                <w:bCs/>
                <w:color w:val="auto"/>
                <w:sz w:val="24"/>
                <w:szCs w:val="24"/>
                <w:lang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w:t>
            </w:r>
            <w:r>
              <w:rPr>
                <w:rFonts w:hint="eastAsia" w:ascii="Times New Roman" w:hAnsi="Times New Roman" w:eastAsia="黑体" w:cs="Times New Roman"/>
                <w:b w:val="0"/>
                <w:bCs w:val="0"/>
                <w:color w:val="auto"/>
                <w:kern w:val="0"/>
                <w:sz w:val="24"/>
                <w:szCs w:val="24"/>
                <w:lang w:val="en-US" w:eastAsia="zh-CN"/>
              </w:rPr>
              <w:t>1-</w:t>
            </w:r>
            <w:r>
              <w:rPr>
                <w:rFonts w:hint="eastAsia" w:eastAsia="黑体" w:cs="Times New Roman"/>
                <w:b w:val="0"/>
                <w:bCs w:val="0"/>
                <w:color w:val="auto"/>
                <w:kern w:val="0"/>
                <w:sz w:val="24"/>
                <w:szCs w:val="24"/>
                <w:lang w:val="en-US" w:eastAsia="zh-CN"/>
              </w:rPr>
              <w:t>5</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lang w:val="en-US" w:eastAsia="zh-CN"/>
              </w:rPr>
              <w:t>项目与《山东省环境保护条例》符合性分析</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0"/>
              <w:gridCol w:w="1545"/>
              <w:gridCol w:w="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303" w:type="pct"/>
                  <w:noWrap w:val="0"/>
                  <w:tcMar>
                    <w:top w:w="0" w:type="dxa"/>
                    <w:left w:w="28" w:type="dxa"/>
                    <w:bottom w:w="0" w:type="dxa"/>
                    <w:right w:w="28" w:type="dxa"/>
                  </w:tcMar>
                  <w:vAlign w:val="center"/>
                </w:tcPr>
                <w:p>
                  <w:pPr>
                    <w:adjustRightInd w:val="0"/>
                    <w:snapToGrid w:val="0"/>
                    <w:jc w:val="center"/>
                    <w:rPr>
                      <w:b w:val="0"/>
                      <w:bCs w:val="0"/>
                      <w:color w:val="auto"/>
                      <w:szCs w:val="21"/>
                    </w:rPr>
                  </w:pPr>
                  <w:r>
                    <w:rPr>
                      <w:b w:val="0"/>
                      <w:bCs w:val="0"/>
                      <w:color w:val="auto"/>
                      <w:szCs w:val="21"/>
                    </w:rPr>
                    <w:t>文件要求</w:t>
                  </w:r>
                </w:p>
              </w:tc>
              <w:tc>
                <w:tcPr>
                  <w:tcW w:w="1157" w:type="pct"/>
                  <w:noWrap w:val="0"/>
                  <w:tcMar>
                    <w:top w:w="0" w:type="dxa"/>
                    <w:left w:w="28" w:type="dxa"/>
                    <w:bottom w:w="0" w:type="dxa"/>
                    <w:right w:w="28" w:type="dxa"/>
                  </w:tcMar>
                  <w:vAlign w:val="center"/>
                </w:tcPr>
                <w:p>
                  <w:pPr>
                    <w:adjustRightInd w:val="0"/>
                    <w:snapToGrid w:val="0"/>
                    <w:jc w:val="center"/>
                    <w:rPr>
                      <w:b w:val="0"/>
                      <w:bCs w:val="0"/>
                      <w:color w:val="auto"/>
                      <w:szCs w:val="21"/>
                    </w:rPr>
                  </w:pPr>
                  <w:r>
                    <w:rPr>
                      <w:b w:val="0"/>
                      <w:bCs w:val="0"/>
                      <w:color w:val="auto"/>
                      <w:szCs w:val="21"/>
                    </w:rPr>
                    <w:t>本项目情况</w:t>
                  </w:r>
                </w:p>
              </w:tc>
              <w:tc>
                <w:tcPr>
                  <w:tcW w:w="539" w:type="pct"/>
                  <w:noWrap w:val="0"/>
                  <w:tcMar>
                    <w:top w:w="0" w:type="dxa"/>
                    <w:left w:w="28" w:type="dxa"/>
                    <w:bottom w:w="0" w:type="dxa"/>
                    <w:right w:w="28" w:type="dxa"/>
                  </w:tcMar>
                  <w:vAlign w:val="center"/>
                </w:tcPr>
                <w:p>
                  <w:pPr>
                    <w:adjustRightInd w:val="0"/>
                    <w:snapToGrid w:val="0"/>
                    <w:jc w:val="center"/>
                    <w:rPr>
                      <w:b w:val="0"/>
                      <w:bCs w:val="0"/>
                      <w:color w:val="auto"/>
                      <w:szCs w:val="21"/>
                    </w:rPr>
                  </w:pPr>
                  <w:r>
                    <w:rPr>
                      <w:b w:val="0"/>
                      <w:bCs w:val="0"/>
                      <w:color w:val="auto"/>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303" w:type="pct"/>
                  <w:noWrap w:val="0"/>
                  <w:tcMar>
                    <w:top w:w="0" w:type="dxa"/>
                    <w:left w:w="28" w:type="dxa"/>
                    <w:bottom w:w="0" w:type="dxa"/>
                    <w:right w:w="28" w:type="dxa"/>
                  </w:tcMar>
                  <w:vAlign w:val="center"/>
                </w:tcPr>
                <w:p>
                  <w:pPr>
                    <w:topLinePunct/>
                    <w:jc w:val="center"/>
                    <w:rPr>
                      <w:color w:val="auto"/>
                      <w:szCs w:val="21"/>
                    </w:rPr>
                  </w:pPr>
                  <w:r>
                    <w:rPr>
                      <w:color w:val="auto"/>
                      <w:szCs w:val="21"/>
                    </w:rPr>
                    <w:t>禁止建设不符合国家和省产业政策的小型造纸、制革、印染、染料、炼焦、炼硫、炼砷、炼汞、炼油、电镀、农药、石棉、水泥、玻璃、钢铁、火电以及其他严重污染环境的生产项目。已经建设的，由所在地的县级以上人民政府责令拆除或者关闭。</w:t>
                  </w:r>
                </w:p>
              </w:tc>
              <w:tc>
                <w:tcPr>
                  <w:tcW w:w="1157" w:type="pct"/>
                  <w:noWrap w:val="0"/>
                  <w:tcMar>
                    <w:top w:w="0" w:type="dxa"/>
                    <w:left w:w="28" w:type="dxa"/>
                    <w:bottom w:w="0" w:type="dxa"/>
                    <w:right w:w="28" w:type="dxa"/>
                  </w:tcMar>
                  <w:vAlign w:val="center"/>
                </w:tcPr>
                <w:p>
                  <w:pPr>
                    <w:topLinePunct/>
                    <w:jc w:val="center"/>
                    <w:rPr>
                      <w:color w:val="auto"/>
                      <w:szCs w:val="21"/>
                    </w:rPr>
                  </w:pPr>
                  <w:r>
                    <w:rPr>
                      <w:color w:val="auto"/>
                      <w:szCs w:val="21"/>
                    </w:rPr>
                    <w:t>本项目不属于以上行业</w:t>
                  </w:r>
                </w:p>
              </w:tc>
              <w:tc>
                <w:tcPr>
                  <w:tcW w:w="539"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303" w:type="pct"/>
                  <w:noWrap w:val="0"/>
                  <w:tcMar>
                    <w:top w:w="0" w:type="dxa"/>
                    <w:left w:w="28" w:type="dxa"/>
                    <w:bottom w:w="0" w:type="dxa"/>
                    <w:right w:w="28" w:type="dxa"/>
                  </w:tcMar>
                  <w:vAlign w:val="center"/>
                </w:tcPr>
                <w:p>
                  <w:pPr>
                    <w:topLinePunct/>
                    <w:jc w:val="center"/>
                    <w:rPr>
                      <w:color w:val="auto"/>
                      <w:szCs w:val="21"/>
                    </w:rPr>
                  </w:pPr>
                  <w:r>
                    <w:rPr>
                      <w:color w:val="auto"/>
                      <w:szCs w:val="21"/>
                    </w:rPr>
                    <w:t>实行排污许可管理制度。纳入排污许可管理目录的排污单位，应当依法申请领取排污许可证。未取得排污许可证的，不得排放污染物。</w:t>
                  </w:r>
                </w:p>
              </w:tc>
              <w:tc>
                <w:tcPr>
                  <w:tcW w:w="1157" w:type="pct"/>
                  <w:noWrap w:val="0"/>
                  <w:tcMar>
                    <w:top w:w="0" w:type="dxa"/>
                    <w:left w:w="28" w:type="dxa"/>
                    <w:bottom w:w="0" w:type="dxa"/>
                    <w:right w:w="28" w:type="dxa"/>
                  </w:tcMar>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项目验收前将依法申请排污许可证</w:t>
                  </w:r>
                </w:p>
              </w:tc>
              <w:tc>
                <w:tcPr>
                  <w:tcW w:w="539"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303"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县级以上人民政府应当根据产业结构调整和产业布局优化的要求，引导工业企业入驻工业园区；新建有污染物排放的工业项目，除在安全生产等方面有特殊要求的以外，应当进入工业园区或者工业集聚区。</w:t>
                  </w:r>
                </w:p>
              </w:tc>
              <w:tc>
                <w:tcPr>
                  <w:tcW w:w="1157" w:type="pct"/>
                  <w:noWrap w:val="0"/>
                  <w:tcMar>
                    <w:top w:w="0" w:type="dxa"/>
                    <w:left w:w="28" w:type="dxa"/>
                    <w:bottom w:w="0" w:type="dxa"/>
                    <w:right w:w="28" w:type="dxa"/>
                  </w:tcMar>
                  <w:vAlign w:val="center"/>
                </w:tcPr>
                <w:p>
                  <w:pPr>
                    <w:adjustRightInd w:val="0"/>
                    <w:snapToGrid w:val="0"/>
                    <w:jc w:val="center"/>
                    <w:rPr>
                      <w:rFonts w:ascii="Times New Roman" w:hAnsi="Times New Roman" w:eastAsia="宋体" w:cs="Times New Roman"/>
                      <w:color w:val="auto"/>
                      <w:szCs w:val="21"/>
                    </w:rPr>
                  </w:pPr>
                  <w:r>
                    <w:rPr>
                      <w:rFonts w:hint="default" w:ascii="Times New Roman" w:hAnsi="Times New Roman" w:eastAsia="宋体" w:cs="Times New Roman"/>
                      <w:color w:val="auto"/>
                      <w:sz w:val="21"/>
                      <w:szCs w:val="21"/>
                      <w:highlight w:val="none"/>
                      <w:lang w:val="en-US" w:eastAsia="zh-CN"/>
                    </w:rPr>
                    <w:t>项目位于</w:t>
                  </w:r>
                  <w:r>
                    <w:rPr>
                      <w:rFonts w:hint="eastAsia" w:cs="Times New Roman"/>
                      <w:color w:val="auto"/>
                      <w:sz w:val="21"/>
                      <w:szCs w:val="21"/>
                      <w:highlight w:val="none"/>
                      <w:lang w:val="en-US" w:eastAsia="zh-CN"/>
                    </w:rPr>
                    <w:t>淄博市淄川区寨里镇土湾村胶王路与一干渠路交叉口东10米，原淄博正晋特钢有限公司厂区内</w:t>
                  </w:r>
                  <w:r>
                    <w:rPr>
                      <w:rFonts w:hint="eastAsia" w:ascii="Times New Roman" w:hAnsi="Times New Roman" w:cs="Times New Roman"/>
                      <w:color w:val="auto"/>
                      <w:sz w:val="21"/>
                      <w:szCs w:val="21"/>
                      <w:highlight w:val="none"/>
                      <w:lang w:val="en-US" w:eastAsia="zh-CN"/>
                    </w:rPr>
                    <w:t>，位于寨里镇蓼花河工业集聚区范围内。</w:t>
                  </w:r>
                </w:p>
              </w:tc>
              <w:tc>
                <w:tcPr>
                  <w:tcW w:w="539"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303"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排污单位应当采取措施，防治在生产建设或者其他活动中产生的废气、废水、废渣、医疗废物、粉尘、恶臭气体、放射性物质以及噪声、振动、光辐射、电磁辐射等对环境的污染和危害，其污染排放不得超过排放标准和重点污染物排放总量控制指标。</w:t>
                  </w:r>
                </w:p>
              </w:tc>
              <w:tc>
                <w:tcPr>
                  <w:tcW w:w="1157"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项目严格落实环保措施后，废气、废水、固废、噪声排放能够满足相应排放标准要求。</w:t>
                  </w:r>
                </w:p>
              </w:tc>
              <w:tc>
                <w:tcPr>
                  <w:tcW w:w="539"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符合</w:t>
                  </w:r>
                </w:p>
              </w:tc>
            </w:tr>
          </w:tbl>
          <w:p>
            <w:pPr>
              <w:pStyle w:val="77"/>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根据上表分析，项目建设符合《山东省环境保护条例》（2018年11月30日修订版）的相关要求。</w:t>
            </w:r>
          </w:p>
          <w:p>
            <w:pPr>
              <w:pStyle w:val="77"/>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w:t>
            </w:r>
            <w:r>
              <w:rPr>
                <w:rFonts w:hint="eastAsia" w:ascii="Times New Roman" w:hAnsi="Times New Roman" w:eastAsia="宋体" w:cs="Times New Roman"/>
                <w:bCs/>
                <w:color w:val="auto"/>
                <w:sz w:val="24"/>
                <w:szCs w:val="24"/>
                <w:lang w:val="en-US" w:eastAsia="zh-CN"/>
              </w:rPr>
              <w:t>3</w:t>
            </w:r>
            <w:r>
              <w:rPr>
                <w:rFonts w:hint="default" w:ascii="Times New Roman" w:hAnsi="Times New Roman" w:eastAsia="宋体" w:cs="Times New Roman"/>
                <w:bCs/>
                <w:color w:val="auto"/>
                <w:sz w:val="24"/>
                <w:szCs w:val="24"/>
                <w:lang w:val="en-US" w:eastAsia="zh-CN"/>
              </w:rPr>
              <w:t>）与</w:t>
            </w:r>
            <w:r>
              <w:rPr>
                <w:rFonts w:hint="eastAsia" w:ascii="Times New Roman" w:hAnsi="Times New Roman" w:eastAsia="宋体" w:cs="Times New Roman"/>
                <w:bCs/>
                <w:color w:val="auto"/>
                <w:sz w:val="24"/>
                <w:szCs w:val="24"/>
                <w:lang w:val="en-US" w:eastAsia="zh-CN"/>
              </w:rPr>
              <w:t>《山东省生态环境委员会办公室关于印发山东省深入打好蓝天保卫战行动计划（2021—2025年）、山东省深入打好碧水保卫战行动计划（2021—2025年）、山东省深入打好净土保卫战行动计划（2021—2025年）的通知》（鲁环委办〔2021〕30号）</w:t>
            </w:r>
            <w:r>
              <w:rPr>
                <w:rFonts w:hint="default" w:ascii="Times New Roman" w:hAnsi="Times New Roman" w:eastAsia="宋体" w:cs="Times New Roman"/>
                <w:bCs/>
                <w:color w:val="auto"/>
                <w:sz w:val="24"/>
                <w:szCs w:val="24"/>
                <w:lang w:val="en-US" w:eastAsia="zh-CN"/>
              </w:rPr>
              <w:t>的符合性分析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eastAsia="黑体" w:cs="Times New Roman"/>
                <w:b w:val="0"/>
                <w:bCs w:val="0"/>
                <w:color w:val="auto"/>
                <w:kern w:val="0"/>
                <w:sz w:val="24"/>
                <w:szCs w:val="24"/>
                <w:lang w:val="en-US" w:eastAsia="zh-CN"/>
              </w:rPr>
              <w:t>6</w:t>
            </w:r>
            <w:r>
              <w:rPr>
                <w:rFonts w:hint="eastAsia" w:ascii="Times New Roman" w:hAnsi="Times New Roman" w:eastAsia="黑体" w:cs="Times New Roman"/>
                <w:b w:val="0"/>
                <w:bCs w:val="0"/>
                <w:color w:val="auto"/>
                <w:kern w:val="0"/>
                <w:sz w:val="24"/>
                <w:szCs w:val="24"/>
                <w:lang w:val="en-US" w:eastAsia="zh-CN"/>
              </w:rPr>
              <w:t xml:space="preserve"> 与《山东省深入打好蓝天保卫战行动计划（2021—2025年）的通知》</w:t>
            </w:r>
            <w:r>
              <w:rPr>
                <w:rFonts w:hint="default" w:ascii="Times New Roman" w:hAnsi="Times New Roman" w:eastAsia="黑体" w:cs="Times New Roman"/>
                <w:b w:val="0"/>
                <w:bCs w:val="0"/>
                <w:color w:val="auto"/>
                <w:kern w:val="0"/>
                <w:sz w:val="24"/>
                <w:szCs w:val="24"/>
                <w:lang w:val="en-US" w:eastAsia="zh-CN"/>
              </w:rPr>
              <w:t>符合性分析</w:t>
            </w:r>
          </w:p>
          <w:tbl>
            <w:tblPr>
              <w:tblStyle w:val="26"/>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75"/>
              <w:gridCol w:w="3849"/>
              <w:gridCol w:w="214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5"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分类</w:t>
                  </w:r>
                </w:p>
              </w:tc>
              <w:tc>
                <w:tcPr>
                  <w:tcW w:w="3848"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文件要求</w:t>
                  </w:r>
                </w:p>
              </w:tc>
              <w:tc>
                <w:tcPr>
                  <w:tcW w:w="2140"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符合性分析</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5"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44"/>
                    </w:rPr>
                    <w:t>淘汰低效落后产能</w:t>
                  </w:r>
                </w:p>
              </w:tc>
              <w:tc>
                <w:tcPr>
                  <w:tcW w:w="3848"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聚焦钢铁、地炼、焦化、煤电、水泥、轮胎、煤炭、化工8个重点行业，加快淘汰低效落后产能。严格执行质量、环保、能耗、安全等法规标准，按照《产业结构调整指导目录》，对“淘汰类”落后生产工艺装备和落后产品全部淘汰出清。各市聚焦“高耗能、高污染、高排放、高风险”等行业，分类组织实施转移、压减、整合、关停任务。</w:t>
                  </w:r>
                </w:p>
              </w:tc>
              <w:tc>
                <w:tcPr>
                  <w:tcW w:w="2140" w:type="dxa"/>
                  <w:tcBorders>
                    <w:tl2br w:val="nil"/>
                    <w:tr2bl w:val="nil"/>
                  </w:tcBorders>
                  <w:noWrap w:val="0"/>
                  <w:tcMar>
                    <w:top w:w="0" w:type="dxa"/>
                    <w:left w:w="28" w:type="dxa"/>
                    <w:bottom w:w="0" w:type="dxa"/>
                    <w:right w:w="28" w:type="dxa"/>
                  </w:tcMar>
                  <w:vAlign w:val="center"/>
                </w:tcPr>
                <w:p>
                  <w:pPr>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Cs w:val="21"/>
                      <w:lang w:val="en-US" w:eastAsia="zh-CN"/>
                    </w:rPr>
                    <w:t>本项目</w:t>
                  </w:r>
                  <w:r>
                    <w:rPr>
                      <w:rFonts w:hint="eastAsia" w:ascii="Times New Roman" w:hAnsi="Times New Roman" w:cs="Times New Roman"/>
                      <w:color w:val="auto"/>
                      <w:szCs w:val="21"/>
                      <w:lang w:val="en-US" w:eastAsia="zh-CN"/>
                    </w:rPr>
                    <w:t>为</w:t>
                  </w:r>
                  <w:r>
                    <w:rPr>
                      <w:rFonts w:hint="eastAsia" w:cs="Times New Roman"/>
                      <w:color w:val="auto"/>
                      <w:szCs w:val="21"/>
                      <w:lang w:val="en-US" w:eastAsia="zh-CN"/>
                    </w:rPr>
                    <w:t>淄博宝发顺仓储有限公司仓储项目</w:t>
                  </w:r>
                  <w:r>
                    <w:rPr>
                      <w:rFonts w:hint="eastAsia" w:ascii="Times New Roman" w:hAnsi="Times New Roman" w:cs="Times New Roman"/>
                      <w:color w:val="auto"/>
                      <w:szCs w:val="21"/>
                      <w:lang w:val="en-US" w:eastAsia="zh-CN"/>
                    </w:rPr>
                    <w:t>，</w:t>
                  </w:r>
                  <w:r>
                    <w:rPr>
                      <w:rFonts w:hint="default" w:ascii="Times New Roman" w:hAnsi="Times New Roman" w:cs="Times New Roman"/>
                      <w:color w:val="auto"/>
                      <w:szCs w:val="21"/>
                      <w:lang w:val="en-US" w:eastAsia="zh-CN"/>
                    </w:rPr>
                    <w:t>不属于国家发展和改革委员会发布的《产业结构调整指导目录（2019年本）》中“鼓励类”、“限制类”、“淘汰类”，属于允许建设项目</w:t>
                  </w:r>
                  <w:r>
                    <w:rPr>
                      <w:rFonts w:hint="default" w:ascii="Times New Roman" w:hAnsi="Times New Roman" w:eastAsia="宋体" w:cs="Times New Roman"/>
                      <w:color w:val="auto"/>
                      <w:sz w:val="21"/>
                      <w:szCs w:val="21"/>
                      <w:highlight w:val="none"/>
                      <w:lang w:val="en-US" w:eastAsia="zh-CN"/>
                    </w:rPr>
                    <w:t>，项目符合国家产业政策。</w:t>
                  </w:r>
                  <w:r>
                    <w:rPr>
                      <w:rFonts w:hint="eastAsia" w:ascii="Times New Roman" w:hAnsi="Times New Roman" w:eastAsia="宋体" w:cs="Times New Roman"/>
                      <w:color w:val="auto"/>
                      <w:sz w:val="21"/>
                      <w:szCs w:val="21"/>
                      <w:highlight w:val="none"/>
                      <w:lang w:val="en-US" w:eastAsia="zh-CN"/>
                    </w:rPr>
                    <w:t>且不属于</w:t>
                  </w:r>
                  <w:r>
                    <w:rPr>
                      <w:rFonts w:hint="default" w:ascii="Times New Roman" w:hAnsi="Times New Roman" w:eastAsia="宋体" w:cs="Times New Roman"/>
                      <w:color w:val="auto"/>
                      <w:sz w:val="21"/>
                      <w:szCs w:val="21"/>
                    </w:rPr>
                    <w:t>钢铁、地炼、焦化、煤电、水泥、轮胎、煤炭、化工8个重点行业</w:t>
                  </w:r>
                  <w:r>
                    <w:rPr>
                      <w:rFonts w:hint="eastAsia" w:ascii="Times New Roman" w:hAnsi="Times New Roman" w:eastAsia="宋体" w:cs="Times New Roman"/>
                      <w:color w:val="auto"/>
                      <w:sz w:val="21"/>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5"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优化货物运输方式</w:t>
                  </w:r>
                </w:p>
              </w:tc>
              <w:tc>
                <w:tcPr>
                  <w:tcW w:w="3848"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优化交通运输结构，大力发展铁港联运，基本形成大宗货物和集装箱中长距离运输以铁路、水路或管道为主的格局。PM</w:t>
                  </w:r>
                  <w:r>
                    <w:rPr>
                      <w:rFonts w:hint="default" w:ascii="Times New Roman" w:hAnsi="Times New Roman" w:eastAsia="宋体" w:cs="Times New Roman"/>
                      <w:color w:val="auto"/>
                      <w:sz w:val="21"/>
                      <w:szCs w:val="21"/>
                      <w:vertAlign w:val="subscript"/>
                    </w:rPr>
                    <w:t>2.5</w:t>
                  </w:r>
                  <w:r>
                    <w:rPr>
                      <w:rFonts w:hint="default" w:ascii="Times New Roman" w:hAnsi="Times New Roman" w:eastAsia="宋体" w:cs="Times New Roman"/>
                      <w:color w:val="auto"/>
                      <w:sz w:val="21"/>
                      <w:szCs w:val="21"/>
                    </w:rPr>
                    <w:t>和O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未达标的城市，新、改、扩建项目涉及大宗物料运输的，应采用清洁运输方式。</w:t>
                  </w:r>
                </w:p>
              </w:tc>
              <w:tc>
                <w:tcPr>
                  <w:tcW w:w="2140"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项目物料采用清洁运输方式。符合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5"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实施VOCs全过程污染防治</w:t>
                  </w:r>
                </w:p>
              </w:tc>
              <w:tc>
                <w:tcPr>
                  <w:tcW w:w="3848"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实施低</w:t>
                  </w:r>
                  <w:r>
                    <w:rPr>
                      <w:rFonts w:hint="default" w:ascii="Times New Roman" w:hAnsi="Times New Roman" w:eastAsia="宋体" w:cs="Times New Roman"/>
                      <w:color w:val="auto"/>
                      <w:sz w:val="21"/>
                      <w:szCs w:val="21"/>
                    </w:rPr>
                    <w:t>VOCs</w:t>
                  </w:r>
                  <w:r>
                    <w:rPr>
                      <w:rFonts w:hint="eastAsia" w:ascii="Times New Roman" w:hAnsi="Times New Roman" w:eastAsia="宋体" w:cs="Times New Roman"/>
                      <w:color w:val="auto"/>
                      <w:sz w:val="21"/>
                      <w:szCs w:val="21"/>
                    </w:rPr>
                    <w:t>含量工业涂料、油墨、胶粘剂、清洗剂等原辅料使用替代。新、改、扩建工业涂装、包装印刷等含</w:t>
                  </w:r>
                  <w:r>
                    <w:rPr>
                      <w:rFonts w:hint="default" w:ascii="Times New Roman" w:hAnsi="Times New Roman" w:eastAsia="宋体" w:cs="Times New Roman"/>
                      <w:color w:val="auto"/>
                      <w:sz w:val="21"/>
                      <w:szCs w:val="21"/>
                    </w:rPr>
                    <w:t>VOCs</w:t>
                  </w:r>
                  <w:r>
                    <w:rPr>
                      <w:rFonts w:hint="eastAsia" w:ascii="Times New Roman" w:hAnsi="Times New Roman" w:eastAsia="宋体" w:cs="Times New Roman"/>
                      <w:color w:val="auto"/>
                      <w:sz w:val="21"/>
                      <w:szCs w:val="21"/>
                    </w:rPr>
                    <w:t>原辅材料使用的项目，原则上使用低（无）</w:t>
                  </w:r>
                  <w:r>
                    <w:rPr>
                      <w:rFonts w:hint="default" w:ascii="Times New Roman" w:hAnsi="Times New Roman" w:eastAsia="宋体" w:cs="Times New Roman"/>
                      <w:color w:val="auto"/>
                      <w:sz w:val="21"/>
                      <w:szCs w:val="21"/>
                    </w:rPr>
                    <w:t>VOCs</w:t>
                  </w:r>
                  <w:r>
                    <w:rPr>
                      <w:rFonts w:hint="eastAsia" w:ascii="Times New Roman" w:hAnsi="Times New Roman" w:eastAsia="宋体" w:cs="Times New Roman"/>
                      <w:color w:val="auto"/>
                      <w:sz w:val="21"/>
                      <w:szCs w:val="21"/>
                    </w:rPr>
                    <w:t>含量产品。</w:t>
                  </w:r>
                </w:p>
              </w:tc>
              <w:tc>
                <w:tcPr>
                  <w:tcW w:w="2140" w:type="dxa"/>
                  <w:tcBorders>
                    <w:tl2br w:val="nil"/>
                    <w:tr2bl w:val="nil"/>
                  </w:tcBorders>
                  <w:noWrap w:val="0"/>
                  <w:tcMar>
                    <w:top w:w="0" w:type="dxa"/>
                    <w:left w:w="28" w:type="dxa"/>
                    <w:bottom w:w="0" w:type="dxa"/>
                    <w:right w:w="28" w:type="dxa"/>
                  </w:tcMar>
                  <w:vAlign w:val="center"/>
                </w:tcPr>
                <w:p>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项目</w:t>
                  </w:r>
                  <w:r>
                    <w:rPr>
                      <w:rFonts w:hint="eastAsia" w:cs="Times New Roman"/>
                      <w:color w:val="auto"/>
                      <w:sz w:val="21"/>
                      <w:szCs w:val="21"/>
                      <w:lang w:eastAsia="zh-CN"/>
                    </w:rPr>
                    <w:t>为仓储项目，不使用</w:t>
                  </w:r>
                  <w:r>
                    <w:rPr>
                      <w:rFonts w:hint="eastAsia" w:ascii="Times New Roman" w:hAnsi="Times New Roman" w:eastAsia="宋体" w:cs="Times New Roman"/>
                      <w:color w:val="auto"/>
                      <w:sz w:val="21"/>
                      <w:szCs w:val="21"/>
                    </w:rPr>
                    <w:t>工业涂料、油墨、胶粘剂、清洗剂等原辅料</w:t>
                  </w:r>
                  <w:r>
                    <w:rPr>
                      <w:rFonts w:hint="eastAsia" w:ascii="Times New Roman" w:hAnsi="Times New Roman" w:eastAsia="宋体" w:cs="Times New Roman"/>
                      <w:color w:val="auto"/>
                      <w:sz w:val="21"/>
                      <w:szCs w:val="21"/>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5"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严格扬尘污染管控</w:t>
                  </w:r>
                </w:p>
              </w:tc>
              <w:tc>
                <w:tcPr>
                  <w:tcW w:w="3848"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加强施工扬尘精细化管控，建立并动态更新施工工地清单。全面推行绿色施工，将扬尘污染防治费用纳入工程造价，各类施工工地严格落实扬尘污染防治措施，其中建筑施工工地严格执行“六项措施”。</w:t>
                  </w:r>
                </w:p>
              </w:tc>
              <w:tc>
                <w:tcPr>
                  <w:tcW w:w="2140" w:type="dxa"/>
                  <w:tcBorders>
                    <w:tl2br w:val="nil"/>
                    <w:tr2bl w:val="nil"/>
                  </w:tcBorders>
                  <w:noWrap w:val="0"/>
                  <w:tcMar>
                    <w:top w:w="0" w:type="dxa"/>
                    <w:left w:w="28" w:type="dxa"/>
                    <w:bottom w:w="0" w:type="dxa"/>
                    <w:right w:w="28" w:type="dxa"/>
                  </w:tcMar>
                  <w:vAlign w:val="center"/>
                </w:tcPr>
                <w:p>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项目对施工期扬尘提出防控要求并严格落实各项措施。符合</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eastAsia="黑体" w:cs="Times New Roman"/>
                <w:b w:val="0"/>
                <w:bCs w:val="0"/>
                <w:color w:val="auto"/>
                <w:kern w:val="0"/>
                <w:sz w:val="24"/>
                <w:szCs w:val="24"/>
                <w:lang w:val="en-US" w:eastAsia="zh-CN"/>
              </w:rPr>
              <w:t>7</w:t>
            </w:r>
            <w:r>
              <w:rPr>
                <w:rFonts w:hint="eastAsia" w:ascii="Times New Roman" w:hAnsi="Times New Roman" w:eastAsia="黑体" w:cs="Times New Roman"/>
                <w:b w:val="0"/>
                <w:bCs w:val="0"/>
                <w:color w:val="auto"/>
                <w:kern w:val="0"/>
                <w:sz w:val="24"/>
                <w:szCs w:val="24"/>
                <w:lang w:val="en-US" w:eastAsia="zh-CN"/>
              </w:rPr>
              <w:t xml:space="preserve"> 与《山东省深入打好碧水保卫战行动计划（2021—2025年）》符合性分析</w:t>
            </w:r>
          </w:p>
          <w:tbl>
            <w:tblPr>
              <w:tblStyle w:val="26"/>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58"/>
              <w:gridCol w:w="4124"/>
              <w:gridCol w:w="188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分类</w:t>
                  </w:r>
                </w:p>
              </w:tc>
              <w:tc>
                <w:tcPr>
                  <w:tcW w:w="421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文件要求</w:t>
                  </w:r>
                </w:p>
              </w:tc>
              <w:tc>
                <w:tcPr>
                  <w:tcW w:w="192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符合性分析</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rPr>
                  </w:pPr>
                  <w:r>
                    <w:rPr>
                      <w:rFonts w:hint="eastAsia" w:ascii="宋体" w:hAnsi="宋体" w:eastAsia="宋体" w:cs="宋体"/>
                      <w:color w:val="auto"/>
                      <w:sz w:val="21"/>
                      <w:szCs w:val="21"/>
                    </w:rPr>
                    <w:t>精准治理工业企业污染</w:t>
                  </w:r>
                </w:p>
              </w:tc>
              <w:tc>
                <w:tcPr>
                  <w:tcW w:w="421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rPr>
                  </w:pPr>
                  <w:r>
                    <w:rPr>
                      <w:rFonts w:hint="eastAsia" w:ascii="宋体" w:hAnsi="宋体" w:eastAsia="宋体" w:cs="宋体"/>
                      <w:color w:val="auto"/>
                      <w:sz w:val="21"/>
                      <w:szCs w:val="21"/>
                    </w:rPr>
                    <w:t>继续推进化工、有色金属、农副食品加工、印染、制革、原料药制造、电镀、冶金等行业退城入园，提高工业园区集聚水平。指导工业园区对污水实施科学收集、分类处理，梯级循环利用工业废水。逐步推进园区纳管企业废水“一企一管、明管输送、实时监控，统一调度”，第一时间锁定园区集中污水处理设施超标来水源头，及时有效处理处置。大力推进生态工业园区建设，对获得国家和省级命名的生态工业园区给予政策支持。鼓励有条件的园区引进“环保管家”服务，提供定制化、全产业链的第三方环保服务，实现园区污水精细化、专业化管理。</w:t>
                  </w:r>
                </w:p>
              </w:tc>
              <w:tc>
                <w:tcPr>
                  <w:tcW w:w="192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lang w:eastAsia="zh-CN"/>
                    </w:rPr>
                  </w:pPr>
                  <w:r>
                    <w:rPr>
                      <w:rFonts w:hint="eastAsia" w:ascii="宋体" w:hAnsi="宋体" w:cs="宋体"/>
                      <w:color w:val="auto"/>
                      <w:sz w:val="21"/>
                      <w:szCs w:val="21"/>
                      <w:lang w:eastAsia="zh-CN"/>
                    </w:rPr>
                    <w:t>本</w:t>
                  </w:r>
                  <w:r>
                    <w:rPr>
                      <w:rFonts w:hint="eastAsia" w:ascii="Times New Roman" w:hAnsi="Times New Roman" w:eastAsia="宋体" w:cs="Times New Roman"/>
                      <w:color w:val="auto"/>
                      <w:sz w:val="21"/>
                      <w:szCs w:val="21"/>
                      <w:lang w:eastAsia="zh-CN"/>
                    </w:rPr>
                    <w:t>项</w:t>
                  </w:r>
                  <w:r>
                    <w:rPr>
                      <w:rFonts w:hint="default" w:ascii="Times New Roman" w:hAnsi="Times New Roman" w:eastAsia="宋体" w:cs="Times New Roman"/>
                      <w:color w:val="auto"/>
                      <w:sz w:val="21"/>
                      <w:szCs w:val="21"/>
                      <w:lang w:eastAsia="zh-CN"/>
                    </w:rPr>
                    <w:t>目</w:t>
                  </w:r>
                  <w:r>
                    <w:rPr>
                      <w:rFonts w:hint="eastAsia" w:cs="Times New Roman"/>
                      <w:color w:val="auto"/>
                      <w:sz w:val="21"/>
                      <w:szCs w:val="21"/>
                      <w:lang w:eastAsia="zh-CN"/>
                    </w:rPr>
                    <w:t>为仓储项目，不属于</w:t>
                  </w:r>
                  <w:r>
                    <w:rPr>
                      <w:rFonts w:hint="eastAsia" w:ascii="宋体" w:hAnsi="宋体" w:eastAsia="宋体" w:cs="宋体"/>
                      <w:color w:val="auto"/>
                      <w:sz w:val="21"/>
                      <w:szCs w:val="21"/>
                    </w:rPr>
                    <w:t>化工、有色金属、农副食品加工、印染、制革、原料药制造、电镀、冶金等行业</w:t>
                  </w:r>
                  <w:r>
                    <w:rPr>
                      <w:rFonts w:hint="eastAsia" w:cs="Times New Roman"/>
                      <w:color w:val="auto"/>
                      <w:sz w:val="21"/>
                      <w:szCs w:val="21"/>
                      <w:lang w:eastAsia="zh-CN"/>
                    </w:rPr>
                    <w:t>。</w:t>
                  </w:r>
                  <w:r>
                    <w:rPr>
                      <w:rFonts w:hint="eastAsia" w:ascii="Times New Roman" w:hAnsi="Times New Roman" w:eastAsia="宋体" w:cs="Times New Roman"/>
                      <w:b w:val="0"/>
                      <w:bCs w:val="0"/>
                      <w:color w:val="auto"/>
                      <w:lang w:val="en-US" w:eastAsia="zh-CN"/>
                    </w:rPr>
                    <w:t>项目生活污水经化粪池收集后定期清运；</w:t>
                  </w:r>
                  <w:r>
                    <w:rPr>
                      <w:rFonts w:hint="eastAsia" w:ascii="Times New Roman" w:hAnsi="Times New Roman" w:eastAsia="宋体" w:cs="Times New Roman"/>
                      <w:b w:val="0"/>
                      <w:bCs w:val="0"/>
                      <w:color w:val="auto"/>
                      <w:lang w:val="zh-CN" w:eastAsia="zh-CN"/>
                    </w:rPr>
                    <w:t>蒸汽锅炉排污水、软水制备排污水</w:t>
                  </w:r>
                  <w:r>
                    <w:rPr>
                      <w:rFonts w:hint="eastAsia" w:ascii="Times New Roman" w:hAnsi="Times New Roman" w:eastAsia="宋体" w:cs="Times New Roman"/>
                      <w:b w:val="0"/>
                      <w:bCs w:val="0"/>
                      <w:color w:val="auto"/>
                      <w:lang w:val="en-US" w:eastAsia="zh-CN"/>
                    </w:rPr>
                    <w:t>、含油污水进入厂区污水处理站处理达标后回用</w:t>
                  </w:r>
                  <w:r>
                    <w:rPr>
                      <w:rFonts w:hint="eastAsia"/>
                      <w:color w:val="auto"/>
                      <w:sz w:val="21"/>
                      <w:szCs w:val="21"/>
                      <w:highlight w:val="none"/>
                    </w:rPr>
                    <w:t>。</w:t>
                  </w:r>
                  <w:r>
                    <w:rPr>
                      <w:rFonts w:hint="eastAsia" w:ascii="宋体" w:hAnsi="宋体" w:eastAsia="宋体" w:cs="宋体"/>
                      <w:color w:val="auto"/>
                      <w:sz w:val="21"/>
                      <w:szCs w:val="21"/>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rPr>
                  </w:pPr>
                  <w:r>
                    <w:rPr>
                      <w:rFonts w:hint="eastAsia" w:ascii="宋体" w:hAnsi="宋体" w:eastAsia="宋体" w:cs="宋体"/>
                      <w:color w:val="auto"/>
                      <w:sz w:val="21"/>
                      <w:szCs w:val="21"/>
                    </w:rPr>
                    <w:t>保障饮用水水源地水质达标</w:t>
                  </w:r>
                </w:p>
              </w:tc>
              <w:tc>
                <w:tcPr>
                  <w:tcW w:w="421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rPr>
                  </w:pPr>
                  <w:r>
                    <w:rPr>
                      <w:rFonts w:hint="eastAsia" w:ascii="宋体" w:hAnsi="宋体" w:eastAsia="宋体" w:cs="宋体"/>
                      <w:color w:val="auto"/>
                      <w:sz w:val="21"/>
                      <w:szCs w:val="21"/>
                    </w:rPr>
                    <w:t>强化县级及以上城市饮用水水源地监管。采用卫星遥感、无人机航测、高点视频监控等新技术手段，定期开展重要水源地保护区遥感监测，掌握水源地及周边保护区范围内风险源现状及变化情况。新建水源要同步开展保护区划定，调整水源要同步修订水源保护区。加快农村饮用水水源地规范化管理进程</w:t>
                  </w:r>
                </w:p>
              </w:tc>
              <w:tc>
                <w:tcPr>
                  <w:tcW w:w="192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本项目不位于水源保护区。符合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rPr>
                  </w:pPr>
                  <w:r>
                    <w:rPr>
                      <w:rFonts w:hint="eastAsia" w:ascii="宋体" w:hAnsi="宋体" w:eastAsia="宋体" w:cs="宋体"/>
                      <w:color w:val="auto"/>
                      <w:sz w:val="21"/>
                      <w:szCs w:val="21"/>
                    </w:rPr>
                    <w:t>防控地下水污染风险</w:t>
                  </w:r>
                </w:p>
              </w:tc>
              <w:tc>
                <w:tcPr>
                  <w:tcW w:w="421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rPr>
                  </w:pPr>
                  <w:r>
                    <w:rPr>
                      <w:rFonts w:hint="eastAsia" w:ascii="宋体" w:hAnsi="宋体" w:eastAsia="宋体" w:cs="宋体"/>
                      <w:color w:val="auto"/>
                      <w:sz w:val="21"/>
                      <w:szCs w:val="21"/>
                    </w:rPr>
                    <w:t>识别地下水型饮用水水源补给区内潜在污染源，建立优先管控污染源清单，推进地级及以上浅层地下水型饮用水重要水源补给区划定。强化危险废物处置场和生活垃圾填埋场等地下水污染风险管控。</w:t>
                  </w:r>
                </w:p>
              </w:tc>
              <w:tc>
                <w:tcPr>
                  <w:tcW w:w="192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本项目不位于水源保护区。符合</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表1-</w:t>
            </w:r>
            <w:r>
              <w:rPr>
                <w:rFonts w:hint="eastAsia" w:eastAsia="黑体" w:cs="Times New Roman"/>
                <w:b w:val="0"/>
                <w:bCs w:val="0"/>
                <w:color w:val="auto"/>
                <w:kern w:val="0"/>
                <w:sz w:val="24"/>
                <w:szCs w:val="24"/>
                <w:lang w:val="en-US" w:eastAsia="zh-CN"/>
              </w:rPr>
              <w:t>8</w:t>
            </w:r>
            <w:r>
              <w:rPr>
                <w:rFonts w:hint="eastAsia" w:ascii="Times New Roman" w:hAnsi="Times New Roman" w:eastAsia="黑体" w:cs="Times New Roman"/>
                <w:b w:val="0"/>
                <w:bCs w:val="0"/>
                <w:color w:val="auto"/>
                <w:kern w:val="0"/>
                <w:sz w:val="24"/>
                <w:szCs w:val="24"/>
                <w:lang w:val="en-US" w:eastAsia="zh-CN"/>
              </w:rPr>
              <w:t xml:space="preserve"> 与《山东省深入打好净土保卫战行动计划（2021—2025年）》符合性分析</w:t>
            </w:r>
          </w:p>
          <w:tbl>
            <w:tblPr>
              <w:tblStyle w:val="26"/>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40"/>
              <w:gridCol w:w="3942"/>
              <w:gridCol w:w="188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840"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分类</w:t>
                  </w:r>
                </w:p>
              </w:tc>
              <w:tc>
                <w:tcPr>
                  <w:tcW w:w="394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文件要求</w:t>
                  </w:r>
                </w:p>
              </w:tc>
              <w:tc>
                <w:tcPr>
                  <w:tcW w:w="1882"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符合性分析</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840"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rPr>
                  </w:pPr>
                  <w:bookmarkStart w:id="1" w:name="_Hlk73953493"/>
                  <w:r>
                    <w:rPr>
                      <w:rFonts w:hint="eastAsia" w:ascii="宋体" w:hAnsi="宋体" w:eastAsia="宋体" w:cs="宋体"/>
                      <w:color w:val="auto"/>
                      <w:sz w:val="21"/>
                      <w:szCs w:val="21"/>
                    </w:rPr>
                    <w:t>加强固体废物环境管理</w:t>
                  </w:r>
                  <w:bookmarkEnd w:id="1"/>
                </w:p>
              </w:tc>
              <w:tc>
                <w:tcPr>
                  <w:tcW w:w="394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rPr>
                  </w:pPr>
                  <w:r>
                    <w:rPr>
                      <w:rFonts w:hint="eastAsia" w:ascii="宋体" w:hAnsi="宋体" w:eastAsia="宋体" w:cs="宋体"/>
                      <w:color w:val="auto"/>
                      <w:sz w:val="21"/>
                      <w:szCs w:val="21"/>
                    </w:rPr>
                    <w:t>深入推进生活垃圾分类，建立有害垃圾收集转运体系。严格落实《山东省城市生活垃圾分类制度实施方案》，完善垃圾分类标识体系，健全垃圾分类奖励制度。</w:t>
                  </w:r>
                </w:p>
              </w:tc>
              <w:tc>
                <w:tcPr>
                  <w:tcW w:w="1882"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本项目生活垃圾均分类存放，由环卫部门定期清运。符合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840"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rPr>
                  </w:pPr>
                  <w:r>
                    <w:rPr>
                      <w:rFonts w:hint="eastAsia" w:ascii="宋体" w:hAnsi="宋体" w:eastAsia="宋体" w:cs="宋体"/>
                      <w:color w:val="auto"/>
                      <w:sz w:val="21"/>
                      <w:szCs w:val="21"/>
                    </w:rPr>
                    <w:t>严格落实农用地安全利用</w:t>
                  </w:r>
                </w:p>
              </w:tc>
              <w:tc>
                <w:tcPr>
                  <w:tcW w:w="3941"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rPr>
                  </w:pPr>
                  <w:r>
                    <w:rPr>
                      <w:rFonts w:hint="eastAsia" w:ascii="宋体" w:hAnsi="宋体" w:eastAsia="宋体" w:cs="宋体"/>
                      <w:color w:val="auto"/>
                      <w:sz w:val="21"/>
                      <w:szCs w:val="21"/>
                    </w:rPr>
                    <w:t>依法严格执行农用地分类管理制度，将符合条件的优先保护类耕地划为永久基本农田，实行严格保护，确保土壤环境质量不下降。安全利用类耕地要因地制宜制定实施安全利用方案，按年度总结评估。</w:t>
                  </w:r>
                </w:p>
              </w:tc>
              <w:tc>
                <w:tcPr>
                  <w:tcW w:w="1882" w:type="dxa"/>
                  <w:tcBorders>
                    <w:tl2br w:val="nil"/>
                    <w:tr2bl w:val="nil"/>
                  </w:tcBorders>
                  <w:noWrap w:val="0"/>
                  <w:tcMar>
                    <w:top w:w="0" w:type="dxa"/>
                    <w:left w:w="28" w:type="dxa"/>
                    <w:bottom w:w="0" w:type="dxa"/>
                    <w:right w:w="28" w:type="dxa"/>
                  </w:tcMar>
                  <w:vAlign w:val="center"/>
                </w:tcPr>
                <w:p>
                  <w:pPr>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项目不占用农田基本用地。符合</w:t>
                  </w:r>
                </w:p>
              </w:tc>
            </w:tr>
          </w:tbl>
          <w:p>
            <w:pPr>
              <w:pStyle w:val="77"/>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kern w:val="0"/>
                <w:sz w:val="21"/>
                <w:szCs w:val="21"/>
              </w:rPr>
            </w:pPr>
            <w:r>
              <w:rPr>
                <w:rFonts w:hint="default" w:ascii="Times New Roman" w:hAnsi="Times New Roman" w:eastAsia="宋体" w:cs="Times New Roman"/>
                <w:b w:val="0"/>
                <w:bCs/>
                <w:color w:val="auto"/>
                <w:sz w:val="24"/>
                <w:szCs w:val="24"/>
                <w:lang w:eastAsia="zh-CN"/>
              </w:rPr>
              <w:t>综上，拟建项目建设符合</w:t>
            </w:r>
            <w:r>
              <w:rPr>
                <w:rFonts w:hint="eastAsia" w:ascii="Times New Roman" w:hAnsi="Times New Roman" w:eastAsia="宋体" w:cs="Times New Roman"/>
                <w:b w:val="0"/>
                <w:bCs/>
                <w:color w:val="auto"/>
                <w:sz w:val="24"/>
                <w:szCs w:val="24"/>
                <w:lang w:val="en-US" w:eastAsia="zh-CN"/>
              </w:rPr>
              <w:t>《山东省生态环境委员会办公室关于印发山东省深入打好蓝天保卫战行动计划（2021—2025年）、山东省深入打好碧水保卫战行动计划（2021—2025年）、山东省深入打好净土保卫战行动计划（2021—2025年）的通知》（鲁环委办〔2021〕30号）</w:t>
            </w:r>
            <w:r>
              <w:rPr>
                <w:rFonts w:hint="default" w:ascii="Times New Roman" w:hAnsi="Times New Roman" w:eastAsia="宋体" w:cs="Times New Roman"/>
                <w:b w:val="0"/>
                <w:bCs/>
                <w:color w:val="auto"/>
                <w:sz w:val="24"/>
                <w:szCs w:val="24"/>
                <w:lang w:eastAsia="zh-CN"/>
              </w:rPr>
              <w:t>要求</w:t>
            </w:r>
            <w:r>
              <w:rPr>
                <w:rFonts w:hint="default" w:ascii="Times New Roman" w:hAnsi="Times New Roman" w:cs="Times New Roman"/>
                <w:bCs/>
                <w:color w:val="auto"/>
                <w:sz w:val="24"/>
                <w:szCs w:val="24"/>
              </w:rPr>
              <w:t>。</w:t>
            </w:r>
          </w:p>
          <w:p>
            <w:pPr>
              <w:pStyle w:val="77"/>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4</w:t>
            </w:r>
            <w:r>
              <w:rPr>
                <w:rFonts w:hint="default" w:ascii="Times New Roman" w:hAnsi="Times New Roman" w:eastAsia="宋体"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与《关于“两高”项目管理有关事项的通知》（</w:t>
            </w:r>
            <w:r>
              <w:rPr>
                <w:rFonts w:hint="eastAsia" w:cs="Times New Roman"/>
                <w:b w:val="0"/>
                <w:bCs/>
                <w:color w:val="auto"/>
                <w:sz w:val="24"/>
                <w:szCs w:val="24"/>
                <w:lang w:val="en-US" w:eastAsia="zh-CN"/>
              </w:rPr>
              <w:t>鲁发改工业</w:t>
            </w:r>
            <w:r>
              <w:rPr>
                <w:rFonts w:hint="eastAsia" w:ascii="Times New Roman" w:hAnsi="Times New Roman" w:eastAsia="宋体" w:cs="Times New Roman"/>
                <w:b w:val="0"/>
                <w:bCs/>
                <w:color w:val="auto"/>
                <w:sz w:val="24"/>
                <w:szCs w:val="24"/>
                <w:lang w:val="en-US" w:eastAsia="zh-CN"/>
              </w:rPr>
              <w:t>〔202</w:t>
            </w:r>
            <w:r>
              <w:rPr>
                <w:rFonts w:hint="eastAsia" w:cs="Times New Roman"/>
                <w:b w:val="0"/>
                <w:bCs/>
                <w:color w:val="auto"/>
                <w:sz w:val="24"/>
                <w:szCs w:val="24"/>
                <w:lang w:val="en-US" w:eastAsia="zh-CN"/>
              </w:rPr>
              <w:t>2</w:t>
            </w:r>
            <w:r>
              <w:rPr>
                <w:rFonts w:hint="eastAsia"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255号</w:t>
            </w:r>
            <w:r>
              <w:rPr>
                <w:rFonts w:hint="eastAsia" w:ascii="Times New Roman" w:hAnsi="Times New Roman" w:eastAsia="宋体" w:cs="Times New Roman"/>
                <w:b w:val="0"/>
                <w:bCs/>
                <w:color w:val="auto"/>
                <w:sz w:val="24"/>
                <w:szCs w:val="24"/>
                <w:lang w:val="en-US"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eastAsia="黑体" w:cs="Times New Roman"/>
                <w:b w:val="0"/>
                <w:bCs w:val="0"/>
                <w:color w:val="auto"/>
                <w:kern w:val="0"/>
                <w:sz w:val="24"/>
                <w:szCs w:val="24"/>
                <w:lang w:val="en-US" w:eastAsia="zh-CN"/>
              </w:rPr>
              <w:t>9</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lang w:val="en-US" w:eastAsia="zh-CN"/>
              </w:rPr>
              <w:t>与</w:t>
            </w:r>
            <w:r>
              <w:rPr>
                <w:rFonts w:hint="eastAsia" w:ascii="Times New Roman" w:hAnsi="Times New Roman" w:eastAsia="黑体" w:cs="Times New Roman"/>
                <w:b w:val="0"/>
                <w:bCs w:val="0"/>
                <w:color w:val="auto"/>
                <w:kern w:val="0"/>
                <w:sz w:val="24"/>
                <w:szCs w:val="24"/>
                <w:lang w:val="en-US" w:eastAsia="zh-CN"/>
              </w:rPr>
              <w:t>《关于“两高”项目管理有关事项的通知》（鲁发改工业〔2022〕255号）</w:t>
            </w:r>
            <w:r>
              <w:rPr>
                <w:rFonts w:hint="default" w:ascii="Times New Roman" w:hAnsi="Times New Roman" w:eastAsia="黑体" w:cs="Times New Roman"/>
                <w:b w:val="0"/>
                <w:bCs w:val="0"/>
                <w:color w:val="auto"/>
                <w:kern w:val="0"/>
                <w:sz w:val="24"/>
                <w:szCs w:val="24"/>
                <w:lang w:val="en-US" w:eastAsia="zh-CN"/>
              </w:rPr>
              <w:t>符合性分析</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83"/>
              <w:gridCol w:w="1096"/>
              <w:gridCol w:w="4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09"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规定</w:t>
                  </w:r>
                </w:p>
              </w:tc>
              <w:tc>
                <w:tcPr>
                  <w:tcW w:w="821"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本项目情况</w:t>
                  </w:r>
                </w:p>
              </w:tc>
              <w:tc>
                <w:tcPr>
                  <w:tcW w:w="369"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符合情况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09"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凡是属于《山东省“两高”项目管理目录（2022年版）》（以下简称《目录》）范围内的新建（含改扩建，下同）固定资产投资项目，都属于“两高”项目。沿黄重点地区严控“三高”项目范围中的“两高”项目范围以《目录》为准。建立“两高”项目认定机制，企业对是否为“两高”项目存在疑义的，可以向所在地县级发展改革部门提出认定申请，发展改革委部门视情况征求有关部门意见后出具认定，难以认定的可逐级上报。</w:t>
                  </w:r>
                </w:p>
              </w:tc>
              <w:tc>
                <w:tcPr>
                  <w:tcW w:w="821"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本项目不属于“两高”项目。</w:t>
                  </w:r>
                </w:p>
              </w:tc>
              <w:tc>
                <w:tcPr>
                  <w:tcW w:w="369"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09"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新建“两高”项目能耗、煤耗、碳排放、污染物排放替代源原则上限于规上企业，但替代源在省发展改革委、省工业和信息化厅、省生态环境厅、省统计局等有关部门公示公告的“两高”行业清单（企业或项目）且数据可监测、可统计、可复核、可验证的，可不限于规上企业</w:t>
                  </w:r>
                </w:p>
              </w:tc>
              <w:tc>
                <w:tcPr>
                  <w:tcW w:w="821"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本项目不属于“两高”项目。</w:t>
                  </w:r>
                </w:p>
              </w:tc>
              <w:tc>
                <w:tcPr>
                  <w:tcW w:w="369"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09"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项目建设单位要严格执行经有关部门审核同意的替代方案，不得弄虚作假、批小建大、批少建多。有关替代方案审核部门，要组织方案落实情况核查，不符合要求的不得投产，已经投产的停止生产，并限期整改。能耗、煤耗替代方案审核由发展改革部门负责，产能替代方案审核由工业和信息化部门负责，碳排放、污染物排放替代方案审核由生态环境部门负责。</w:t>
                  </w:r>
                </w:p>
              </w:tc>
              <w:tc>
                <w:tcPr>
                  <w:tcW w:w="821"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本项目各污染物排放量较小，对环境污染影响较小。</w:t>
                  </w:r>
                </w:p>
              </w:tc>
              <w:tc>
                <w:tcPr>
                  <w:tcW w:w="369"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09"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两高”行业能耗煤耗总量只减不增，是指《目录》规定的16个行业“两高”项目能耗煤耗总量只减不增。国家布局山东省的“两高”项目单独下达的能耗煤耗指标，以及其他争取国家单列的“两高”项目能耗煤耗指标，可按规定用于项目建设，不在总量只减不增范围。</w:t>
                  </w:r>
                </w:p>
              </w:tc>
              <w:tc>
                <w:tcPr>
                  <w:tcW w:w="821"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本项目不属于“两高”项目。</w:t>
                  </w:r>
                </w:p>
              </w:tc>
              <w:tc>
                <w:tcPr>
                  <w:tcW w:w="369"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09"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对新建煤电、炼化、钢铁、焦化、水泥、轮胎6类“两高”项目的立项实行提级审批，由省有关部门核准或备案，按照《企业投资项目核准和备案管理条例》《企业投资项目核准和备案管理办法》规定，履行核准备案程序，不出具窗口指导意见。对其他新建“两高”项目履行省级窗口指导程序，由省发展改革委出具窗口指导意见，市、县（市、区）有关部门根据窗口指导意见和项目管理权限办理立项手续。关于新上火力发电项目立项审批管理程序，省有关部门之前印发的规定，与本通知规定不一致的，以本通知为准。</w:t>
                  </w:r>
                </w:p>
              </w:tc>
              <w:tc>
                <w:tcPr>
                  <w:tcW w:w="821"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项目不属于</w:t>
                  </w:r>
                  <w:r>
                    <w:rPr>
                      <w:rFonts w:hint="default" w:ascii="Times New Roman" w:hAnsi="Times New Roman" w:eastAsia="宋体" w:cs="Times New Roman"/>
                      <w:color w:val="auto"/>
                      <w:sz w:val="21"/>
                      <w:szCs w:val="21"/>
                      <w:highlight w:val="none"/>
                      <w:lang w:val="en-US" w:eastAsia="zh-CN"/>
                    </w:rPr>
                    <w:t>煤电、炼化、钢铁、焦化、水泥、轮胎项目</w:t>
                  </w:r>
                  <w:r>
                    <w:rPr>
                      <w:rFonts w:hint="eastAsia" w:ascii="Times New Roman" w:hAnsi="Times New Roman" w:cs="Times New Roman"/>
                      <w:color w:val="auto"/>
                      <w:sz w:val="21"/>
                      <w:szCs w:val="21"/>
                      <w:highlight w:val="none"/>
                      <w:lang w:val="en-US" w:eastAsia="zh-CN"/>
                    </w:rPr>
                    <w:t>。</w:t>
                  </w:r>
                </w:p>
              </w:tc>
              <w:tc>
                <w:tcPr>
                  <w:tcW w:w="369" w:type="pct"/>
                  <w:tcBorders>
                    <w:tl2br w:val="nil"/>
                    <w:tr2bl w:val="nil"/>
                  </w:tcBorders>
                  <w:noWrap w:val="0"/>
                  <w:tcMar>
                    <w:top w:w="0" w:type="dxa"/>
                    <w:left w:w="28" w:type="dxa"/>
                    <w:bottom w:w="0" w:type="dxa"/>
                    <w:right w:w="28" w:type="dxa"/>
                  </w:tcMar>
                  <w:vAlign w:val="center"/>
                </w:tcPr>
                <w:p>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符合</w:t>
                  </w:r>
                </w:p>
              </w:tc>
            </w:tr>
          </w:tbl>
          <w:p>
            <w:pPr>
              <w:pStyle w:val="77"/>
              <w:keepNext w:val="0"/>
              <w:keepLines w:val="0"/>
              <w:pageBreakBefore w:val="0"/>
              <w:kinsoku/>
              <w:wordWrap/>
              <w:overflowPunct/>
              <w:topLinePunct w:val="0"/>
              <w:autoSpaceDE/>
              <w:autoSpaceDN/>
              <w:bidi w:val="0"/>
              <w:spacing w:line="360" w:lineRule="auto"/>
              <w:ind w:firstLine="480"/>
              <w:textAlignment w:val="auto"/>
              <w:rPr>
                <w:rFonts w:hint="eastAsia" w:cs="Times New Roman"/>
                <w:bCs/>
                <w:color w:val="auto"/>
                <w:sz w:val="24"/>
                <w:szCs w:val="24"/>
                <w:lang w:eastAsia="zh-CN"/>
              </w:rPr>
            </w:pPr>
            <w:r>
              <w:rPr>
                <w:rFonts w:hint="default" w:ascii="Times New Roman" w:hAnsi="Times New Roman" w:cs="Times New Roman"/>
                <w:bCs/>
                <w:color w:val="auto"/>
                <w:sz w:val="24"/>
                <w:szCs w:val="24"/>
              </w:rPr>
              <w:t>综上，拟建项目</w:t>
            </w:r>
            <w:r>
              <w:rPr>
                <w:rFonts w:hint="default" w:ascii="Times New Roman" w:hAnsi="Times New Roman" w:cs="Times New Roman"/>
                <w:bCs/>
                <w:color w:val="auto"/>
                <w:sz w:val="24"/>
                <w:szCs w:val="24"/>
                <w:lang w:eastAsia="zh-CN"/>
              </w:rPr>
              <w:t>不属于</w:t>
            </w:r>
            <w:r>
              <w:rPr>
                <w:rFonts w:hint="default" w:ascii="Times New Roman" w:hAnsi="Times New Roman" w:cs="Times New Roman"/>
                <w:bCs/>
                <w:color w:val="auto"/>
                <w:sz w:val="24"/>
                <w:szCs w:val="24"/>
                <w:lang w:val="en-US" w:eastAsia="zh-CN"/>
              </w:rPr>
              <w:t>“两高”项目，符合</w:t>
            </w:r>
            <w:r>
              <w:rPr>
                <w:rFonts w:hint="eastAsia" w:ascii="Times New Roman" w:hAnsi="Times New Roman" w:cs="Times New Roman"/>
                <w:bCs/>
                <w:color w:val="auto"/>
                <w:sz w:val="24"/>
                <w:szCs w:val="24"/>
                <w:lang w:val="en-US" w:eastAsia="zh-CN"/>
              </w:rPr>
              <w:t>《关于“两高”项目管理有关事项的通知》（鲁发改工业〔2022〕255号）</w:t>
            </w:r>
            <w:r>
              <w:rPr>
                <w:rFonts w:hint="default" w:ascii="Times New Roman" w:hAnsi="Times New Roman" w:cs="Times New Roman"/>
                <w:bCs/>
                <w:color w:val="auto"/>
                <w:sz w:val="24"/>
                <w:szCs w:val="24"/>
              </w:rPr>
              <w:t>要求</w:t>
            </w:r>
            <w:r>
              <w:rPr>
                <w:rFonts w:hint="eastAsia" w:cs="Times New Roman"/>
                <w:bCs/>
                <w:color w:val="auto"/>
                <w:sz w:val="24"/>
                <w:szCs w:val="24"/>
                <w:lang w:eastAsia="zh-CN"/>
              </w:rPr>
              <w:t>。</w:t>
            </w:r>
          </w:p>
          <w:p>
            <w:pPr>
              <w:pStyle w:val="77"/>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5</w:t>
            </w:r>
            <w:r>
              <w:rPr>
                <w:rFonts w:hint="eastAsia" w:ascii="Times New Roman" w:hAnsi="Times New Roman" w:eastAsia="宋体" w:cs="Times New Roman"/>
                <w:b w:val="0"/>
                <w:bCs/>
                <w:color w:val="auto"/>
                <w:sz w:val="24"/>
                <w:szCs w:val="24"/>
                <w:lang w:val="en-US" w:eastAsia="zh-CN"/>
              </w:rPr>
              <w:t>）与《山东省工业企业无组织排放分行业管控指导意见》（鲁环发[2020]30号）</w:t>
            </w:r>
            <w:r>
              <w:rPr>
                <w:rFonts w:hint="eastAsia" w:cs="Times New Roman"/>
                <w:b w:val="0"/>
                <w:bCs/>
                <w:color w:val="auto"/>
                <w:sz w:val="24"/>
                <w:szCs w:val="24"/>
                <w:lang w:val="en-US"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表1-1</w:t>
            </w:r>
            <w:r>
              <w:rPr>
                <w:rFonts w:hint="eastAsia" w:eastAsia="黑体" w:cs="Times New Roman"/>
                <w:b w:val="0"/>
                <w:bCs w:val="0"/>
                <w:color w:val="auto"/>
                <w:kern w:val="0"/>
                <w:sz w:val="24"/>
                <w:szCs w:val="24"/>
                <w:lang w:val="en-US" w:eastAsia="zh-CN"/>
              </w:rPr>
              <w:t>0</w:t>
            </w:r>
            <w:r>
              <w:rPr>
                <w:rFonts w:hint="eastAsia" w:ascii="Times New Roman" w:hAnsi="Times New Roman" w:eastAsia="黑体" w:cs="Times New Roman"/>
                <w:b w:val="0"/>
                <w:bCs w:val="0"/>
                <w:color w:val="auto"/>
                <w:kern w:val="0"/>
                <w:sz w:val="24"/>
                <w:szCs w:val="24"/>
                <w:lang w:val="en-US" w:eastAsia="zh-CN"/>
              </w:rPr>
              <w:t xml:space="preserve"> 本项目与（鲁环发[2020]30号）符合性分析</w:t>
            </w:r>
          </w:p>
          <w:tbl>
            <w:tblPr>
              <w:tblStyle w:val="26"/>
              <w:tblW w:w="4987"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711"/>
              <w:gridCol w:w="3943"/>
              <w:gridCol w:w="1285"/>
              <w:gridCol w:w="723"/>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92" w:type="pct"/>
                  <w:gridSpan w:val="2"/>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内容</w:t>
                  </w:r>
                </w:p>
              </w:tc>
              <w:tc>
                <w:tcPr>
                  <w:tcW w:w="964"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本项目情况</w:t>
                  </w:r>
                </w:p>
              </w:tc>
              <w:tc>
                <w:tcPr>
                  <w:tcW w:w="542"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符合性分析</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4"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加强物料运输、装卸环节管控</w:t>
                  </w:r>
                </w:p>
              </w:tc>
              <w:tc>
                <w:tcPr>
                  <w:tcW w:w="2957"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闲置裸露空地及时绿化或硬化，厂区道路定期洒水清扫。</w:t>
                  </w:r>
                </w:p>
              </w:tc>
              <w:tc>
                <w:tcPr>
                  <w:tcW w:w="964"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厂区内均为硬化路面</w:t>
                  </w:r>
                  <w:r>
                    <w:rPr>
                      <w:rFonts w:hint="eastAsia"/>
                      <w:color w:val="auto"/>
                      <w:szCs w:val="21"/>
                      <w:lang w:eastAsia="zh-CN"/>
                    </w:rPr>
                    <w:t>或绿化</w:t>
                  </w:r>
                  <w:r>
                    <w:rPr>
                      <w:color w:val="auto"/>
                      <w:szCs w:val="21"/>
                    </w:rPr>
                    <w:t>，不定时洒水降尘。</w:t>
                  </w:r>
                </w:p>
              </w:tc>
              <w:tc>
                <w:tcPr>
                  <w:tcW w:w="542"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4" w:type="pct"/>
                  <w:noWrap w:val="0"/>
                  <w:tcMar>
                    <w:top w:w="0" w:type="dxa"/>
                    <w:left w:w="28" w:type="dxa"/>
                    <w:bottom w:w="0" w:type="dxa"/>
                    <w:right w:w="28" w:type="dxa"/>
                  </w:tcMar>
                  <w:vAlign w:val="center"/>
                </w:tcPr>
                <w:p>
                  <w:pPr>
                    <w:jc w:val="center"/>
                    <w:rPr>
                      <w:color w:val="auto"/>
                      <w:szCs w:val="21"/>
                    </w:rPr>
                  </w:pPr>
                  <w:r>
                    <w:rPr>
                      <w:color w:val="auto"/>
                      <w:szCs w:val="21"/>
                    </w:rPr>
                    <w:t>加强物料储存、输送环节管控</w:t>
                  </w:r>
                </w:p>
              </w:tc>
              <w:tc>
                <w:tcPr>
                  <w:tcW w:w="2957" w:type="pct"/>
                  <w:noWrap w:val="0"/>
                  <w:tcMar>
                    <w:top w:w="0" w:type="dxa"/>
                    <w:left w:w="28" w:type="dxa"/>
                    <w:bottom w:w="0" w:type="dxa"/>
                    <w:right w:w="28" w:type="dxa"/>
                  </w:tcMar>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含挥发性有机物（VOCs）物料储存于密闭容器、包装袋，高效密封储罐，封闭式储库、料仓等；封闭式储库、料仓设置VOCs有效收集治理设施。含VOCs物料输送，采用密闭管道或密闭容器、罐车等。</w:t>
                  </w:r>
                </w:p>
              </w:tc>
              <w:tc>
                <w:tcPr>
                  <w:tcW w:w="964" w:type="pct"/>
                  <w:noWrap w:val="0"/>
                  <w:tcMar>
                    <w:top w:w="0" w:type="dxa"/>
                    <w:left w:w="28" w:type="dxa"/>
                    <w:bottom w:w="0" w:type="dxa"/>
                    <w:right w:w="28" w:type="dxa"/>
                  </w:tcMar>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本项目</w:t>
                  </w:r>
                  <w:r>
                    <w:rPr>
                      <w:rFonts w:hint="eastAsia" w:ascii="Times New Roman" w:hAnsi="Times New Roman" w:eastAsia="宋体" w:cs="Times New Roman"/>
                      <w:color w:val="auto"/>
                      <w:szCs w:val="21"/>
                      <w:lang w:eastAsia="zh-CN"/>
                    </w:rPr>
                    <w:t>物料均存放于密封储罐内</w:t>
                  </w:r>
                  <w:r>
                    <w:rPr>
                      <w:rFonts w:ascii="Times New Roman" w:hAnsi="Times New Roman" w:eastAsia="宋体" w:cs="Times New Roman"/>
                      <w:color w:val="auto"/>
                      <w:szCs w:val="21"/>
                    </w:rPr>
                    <w:t>。</w:t>
                  </w:r>
                </w:p>
              </w:tc>
              <w:tc>
                <w:tcPr>
                  <w:tcW w:w="542" w:type="pct"/>
                  <w:noWrap w:val="0"/>
                  <w:tcMar>
                    <w:top w:w="0" w:type="dxa"/>
                    <w:left w:w="28" w:type="dxa"/>
                    <w:bottom w:w="0" w:type="dxa"/>
                    <w:right w:w="28" w:type="dxa"/>
                  </w:tcMar>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4" w:type="pct"/>
                  <w:noWrap w:val="0"/>
                  <w:tcMar>
                    <w:top w:w="0" w:type="dxa"/>
                    <w:left w:w="28" w:type="dxa"/>
                    <w:bottom w:w="0" w:type="dxa"/>
                    <w:right w:w="28" w:type="dxa"/>
                  </w:tcMar>
                  <w:vAlign w:val="center"/>
                </w:tcPr>
                <w:p>
                  <w:pPr>
                    <w:jc w:val="center"/>
                    <w:rPr>
                      <w:color w:val="auto"/>
                      <w:szCs w:val="21"/>
                    </w:rPr>
                  </w:pPr>
                  <w:r>
                    <w:rPr>
                      <w:color w:val="auto"/>
                      <w:szCs w:val="21"/>
                    </w:rPr>
                    <w:t>加强生产环节管控</w:t>
                  </w:r>
                </w:p>
              </w:tc>
              <w:tc>
                <w:tcPr>
                  <w:tcW w:w="2957" w:type="pct"/>
                  <w:noWrap w:val="0"/>
                  <w:tcMar>
                    <w:top w:w="0" w:type="dxa"/>
                    <w:left w:w="28" w:type="dxa"/>
                    <w:bottom w:w="0" w:type="dxa"/>
                    <w:right w:w="28" w:type="dxa"/>
                  </w:tcMar>
                  <w:vAlign w:val="center"/>
                </w:tcPr>
                <w:p>
                  <w:pPr>
                    <w:jc w:val="center"/>
                    <w:rPr>
                      <w:color w:val="auto"/>
                      <w:szCs w:val="21"/>
                    </w:rPr>
                  </w:pPr>
                  <w:r>
                    <w:rPr>
                      <w:color w:val="auto"/>
                      <w:szCs w:val="21"/>
                    </w:rPr>
                    <w:t>通过提高工艺自动化和设备密闭化水平，减少生产过程中的无组织排放。生产过程中的产尘点和VOCs产生点密闭、封闭或采取有效收集处理措施。生产设备和废气收集处理设施同步运行，废气收集处理设施发生故障或检修时，停止运行对应的生产设备，待检修完毕后投入使用。生产设备不能停止或不能及时停止运行的，设置废气应急处理设施或采取其他替代措施。生产车间地面及生产设备表面保持清洁，除电子、电气原件外，不得采用压缩空气吹扫等易产生扬尘的清理措施。厂内污水收集、输送、处理，污泥产生、暂存、处置，危险废物暂存等产生VOCs或恶臭气体的区域加罩或加盖封闭并进行收集处理。涉VOCs化（试）验室实验平台设置负压集气系统，对化（试）验室中产生的废气进行集中收集治理。</w:t>
                  </w:r>
                </w:p>
              </w:tc>
              <w:tc>
                <w:tcPr>
                  <w:tcW w:w="964" w:type="pct"/>
                  <w:noWrap w:val="0"/>
                  <w:tcMar>
                    <w:top w:w="0" w:type="dxa"/>
                    <w:left w:w="28" w:type="dxa"/>
                    <w:bottom w:w="0" w:type="dxa"/>
                    <w:right w:w="28" w:type="dxa"/>
                  </w:tcMar>
                  <w:vAlign w:val="center"/>
                </w:tcPr>
                <w:p>
                  <w:pPr>
                    <w:jc w:val="center"/>
                    <w:rPr>
                      <w:color w:val="auto"/>
                      <w:szCs w:val="21"/>
                    </w:rPr>
                  </w:pPr>
                  <w:r>
                    <w:rPr>
                      <w:color w:val="auto"/>
                      <w:szCs w:val="21"/>
                    </w:rPr>
                    <w:t>项目</w:t>
                  </w:r>
                  <w:r>
                    <w:rPr>
                      <w:rFonts w:hint="eastAsia"/>
                      <w:color w:val="auto"/>
                      <w:szCs w:val="21"/>
                      <w:lang w:eastAsia="zh-CN"/>
                    </w:rPr>
                    <w:t>设</w:t>
                  </w:r>
                  <w:r>
                    <w:rPr>
                      <w:rFonts w:hint="eastAsia" w:ascii="Times New Roman" w:hAnsi="Times New Roman" w:eastAsia="宋体" w:cs="Times New Roman"/>
                      <w:color w:val="auto"/>
                      <w:szCs w:val="21"/>
                      <w:lang w:eastAsia="zh-CN"/>
                    </w:rPr>
                    <w:t>置油气回收及</w:t>
                  </w:r>
                  <w:r>
                    <w:rPr>
                      <w:rFonts w:hint="eastAsia" w:ascii="Times New Roman" w:hAnsi="Times New Roman" w:eastAsia="宋体" w:cs="Times New Roman"/>
                      <w:color w:val="auto"/>
                      <w:szCs w:val="21"/>
                      <w:lang w:val="en-US" w:eastAsia="zh-CN"/>
                    </w:rPr>
                    <w:t>RTO废气处理装置</w:t>
                  </w:r>
                  <w:r>
                    <w:rPr>
                      <w:rFonts w:hint="eastAsia" w:ascii="Times New Roman" w:hAnsi="Times New Roman" w:eastAsia="宋体" w:cs="Times New Roman"/>
                      <w:color w:val="auto"/>
                      <w:szCs w:val="21"/>
                      <w:lang w:eastAsia="zh-CN"/>
                    </w:rPr>
                    <w:t>对废气进行收</w:t>
                  </w:r>
                  <w:r>
                    <w:rPr>
                      <w:color w:val="auto"/>
                      <w:szCs w:val="21"/>
                    </w:rPr>
                    <w:t>集</w:t>
                  </w:r>
                  <w:r>
                    <w:rPr>
                      <w:rFonts w:hint="eastAsia"/>
                      <w:color w:val="auto"/>
                      <w:szCs w:val="21"/>
                      <w:lang w:eastAsia="zh-CN"/>
                    </w:rPr>
                    <w:t>后集中处理</w:t>
                  </w:r>
                  <w:r>
                    <w:rPr>
                      <w:bCs/>
                      <w:color w:val="auto"/>
                      <w:szCs w:val="21"/>
                    </w:rPr>
                    <w:t>。</w:t>
                  </w:r>
                </w:p>
              </w:tc>
              <w:tc>
                <w:tcPr>
                  <w:tcW w:w="542"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4" w:type="pct"/>
                  <w:noWrap w:val="0"/>
                  <w:tcMar>
                    <w:top w:w="0" w:type="dxa"/>
                    <w:left w:w="28" w:type="dxa"/>
                    <w:bottom w:w="0" w:type="dxa"/>
                    <w:right w:w="28" w:type="dxa"/>
                  </w:tcMar>
                  <w:vAlign w:val="center"/>
                </w:tcPr>
                <w:p>
                  <w:pPr>
                    <w:jc w:val="center"/>
                    <w:rPr>
                      <w:color w:val="auto"/>
                      <w:szCs w:val="21"/>
                    </w:rPr>
                  </w:pPr>
                  <w:r>
                    <w:rPr>
                      <w:color w:val="auto"/>
                      <w:szCs w:val="21"/>
                    </w:rPr>
                    <w:t>加强精细化管控</w:t>
                  </w:r>
                </w:p>
              </w:tc>
              <w:tc>
                <w:tcPr>
                  <w:tcW w:w="2957" w:type="pct"/>
                  <w:noWrap w:val="0"/>
                  <w:tcMar>
                    <w:top w:w="0" w:type="dxa"/>
                    <w:left w:w="28" w:type="dxa"/>
                    <w:bottom w:w="0" w:type="dxa"/>
                    <w:right w:w="28" w:type="dxa"/>
                  </w:tcMar>
                  <w:vAlign w:val="center"/>
                </w:tcPr>
                <w:p>
                  <w:pPr>
                    <w:jc w:val="center"/>
                    <w:rPr>
                      <w:color w:val="auto"/>
                      <w:szCs w:val="21"/>
                    </w:rPr>
                  </w:pPr>
                  <w:r>
                    <w:rPr>
                      <w:color w:val="auto"/>
                      <w:szCs w:val="21"/>
                    </w:rPr>
                    <w:t>针对各无组织排放环节，制定“一厂一策”深度治理方案。制定无组织排放治理设施操作规程，并建立管理台账，记录操作人员操作内容、运行、维护、检修和含VOCs物料使用回收等情况，记录保存期限不得少于三年。鼓励安装视频、空气微站等监控设施和综合监控信息平台，用于企业日常自我监督，逐步实现无组织排放向精细化和可量化管理方式转变。</w:t>
                  </w:r>
                </w:p>
              </w:tc>
              <w:tc>
                <w:tcPr>
                  <w:tcW w:w="964" w:type="pct"/>
                  <w:noWrap w:val="0"/>
                  <w:tcMar>
                    <w:top w:w="0" w:type="dxa"/>
                    <w:left w:w="28" w:type="dxa"/>
                    <w:bottom w:w="0" w:type="dxa"/>
                    <w:right w:w="28" w:type="dxa"/>
                  </w:tcMar>
                  <w:vAlign w:val="center"/>
                </w:tcPr>
                <w:p>
                  <w:pPr>
                    <w:jc w:val="center"/>
                    <w:rPr>
                      <w:color w:val="auto"/>
                      <w:szCs w:val="21"/>
                    </w:rPr>
                  </w:pPr>
                  <w:r>
                    <w:rPr>
                      <w:color w:val="auto"/>
                      <w:szCs w:val="21"/>
                    </w:rPr>
                    <w:t>项目</w:t>
                  </w:r>
                  <w:r>
                    <w:rPr>
                      <w:rFonts w:hint="eastAsia"/>
                      <w:color w:val="auto"/>
                      <w:szCs w:val="21"/>
                      <w:lang w:eastAsia="zh-CN"/>
                    </w:rPr>
                    <w:t>设</w:t>
                  </w:r>
                  <w:r>
                    <w:rPr>
                      <w:rFonts w:hint="eastAsia" w:ascii="Times New Roman" w:hAnsi="Times New Roman" w:eastAsia="宋体" w:cs="Times New Roman"/>
                      <w:color w:val="auto"/>
                      <w:szCs w:val="21"/>
                      <w:lang w:eastAsia="zh-CN"/>
                    </w:rPr>
                    <w:t>置油气回收及</w:t>
                  </w:r>
                  <w:r>
                    <w:rPr>
                      <w:rFonts w:hint="eastAsia" w:ascii="Times New Roman" w:hAnsi="Times New Roman" w:eastAsia="宋体" w:cs="Times New Roman"/>
                      <w:color w:val="auto"/>
                      <w:szCs w:val="21"/>
                      <w:lang w:val="en-US" w:eastAsia="zh-CN"/>
                    </w:rPr>
                    <w:t>RTO废气处理装置</w:t>
                  </w:r>
                  <w:r>
                    <w:rPr>
                      <w:rFonts w:hint="eastAsia" w:ascii="Times New Roman" w:hAnsi="Times New Roman" w:eastAsia="宋体" w:cs="Times New Roman"/>
                      <w:color w:val="auto"/>
                      <w:szCs w:val="21"/>
                      <w:lang w:eastAsia="zh-CN"/>
                    </w:rPr>
                    <w:t>对废气进行收</w:t>
                  </w:r>
                  <w:r>
                    <w:rPr>
                      <w:color w:val="auto"/>
                      <w:szCs w:val="21"/>
                    </w:rPr>
                    <w:t>集</w:t>
                  </w:r>
                  <w:r>
                    <w:rPr>
                      <w:rFonts w:hint="eastAsia"/>
                      <w:color w:val="auto"/>
                      <w:szCs w:val="21"/>
                      <w:lang w:eastAsia="zh-CN"/>
                    </w:rPr>
                    <w:t>后集中处理</w:t>
                  </w:r>
                  <w:r>
                    <w:rPr>
                      <w:bCs/>
                      <w:color w:val="auto"/>
                      <w:szCs w:val="21"/>
                    </w:rPr>
                    <w:t>。</w:t>
                  </w:r>
                </w:p>
              </w:tc>
              <w:tc>
                <w:tcPr>
                  <w:tcW w:w="542"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符合</w:t>
                  </w:r>
                </w:p>
              </w:tc>
            </w:tr>
          </w:tbl>
          <w:p>
            <w:pPr>
              <w:pStyle w:val="77"/>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根据上表分析，项目建设符合《山东省工业企业无组织排放分行业管控指导意见》（鲁环发[2020]30号）的相关要求。</w:t>
            </w:r>
          </w:p>
          <w:p>
            <w:pPr>
              <w:pStyle w:val="77"/>
              <w:keepNext w:val="0"/>
              <w:keepLines w:val="0"/>
              <w:pageBreakBefore w:val="0"/>
              <w:kinsoku/>
              <w:wordWrap/>
              <w:overflowPunct/>
              <w:topLinePunct w:val="0"/>
              <w:autoSpaceDE/>
              <w:autoSpaceDN/>
              <w:bidi w:val="0"/>
              <w:spacing w:line="360" w:lineRule="auto"/>
              <w:ind w:firstLine="480"/>
              <w:jc w:val="both"/>
              <w:textAlignment w:val="auto"/>
              <w:rPr>
                <w:rFonts w:hint="eastAsia" w:ascii="Times New Roman" w:hAnsi="Times New Roman" w:eastAsia="宋体" w:cs="Times New Roman"/>
                <w:b w:val="0"/>
                <w:bCs/>
                <w:color w:val="auto"/>
                <w:sz w:val="24"/>
                <w:szCs w:val="24"/>
                <w:lang w:val="zh-CN" w:eastAsia="zh-CN"/>
              </w:rPr>
            </w:pPr>
            <w:r>
              <w:rPr>
                <w:rFonts w:hint="eastAsia"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6</w:t>
            </w:r>
            <w:r>
              <w:rPr>
                <w:rFonts w:hint="eastAsia"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与</w:t>
            </w:r>
            <w:r>
              <w:rPr>
                <w:rFonts w:hint="eastAsia" w:ascii="Times New Roman" w:hAnsi="Times New Roman" w:eastAsia="宋体" w:cs="Times New Roman"/>
                <w:b w:val="0"/>
                <w:bCs/>
                <w:color w:val="auto"/>
                <w:sz w:val="24"/>
                <w:szCs w:val="24"/>
                <w:lang w:val="en-US" w:eastAsia="zh-CN"/>
              </w:rPr>
              <w:t>《挥发性有机物无组织排放控制标准》（GB37822-2019）</w:t>
            </w:r>
            <w:r>
              <w:rPr>
                <w:rFonts w:hint="eastAsia" w:cs="Times New Roman"/>
                <w:b w:val="0"/>
                <w:bCs/>
                <w:color w:val="auto"/>
                <w:sz w:val="24"/>
                <w:szCs w:val="24"/>
                <w:lang w:val="en-US"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zh-CN" w:eastAsia="zh-CN"/>
              </w:rPr>
            </w:pPr>
            <w:r>
              <w:rPr>
                <w:rFonts w:hint="eastAsia" w:ascii="Times New Roman" w:hAnsi="Times New Roman" w:eastAsia="黑体" w:cs="Times New Roman"/>
                <w:b w:val="0"/>
                <w:bCs w:val="0"/>
                <w:color w:val="auto"/>
                <w:kern w:val="0"/>
                <w:sz w:val="24"/>
                <w:szCs w:val="24"/>
                <w:lang w:val="zh-CN" w:eastAsia="zh-CN"/>
              </w:rPr>
              <w:t>表</w:t>
            </w:r>
            <w:r>
              <w:rPr>
                <w:rFonts w:hint="eastAsia" w:ascii="Times New Roman" w:hAnsi="Times New Roman" w:eastAsia="黑体" w:cs="Times New Roman"/>
                <w:b w:val="0"/>
                <w:bCs w:val="0"/>
                <w:color w:val="auto"/>
                <w:kern w:val="0"/>
                <w:sz w:val="24"/>
                <w:szCs w:val="24"/>
                <w:lang w:val="en-US" w:eastAsia="zh-CN"/>
              </w:rPr>
              <w:t>1-1</w:t>
            </w:r>
            <w:r>
              <w:rPr>
                <w:rFonts w:hint="eastAsia" w:eastAsia="黑体" w:cs="Times New Roman"/>
                <w:b w:val="0"/>
                <w:bCs w:val="0"/>
                <w:color w:val="auto"/>
                <w:kern w:val="0"/>
                <w:sz w:val="24"/>
                <w:szCs w:val="24"/>
                <w:lang w:val="en-US" w:eastAsia="zh-CN"/>
              </w:rPr>
              <w:t>1</w:t>
            </w:r>
            <w:r>
              <w:rPr>
                <w:rFonts w:hint="eastAsia" w:ascii="Times New Roman" w:hAnsi="Times New Roman" w:eastAsia="黑体" w:cs="Times New Roman"/>
                <w:b w:val="0"/>
                <w:bCs w:val="0"/>
                <w:color w:val="auto"/>
                <w:kern w:val="0"/>
                <w:sz w:val="24"/>
                <w:szCs w:val="24"/>
                <w:lang w:val="en-US" w:eastAsia="zh-CN"/>
              </w:rPr>
              <w:t xml:space="preserve"> 项目与《挥发性有机物无组织排放控制标准》（GB37822-2019）的符合性分析</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
              <w:gridCol w:w="4195"/>
              <w:gridCol w:w="1640"/>
              <w:gridCol w:w="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13"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序号</w:t>
                  </w:r>
                </w:p>
              </w:tc>
              <w:tc>
                <w:tcPr>
                  <w:tcW w:w="3144"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color w:val="auto"/>
                      <w:szCs w:val="21"/>
                    </w:rPr>
                    <w:t>文件要求</w:t>
                  </w:r>
                </w:p>
              </w:tc>
              <w:tc>
                <w:tcPr>
                  <w:tcW w:w="1229"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项目情况</w:t>
                  </w:r>
                </w:p>
              </w:tc>
              <w:tc>
                <w:tcPr>
                  <w:tcW w:w="313"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3" w:hRule="atLeast"/>
                <w:jc w:val="center"/>
              </w:trPr>
              <w:tc>
                <w:tcPr>
                  <w:tcW w:w="313"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1</w:t>
                  </w:r>
                </w:p>
              </w:tc>
              <w:tc>
                <w:tcPr>
                  <w:tcW w:w="3144"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VOCs</w:t>
                  </w:r>
                  <w:r>
                    <w:rPr>
                      <w:rFonts w:hint="eastAsia"/>
                      <w:color w:val="auto"/>
                      <w:szCs w:val="21"/>
                    </w:rPr>
                    <w:t>废气收集处理系统应与生产工艺设备同步运行。</w:t>
                  </w:r>
                  <w:r>
                    <w:rPr>
                      <w:color w:val="auto"/>
                      <w:szCs w:val="21"/>
                    </w:rPr>
                    <w:t>VOCs</w:t>
                  </w:r>
                  <w:r>
                    <w:rPr>
                      <w:rFonts w:hint="eastAsia"/>
                      <w:color w:val="auto"/>
                      <w:szCs w:val="21"/>
                    </w:rPr>
                    <w:t>废气收集处理系统发生故障或检修时，对应的生产工艺设备应停止运行，待检修完毕后同步投入使用；生产工艺设备不能停止运行或不能及时停止运行的，应设置废气应急处理设施或采取其他替代措施。</w:t>
                  </w:r>
                </w:p>
              </w:tc>
              <w:tc>
                <w:tcPr>
                  <w:tcW w:w="1229"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color w:val="auto"/>
                      <w:szCs w:val="21"/>
                    </w:rPr>
                    <w:t>VOCs</w:t>
                  </w:r>
                  <w:r>
                    <w:rPr>
                      <w:rFonts w:hint="eastAsia"/>
                      <w:color w:val="auto"/>
                      <w:szCs w:val="21"/>
                    </w:rPr>
                    <w:t>废气收集处理系统与生产工艺设备同步运行。</w:t>
                  </w:r>
                </w:p>
              </w:tc>
              <w:tc>
                <w:tcPr>
                  <w:tcW w:w="313"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2" w:hRule="atLeast"/>
                <w:jc w:val="center"/>
              </w:trPr>
              <w:tc>
                <w:tcPr>
                  <w:tcW w:w="313"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2</w:t>
                  </w:r>
                </w:p>
              </w:tc>
              <w:tc>
                <w:tcPr>
                  <w:tcW w:w="3144" w:type="pct"/>
                  <w:noWrap w:val="0"/>
                  <w:tcMar>
                    <w:top w:w="0" w:type="dxa"/>
                    <w:left w:w="28" w:type="dxa"/>
                    <w:bottom w:w="0" w:type="dxa"/>
                    <w:right w:w="28" w:type="dxa"/>
                  </w:tcMar>
                  <w:vAlign w:val="center"/>
                </w:tcPr>
                <w:p>
                  <w:pPr>
                    <w:adjustRightInd w:val="0"/>
                    <w:snapToGrid w:val="0"/>
                    <w:jc w:val="center"/>
                    <w:rPr>
                      <w:color w:val="auto"/>
                      <w:szCs w:val="21"/>
                    </w:rPr>
                  </w:pPr>
                  <w:r>
                    <w:rPr>
                      <w:rFonts w:hint="eastAsia"/>
                      <w:color w:val="auto"/>
                      <w:szCs w:val="21"/>
                    </w:rPr>
                    <w:t>废气收集系统排风罩（集气罩）的设置应符合GB/T 16758的规定。采用外部排风罩的，应按GB/T 16758、AQ/T 4274-2016规定的方法测量控制风速，测量点应选取在距排风罩开口面最远处的</w:t>
                  </w:r>
                  <w:r>
                    <w:rPr>
                      <w:color w:val="auto"/>
                      <w:szCs w:val="21"/>
                    </w:rPr>
                    <w:t>VOCs</w:t>
                  </w:r>
                  <w:r>
                    <w:rPr>
                      <w:rFonts w:hint="eastAsia"/>
                      <w:color w:val="auto"/>
                      <w:szCs w:val="21"/>
                    </w:rPr>
                    <w:t>无组织排放位置，控制风速不应低于0.3m/s（行业相关规范有具体规定的，按相关规定执行）。</w:t>
                  </w:r>
                </w:p>
              </w:tc>
              <w:tc>
                <w:tcPr>
                  <w:tcW w:w="1229"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本项目</w:t>
                  </w:r>
                  <w:r>
                    <w:rPr>
                      <w:rFonts w:hint="eastAsia"/>
                      <w:color w:val="auto"/>
                      <w:szCs w:val="21"/>
                      <w:lang w:eastAsia="zh-CN"/>
                    </w:rPr>
                    <w:t>废气收集</w:t>
                  </w:r>
                  <w:r>
                    <w:rPr>
                      <w:rFonts w:hint="eastAsia"/>
                      <w:color w:val="auto"/>
                      <w:szCs w:val="21"/>
                    </w:rPr>
                    <w:t>严格按照GB/T 16758的规定执行。</w:t>
                  </w:r>
                </w:p>
              </w:tc>
              <w:tc>
                <w:tcPr>
                  <w:tcW w:w="313"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3" w:hRule="atLeast"/>
                <w:jc w:val="center"/>
              </w:trPr>
              <w:tc>
                <w:tcPr>
                  <w:tcW w:w="313"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3</w:t>
                  </w:r>
                </w:p>
              </w:tc>
              <w:tc>
                <w:tcPr>
                  <w:tcW w:w="3144" w:type="pct"/>
                  <w:noWrap w:val="0"/>
                  <w:tcMar>
                    <w:top w:w="0" w:type="dxa"/>
                    <w:left w:w="28" w:type="dxa"/>
                    <w:bottom w:w="0" w:type="dxa"/>
                    <w:right w:w="28" w:type="dxa"/>
                  </w:tcMar>
                  <w:vAlign w:val="center"/>
                </w:tcPr>
                <w:p>
                  <w:pPr>
                    <w:adjustRightInd w:val="0"/>
                    <w:snapToGrid w:val="0"/>
                    <w:jc w:val="center"/>
                    <w:rPr>
                      <w:color w:val="auto"/>
                      <w:szCs w:val="21"/>
                    </w:rPr>
                  </w:pPr>
                  <w:r>
                    <w:rPr>
                      <w:rFonts w:hint="eastAsia"/>
                      <w:color w:val="auto"/>
                      <w:szCs w:val="21"/>
                    </w:rPr>
                    <w:t>废气收集系统的输送管道应密闭。废气收集系统应在负压下运行，若处于正压状态，应对输送管道组件的密封点进行泄漏检测，泄漏检测值不应超过500μmol/mol，亦不应有感官可察觉泄漏。泄漏检测频次、修复与记录的要求按照第8章规定执行。</w:t>
                  </w:r>
                </w:p>
              </w:tc>
              <w:tc>
                <w:tcPr>
                  <w:tcW w:w="1229" w:type="pct"/>
                  <w:noWrap w:val="0"/>
                  <w:tcMar>
                    <w:top w:w="0" w:type="dxa"/>
                    <w:left w:w="28" w:type="dxa"/>
                    <w:bottom w:w="0" w:type="dxa"/>
                    <w:right w:w="28" w:type="dxa"/>
                  </w:tcMar>
                  <w:vAlign w:val="center"/>
                </w:tcPr>
                <w:p>
                  <w:pPr>
                    <w:adjustRightInd w:val="0"/>
                    <w:snapToGrid w:val="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本项目废气收集系统所用管道采用密闭输送管道。</w:t>
                  </w:r>
                </w:p>
              </w:tc>
              <w:tc>
                <w:tcPr>
                  <w:tcW w:w="313"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3"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4</w:t>
                  </w:r>
                </w:p>
              </w:tc>
              <w:tc>
                <w:tcPr>
                  <w:tcW w:w="3144" w:type="pct"/>
                  <w:noWrap w:val="0"/>
                  <w:tcMar>
                    <w:top w:w="0" w:type="dxa"/>
                    <w:left w:w="28" w:type="dxa"/>
                    <w:bottom w:w="0" w:type="dxa"/>
                    <w:right w:w="28" w:type="dxa"/>
                  </w:tcMar>
                  <w:vAlign w:val="center"/>
                </w:tcPr>
                <w:p>
                  <w:pPr>
                    <w:adjustRightInd w:val="0"/>
                    <w:snapToGrid w:val="0"/>
                    <w:jc w:val="center"/>
                    <w:rPr>
                      <w:color w:val="auto"/>
                      <w:szCs w:val="21"/>
                    </w:rPr>
                  </w:pPr>
                  <w:r>
                    <w:rPr>
                      <w:color w:val="auto"/>
                      <w:szCs w:val="21"/>
                    </w:rPr>
                    <w:t>VOCs</w:t>
                  </w:r>
                  <w:r>
                    <w:rPr>
                      <w:rFonts w:hint="eastAsia"/>
                      <w:color w:val="auto"/>
                      <w:szCs w:val="21"/>
                    </w:rPr>
                    <w:t>废气收集处理系统污染物排放应符合GB 16297或相关行业排放标准的规定。</w:t>
                  </w:r>
                </w:p>
              </w:tc>
              <w:tc>
                <w:tcPr>
                  <w:tcW w:w="1229" w:type="pct"/>
                  <w:noWrap w:val="0"/>
                  <w:tcMar>
                    <w:top w:w="0" w:type="dxa"/>
                    <w:left w:w="28" w:type="dxa"/>
                    <w:bottom w:w="0" w:type="dxa"/>
                    <w:right w:w="28" w:type="dxa"/>
                  </w:tcMar>
                  <w:vAlign w:val="center"/>
                </w:tcPr>
                <w:p>
                  <w:pPr>
                    <w:adjustRightInd w:val="0"/>
                    <w:snapToGrid w:val="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VOCs废气收集处理系统污染物排放满足</w:t>
                  </w:r>
                  <w:r>
                    <w:rPr>
                      <w:rFonts w:hint="eastAsia" w:ascii="Times New Roman" w:hAnsi="Times New Roman" w:eastAsia="宋体" w:cs="Times New Roman"/>
                      <w:color w:val="auto"/>
                      <w:szCs w:val="21"/>
                      <w:lang w:val="en-US" w:eastAsia="zh-CN"/>
                    </w:rPr>
                    <w:t>《挥发性有机物排放标准 第7部分：其他行业》（DB 37/ 2801.7-2019）</w:t>
                  </w:r>
                  <w:r>
                    <w:rPr>
                      <w:rFonts w:hint="eastAsia" w:ascii="Times New Roman" w:hAnsi="Times New Roman" w:eastAsia="宋体" w:cs="Times New Roman"/>
                      <w:color w:val="auto"/>
                      <w:szCs w:val="21"/>
                    </w:rPr>
                    <w:t>中的VOCs排放限值。</w:t>
                  </w:r>
                </w:p>
              </w:tc>
              <w:tc>
                <w:tcPr>
                  <w:tcW w:w="313" w:type="pct"/>
                  <w:noWrap w:val="0"/>
                  <w:tcMar>
                    <w:top w:w="0" w:type="dxa"/>
                    <w:left w:w="28" w:type="dxa"/>
                    <w:bottom w:w="0" w:type="dxa"/>
                    <w:right w:w="28" w:type="dxa"/>
                  </w:tcMar>
                  <w:vAlign w:val="center"/>
                </w:tcPr>
                <w:p>
                  <w:pPr>
                    <w:adjustRightInd w:val="0"/>
                    <w:snapToGrid w:val="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313"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5</w:t>
                  </w:r>
                </w:p>
              </w:tc>
              <w:tc>
                <w:tcPr>
                  <w:tcW w:w="3144"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收集的废气中NMHC初始排放速率≥3kg/h时，应配置</w:t>
                  </w:r>
                  <w:r>
                    <w:rPr>
                      <w:color w:val="auto"/>
                      <w:szCs w:val="21"/>
                    </w:rPr>
                    <w:t>VOCs</w:t>
                  </w:r>
                  <w:r>
                    <w:rPr>
                      <w:rFonts w:hint="eastAsia"/>
                      <w:color w:val="auto"/>
                      <w:szCs w:val="21"/>
                    </w:rPr>
                    <w:t>处理设施，处理效率不应低于80%；对于重点地区，收集的废气中NMHC初始排放速率≥2kg/h时，应配置</w:t>
                  </w:r>
                  <w:r>
                    <w:rPr>
                      <w:color w:val="auto"/>
                      <w:szCs w:val="21"/>
                    </w:rPr>
                    <w:t>VOCs</w:t>
                  </w:r>
                  <w:r>
                    <w:rPr>
                      <w:rFonts w:hint="eastAsia"/>
                      <w:color w:val="auto"/>
                      <w:szCs w:val="21"/>
                    </w:rPr>
                    <w:t>处理设施，处理效率不应低于80%；采用的原辅材料符合国家有关低</w:t>
                  </w:r>
                  <w:r>
                    <w:rPr>
                      <w:color w:val="auto"/>
                      <w:szCs w:val="21"/>
                    </w:rPr>
                    <w:t>VOCs</w:t>
                  </w:r>
                  <w:r>
                    <w:rPr>
                      <w:rFonts w:hint="eastAsia"/>
                      <w:color w:val="auto"/>
                      <w:szCs w:val="21"/>
                    </w:rPr>
                    <w:t>含量产品规定的除外。</w:t>
                  </w:r>
                </w:p>
              </w:tc>
              <w:tc>
                <w:tcPr>
                  <w:tcW w:w="1229"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本项目采用</w:t>
                  </w:r>
                  <w:r>
                    <w:rPr>
                      <w:rFonts w:hint="eastAsia" w:ascii="Times New Roman" w:hAnsi="Times New Roman" w:eastAsia="宋体" w:cs="Times New Roman"/>
                      <w:color w:val="auto"/>
                      <w:szCs w:val="21"/>
                      <w:lang w:eastAsia="zh-CN"/>
                    </w:rPr>
                    <w:t>油气回收及</w:t>
                  </w:r>
                  <w:r>
                    <w:rPr>
                      <w:rFonts w:hint="eastAsia" w:ascii="Times New Roman" w:hAnsi="Times New Roman" w:eastAsia="宋体" w:cs="Times New Roman"/>
                      <w:color w:val="auto"/>
                      <w:szCs w:val="21"/>
                      <w:lang w:val="en-US" w:eastAsia="zh-CN"/>
                    </w:rPr>
                    <w:t>RTO废气处理装置</w:t>
                  </w:r>
                  <w:r>
                    <w:rPr>
                      <w:rFonts w:hint="eastAsia"/>
                      <w:color w:val="auto"/>
                      <w:szCs w:val="21"/>
                    </w:rPr>
                    <w:t>，处理效率不低于80%。</w:t>
                  </w:r>
                </w:p>
              </w:tc>
              <w:tc>
                <w:tcPr>
                  <w:tcW w:w="313"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3"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6</w:t>
                  </w:r>
                </w:p>
              </w:tc>
              <w:tc>
                <w:tcPr>
                  <w:tcW w:w="3144" w:type="pct"/>
                  <w:noWrap w:val="0"/>
                  <w:tcMar>
                    <w:top w:w="0" w:type="dxa"/>
                    <w:left w:w="28" w:type="dxa"/>
                    <w:bottom w:w="0" w:type="dxa"/>
                    <w:right w:w="28" w:type="dxa"/>
                  </w:tcMar>
                  <w:vAlign w:val="center"/>
                </w:tcPr>
                <w:p>
                  <w:pPr>
                    <w:adjustRightInd w:val="0"/>
                    <w:snapToGrid w:val="0"/>
                    <w:jc w:val="center"/>
                    <w:rPr>
                      <w:color w:val="auto"/>
                      <w:szCs w:val="21"/>
                    </w:rPr>
                  </w:pPr>
                  <w:r>
                    <w:rPr>
                      <w:rFonts w:hint="eastAsia"/>
                      <w:color w:val="auto"/>
                      <w:szCs w:val="21"/>
                    </w:rPr>
                    <w:t>排气筒高度不低于15m（因安全考虑或有特殊工艺要求的除外），具体高度以及周围建筑物的相对高度关系应根据环境影响评价文件确定。</w:t>
                  </w:r>
                </w:p>
              </w:tc>
              <w:tc>
                <w:tcPr>
                  <w:tcW w:w="1229"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本项目</w:t>
                  </w:r>
                  <w:r>
                    <w:rPr>
                      <w:rFonts w:hint="eastAsia" w:ascii="Times New Roman" w:hAnsi="Times New Roman" w:eastAsia="宋体" w:cs="Times New Roman"/>
                      <w:b w:val="0"/>
                      <w:bCs w:val="0"/>
                      <w:color w:val="auto"/>
                      <w:sz w:val="21"/>
                      <w:szCs w:val="21"/>
                    </w:rPr>
                    <w:t>VOCs</w:t>
                  </w:r>
                  <w:r>
                    <w:rPr>
                      <w:rFonts w:hint="eastAsia" w:ascii="Times New Roman" w:hAnsi="Times New Roman" w:eastAsia="宋体" w:cs="Times New Roman"/>
                      <w:b w:val="0"/>
                      <w:bCs w:val="0"/>
                      <w:color w:val="auto"/>
                      <w:sz w:val="21"/>
                      <w:szCs w:val="21"/>
                      <w:lang w:eastAsia="zh-CN"/>
                    </w:rPr>
                    <w:t>治理设施</w:t>
                  </w:r>
                  <w:r>
                    <w:rPr>
                      <w:rFonts w:ascii="Times New Roman" w:hAnsi="Times New Roman" w:eastAsia="宋体" w:cs="Times New Roman"/>
                      <w:b w:val="0"/>
                      <w:bCs w:val="0"/>
                      <w:color w:val="auto"/>
                      <w:sz w:val="21"/>
                      <w:szCs w:val="21"/>
                    </w:rPr>
                    <w:t>排气筒</w:t>
                  </w:r>
                  <w:r>
                    <w:rPr>
                      <w:rFonts w:hint="eastAsia"/>
                      <w:color w:val="auto"/>
                      <w:szCs w:val="21"/>
                    </w:rPr>
                    <w:t>高度为15米。</w:t>
                  </w:r>
                </w:p>
              </w:tc>
              <w:tc>
                <w:tcPr>
                  <w:tcW w:w="313" w:type="pct"/>
                  <w:noWrap w:val="0"/>
                  <w:tcMar>
                    <w:top w:w="0" w:type="dxa"/>
                    <w:left w:w="28" w:type="dxa"/>
                    <w:bottom w:w="0" w:type="dxa"/>
                    <w:right w:w="28" w:type="dxa"/>
                  </w:tcMar>
                  <w:vAlign w:val="center"/>
                </w:tcPr>
                <w:p>
                  <w:pPr>
                    <w:adjustRightInd w:val="0"/>
                    <w:snapToGrid w:val="0"/>
                    <w:jc w:val="center"/>
                    <w:rPr>
                      <w:rFonts w:hint="eastAsia"/>
                      <w:color w:val="auto"/>
                      <w:szCs w:val="21"/>
                    </w:rPr>
                  </w:pPr>
                  <w:r>
                    <w:rPr>
                      <w:rFonts w:hint="eastAsia"/>
                      <w:color w:val="auto"/>
                      <w:szCs w:val="21"/>
                    </w:rPr>
                    <w:t>符合</w:t>
                  </w:r>
                </w:p>
              </w:tc>
            </w:tr>
          </w:tbl>
          <w:p>
            <w:pPr>
              <w:pStyle w:val="77"/>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由上表分析可知，本项目符合《挥发性有机物无组织排放控制标准》（GB37822-2019）的要求。</w:t>
            </w:r>
          </w:p>
          <w:p>
            <w:pPr>
              <w:pStyle w:val="77"/>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（7）</w:t>
            </w:r>
            <w:r>
              <w:rPr>
                <w:rFonts w:hint="eastAsia" w:cs="Times New Roman"/>
                <w:b w:val="0"/>
                <w:bCs/>
                <w:color w:val="auto"/>
                <w:sz w:val="24"/>
                <w:szCs w:val="24"/>
                <w:lang w:val="en-US" w:eastAsia="zh-CN"/>
              </w:rPr>
              <w:t>与</w:t>
            </w:r>
            <w:r>
              <w:rPr>
                <w:rFonts w:hint="eastAsia" w:ascii="Times New Roman" w:hAnsi="Times New Roman" w:eastAsia="宋体" w:cs="Times New Roman"/>
                <w:b w:val="0"/>
                <w:bCs/>
                <w:color w:val="auto"/>
                <w:sz w:val="24"/>
                <w:szCs w:val="24"/>
                <w:lang w:val="en-US" w:eastAsia="zh-CN"/>
              </w:rPr>
              <w:t>《2020年挥发性有机物治理攻坚方案》（环大气[2020]33号）</w:t>
            </w:r>
            <w:r>
              <w:rPr>
                <w:rFonts w:hint="eastAsia" w:cs="Times New Roman"/>
                <w:b w:val="0"/>
                <w:bCs/>
                <w:color w:val="auto"/>
                <w:sz w:val="24"/>
                <w:szCs w:val="24"/>
                <w:lang w:val="en-US"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zh-CN" w:eastAsia="zh-CN"/>
              </w:rPr>
            </w:pPr>
            <w:r>
              <w:rPr>
                <w:rFonts w:hint="eastAsia" w:ascii="Times New Roman" w:hAnsi="Times New Roman" w:eastAsia="黑体" w:cs="Times New Roman"/>
                <w:b w:val="0"/>
                <w:bCs w:val="0"/>
                <w:color w:val="auto"/>
                <w:kern w:val="0"/>
                <w:sz w:val="24"/>
                <w:szCs w:val="24"/>
                <w:lang w:val="zh-CN" w:eastAsia="zh-CN"/>
              </w:rPr>
              <w:t>表1-</w:t>
            </w:r>
            <w:r>
              <w:rPr>
                <w:rFonts w:hint="eastAsia" w:ascii="Times New Roman" w:hAnsi="Times New Roman" w:eastAsia="黑体" w:cs="Times New Roman"/>
                <w:b w:val="0"/>
                <w:bCs w:val="0"/>
                <w:color w:val="auto"/>
                <w:kern w:val="0"/>
                <w:sz w:val="24"/>
                <w:szCs w:val="24"/>
                <w:lang w:val="en-US" w:eastAsia="zh-CN"/>
              </w:rPr>
              <w:t>1</w:t>
            </w:r>
            <w:r>
              <w:rPr>
                <w:rFonts w:hint="eastAsia" w:eastAsia="黑体" w:cs="Times New Roman"/>
                <w:b w:val="0"/>
                <w:bCs w:val="0"/>
                <w:color w:val="auto"/>
                <w:kern w:val="0"/>
                <w:sz w:val="24"/>
                <w:szCs w:val="24"/>
                <w:lang w:val="en-US" w:eastAsia="zh-CN"/>
              </w:rPr>
              <w:t>2</w:t>
            </w:r>
            <w:r>
              <w:rPr>
                <w:rFonts w:hint="eastAsia" w:ascii="Times New Roman" w:hAnsi="Times New Roman" w:eastAsia="黑体" w:cs="Times New Roman"/>
                <w:b w:val="0"/>
                <w:bCs w:val="0"/>
                <w:color w:val="auto"/>
                <w:kern w:val="0"/>
                <w:sz w:val="24"/>
                <w:szCs w:val="24"/>
                <w:lang w:val="zh-CN" w:eastAsia="zh-CN"/>
              </w:rPr>
              <w:t xml:space="preserve"> 项目与《2020年挥发性有机物治理攻坚方案》（环大气[2020]33号）符合性分析</w:t>
            </w:r>
          </w:p>
          <w:tbl>
            <w:tblPr>
              <w:tblStyle w:val="26"/>
              <w:tblW w:w="4973"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569"/>
              <w:gridCol w:w="4700"/>
              <w:gridCol w:w="805"/>
              <w:gridCol w:w="569"/>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0" w:type="dxa"/>
                  <w:noWrap w:val="0"/>
                  <w:tcMar>
                    <w:top w:w="0" w:type="dxa"/>
                    <w:left w:w="28" w:type="dxa"/>
                    <w:bottom w:w="0" w:type="dxa"/>
                    <w:right w:w="28" w:type="dxa"/>
                  </w:tcMar>
                  <w:vAlign w:val="center"/>
                </w:tcPr>
                <w:p>
                  <w:pPr>
                    <w:pStyle w:val="13"/>
                    <w:spacing w:after="0"/>
                    <w:ind w:left="0" w:leftChars="0" w:firstLine="0" w:firstLineChars="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工作目标</w:t>
                  </w:r>
                </w:p>
              </w:tc>
              <w:tc>
                <w:tcPr>
                  <w:tcW w:w="4702" w:type="dxa"/>
                  <w:noWrap w:val="0"/>
                  <w:tcMar>
                    <w:top w:w="0" w:type="dxa"/>
                    <w:left w:w="28" w:type="dxa"/>
                    <w:bottom w:w="0" w:type="dxa"/>
                    <w:right w:w="28" w:type="dxa"/>
                  </w:tcMar>
                  <w:vAlign w:val="center"/>
                </w:tcPr>
                <w:p>
                  <w:pPr>
                    <w:pStyle w:val="13"/>
                    <w:spacing w:after="0"/>
                    <w:ind w:left="0" w:leftChars="0" w:firstLine="0" w:firstLineChars="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规定</w:t>
                  </w:r>
                </w:p>
              </w:tc>
              <w:tc>
                <w:tcPr>
                  <w:tcW w:w="805" w:type="dxa"/>
                  <w:noWrap w:val="0"/>
                  <w:tcMar>
                    <w:top w:w="0" w:type="dxa"/>
                    <w:left w:w="28" w:type="dxa"/>
                    <w:bottom w:w="0" w:type="dxa"/>
                    <w:right w:w="28" w:type="dxa"/>
                  </w:tcMar>
                  <w:vAlign w:val="center"/>
                </w:tcPr>
                <w:p>
                  <w:pPr>
                    <w:pStyle w:val="13"/>
                    <w:spacing w:after="0"/>
                    <w:ind w:left="0" w:leftChars="0" w:firstLine="0" w:firstLineChars="0"/>
                    <w:jc w:val="center"/>
                    <w:rPr>
                      <w:color w:val="auto"/>
                      <w:szCs w:val="21"/>
                    </w:rPr>
                  </w:pPr>
                  <w:r>
                    <w:rPr>
                      <w:color w:val="auto"/>
                      <w:szCs w:val="21"/>
                    </w:rPr>
                    <w:t>本项目情况</w:t>
                  </w:r>
                </w:p>
              </w:tc>
              <w:tc>
                <w:tcPr>
                  <w:tcW w:w="569" w:type="dxa"/>
                  <w:noWrap w:val="0"/>
                  <w:tcMar>
                    <w:top w:w="0" w:type="dxa"/>
                    <w:left w:w="28" w:type="dxa"/>
                    <w:bottom w:w="0" w:type="dxa"/>
                    <w:right w:w="28" w:type="dxa"/>
                  </w:tcMar>
                  <w:vAlign w:val="center"/>
                </w:tcPr>
                <w:p>
                  <w:pPr>
                    <w:pStyle w:val="13"/>
                    <w:spacing w:after="0"/>
                    <w:ind w:left="0" w:leftChars="0" w:firstLine="0" w:firstLineChars="0"/>
                    <w:jc w:val="center"/>
                    <w:rPr>
                      <w:color w:val="auto"/>
                      <w:szCs w:val="21"/>
                    </w:rPr>
                  </w:pPr>
                  <w:r>
                    <w:rPr>
                      <w:color w:val="auto"/>
                      <w:szCs w:val="21"/>
                    </w:rPr>
                    <w:t>符合情况</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0" w:type="dxa"/>
                  <w:noWrap w:val="0"/>
                  <w:tcMar>
                    <w:top w:w="0" w:type="dxa"/>
                    <w:left w:w="28" w:type="dxa"/>
                    <w:bottom w:w="0" w:type="dxa"/>
                    <w:right w:w="28" w:type="dxa"/>
                  </w:tcMar>
                  <w:vAlign w:val="center"/>
                </w:tcPr>
                <w:p>
                  <w:pPr>
                    <w:pStyle w:val="13"/>
                    <w:spacing w:after="0"/>
                    <w:ind w:left="0" w:leftChars="0" w:firstLine="0" w:firstLineChars="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大力推进源头替代，有效减少VOCs产生</w:t>
                  </w:r>
                </w:p>
              </w:tc>
              <w:tc>
                <w:tcPr>
                  <w:tcW w:w="4702" w:type="dxa"/>
                  <w:noWrap w:val="0"/>
                  <w:tcMar>
                    <w:top w:w="0" w:type="dxa"/>
                    <w:left w:w="28" w:type="dxa"/>
                    <w:bottom w:w="0" w:type="dxa"/>
                    <w:right w:w="28" w:type="dxa"/>
                  </w:tcMar>
                  <w:vAlign w:val="center"/>
                </w:tcPr>
                <w:p>
                  <w:pPr>
                    <w:pStyle w:val="13"/>
                    <w:spacing w:after="0"/>
                    <w:ind w:left="0" w:leftChars="0" w:firstLine="0" w:firstLineChars="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大力推进低（无）VOCs含量原辅材料替代。将全面使用符合国家要求的低VOCs含量原辅材料的企业纳入正面清单和政府绿色采购清单。企业应建立原辅材料台账，记录VOCs原辅材料名称、成分、VOCs含量、采购量、使用量、库存量、回收方式、回收量等信息，并保存相关证明材料。采用符合国家有关低VOCs含量产品规定的涂料、油墨、胶粘剂等，排放浓度稳定达标且排放速率满足相关规定的，相应生产工序可不要求建设末端治理设施。使用的原辅材料VOCs含量（质量比）均低于10%的工序，可不要求采取无组织排放收集和处理措施。推进政府绿色采购，要求家具、印刷等政府定点招标采购企业优先使用低挥发性原辅材料，鼓励汽车维修等政府定点招标采购企业使用低挥发性原辅材料；将低VOCs含量产品纳入政府采购名录，并在政府投资项目中优先使用；引导将使用VOCs含量涂料、胶粘剂等纳入政府采购装修合同环保条款。</w:t>
                  </w:r>
                </w:p>
              </w:tc>
              <w:tc>
                <w:tcPr>
                  <w:tcW w:w="805"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eastAsia="zh-CN"/>
                    </w:rPr>
                    <w:t>本项目为仓储项目，不涉及使用原辅材料用于生产。</w:t>
                  </w:r>
                </w:p>
              </w:tc>
              <w:tc>
                <w:tcPr>
                  <w:tcW w:w="569" w:type="dxa"/>
                  <w:noWrap w:val="0"/>
                  <w:tcMar>
                    <w:top w:w="0" w:type="dxa"/>
                    <w:left w:w="28" w:type="dxa"/>
                    <w:bottom w:w="0" w:type="dxa"/>
                    <w:right w:w="28" w:type="dxa"/>
                  </w:tcMar>
                  <w:vAlign w:val="center"/>
                </w:tcPr>
                <w:p>
                  <w:pPr>
                    <w:pStyle w:val="13"/>
                    <w:spacing w:after="0"/>
                    <w:ind w:left="0" w:leftChars="0" w:firstLine="0" w:firstLineChars="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0"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全面落实标准要求，强化无组织排放控制</w:t>
                  </w:r>
                </w:p>
              </w:tc>
              <w:tc>
                <w:tcPr>
                  <w:tcW w:w="4702"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企业在无组织排放排查整治过程中，在保证安全的前提下，加强含VOCs物料全方位、全链条、全环节密闭管理。储存环节应采用密闭容器、包装袋，高效密封储罐，封闭式储库、料仓等。装卸、转移和输送环节应采用密闭管道或密闭容器、罐车等。生产和使用环节应采用密闭设备，或在密闭空间中操作并有效收集废气，或进行局部气体收集；非取用状态时容器应密闭。处置环节应将盛装过VOCs物料的包装容器、含VOCs废料（渣、液）、废吸附剂等通过加盖、封装等方式密闭，妥善存放，不得随意丢弃，7月15日前集中清运一次，交有资质的单位处置；处置单位在贮存、清洗、破碎等环节应按要求对VOCs无组织排放废气进行收集、处理。高VOCs含量废水的集输、储存和处理环节，应加盖密闭。企业中载有气态、液态VOCs物料的设备与管线组件密封点大于等于2000个的，应全面梳理建立台账，6-9月完成一轮泄漏检测与修复（LDAR）工作，及时修复泄漏源；石油炼制、石油化工、合成树脂企业严格按照排放标准要求开展LDAR工作，加强备用泵、在用泵、调节阀、搅拌器、开口管线等检测工作，强化质量控制；要将VOCs治理设施和储罐的密封点纳入检测计划中。</w:t>
                  </w:r>
                </w:p>
              </w:tc>
              <w:tc>
                <w:tcPr>
                  <w:tcW w:w="805"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cs="Times New Roman"/>
                      <w:color w:val="auto"/>
                      <w:sz w:val="21"/>
                      <w:szCs w:val="21"/>
                      <w:lang w:val="en-US" w:eastAsia="zh-CN"/>
                    </w:rPr>
                    <w:t>原辅材料为灌装；</w:t>
                  </w:r>
                  <w:r>
                    <w:rPr>
                      <w:color w:val="auto"/>
                      <w:szCs w:val="21"/>
                    </w:rPr>
                    <w:t>项目</w:t>
                  </w:r>
                  <w:r>
                    <w:rPr>
                      <w:rFonts w:hint="eastAsia"/>
                      <w:color w:val="auto"/>
                      <w:szCs w:val="21"/>
                      <w:lang w:eastAsia="zh-CN"/>
                    </w:rPr>
                    <w:t>设</w:t>
                  </w:r>
                  <w:r>
                    <w:rPr>
                      <w:rFonts w:hint="eastAsia" w:ascii="Times New Roman" w:hAnsi="Times New Roman" w:eastAsia="宋体" w:cs="Times New Roman"/>
                      <w:color w:val="auto"/>
                      <w:szCs w:val="21"/>
                      <w:lang w:eastAsia="zh-CN"/>
                    </w:rPr>
                    <w:t>置油气回收及</w:t>
                  </w:r>
                  <w:r>
                    <w:rPr>
                      <w:rFonts w:hint="eastAsia" w:ascii="Times New Roman" w:hAnsi="Times New Roman" w:eastAsia="宋体" w:cs="Times New Roman"/>
                      <w:color w:val="auto"/>
                      <w:szCs w:val="21"/>
                      <w:lang w:val="en-US" w:eastAsia="zh-CN"/>
                    </w:rPr>
                    <w:t>RTO废气处理装置</w:t>
                  </w:r>
                  <w:r>
                    <w:rPr>
                      <w:rFonts w:hint="eastAsia" w:ascii="Times New Roman" w:hAnsi="Times New Roman" w:eastAsia="宋体" w:cs="Times New Roman"/>
                      <w:color w:val="auto"/>
                      <w:szCs w:val="21"/>
                      <w:lang w:eastAsia="zh-CN"/>
                    </w:rPr>
                    <w:t>对废气进行收</w:t>
                  </w:r>
                  <w:r>
                    <w:rPr>
                      <w:color w:val="auto"/>
                      <w:szCs w:val="21"/>
                    </w:rPr>
                    <w:t>集</w:t>
                  </w:r>
                  <w:r>
                    <w:rPr>
                      <w:rFonts w:hint="eastAsia"/>
                      <w:color w:val="auto"/>
                      <w:szCs w:val="21"/>
                      <w:lang w:eastAsia="zh-CN"/>
                    </w:rPr>
                    <w:t>后集中处理</w:t>
                  </w:r>
                  <w:r>
                    <w:rPr>
                      <w:rFonts w:hint="eastAsia" w:ascii="Times New Roman" w:hAnsi="Times New Roman" w:eastAsia="宋体" w:cs="Times New Roman"/>
                      <w:color w:val="auto"/>
                      <w:szCs w:val="21"/>
                      <w:lang w:val="en-US" w:eastAsia="zh-CN"/>
                    </w:rPr>
                    <w:t>。</w:t>
                  </w:r>
                </w:p>
              </w:tc>
              <w:tc>
                <w:tcPr>
                  <w:tcW w:w="569" w:type="dxa"/>
                  <w:noWrap w:val="0"/>
                  <w:tcMar>
                    <w:top w:w="0" w:type="dxa"/>
                    <w:left w:w="28" w:type="dxa"/>
                    <w:bottom w:w="0" w:type="dxa"/>
                    <w:right w:w="28" w:type="dxa"/>
                  </w:tcMar>
                  <w:vAlign w:val="center"/>
                </w:tcPr>
                <w:p>
                  <w:pPr>
                    <w:pStyle w:val="13"/>
                    <w:spacing w:after="0"/>
                    <w:ind w:left="0" w:leftChars="0" w:firstLine="0" w:firstLineChars="0"/>
                    <w:jc w:val="center"/>
                    <w:rPr>
                      <w:color w:val="auto"/>
                      <w:szCs w:val="21"/>
                    </w:rPr>
                  </w:pPr>
                  <w:r>
                    <w:rPr>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0"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聚焦治污设施“三率”，提升综合治理效率</w:t>
                  </w:r>
                </w:p>
              </w:tc>
              <w:tc>
                <w:tcPr>
                  <w:tcW w:w="4702"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按照“应收尽收”的原则提升废气收集率。推动取消废气排放系统旁路，因安全生产等原因必须保留的，应将保留旁路清单报当地生态环境部门，旁路在非紧急情况下保持关闭，并通过铅封、安装自动监控设施、流量计等方式加强监管，开启后应及时向当地生态环境部门报告，做好台账记录。将无组织排放转变为有组织排放进行控制，优先采用密闭设备、在密闭空间中操作或采用全密闭集气罩收集方式；对于采用局部集气罩的，应根据废气排放特点合理选择收集点位，距集气罩开口面最远处的VOCs无组织排放位置，控制风速不低于0.3米/秒，达不到要求的通过更换大功率风机、增设烟道风机、增加垂帘等方式及时改造；加强生产车间密闭管理，在符合安全生产、职业卫生相关规定前提下，采用自动卷帘门、密闭性好的塑钢门窗等，在非必要时保持关闭。按照与生产设备“同启同停”的原则提升治理设施运行率。根据处理工艺要求，在处理设施达到正常运行条件后方可启动生产设备，在生产设备停止、残留VOCs废气收集处理完毕后，方可停运处理设施。VOCs废气处理系统发生故障或检修时，对应生产工艺设备应停止运行，待检修完毕后同步投入使用；因安全等因素生产工艺设备不能停止或不能及时停止运行的，应设置废气应急处理设施或采取其他替代措施。按照“适宜高效”的原则提高治理设施去除率，不得稀释排放。企业新建治污设施或对现有治污设施实施改造，应依据排放废气特征、VOCs组分及浓度、生产工况等，合理选择治理技术，对治理难度大、单一治理工艺难以稳定达标的，要采用多种技术的组合工艺。采用活性炭吸附技术的，应选择碘值不低于800毫克/克的活性炭，并按设计要求足量添加、及时更换；各地要督促行政区域内采用一次性活性炭吸附技术的企业按期更换活性炭，对于长期未进行更换的，于7月底前全部更换一次，并将废旧活性炭交有资质的单位处理处置，记录更换时间和使用量。</w:t>
                  </w:r>
                </w:p>
              </w:tc>
              <w:tc>
                <w:tcPr>
                  <w:tcW w:w="805"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项目有机废气配套</w:t>
                  </w:r>
                  <w:r>
                    <w:rPr>
                      <w:color w:val="auto"/>
                      <w:szCs w:val="21"/>
                    </w:rPr>
                    <w:t>项目</w:t>
                  </w:r>
                  <w:r>
                    <w:rPr>
                      <w:rFonts w:hint="eastAsia"/>
                      <w:color w:val="auto"/>
                      <w:szCs w:val="21"/>
                      <w:lang w:eastAsia="zh-CN"/>
                    </w:rPr>
                    <w:t>设</w:t>
                  </w:r>
                  <w:r>
                    <w:rPr>
                      <w:rFonts w:hint="eastAsia" w:ascii="Times New Roman" w:hAnsi="Times New Roman" w:eastAsia="宋体" w:cs="Times New Roman"/>
                      <w:color w:val="auto"/>
                      <w:szCs w:val="21"/>
                      <w:lang w:eastAsia="zh-CN"/>
                    </w:rPr>
                    <w:t>置油气回收及</w:t>
                  </w:r>
                  <w:r>
                    <w:rPr>
                      <w:rFonts w:hint="eastAsia" w:ascii="Times New Roman" w:hAnsi="Times New Roman" w:eastAsia="宋体" w:cs="Times New Roman"/>
                      <w:color w:val="auto"/>
                      <w:szCs w:val="21"/>
                      <w:lang w:val="en-US" w:eastAsia="zh-CN"/>
                    </w:rPr>
                    <w:t>RTO废气处理装置</w:t>
                  </w:r>
                  <w:r>
                    <w:rPr>
                      <w:rFonts w:hint="eastAsia" w:ascii="Times New Roman" w:hAnsi="Times New Roman" w:eastAsia="宋体" w:cs="Times New Roman"/>
                      <w:color w:val="auto"/>
                      <w:szCs w:val="21"/>
                      <w:lang w:eastAsia="zh-CN"/>
                    </w:rPr>
                    <w:t>对废气进行收</w:t>
                  </w:r>
                  <w:r>
                    <w:rPr>
                      <w:color w:val="auto"/>
                      <w:szCs w:val="21"/>
                    </w:rPr>
                    <w:t>集</w:t>
                  </w:r>
                  <w:r>
                    <w:rPr>
                      <w:rFonts w:hint="eastAsia"/>
                      <w:color w:val="auto"/>
                      <w:szCs w:val="21"/>
                      <w:lang w:eastAsia="zh-CN"/>
                    </w:rPr>
                    <w:t>后集中处理</w:t>
                  </w:r>
                  <w:r>
                    <w:rPr>
                      <w:rFonts w:hint="eastAsia" w:ascii="Times New Roman" w:hAnsi="Times New Roman" w:eastAsia="宋体" w:cs="Times New Roman"/>
                      <w:color w:val="auto"/>
                      <w:szCs w:val="21"/>
                      <w:lang w:val="en-US" w:eastAsia="zh-CN"/>
                    </w:rPr>
                    <w:t>，并安排专人检修及记录环保设施运行情况，确保废气处理措施稳定运行，废气达标排放。</w:t>
                  </w:r>
                </w:p>
              </w:tc>
              <w:tc>
                <w:tcPr>
                  <w:tcW w:w="569" w:type="dxa"/>
                  <w:noWrap w:val="0"/>
                  <w:tcMar>
                    <w:top w:w="0" w:type="dxa"/>
                    <w:left w:w="28" w:type="dxa"/>
                    <w:bottom w:w="0" w:type="dxa"/>
                    <w:right w:w="28" w:type="dxa"/>
                  </w:tcMar>
                  <w:vAlign w:val="center"/>
                </w:tcPr>
                <w:p>
                  <w:pPr>
                    <w:pStyle w:val="13"/>
                    <w:spacing w:after="0"/>
                    <w:ind w:left="0" w:leftChars="0" w:firstLine="0" w:firstLineChars="0"/>
                    <w:jc w:val="center"/>
                    <w:rPr>
                      <w:color w:val="auto"/>
                      <w:szCs w:val="21"/>
                    </w:rPr>
                  </w:pPr>
                  <w:r>
                    <w:rPr>
                      <w:color w:val="auto"/>
                      <w:szCs w:val="21"/>
                    </w:rPr>
                    <w:t>符合</w:t>
                  </w:r>
                </w:p>
              </w:tc>
            </w:tr>
          </w:tbl>
          <w:p>
            <w:pPr>
              <w:pStyle w:val="77"/>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lang w:val="zh-CN" w:eastAsia="zh-CN"/>
              </w:rPr>
            </w:pPr>
            <w:r>
              <w:rPr>
                <w:rFonts w:hint="eastAsia" w:ascii="Times New Roman" w:hAnsi="Times New Roman" w:eastAsia="宋体" w:cs="Times New Roman"/>
                <w:b w:val="0"/>
                <w:bCs/>
                <w:color w:val="auto"/>
                <w:sz w:val="24"/>
                <w:szCs w:val="24"/>
                <w:lang w:val="en-US" w:eastAsia="zh-CN"/>
              </w:rPr>
              <w:t>由上表分析可知，本项目符合</w:t>
            </w:r>
            <w:r>
              <w:rPr>
                <w:rFonts w:hint="eastAsia" w:ascii="Times New Roman" w:hAnsi="Times New Roman" w:eastAsia="宋体" w:cs="Times New Roman"/>
                <w:b w:val="0"/>
                <w:bCs/>
                <w:color w:val="auto"/>
                <w:sz w:val="24"/>
                <w:szCs w:val="24"/>
                <w:lang w:val="zh-CN" w:eastAsia="zh-CN"/>
              </w:rPr>
              <w:t>《2020年挥发性有机物治理攻坚方案》（环大气[2020]33号）</w:t>
            </w:r>
            <w:r>
              <w:rPr>
                <w:rFonts w:hint="eastAsia" w:ascii="Times New Roman" w:hAnsi="Times New Roman" w:eastAsia="宋体" w:cs="Times New Roman"/>
                <w:b w:val="0"/>
                <w:bCs/>
                <w:color w:val="auto"/>
                <w:sz w:val="24"/>
                <w:szCs w:val="24"/>
                <w:lang w:val="en-US" w:eastAsia="zh-CN"/>
              </w:rPr>
              <w:t>）的要求。</w:t>
            </w:r>
          </w:p>
          <w:p>
            <w:pPr>
              <w:pStyle w:val="77"/>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（8）</w:t>
            </w:r>
            <w:r>
              <w:rPr>
                <w:rFonts w:hint="eastAsia" w:cs="Times New Roman"/>
                <w:b w:val="0"/>
                <w:bCs/>
                <w:color w:val="auto"/>
                <w:sz w:val="24"/>
                <w:szCs w:val="24"/>
                <w:lang w:val="en-US" w:eastAsia="zh-CN"/>
              </w:rPr>
              <w:t>与</w:t>
            </w:r>
            <w:r>
              <w:rPr>
                <w:rFonts w:hint="eastAsia" w:ascii="Times New Roman" w:hAnsi="Times New Roman" w:eastAsia="宋体" w:cs="Times New Roman"/>
                <w:b w:val="0"/>
                <w:bCs/>
                <w:color w:val="auto"/>
                <w:sz w:val="24"/>
                <w:szCs w:val="24"/>
                <w:lang w:val="en-US" w:eastAsia="zh-CN"/>
              </w:rPr>
              <w:t>《重点行业挥发性有机物综合治理方案》</w:t>
            </w:r>
            <w:r>
              <w:rPr>
                <w:rFonts w:hint="eastAsia" w:cs="Times New Roman"/>
                <w:b w:val="0"/>
                <w:bCs/>
                <w:color w:val="auto"/>
                <w:sz w:val="24"/>
                <w:szCs w:val="24"/>
                <w:lang w:val="en-US"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zh-CN" w:eastAsia="zh-CN"/>
              </w:rPr>
            </w:pPr>
            <w:r>
              <w:rPr>
                <w:rFonts w:hint="eastAsia" w:ascii="Times New Roman" w:hAnsi="Times New Roman" w:eastAsia="黑体" w:cs="Times New Roman"/>
                <w:b w:val="0"/>
                <w:bCs w:val="0"/>
                <w:color w:val="auto"/>
                <w:kern w:val="0"/>
                <w:sz w:val="24"/>
                <w:szCs w:val="24"/>
                <w:lang w:val="zh-CN" w:eastAsia="zh-CN"/>
              </w:rPr>
              <w:t>表1-1</w:t>
            </w:r>
            <w:r>
              <w:rPr>
                <w:rFonts w:hint="eastAsia" w:eastAsia="黑体" w:cs="Times New Roman"/>
                <w:b w:val="0"/>
                <w:bCs w:val="0"/>
                <w:color w:val="auto"/>
                <w:kern w:val="0"/>
                <w:sz w:val="24"/>
                <w:szCs w:val="24"/>
                <w:lang w:val="en-US" w:eastAsia="zh-CN"/>
              </w:rPr>
              <w:t>3</w:t>
            </w:r>
            <w:r>
              <w:rPr>
                <w:rFonts w:hint="eastAsia" w:ascii="Times New Roman" w:hAnsi="Times New Roman" w:eastAsia="黑体" w:cs="Times New Roman"/>
                <w:b w:val="0"/>
                <w:bCs w:val="0"/>
                <w:color w:val="auto"/>
                <w:kern w:val="0"/>
                <w:sz w:val="24"/>
                <w:szCs w:val="24"/>
                <w:lang w:val="zh-CN" w:eastAsia="zh-CN"/>
              </w:rPr>
              <w:t xml:space="preserve"> 项目与《重点行业挥发性有机物综合治理方案》符合性分析</w:t>
            </w:r>
          </w:p>
          <w:tbl>
            <w:tblPr>
              <w:tblStyle w:val="26"/>
              <w:tblW w:w="4990"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676"/>
              <w:gridCol w:w="3944"/>
              <w:gridCol w:w="1046"/>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7" w:type="pct"/>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要求</w:t>
                  </w:r>
                </w:p>
              </w:tc>
              <w:tc>
                <w:tcPr>
                  <w:tcW w:w="2958" w:type="pct"/>
                  <w:noWrap w:val="0"/>
                  <w:tcMar>
                    <w:top w:w="0" w:type="dxa"/>
                    <w:left w:w="28" w:type="dxa"/>
                    <w:bottom w:w="0" w:type="dxa"/>
                    <w:right w:w="28" w:type="dxa"/>
                  </w:tcMar>
                  <w:vAlign w:val="center"/>
                </w:tcPr>
                <w:p>
                  <w:pPr>
                    <w:pStyle w:val="13"/>
                    <w:spacing w:after="0"/>
                    <w:ind w:left="0" w:leftChars="0" w:firstLine="0" w:firstLineChars="0"/>
                    <w:jc w:val="center"/>
                    <w:rPr>
                      <w:color w:val="auto"/>
                      <w:szCs w:val="21"/>
                    </w:rPr>
                  </w:pPr>
                  <w:r>
                    <w:rPr>
                      <w:color w:val="auto"/>
                      <w:szCs w:val="21"/>
                    </w:rPr>
                    <w:t>本项目情况</w:t>
                  </w:r>
                </w:p>
              </w:tc>
              <w:tc>
                <w:tcPr>
                  <w:tcW w:w="784" w:type="pct"/>
                  <w:noWrap w:val="0"/>
                  <w:tcMar>
                    <w:top w:w="0" w:type="dxa"/>
                    <w:left w:w="28" w:type="dxa"/>
                    <w:bottom w:w="0" w:type="dxa"/>
                    <w:right w:w="28" w:type="dxa"/>
                  </w:tcMar>
                  <w:vAlign w:val="center"/>
                </w:tcPr>
                <w:p>
                  <w:pPr>
                    <w:pStyle w:val="13"/>
                    <w:spacing w:after="0"/>
                    <w:ind w:left="0" w:leftChars="0" w:firstLine="0" w:firstLineChars="0"/>
                    <w:jc w:val="center"/>
                    <w:rPr>
                      <w:color w:val="auto"/>
                      <w:szCs w:val="21"/>
                    </w:rPr>
                  </w:pPr>
                  <w:r>
                    <w:rPr>
                      <w:color w:val="auto"/>
                      <w:szCs w:val="21"/>
                    </w:rPr>
                    <w:t>符合情况</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7" w:type="pct"/>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大力推进VOCs源头替代</w:t>
                  </w:r>
                </w:p>
              </w:tc>
              <w:tc>
                <w:tcPr>
                  <w:tcW w:w="2958" w:type="pct"/>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eastAsia="zh-CN"/>
                    </w:rPr>
                    <w:t>本项目为仓储项目，不涉及使用原辅材料用于生产</w:t>
                  </w:r>
                  <w:r>
                    <w:rPr>
                      <w:rFonts w:hint="eastAsia" w:ascii="Times New Roman" w:hAnsi="Times New Roman" w:eastAsia="宋体" w:cs="Times New Roman"/>
                      <w:color w:val="auto"/>
                      <w:szCs w:val="21"/>
                      <w:lang w:val="en-US" w:eastAsia="zh-CN"/>
                    </w:rPr>
                    <w:t>。</w:t>
                  </w:r>
                </w:p>
              </w:tc>
              <w:tc>
                <w:tcPr>
                  <w:tcW w:w="784" w:type="pct"/>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7" w:type="pct"/>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全面加强VOCs无组织排放控制</w:t>
                  </w:r>
                </w:p>
              </w:tc>
              <w:tc>
                <w:tcPr>
                  <w:tcW w:w="2958" w:type="pct"/>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cs="Times New Roman"/>
                      <w:color w:val="auto"/>
                      <w:sz w:val="21"/>
                      <w:szCs w:val="21"/>
                      <w:lang w:val="en-US" w:eastAsia="zh-CN"/>
                    </w:rPr>
                    <w:t>项目生产设施为密闭设施，且设置</w:t>
                  </w:r>
                  <w:r>
                    <w:rPr>
                      <w:rFonts w:hint="eastAsia" w:ascii="Times New Roman" w:hAnsi="Times New Roman" w:eastAsia="宋体" w:cs="Times New Roman"/>
                      <w:color w:val="auto"/>
                      <w:szCs w:val="21"/>
                      <w:lang w:eastAsia="zh-CN"/>
                    </w:rPr>
                    <w:t>油气回收及</w:t>
                  </w:r>
                  <w:r>
                    <w:rPr>
                      <w:rFonts w:hint="eastAsia" w:ascii="Times New Roman" w:hAnsi="Times New Roman" w:eastAsia="宋体" w:cs="Times New Roman"/>
                      <w:color w:val="auto"/>
                      <w:szCs w:val="21"/>
                      <w:lang w:val="en-US" w:eastAsia="zh-CN"/>
                    </w:rPr>
                    <w:t>RTO废气处理装置</w:t>
                  </w:r>
                  <w:r>
                    <w:rPr>
                      <w:rFonts w:hint="eastAsia" w:cs="Times New Roman"/>
                      <w:color w:val="auto"/>
                      <w:sz w:val="21"/>
                      <w:szCs w:val="21"/>
                      <w:lang w:val="en-US" w:eastAsia="zh-CN"/>
                    </w:rPr>
                    <w:t>对</w:t>
                  </w:r>
                  <w:r>
                    <w:rPr>
                      <w:rFonts w:hint="eastAsia" w:ascii="Times New Roman" w:hAnsi="Times New Roman" w:eastAsia="宋体" w:cs="Times New Roman"/>
                      <w:color w:val="auto"/>
                      <w:szCs w:val="21"/>
                      <w:lang w:val="en-US" w:eastAsia="zh-CN"/>
                    </w:rPr>
                    <w:t>VOCs产生环节废气进行收集后处理。</w:t>
                  </w:r>
                </w:p>
              </w:tc>
              <w:tc>
                <w:tcPr>
                  <w:tcW w:w="784" w:type="pct"/>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7" w:type="pct"/>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推进建设适宜高效的治污设施</w:t>
                  </w:r>
                </w:p>
              </w:tc>
              <w:tc>
                <w:tcPr>
                  <w:tcW w:w="2958" w:type="pct"/>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项目有机废气配套建设</w:t>
                  </w:r>
                  <w:r>
                    <w:rPr>
                      <w:rFonts w:hint="eastAsia" w:ascii="Times New Roman" w:hAnsi="Times New Roman" w:eastAsia="宋体" w:cs="Times New Roman"/>
                      <w:color w:val="auto"/>
                      <w:szCs w:val="21"/>
                      <w:lang w:eastAsia="zh-CN"/>
                    </w:rPr>
                    <w:t>油气回收及</w:t>
                  </w:r>
                  <w:r>
                    <w:rPr>
                      <w:rFonts w:hint="eastAsia" w:ascii="Times New Roman" w:hAnsi="Times New Roman" w:eastAsia="宋体" w:cs="Times New Roman"/>
                      <w:color w:val="auto"/>
                      <w:szCs w:val="21"/>
                      <w:lang w:val="en-US" w:eastAsia="zh-CN"/>
                    </w:rPr>
                    <w:t>RTO废气处理装置，并安排专人检修及记录环保设施运行情况，确保废气处理措施稳定运行，废气达标排放。</w:t>
                  </w:r>
                </w:p>
              </w:tc>
              <w:tc>
                <w:tcPr>
                  <w:tcW w:w="784" w:type="pct"/>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符合</w:t>
                  </w:r>
                </w:p>
              </w:tc>
            </w:tr>
          </w:tbl>
          <w:p>
            <w:pPr>
              <w:pStyle w:val="77"/>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由上表分析可知，本项目符合</w:t>
            </w:r>
            <w:r>
              <w:rPr>
                <w:rFonts w:hint="eastAsia" w:ascii="Times New Roman" w:hAnsi="Times New Roman" w:eastAsia="宋体" w:cs="Times New Roman"/>
                <w:b w:val="0"/>
                <w:bCs/>
                <w:color w:val="auto"/>
                <w:sz w:val="24"/>
                <w:szCs w:val="24"/>
                <w:lang w:val="zh-CN" w:eastAsia="zh-CN"/>
              </w:rPr>
              <w:t>《重点行业挥发性有机物综合治理方案》</w:t>
            </w:r>
            <w:r>
              <w:rPr>
                <w:rFonts w:hint="eastAsia" w:ascii="Times New Roman" w:hAnsi="Times New Roman" w:eastAsia="宋体" w:cs="Times New Roman"/>
                <w:b w:val="0"/>
                <w:bCs/>
                <w:color w:val="auto"/>
                <w:sz w:val="24"/>
                <w:szCs w:val="24"/>
                <w:lang w:val="en-US" w:eastAsia="zh-CN"/>
              </w:rPr>
              <w:t>的要求。</w:t>
            </w:r>
          </w:p>
          <w:p>
            <w:pPr>
              <w:pStyle w:val="77"/>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（9）</w:t>
            </w:r>
            <w:r>
              <w:rPr>
                <w:rFonts w:hint="eastAsia" w:cs="Times New Roman"/>
                <w:b w:val="0"/>
                <w:bCs/>
                <w:color w:val="auto"/>
                <w:sz w:val="24"/>
                <w:szCs w:val="24"/>
                <w:lang w:val="en-US" w:eastAsia="zh-CN"/>
              </w:rPr>
              <w:t>与</w:t>
            </w:r>
            <w:r>
              <w:rPr>
                <w:rFonts w:hint="eastAsia" w:ascii="Times New Roman" w:hAnsi="Times New Roman" w:eastAsia="宋体" w:cs="Times New Roman"/>
                <w:b w:val="0"/>
                <w:bCs/>
                <w:color w:val="auto"/>
                <w:sz w:val="24"/>
                <w:szCs w:val="24"/>
                <w:lang w:val="en-US" w:eastAsia="zh-CN"/>
              </w:rPr>
              <w:t>《关于印发淄博市2021年挥发性有机物整治方案的通知》（淄环发〔2021〕1号）</w:t>
            </w:r>
            <w:r>
              <w:rPr>
                <w:rFonts w:hint="eastAsia" w:cs="Times New Roman"/>
                <w:b w:val="0"/>
                <w:bCs/>
                <w:color w:val="auto"/>
                <w:sz w:val="24"/>
                <w:szCs w:val="24"/>
                <w:lang w:val="en-US"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zh-CN" w:eastAsia="zh-CN"/>
              </w:rPr>
            </w:pPr>
            <w:r>
              <w:rPr>
                <w:rFonts w:hint="eastAsia" w:ascii="Times New Roman" w:hAnsi="Times New Roman" w:eastAsia="黑体" w:cs="Times New Roman"/>
                <w:b w:val="0"/>
                <w:bCs w:val="0"/>
                <w:color w:val="auto"/>
                <w:kern w:val="0"/>
                <w:sz w:val="24"/>
                <w:szCs w:val="24"/>
                <w:lang w:val="zh-CN" w:eastAsia="zh-CN"/>
              </w:rPr>
              <w:t>表1-1</w:t>
            </w:r>
            <w:r>
              <w:rPr>
                <w:rFonts w:hint="eastAsia" w:eastAsia="黑体" w:cs="Times New Roman"/>
                <w:b w:val="0"/>
                <w:bCs w:val="0"/>
                <w:color w:val="auto"/>
                <w:kern w:val="0"/>
                <w:sz w:val="24"/>
                <w:szCs w:val="24"/>
                <w:lang w:val="en-US" w:eastAsia="zh-CN"/>
              </w:rPr>
              <w:t>4</w:t>
            </w:r>
            <w:r>
              <w:rPr>
                <w:rFonts w:hint="eastAsia" w:ascii="Times New Roman" w:hAnsi="Times New Roman" w:eastAsia="黑体" w:cs="Times New Roman"/>
                <w:b w:val="0"/>
                <w:bCs w:val="0"/>
                <w:color w:val="auto"/>
                <w:kern w:val="0"/>
                <w:sz w:val="24"/>
                <w:szCs w:val="24"/>
                <w:lang w:val="zh-CN" w:eastAsia="zh-CN"/>
              </w:rPr>
              <w:t xml:space="preserve"> 项目与《关于印发淄博市2021年挥发性有机物整治方案的通知》（淄环发〔2021〕1号）符合性分析</w:t>
            </w:r>
          </w:p>
          <w:tbl>
            <w:tblPr>
              <w:tblStyle w:val="26"/>
              <w:tblW w:w="4989"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942"/>
              <w:gridCol w:w="3317"/>
              <w:gridCol w:w="1825"/>
              <w:gridCol w:w="581"/>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控制思路与要求</w:t>
                  </w:r>
                </w:p>
              </w:tc>
              <w:tc>
                <w:tcPr>
                  <w:tcW w:w="3318"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规定</w:t>
                  </w:r>
                </w:p>
              </w:tc>
              <w:tc>
                <w:tcPr>
                  <w:tcW w:w="1826"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本项目情况</w:t>
                  </w:r>
                </w:p>
              </w:tc>
              <w:tc>
                <w:tcPr>
                  <w:tcW w:w="581"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符合情况</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提高源头替代率</w:t>
                  </w:r>
                </w:p>
              </w:tc>
              <w:tc>
                <w:tcPr>
                  <w:tcW w:w="3318"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按照“能减则减”的原则，引导和鼓励企业加大源头替代力度，进一步使用低VOCs物料，从源头上减少VOCs产生量。</w:t>
                  </w:r>
                </w:p>
              </w:tc>
              <w:tc>
                <w:tcPr>
                  <w:tcW w:w="1826"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eastAsia" w:ascii="Times New Roman" w:hAnsi="Times New Roman" w:cs="Times New Roman"/>
                      <w:color w:val="auto"/>
                      <w:szCs w:val="21"/>
                      <w:lang w:eastAsia="zh-CN"/>
                    </w:rPr>
                    <w:t>本项目为仓储项目，不涉及使用原辅材料用于生产</w:t>
                  </w:r>
                  <w:r>
                    <w:rPr>
                      <w:rFonts w:hint="eastAsia" w:ascii="Times New Roman" w:hAnsi="Times New Roman" w:eastAsia="宋体" w:cs="Times New Roman"/>
                      <w:color w:val="auto"/>
                      <w:szCs w:val="21"/>
                      <w:lang w:val="en-US" w:eastAsia="zh-CN"/>
                    </w:rPr>
                    <w:t>。</w:t>
                  </w:r>
                </w:p>
              </w:tc>
              <w:tc>
                <w:tcPr>
                  <w:tcW w:w="581"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提高废气收集率</w:t>
                  </w:r>
                </w:p>
              </w:tc>
              <w:tc>
                <w:tcPr>
                  <w:tcW w:w="3318"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按照“应收尽收”的原则，全面提升废气收集率，将无组织排放转变为有组织排放进行控制，加强含VOCs物料全方位、全链条、全环节密闭管理。</w:t>
                  </w:r>
                </w:p>
              </w:tc>
              <w:tc>
                <w:tcPr>
                  <w:tcW w:w="1826"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eastAsia" w:cs="Times New Roman"/>
                      <w:color w:val="auto"/>
                      <w:sz w:val="21"/>
                      <w:szCs w:val="21"/>
                      <w:lang w:val="en-US" w:eastAsia="zh-CN"/>
                    </w:rPr>
                    <w:t>项目生产设施为密闭设施，且设置</w:t>
                  </w:r>
                  <w:r>
                    <w:rPr>
                      <w:rFonts w:hint="eastAsia" w:ascii="Times New Roman" w:hAnsi="Times New Roman" w:eastAsia="宋体" w:cs="Times New Roman"/>
                      <w:color w:val="auto"/>
                      <w:szCs w:val="21"/>
                      <w:lang w:eastAsia="zh-CN"/>
                    </w:rPr>
                    <w:t>油气回收及</w:t>
                  </w:r>
                  <w:r>
                    <w:rPr>
                      <w:rFonts w:hint="eastAsia" w:ascii="Times New Roman" w:hAnsi="Times New Roman" w:eastAsia="宋体" w:cs="Times New Roman"/>
                      <w:color w:val="auto"/>
                      <w:szCs w:val="21"/>
                      <w:lang w:val="en-US" w:eastAsia="zh-CN"/>
                    </w:rPr>
                    <w:t>RTO废气处理装置</w:t>
                  </w:r>
                  <w:r>
                    <w:rPr>
                      <w:rFonts w:hint="eastAsia" w:cs="Times New Roman"/>
                      <w:color w:val="auto"/>
                      <w:sz w:val="21"/>
                      <w:szCs w:val="21"/>
                      <w:lang w:val="en-US" w:eastAsia="zh-CN"/>
                    </w:rPr>
                    <w:t>对</w:t>
                  </w:r>
                  <w:r>
                    <w:rPr>
                      <w:rFonts w:hint="eastAsia" w:ascii="Times New Roman" w:hAnsi="Times New Roman" w:eastAsia="宋体" w:cs="Times New Roman"/>
                      <w:color w:val="auto"/>
                      <w:szCs w:val="21"/>
                      <w:lang w:val="en-US" w:eastAsia="zh-CN"/>
                    </w:rPr>
                    <w:t>VOCs产生环节废气进行收集后处理。</w:t>
                  </w:r>
                </w:p>
              </w:tc>
              <w:tc>
                <w:tcPr>
                  <w:tcW w:w="581"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提高治污设施运行率</w:t>
                  </w:r>
                </w:p>
              </w:tc>
              <w:tc>
                <w:tcPr>
                  <w:tcW w:w="3318"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按照与生产设备“同启同停”的原则，加大治污设施运行管理，全面提升治污设施运行率。根据处理工艺要求，在处理设施达到正常运行条件后方可启动生产设备，在生产设备停止、残留VOCs废气收集处理完毕后，方可停运处理设施。VOCs废气处理系统发生故障或停用检修时，对应生产工艺设备应停止运行，待检修完毕后同步投入使用。企业要充足储备治污设施易损件的配件，出现故障时及时更换，杜绝出现生产设备运行、治污设备故障停产的现象。治污设施关键设备要“一开一备”冗余配备，并设置自动化连锁启动系统，确保治污设施不停运。</w:t>
                  </w:r>
                </w:p>
              </w:tc>
              <w:tc>
                <w:tcPr>
                  <w:tcW w:w="1826"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项目有机废气配套建设</w:t>
                  </w:r>
                  <w:r>
                    <w:rPr>
                      <w:rFonts w:hint="eastAsia" w:ascii="Times New Roman" w:hAnsi="Times New Roman" w:eastAsia="宋体" w:cs="Times New Roman"/>
                      <w:color w:val="auto"/>
                      <w:szCs w:val="21"/>
                      <w:lang w:eastAsia="zh-CN"/>
                    </w:rPr>
                    <w:t>油气回收及</w:t>
                  </w:r>
                  <w:r>
                    <w:rPr>
                      <w:rFonts w:hint="eastAsia" w:ascii="Times New Roman" w:hAnsi="Times New Roman" w:eastAsia="宋体" w:cs="Times New Roman"/>
                      <w:color w:val="auto"/>
                      <w:szCs w:val="21"/>
                      <w:lang w:val="en-US" w:eastAsia="zh-CN"/>
                    </w:rPr>
                    <w:t>RTO废气处理装置，并安排专人检修及记录环保设施运行情况，确保废气处理措施稳定运行，废气达标排放。</w:t>
                  </w:r>
                </w:p>
              </w:tc>
              <w:tc>
                <w:tcPr>
                  <w:tcW w:w="581"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提高废气去除率</w:t>
                  </w:r>
                </w:p>
              </w:tc>
              <w:tc>
                <w:tcPr>
                  <w:tcW w:w="3318"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按照“适宜高效”的原则，提高治理设施去除率，杜绝VOCs废气超标排放。采用UV光氧、等离子等单一低效处理工艺的，应增加活性炭吸附等设施进行提升改造。做好源头管控工作，新建项目原则上不能使用UV光氧、等离子等单一低效处理工艺。采用活性炭吸附的，应选择碘值不低于800毫克/克的活性炭，并定期更换。</w:t>
                  </w:r>
                </w:p>
              </w:tc>
              <w:tc>
                <w:tcPr>
                  <w:tcW w:w="1826"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项目有机废气配套建设</w:t>
                  </w:r>
                  <w:r>
                    <w:rPr>
                      <w:rFonts w:hint="eastAsia" w:ascii="Times New Roman" w:hAnsi="Times New Roman" w:eastAsia="宋体" w:cs="Times New Roman"/>
                      <w:color w:val="auto"/>
                      <w:szCs w:val="21"/>
                      <w:lang w:eastAsia="zh-CN"/>
                    </w:rPr>
                    <w:t>油气回收及</w:t>
                  </w:r>
                  <w:r>
                    <w:rPr>
                      <w:rFonts w:hint="eastAsia" w:ascii="Times New Roman" w:hAnsi="Times New Roman" w:eastAsia="宋体" w:cs="Times New Roman"/>
                      <w:color w:val="auto"/>
                      <w:szCs w:val="21"/>
                      <w:lang w:val="en-US" w:eastAsia="zh-CN"/>
                    </w:rPr>
                    <w:t>RTO废气处理装置</w:t>
                  </w:r>
                  <w:r>
                    <w:rPr>
                      <w:rFonts w:hint="default" w:ascii="Times New Roman" w:hAnsi="Times New Roman" w:eastAsia="宋体" w:cs="Times New Roman"/>
                      <w:color w:val="auto"/>
                      <w:szCs w:val="21"/>
                    </w:rPr>
                    <w:t>。</w:t>
                  </w:r>
                  <w:r>
                    <w:rPr>
                      <w:rFonts w:hint="eastAsia" w:ascii="Times New Roman" w:hAnsi="Times New Roman" w:cs="Times New Roman"/>
                      <w:color w:val="auto"/>
                      <w:szCs w:val="21"/>
                      <w:lang w:val="en-US" w:eastAsia="zh-CN"/>
                    </w:rPr>
                    <w:t xml:space="preserve"> </w:t>
                  </w:r>
                </w:p>
              </w:tc>
              <w:tc>
                <w:tcPr>
                  <w:tcW w:w="581"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bl>
          <w:p>
            <w:pPr>
              <w:pStyle w:val="77"/>
              <w:keepNext w:val="0"/>
              <w:keepLines w:val="0"/>
              <w:pageBreakBefore w:val="0"/>
              <w:kinsoku/>
              <w:wordWrap/>
              <w:overflowPunct/>
              <w:topLinePunct w:val="0"/>
              <w:autoSpaceDE/>
              <w:autoSpaceDN/>
              <w:bidi w:val="0"/>
              <w:spacing w:line="360" w:lineRule="auto"/>
              <w:ind w:firstLine="480"/>
              <w:textAlignment w:val="auto"/>
              <w:rPr>
                <w:rFonts w:hint="eastAsia"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由上表分析可知，本项目符合《关于印发淄博市2021年挥发性有机物整治方案的通知》（淄环发〔2021〕1号）的要求</w:t>
            </w:r>
            <w:r>
              <w:rPr>
                <w:rFonts w:hint="eastAsia" w:cs="Times New Roman"/>
                <w:b w:val="0"/>
                <w:bCs/>
                <w:color w:val="auto"/>
                <w:sz w:val="24"/>
                <w:szCs w:val="24"/>
                <w:lang w:val="en-US" w:eastAsia="zh-CN"/>
              </w:rPr>
              <w:t>。</w:t>
            </w:r>
          </w:p>
          <w:p>
            <w:pPr>
              <w:pStyle w:val="77"/>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10</w:t>
            </w:r>
            <w:r>
              <w:rPr>
                <w:rFonts w:hint="eastAsia"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与</w:t>
            </w:r>
            <w:r>
              <w:rPr>
                <w:rFonts w:hint="eastAsia" w:ascii="Times New Roman" w:hAnsi="Times New Roman" w:eastAsia="宋体" w:cs="Times New Roman"/>
                <w:b w:val="0"/>
                <w:bCs/>
                <w:color w:val="auto"/>
                <w:sz w:val="24"/>
                <w:szCs w:val="24"/>
                <w:lang w:val="en-US" w:eastAsia="zh-CN"/>
              </w:rPr>
              <w:t>《石油库设计规范》（GB50074-2014）</w:t>
            </w:r>
            <w:r>
              <w:rPr>
                <w:rFonts w:hint="eastAsia" w:cs="Times New Roman"/>
                <w:b w:val="0"/>
                <w:bCs/>
                <w:color w:val="auto"/>
                <w:sz w:val="24"/>
                <w:szCs w:val="24"/>
                <w:lang w:val="en-US"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zh-CN" w:eastAsia="zh-CN"/>
              </w:rPr>
            </w:pPr>
            <w:r>
              <w:rPr>
                <w:rFonts w:hint="eastAsia" w:ascii="Times New Roman" w:hAnsi="Times New Roman" w:eastAsia="黑体" w:cs="Times New Roman"/>
                <w:b w:val="0"/>
                <w:bCs w:val="0"/>
                <w:color w:val="auto"/>
                <w:kern w:val="0"/>
                <w:sz w:val="24"/>
                <w:szCs w:val="24"/>
                <w:lang w:val="zh-CN" w:eastAsia="zh-CN"/>
              </w:rPr>
              <w:t>表1-1</w:t>
            </w:r>
            <w:r>
              <w:rPr>
                <w:rFonts w:hint="eastAsia" w:eastAsia="黑体" w:cs="Times New Roman"/>
                <w:b w:val="0"/>
                <w:bCs w:val="0"/>
                <w:color w:val="auto"/>
                <w:kern w:val="0"/>
                <w:sz w:val="24"/>
                <w:szCs w:val="24"/>
                <w:lang w:val="en-US" w:eastAsia="zh-CN"/>
              </w:rPr>
              <w:t>5</w:t>
            </w:r>
            <w:r>
              <w:rPr>
                <w:rFonts w:hint="eastAsia" w:ascii="Times New Roman" w:hAnsi="Times New Roman" w:eastAsia="黑体" w:cs="Times New Roman"/>
                <w:b w:val="0"/>
                <w:bCs w:val="0"/>
                <w:color w:val="auto"/>
                <w:kern w:val="0"/>
                <w:sz w:val="24"/>
                <w:szCs w:val="24"/>
                <w:lang w:val="zh-CN" w:eastAsia="zh-CN"/>
              </w:rPr>
              <w:t xml:space="preserve"> 与</w:t>
            </w:r>
            <w:r>
              <w:rPr>
                <w:rFonts w:hint="eastAsia" w:ascii="Times New Roman" w:hAnsi="Times New Roman" w:eastAsia="黑体" w:cs="Times New Roman"/>
                <w:b w:val="0"/>
                <w:bCs w:val="0"/>
                <w:color w:val="auto"/>
                <w:kern w:val="0"/>
                <w:sz w:val="24"/>
                <w:szCs w:val="24"/>
                <w:lang w:val="en-US" w:eastAsia="zh-CN"/>
              </w:rPr>
              <w:t>《石油库设计规范》（GB50074-2014）</w:t>
            </w:r>
            <w:r>
              <w:rPr>
                <w:rFonts w:hint="eastAsia" w:ascii="Times New Roman" w:hAnsi="Times New Roman" w:eastAsia="黑体" w:cs="Times New Roman"/>
                <w:b w:val="0"/>
                <w:bCs w:val="0"/>
                <w:color w:val="auto"/>
                <w:kern w:val="0"/>
                <w:sz w:val="24"/>
                <w:szCs w:val="24"/>
                <w:lang w:val="zh-CN" w:eastAsia="zh-CN"/>
              </w:rPr>
              <w:t>符合性分析</w:t>
            </w:r>
          </w:p>
          <w:tbl>
            <w:tblPr>
              <w:tblStyle w:val="26"/>
              <w:tblW w:w="4989"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343"/>
              <w:gridCol w:w="2815"/>
              <w:gridCol w:w="2925"/>
              <w:gridCol w:w="581"/>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PrEx>
              <w:trPr>
                <w:trHeight w:val="340" w:hRule="atLeast"/>
                <w:jc w:val="center"/>
              </w:trPr>
              <w:tc>
                <w:tcPr>
                  <w:tcW w:w="3955" w:type="dxa"/>
                  <w:gridSpan w:val="2"/>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eastAsia="zh-CN"/>
                    </w:rPr>
                    <w:t>规范要求</w:t>
                  </w:r>
                </w:p>
              </w:tc>
              <w:tc>
                <w:tcPr>
                  <w:tcW w:w="3662"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本项目情况</w:t>
                  </w:r>
                </w:p>
              </w:tc>
              <w:tc>
                <w:tcPr>
                  <w:tcW w:w="727"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符合情况</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dxa"/>
                  <w:vMerge w:val="restart"/>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eastAsia="zh-CN"/>
                    </w:rPr>
                    <w:t>库址选择</w:t>
                  </w:r>
                </w:p>
              </w:tc>
              <w:tc>
                <w:tcPr>
                  <w:tcW w:w="3525"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一级石油库不宜建在抗震设防烈度为8度的Ⅳ类场地地区。</w:t>
                  </w:r>
                </w:p>
              </w:tc>
              <w:tc>
                <w:tcPr>
                  <w:tcW w:w="3662"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本项目区所在地抗震设防烈度为7度，设计基本地震加速度值为0.10g，属设计地震第三组。</w:t>
                  </w:r>
                </w:p>
              </w:tc>
              <w:tc>
                <w:tcPr>
                  <w:tcW w:w="727"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cs="Times New Roman"/>
                      <w:color w:val="auto"/>
                      <w:szCs w:val="21"/>
                      <w:lang w:eastAsia="zh-CN"/>
                    </w:rPr>
                  </w:pPr>
                </w:p>
              </w:tc>
              <w:tc>
                <w:tcPr>
                  <w:tcW w:w="3525"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石油库应选在不受洪水、潮水或内涝威胁的地带</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当不可避免时</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应采取可靠的防洪、排涝措施。</w:t>
                  </w:r>
                </w:p>
              </w:tc>
              <w:tc>
                <w:tcPr>
                  <w:tcW w:w="3662"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rPr>
                    <w:t>本项目区域地势平坦，地形变化比较简单。储罐组等建筑物的地面标高高于当地的最高洪水位，以避免雨季场地进水带来的危险。为使场地排水顺畅，界区内布置型式采用平坡式。厂区出入口的路面标高高出厂外道路路面标高200mm，本项目生产车间内外地坪高差为150mm~200mm。场地雨排水采用有组织排放，路边设置雨水口，通过暗管收集的雨水排入全厂雨排水系统。</w:t>
                  </w:r>
                </w:p>
              </w:tc>
              <w:tc>
                <w:tcPr>
                  <w:tcW w:w="727" w:type="dxa"/>
                  <w:noWrap w:val="0"/>
                  <w:tcMar>
                    <w:top w:w="0" w:type="dxa"/>
                    <w:left w:w="28" w:type="dxa"/>
                    <w:bottom w:w="0" w:type="dxa"/>
                    <w:right w:w="28" w:type="dxa"/>
                  </w:tcMar>
                  <w:vAlign w:val="center"/>
                </w:tcPr>
                <w:p>
                  <w:pPr>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cs="Times New Roman"/>
                      <w:color w:val="auto"/>
                      <w:szCs w:val="21"/>
                      <w:lang w:eastAsia="zh-CN"/>
                    </w:rPr>
                  </w:pPr>
                </w:p>
              </w:tc>
              <w:tc>
                <w:tcPr>
                  <w:tcW w:w="3525"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一级石油库防洪标准应按重现期不小于100年设计</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二、三级石油库防洪标准应按重现期不小于50年设计</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四、五级石油库防洪标准应按重现期不小于25年设计。</w:t>
                  </w:r>
                </w:p>
              </w:tc>
              <w:tc>
                <w:tcPr>
                  <w:tcW w:w="3662"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eastAsia="zh-CN"/>
                    </w:rPr>
                    <w:t>本项目为</w:t>
                  </w:r>
                  <w:r>
                    <w:rPr>
                      <w:rFonts w:hint="default" w:ascii="Times New Roman" w:hAnsi="Times New Roman" w:eastAsia="宋体" w:cs="Times New Roman"/>
                      <w:color w:val="auto"/>
                      <w:szCs w:val="21"/>
                    </w:rPr>
                    <w:t>一级石油库</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防洪标准重现期</w:t>
                  </w:r>
                  <w:r>
                    <w:rPr>
                      <w:rFonts w:hint="eastAsia" w:ascii="Times New Roman" w:hAnsi="Times New Roman" w:cs="Times New Roman"/>
                      <w:color w:val="auto"/>
                      <w:szCs w:val="21"/>
                      <w:lang w:eastAsia="zh-CN"/>
                    </w:rPr>
                    <w:t>按</w:t>
                  </w:r>
                  <w:r>
                    <w:rPr>
                      <w:rFonts w:hint="default" w:ascii="Times New Roman" w:hAnsi="Times New Roman" w:eastAsia="宋体" w:cs="Times New Roman"/>
                      <w:color w:val="auto"/>
                      <w:szCs w:val="21"/>
                    </w:rPr>
                    <w:t>100年设计</w:t>
                  </w:r>
                  <w:r>
                    <w:rPr>
                      <w:rFonts w:hint="eastAsia" w:ascii="Times New Roman" w:hAnsi="Times New Roman" w:cs="Times New Roman"/>
                      <w:color w:val="auto"/>
                      <w:szCs w:val="21"/>
                      <w:lang w:eastAsia="zh-CN"/>
                    </w:rPr>
                    <w:t>。</w:t>
                  </w:r>
                </w:p>
              </w:tc>
              <w:tc>
                <w:tcPr>
                  <w:tcW w:w="727" w:type="dxa"/>
                  <w:noWrap w:val="0"/>
                  <w:tcMar>
                    <w:top w:w="0" w:type="dxa"/>
                    <w:left w:w="28" w:type="dxa"/>
                    <w:bottom w:w="0" w:type="dxa"/>
                    <w:right w:w="28" w:type="dxa"/>
                  </w:tcMar>
                  <w:vAlign w:val="center"/>
                </w:tcPr>
                <w:p>
                  <w:pPr>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cs="Times New Roman"/>
                      <w:color w:val="auto"/>
                      <w:szCs w:val="21"/>
                      <w:lang w:eastAsia="zh-CN"/>
                    </w:rPr>
                  </w:pPr>
                </w:p>
              </w:tc>
              <w:tc>
                <w:tcPr>
                  <w:tcW w:w="3525"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石油库的库址应具备满足生产、消防、生活所需的水源和电源的条件</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还应具备污水排放的条件。</w:t>
                  </w:r>
                </w:p>
              </w:tc>
              <w:tc>
                <w:tcPr>
                  <w:tcW w:w="3662"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项目区设有自来水管网及供电管网，供水供电有保障；产生污水经处理后回用。</w:t>
                  </w:r>
                </w:p>
              </w:tc>
              <w:tc>
                <w:tcPr>
                  <w:tcW w:w="727"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cs="Times New Roman"/>
                      <w:color w:val="auto"/>
                      <w:szCs w:val="21"/>
                      <w:lang w:eastAsia="zh-CN"/>
                    </w:rPr>
                  </w:pPr>
                </w:p>
              </w:tc>
              <w:tc>
                <w:tcPr>
                  <w:tcW w:w="3525"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石油库与库外居住区、公共建筑物、工矿企业、交通线的安全距离</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不得小于表4.0.10的规定。</w:t>
                  </w:r>
                </w:p>
              </w:tc>
              <w:tc>
                <w:tcPr>
                  <w:tcW w:w="3662"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eastAsia="zh-CN"/>
                    </w:rPr>
                    <w:t>项目与库外</w:t>
                  </w:r>
                  <w:r>
                    <w:rPr>
                      <w:rFonts w:hint="default" w:ascii="Times New Roman" w:hAnsi="Times New Roman" w:cs="Times New Roman"/>
                      <w:color w:val="auto"/>
                      <w:szCs w:val="21"/>
                      <w:lang w:eastAsia="zh-CN"/>
                    </w:rPr>
                    <w:t>居住区、公共建筑物</w:t>
                  </w:r>
                  <w:r>
                    <w:rPr>
                      <w:rFonts w:hint="eastAsia" w:ascii="Times New Roman" w:hAnsi="Times New Roman" w:cs="Times New Roman"/>
                      <w:color w:val="auto"/>
                      <w:szCs w:val="21"/>
                      <w:lang w:eastAsia="zh-CN"/>
                    </w:rPr>
                    <w:t>（黑旺村）最近距离为</w:t>
                  </w:r>
                  <w:r>
                    <w:rPr>
                      <w:rFonts w:hint="eastAsia" w:ascii="Times New Roman" w:hAnsi="Times New Roman" w:cs="Times New Roman"/>
                      <w:color w:val="auto"/>
                      <w:szCs w:val="21"/>
                      <w:lang w:val="en-US" w:eastAsia="zh-CN"/>
                    </w:rPr>
                    <w:t>1046m，罐区与</w:t>
                  </w:r>
                  <w:r>
                    <w:rPr>
                      <w:rFonts w:hint="default" w:ascii="Times New Roman" w:hAnsi="Times New Roman" w:cs="Times New Roman"/>
                      <w:color w:val="auto"/>
                      <w:szCs w:val="21"/>
                      <w:lang w:eastAsia="zh-CN"/>
                    </w:rPr>
                    <w:t>工矿企业</w:t>
                  </w:r>
                  <w:r>
                    <w:rPr>
                      <w:rFonts w:hint="eastAsia" w:ascii="Times New Roman" w:hAnsi="Times New Roman" w:cs="Times New Roman"/>
                      <w:color w:val="auto"/>
                      <w:szCs w:val="21"/>
                      <w:lang w:eastAsia="zh-CN"/>
                    </w:rPr>
                    <w:t>（山东顺帮物流服务有限公司停车场）最近距离为</w:t>
                  </w:r>
                  <w:r>
                    <w:rPr>
                      <w:rFonts w:hint="eastAsia" w:ascii="Times New Roman" w:hAnsi="Times New Roman" w:cs="Times New Roman"/>
                      <w:color w:val="auto"/>
                      <w:szCs w:val="21"/>
                      <w:lang w:val="en-US" w:eastAsia="zh-CN"/>
                    </w:rPr>
                    <w:t>70.77m，罐区与</w:t>
                  </w:r>
                  <w:r>
                    <w:rPr>
                      <w:rFonts w:hint="default" w:ascii="Times New Roman" w:hAnsi="Times New Roman" w:cs="Times New Roman"/>
                      <w:color w:val="auto"/>
                      <w:szCs w:val="21"/>
                      <w:lang w:eastAsia="zh-CN"/>
                    </w:rPr>
                    <w:t>交通线</w:t>
                  </w:r>
                  <w:r>
                    <w:rPr>
                      <w:rFonts w:hint="eastAsia" w:ascii="Times New Roman" w:hAnsi="Times New Roman" w:cs="Times New Roman"/>
                      <w:color w:val="auto"/>
                      <w:szCs w:val="21"/>
                      <w:lang w:eastAsia="zh-CN"/>
                    </w:rPr>
                    <w:t>（胶王路）最近距离为1</w:t>
                  </w:r>
                  <w:r>
                    <w:rPr>
                      <w:rFonts w:hint="eastAsia" w:ascii="Times New Roman" w:hAnsi="Times New Roman" w:cs="Times New Roman"/>
                      <w:color w:val="auto"/>
                      <w:szCs w:val="21"/>
                      <w:lang w:val="en-US" w:eastAsia="zh-CN"/>
                    </w:rPr>
                    <w:t>09.62m</w:t>
                  </w:r>
                </w:p>
              </w:tc>
              <w:tc>
                <w:tcPr>
                  <w:tcW w:w="727"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cs="Times New Roman"/>
                      <w:color w:val="auto"/>
                      <w:szCs w:val="21"/>
                      <w:lang w:eastAsia="zh-CN"/>
                    </w:rPr>
                  </w:pPr>
                  <w:r>
                    <w:rPr>
                      <w:rFonts w:hint="eastAsia" w:ascii="Times New Roman" w:hAnsi="Times New Roman" w:cs="Times New Roman"/>
                      <w:color w:val="auto"/>
                      <w:szCs w:val="21"/>
                      <w:lang w:eastAsia="zh-CN"/>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dxa"/>
                  <w:vMerge w:val="restart"/>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eastAsia="zh-CN"/>
                    </w:rPr>
                    <w:t>库区布置</w:t>
                  </w:r>
                </w:p>
              </w:tc>
              <w:tc>
                <w:tcPr>
                  <w:tcW w:w="3525"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石油库的总平面布置</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宜按储罐区、易燃和可燃液体装卸区、辅助作业区和行政管理区分区布置。石油库各区内的主要建(构)筑物或设施</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宜按表5.1.1的规定布置。</w:t>
                  </w:r>
                </w:p>
              </w:tc>
              <w:tc>
                <w:tcPr>
                  <w:tcW w:w="3662" w:type="dxa"/>
                  <w:vMerge w:val="restart"/>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eastAsia="zh-CN"/>
                    </w:rPr>
                    <w:t>项目设置储罐区、装卸区、辅助作业区、</w:t>
                  </w:r>
                  <w:r>
                    <w:rPr>
                      <w:rFonts w:hint="default" w:ascii="Times New Roman" w:hAnsi="Times New Roman" w:eastAsia="宋体" w:cs="Times New Roman"/>
                      <w:color w:val="auto"/>
                      <w:szCs w:val="21"/>
                    </w:rPr>
                    <w:t>行政管理区</w:t>
                  </w:r>
                  <w:r>
                    <w:rPr>
                      <w:rFonts w:hint="eastAsia" w:ascii="Times New Roman" w:hAnsi="Times New Roman" w:cs="Times New Roman"/>
                      <w:color w:val="auto"/>
                      <w:szCs w:val="21"/>
                      <w:lang w:eastAsia="zh-CN"/>
                    </w:rPr>
                    <w:t>。本项目根据企业实际情况，辅助作业区分为两部分，一部分与</w:t>
                  </w:r>
                  <w:r>
                    <w:rPr>
                      <w:rFonts w:hint="default" w:ascii="Times New Roman" w:hAnsi="Times New Roman" w:eastAsia="宋体" w:cs="Times New Roman"/>
                      <w:color w:val="auto"/>
                      <w:szCs w:val="21"/>
                    </w:rPr>
                    <w:t>行政管理区</w:t>
                  </w:r>
                  <w:r>
                    <w:rPr>
                      <w:rFonts w:hint="eastAsia" w:ascii="Times New Roman" w:hAnsi="Times New Roman" w:cs="Times New Roman"/>
                      <w:color w:val="auto"/>
                      <w:szCs w:val="21"/>
                      <w:lang w:eastAsia="zh-CN"/>
                    </w:rPr>
                    <w:t>合并建设，一部分单独分区。合并区域满足安全防火要求。具体见表</w:t>
                  </w:r>
                  <w:r>
                    <w:rPr>
                      <w:rFonts w:hint="eastAsia" w:ascii="Times New Roman" w:hAnsi="Times New Roman" w:cs="Times New Roman"/>
                      <w:color w:val="auto"/>
                      <w:szCs w:val="21"/>
                      <w:lang w:val="en-US" w:eastAsia="zh-CN"/>
                    </w:rPr>
                    <w:t>2-5。</w:t>
                  </w:r>
                </w:p>
              </w:tc>
              <w:tc>
                <w:tcPr>
                  <w:tcW w:w="727" w:type="dxa"/>
                  <w:vMerge w:val="restart"/>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p>
              </w:tc>
              <w:tc>
                <w:tcPr>
                  <w:tcW w:w="3525"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行政管理区和辅助作业区内</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使用性质相近的建(构)筑物</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在符合生产使用和安全防火要求的前提下</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可合并建设。</w:t>
                  </w:r>
                </w:p>
              </w:tc>
              <w:tc>
                <w:tcPr>
                  <w:tcW w:w="3662"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p>
              </w:tc>
              <w:tc>
                <w:tcPr>
                  <w:tcW w:w="727"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p>
              </w:tc>
              <w:tc>
                <w:tcPr>
                  <w:tcW w:w="3525"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石油库内建(构)筑物、设施之间的防火距离(储罐与储罐之间的距离除外)</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不应小于表5.1.3的规定。</w:t>
                  </w:r>
                </w:p>
              </w:tc>
              <w:tc>
                <w:tcPr>
                  <w:tcW w:w="3662"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p>
              </w:tc>
              <w:tc>
                <w:tcPr>
                  <w:tcW w:w="727"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PrEx>
              <w:trPr>
                <w:trHeight w:val="340" w:hRule="atLeast"/>
                <w:jc w:val="center"/>
              </w:trPr>
              <w:tc>
                <w:tcPr>
                  <w:tcW w:w="430"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p>
              </w:tc>
              <w:tc>
                <w:tcPr>
                  <w:tcW w:w="3525"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储罐应集中布置。当储罐区地面高于邻近居民点、工业企业或铁路线时</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应加强防止事故状态下库内易燃和可燃液体外流的安全防护措施。</w:t>
                  </w:r>
                </w:p>
              </w:tc>
              <w:tc>
                <w:tcPr>
                  <w:tcW w:w="3662"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eastAsia="zh-CN"/>
                    </w:rPr>
                    <w:t>项目设置储罐区，储罐区设置围堰，并在厂区设置事故水池，可收集事故状态下泄漏液体及消防废水。</w:t>
                  </w:r>
                </w:p>
              </w:tc>
              <w:tc>
                <w:tcPr>
                  <w:tcW w:w="727"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PrEx>
              <w:trPr>
                <w:trHeight w:val="340" w:hRule="atLeast"/>
                <w:jc w:val="center"/>
              </w:trPr>
              <w:tc>
                <w:tcPr>
                  <w:tcW w:w="430"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p>
              </w:tc>
              <w:tc>
                <w:tcPr>
                  <w:tcW w:w="3525"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石油库的储罐应地上露天设置。山区和丘陵地区或有特殊要求的可采用覆土等非露天方式设置</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但储存田B类和乙类液体的卧式储罐不得采用罐室方式设置。地上储罐、覆土储罐应分别设置储罐区。</w:t>
                  </w:r>
                </w:p>
              </w:tc>
              <w:tc>
                <w:tcPr>
                  <w:tcW w:w="3662"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eastAsia="zh-CN"/>
                    </w:rPr>
                    <w:t>本项目储罐均为露天储罐，储罐均为内浮顶储罐及固定顶储罐。</w:t>
                  </w:r>
                </w:p>
              </w:tc>
              <w:tc>
                <w:tcPr>
                  <w:tcW w:w="727"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p>
              </w:tc>
              <w:tc>
                <w:tcPr>
                  <w:tcW w:w="3525"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石油库储罐区应设环行消防车道。位于山区或丘陵地带设置环形消防车道有困难的下列罐区或罐组</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可设尽头式消防车道</w:t>
                  </w:r>
                  <w:r>
                    <w:rPr>
                      <w:rFonts w:hint="eastAsia" w:ascii="Times New Roman" w:hAnsi="Times New Roman" w:cs="Times New Roman"/>
                      <w:color w:val="auto"/>
                      <w:szCs w:val="21"/>
                      <w:lang w:eastAsia="zh-CN"/>
                    </w:rPr>
                    <w:t>。</w:t>
                  </w:r>
                </w:p>
              </w:tc>
              <w:tc>
                <w:tcPr>
                  <w:tcW w:w="3662"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eastAsia="zh-CN"/>
                    </w:rPr>
                    <w:t>本项目设置</w:t>
                  </w:r>
                  <w:r>
                    <w:rPr>
                      <w:rFonts w:hint="eastAsia" w:ascii="Times New Roman" w:hAnsi="Times New Roman" w:cs="Times New Roman"/>
                      <w:color w:val="auto"/>
                      <w:szCs w:val="21"/>
                      <w:lang w:val="en-US" w:eastAsia="zh-CN"/>
                    </w:rPr>
                    <w:t>6个罐区，各罐区均设置环形消防车道。</w:t>
                  </w:r>
                </w:p>
              </w:tc>
              <w:tc>
                <w:tcPr>
                  <w:tcW w:w="727"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dxa"/>
                  <w:vMerge w:val="restart"/>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eastAsia="zh-CN"/>
                    </w:rPr>
                    <w:t>储罐区</w:t>
                  </w:r>
                </w:p>
              </w:tc>
              <w:tc>
                <w:tcPr>
                  <w:tcW w:w="3525"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地上储罐应采用钢制储罐。</w:t>
                  </w:r>
                </w:p>
              </w:tc>
              <w:tc>
                <w:tcPr>
                  <w:tcW w:w="3662"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本项目均为地上储罐，储罐均为钢制储罐。</w:t>
                  </w:r>
                </w:p>
              </w:tc>
              <w:tc>
                <w:tcPr>
                  <w:tcW w:w="727"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cs="Times New Roman"/>
                      <w:color w:val="auto"/>
                      <w:szCs w:val="21"/>
                      <w:lang w:eastAsia="zh-CN"/>
                    </w:rPr>
                  </w:pPr>
                </w:p>
              </w:tc>
              <w:tc>
                <w:tcPr>
                  <w:tcW w:w="3525"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储存</w:t>
                  </w:r>
                  <w:r>
                    <w:rPr>
                      <w:rFonts w:hint="eastAsia" w:ascii="Times New Roman" w:hAnsi="Times New Roman" w:cs="Times New Roman"/>
                      <w:color w:val="auto"/>
                      <w:szCs w:val="21"/>
                      <w:lang w:eastAsia="zh-CN"/>
                    </w:rPr>
                    <w:t>甲</w:t>
                  </w:r>
                  <w:r>
                    <w:rPr>
                      <w:rFonts w:hint="default" w:ascii="Times New Roman" w:hAnsi="Times New Roman" w:eastAsia="宋体" w:cs="Times New Roman"/>
                      <w:color w:val="auto"/>
                      <w:szCs w:val="21"/>
                    </w:rPr>
                    <w:t>B、乙A类原油和成品油</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应采用外浮顶储罐、内浮顶储罐和卧式储罐。3号喷气燃料的最高储存温度低于油品闪点5℃及以下时</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可采用容量小于或等于10000m的固定顶储罐。当采用卧式储罐储存甲B、乙A类油品时</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储存甲B类油品卧式储罐的单罐容量不应大于100m</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储存乙A类油品卧式储罐的单罐容量不应大于200m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w:t>
                  </w:r>
                </w:p>
              </w:tc>
              <w:tc>
                <w:tcPr>
                  <w:tcW w:w="3662" w:type="dxa"/>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本项目</w:t>
                  </w:r>
                  <w:r>
                    <w:rPr>
                      <w:rFonts w:hint="default" w:ascii="Times New Roman" w:hAnsi="Times New Roman" w:eastAsia="宋体" w:cs="Times New Roman"/>
                      <w:color w:val="auto"/>
                      <w:szCs w:val="21"/>
                    </w:rPr>
                    <w:t>储存</w:t>
                  </w:r>
                  <w:r>
                    <w:rPr>
                      <w:rFonts w:hint="eastAsia" w:ascii="Times New Roman" w:hAnsi="Times New Roman" w:cs="Times New Roman"/>
                      <w:color w:val="auto"/>
                      <w:szCs w:val="21"/>
                      <w:lang w:eastAsia="zh-CN"/>
                    </w:rPr>
                    <w:t>甲</w:t>
                  </w:r>
                  <w:r>
                    <w:rPr>
                      <w:rFonts w:hint="default" w:ascii="Times New Roman" w:hAnsi="Times New Roman" w:eastAsia="宋体" w:cs="Times New Roman"/>
                      <w:color w:val="auto"/>
                      <w:szCs w:val="21"/>
                    </w:rPr>
                    <w:t>B、乙A类原油和成品油</w:t>
                  </w:r>
                  <w:r>
                    <w:rPr>
                      <w:rFonts w:hint="eastAsia" w:ascii="Times New Roman" w:hAnsi="Times New Roman" w:cs="Times New Roman"/>
                      <w:color w:val="auto"/>
                      <w:szCs w:val="21"/>
                      <w:lang w:eastAsia="zh-CN"/>
                    </w:rPr>
                    <w:t>储罐均为内浮顶储罐。</w:t>
                  </w:r>
                </w:p>
              </w:tc>
              <w:tc>
                <w:tcPr>
                  <w:tcW w:w="727"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dxa"/>
                  <w:vMerge w:val="continue"/>
                  <w:noWrap w:val="0"/>
                  <w:tcMar>
                    <w:top w:w="0" w:type="dxa"/>
                    <w:left w:w="28" w:type="dxa"/>
                    <w:bottom w:w="0" w:type="dxa"/>
                    <w:right w:w="28" w:type="dxa"/>
                  </w:tcMar>
                  <w:vAlign w:val="center"/>
                </w:tcPr>
                <w:p>
                  <w:pPr>
                    <w:pStyle w:val="13"/>
                    <w:spacing w:after="0"/>
                    <w:ind w:left="0" w:leftChars="0" w:firstLine="0" w:firstLineChars="0"/>
                    <w:jc w:val="center"/>
                    <w:rPr>
                      <w:rFonts w:hint="eastAsia" w:ascii="Times New Roman" w:hAnsi="Times New Roman" w:cs="Times New Roman"/>
                      <w:color w:val="auto"/>
                      <w:szCs w:val="21"/>
                      <w:lang w:eastAsia="zh-CN"/>
                    </w:rPr>
                  </w:pPr>
                </w:p>
              </w:tc>
              <w:tc>
                <w:tcPr>
                  <w:tcW w:w="3525"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eastAsia" w:ascii="Times New Roman" w:hAnsi="Times New Roman" w:cs="Times New Roman"/>
                      <w:color w:val="auto"/>
                      <w:szCs w:val="21"/>
                      <w:lang w:eastAsia="zh-CN"/>
                    </w:rPr>
                    <w:t>地上储罐组内相邻储罐之间的防火距离不应小于表6.1.15的规定。</w:t>
                  </w:r>
                </w:p>
              </w:tc>
              <w:tc>
                <w:tcPr>
                  <w:tcW w:w="3662"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eastAsia="zh-CN"/>
                    </w:rPr>
                    <w:t>本项目储罐组内相邻储罐之间的防火距离见表</w:t>
                  </w:r>
                  <w:r>
                    <w:rPr>
                      <w:rFonts w:hint="eastAsia" w:ascii="Times New Roman" w:hAnsi="Times New Roman" w:cs="Times New Roman"/>
                      <w:color w:val="auto"/>
                      <w:szCs w:val="21"/>
                      <w:lang w:val="en-US" w:eastAsia="zh-CN"/>
                    </w:rPr>
                    <w:t>1-16。</w:t>
                  </w:r>
                </w:p>
              </w:tc>
              <w:tc>
                <w:tcPr>
                  <w:tcW w:w="727" w:type="dxa"/>
                  <w:noWrap w:val="0"/>
                  <w:tcMar>
                    <w:top w:w="0" w:type="dxa"/>
                    <w:left w:w="28" w:type="dxa"/>
                    <w:bottom w:w="0" w:type="dxa"/>
                    <w:right w:w="28" w:type="dxa"/>
                  </w:tcMar>
                  <w:vAlign w:val="center"/>
                </w:tcPr>
                <w:p>
                  <w:pPr>
                    <w:pStyle w:val="13"/>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zh-CN" w:eastAsia="zh-CN"/>
              </w:rPr>
            </w:pPr>
            <w:r>
              <w:rPr>
                <w:rFonts w:hint="eastAsia" w:ascii="Times New Roman" w:hAnsi="Times New Roman" w:eastAsia="黑体" w:cs="Times New Roman"/>
                <w:b w:val="0"/>
                <w:bCs w:val="0"/>
                <w:color w:val="auto"/>
                <w:kern w:val="0"/>
                <w:sz w:val="24"/>
                <w:szCs w:val="24"/>
                <w:lang w:val="zh-CN" w:eastAsia="zh-CN"/>
              </w:rPr>
              <w:t>表1-1</w:t>
            </w:r>
            <w:r>
              <w:rPr>
                <w:rFonts w:hint="eastAsia" w:eastAsia="黑体" w:cs="Times New Roman"/>
                <w:b w:val="0"/>
                <w:bCs w:val="0"/>
                <w:color w:val="auto"/>
                <w:kern w:val="0"/>
                <w:sz w:val="24"/>
                <w:szCs w:val="24"/>
                <w:lang w:val="en-US" w:eastAsia="zh-CN"/>
              </w:rPr>
              <w:t>6</w:t>
            </w:r>
            <w:r>
              <w:rPr>
                <w:rFonts w:hint="eastAsia" w:ascii="Times New Roman" w:hAnsi="Times New Roman" w:eastAsia="黑体" w:cs="Times New Roman"/>
                <w:b w:val="0"/>
                <w:bCs w:val="0"/>
                <w:color w:val="auto"/>
                <w:kern w:val="0"/>
                <w:sz w:val="24"/>
                <w:szCs w:val="24"/>
                <w:lang w:val="zh-CN" w:eastAsia="zh-CN"/>
              </w:rPr>
              <w:t xml:space="preserve"> 本项目储罐组内相邻储罐之间的防火距离表</w:t>
            </w:r>
          </w:p>
          <w:tbl>
            <w:tblPr>
              <w:tblStyle w:val="26"/>
              <w:tblW w:w="49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810"/>
              <w:gridCol w:w="1740"/>
              <w:gridCol w:w="1399"/>
              <w:gridCol w:w="866"/>
              <w:gridCol w:w="6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装置名称</w:t>
                  </w: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方位</w:t>
                  </w:r>
                </w:p>
              </w:tc>
              <w:tc>
                <w:tcPr>
                  <w:tcW w:w="1315"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周围设施</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标准距离</w:t>
                  </w:r>
                </w:p>
                <w:p>
                  <w:pPr>
                    <w:overflowPunct w:val="0"/>
                    <w:spacing w:before="0"/>
                    <w:ind w:firstLine="0" w:firstLineChars="0"/>
                    <w:jc w:val="center"/>
                    <w:rPr>
                      <w:color w:val="auto"/>
                      <w:kern w:val="0"/>
                      <w:sz w:val="21"/>
                      <w:szCs w:val="21"/>
                    </w:rPr>
                  </w:pPr>
                  <w:r>
                    <w:rPr>
                      <w:color w:val="auto"/>
                      <w:kern w:val="0"/>
                      <w:sz w:val="21"/>
                      <w:szCs w:val="21"/>
                    </w:rPr>
                    <w:t>（m）</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实际距离（m）</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overflowPunct w:val="0"/>
                    <w:spacing w:before="0"/>
                    <w:ind w:firstLine="0" w:firstLineChars="0"/>
                    <w:jc w:val="center"/>
                    <w:rPr>
                      <w:rFonts w:hint="default" w:eastAsia="宋体"/>
                      <w:b/>
                      <w:bCs/>
                      <w:color w:val="auto"/>
                      <w:kern w:val="0"/>
                      <w:sz w:val="21"/>
                      <w:szCs w:val="21"/>
                      <w:lang w:val="en-US" w:eastAsia="zh-CN"/>
                    </w:rPr>
                  </w:pPr>
                  <w:r>
                    <w:rPr>
                      <w:rFonts w:hint="eastAsia"/>
                      <w:b/>
                      <w:bCs/>
                      <w:color w:val="auto"/>
                      <w:kern w:val="0"/>
                      <w:sz w:val="21"/>
                      <w:szCs w:val="21"/>
                      <w:lang w:val="en-US" w:eastAsia="zh-CN"/>
                    </w:rPr>
                    <w:t>1#罐区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V1001A储罐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rPr>
                  </w:pPr>
                  <w:r>
                    <w:rPr>
                      <w:color w:val="auto"/>
                      <w:kern w:val="0"/>
                      <w:sz w:val="21"/>
                      <w:szCs w:val="21"/>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V1001B储罐</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11.2（0.4D）</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12</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w:t>
                  </w:r>
                </w:p>
              </w:tc>
              <w:tc>
                <w:tcPr>
                  <w:tcW w:w="1315" w:type="pct"/>
                  <w:noWrap w:val="0"/>
                  <w:vAlign w:val="center"/>
                </w:tcPr>
                <w:p>
                  <w:pPr>
                    <w:overflowPunct w:val="0"/>
                    <w:spacing w:before="0"/>
                    <w:ind w:firstLine="0" w:firstLineChars="0"/>
                    <w:jc w:val="center"/>
                    <w:rPr>
                      <w:color w:val="auto"/>
                      <w:kern w:val="0"/>
                      <w:sz w:val="21"/>
                      <w:szCs w:val="21"/>
                    </w:rPr>
                  </w:pPr>
                  <w:r>
                    <w:rPr>
                      <w:color w:val="auto"/>
                      <w:kern w:val="0"/>
                      <w:sz w:val="21"/>
                      <w:szCs w:val="21"/>
                    </w:rPr>
                    <w:t>防火堤</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10（0.5H）</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南</w:t>
                  </w:r>
                </w:p>
              </w:tc>
              <w:tc>
                <w:tcPr>
                  <w:tcW w:w="1315"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V1001C储罐</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11.2（0.4D）</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12</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北</w:t>
                  </w:r>
                </w:p>
              </w:tc>
              <w:tc>
                <w:tcPr>
                  <w:tcW w:w="1315" w:type="pct"/>
                  <w:noWrap w:val="0"/>
                  <w:vAlign w:val="center"/>
                </w:tcPr>
                <w:p>
                  <w:pPr>
                    <w:overflowPunct w:val="0"/>
                    <w:spacing w:before="0"/>
                    <w:ind w:firstLine="0" w:firstLineChars="0"/>
                    <w:jc w:val="center"/>
                    <w:rPr>
                      <w:color w:val="auto"/>
                      <w:kern w:val="0"/>
                      <w:sz w:val="21"/>
                      <w:szCs w:val="21"/>
                    </w:rPr>
                  </w:pPr>
                  <w:r>
                    <w:rPr>
                      <w:color w:val="auto"/>
                      <w:kern w:val="0"/>
                      <w:sz w:val="21"/>
                      <w:szCs w:val="21"/>
                    </w:rPr>
                    <w:t>防火堤</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10（0.5H）</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V1001B储罐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rPr>
                  </w:pPr>
                  <w:r>
                    <w:rPr>
                      <w:color w:val="auto"/>
                      <w:kern w:val="0"/>
                      <w:sz w:val="21"/>
                      <w:szCs w:val="21"/>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V1002A储罐</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11.2（0.4D）</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12</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V1001A储罐</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11.2（0.4D）</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12</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南</w:t>
                  </w:r>
                </w:p>
              </w:tc>
              <w:tc>
                <w:tcPr>
                  <w:tcW w:w="1315"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V1001D储罐</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11.2（0.4D）</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12</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北</w:t>
                  </w:r>
                </w:p>
              </w:tc>
              <w:tc>
                <w:tcPr>
                  <w:tcW w:w="1315" w:type="pct"/>
                  <w:noWrap w:val="0"/>
                  <w:vAlign w:val="center"/>
                </w:tcPr>
                <w:p>
                  <w:pPr>
                    <w:overflowPunct w:val="0"/>
                    <w:spacing w:before="0"/>
                    <w:ind w:firstLine="0" w:firstLineChars="0"/>
                    <w:jc w:val="center"/>
                    <w:rPr>
                      <w:color w:val="auto"/>
                      <w:kern w:val="0"/>
                      <w:sz w:val="21"/>
                      <w:szCs w:val="21"/>
                    </w:rPr>
                  </w:pPr>
                  <w:r>
                    <w:rPr>
                      <w:color w:val="auto"/>
                      <w:kern w:val="0"/>
                      <w:sz w:val="21"/>
                      <w:szCs w:val="21"/>
                    </w:rPr>
                    <w:t>防火堤</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10（0.5H）</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V1001C储罐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rPr>
                  </w:pPr>
                  <w:r>
                    <w:rPr>
                      <w:color w:val="auto"/>
                      <w:kern w:val="0"/>
                      <w:sz w:val="21"/>
                      <w:szCs w:val="21"/>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V1001D储罐</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11.2（0.4D）</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12</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w:t>
                  </w:r>
                </w:p>
              </w:tc>
              <w:tc>
                <w:tcPr>
                  <w:tcW w:w="1315" w:type="pct"/>
                  <w:noWrap w:val="0"/>
                  <w:vAlign w:val="center"/>
                </w:tcPr>
                <w:p>
                  <w:pPr>
                    <w:overflowPunct w:val="0"/>
                    <w:spacing w:before="0"/>
                    <w:ind w:firstLine="0" w:firstLineChars="0"/>
                    <w:jc w:val="center"/>
                    <w:rPr>
                      <w:color w:val="auto"/>
                      <w:kern w:val="0"/>
                      <w:sz w:val="21"/>
                      <w:szCs w:val="21"/>
                    </w:rPr>
                  </w:pPr>
                  <w:r>
                    <w:rPr>
                      <w:color w:val="auto"/>
                      <w:kern w:val="0"/>
                      <w:sz w:val="21"/>
                      <w:szCs w:val="21"/>
                    </w:rPr>
                    <w:t>防火堤</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10（0.5H）</w:t>
                  </w:r>
                </w:p>
              </w:tc>
              <w:tc>
                <w:tcPr>
                  <w:tcW w:w="654"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1</w:t>
                  </w:r>
                  <w:r>
                    <w:rPr>
                      <w:rFonts w:hint="eastAsia"/>
                      <w:color w:val="auto"/>
                      <w:kern w:val="0"/>
                      <w:sz w:val="21"/>
                      <w:szCs w:val="21"/>
                      <w:lang w:val="en-US" w:eastAsia="zh-CN"/>
                    </w:rPr>
                    <w:t>0</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南</w:t>
                  </w:r>
                </w:p>
              </w:tc>
              <w:tc>
                <w:tcPr>
                  <w:tcW w:w="1315" w:type="pct"/>
                  <w:noWrap w:val="0"/>
                  <w:vAlign w:val="center"/>
                </w:tcPr>
                <w:p>
                  <w:pPr>
                    <w:overflowPunct w:val="0"/>
                    <w:spacing w:before="0"/>
                    <w:ind w:firstLine="0" w:firstLineChars="0"/>
                    <w:jc w:val="center"/>
                    <w:rPr>
                      <w:color w:val="auto"/>
                      <w:kern w:val="0"/>
                      <w:sz w:val="21"/>
                      <w:szCs w:val="21"/>
                    </w:rPr>
                  </w:pPr>
                  <w:r>
                    <w:rPr>
                      <w:color w:val="auto"/>
                      <w:kern w:val="0"/>
                      <w:sz w:val="21"/>
                      <w:szCs w:val="21"/>
                    </w:rPr>
                    <w:t>防火堤</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10（0.5H）</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北</w:t>
                  </w:r>
                </w:p>
              </w:tc>
              <w:tc>
                <w:tcPr>
                  <w:tcW w:w="1315"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V1001A储罐</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11.2（0.4D）</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12</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V1001D储罐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rPr>
                  </w:pPr>
                  <w:r>
                    <w:rPr>
                      <w:color w:val="auto"/>
                      <w:kern w:val="0"/>
                      <w:sz w:val="21"/>
                      <w:szCs w:val="21"/>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V1002C储罐</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11.2（0.4D）</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12</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V1001C储罐</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11.2（0.4D）</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12</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南</w:t>
                  </w:r>
                </w:p>
              </w:tc>
              <w:tc>
                <w:tcPr>
                  <w:tcW w:w="1315" w:type="pct"/>
                  <w:noWrap w:val="0"/>
                  <w:vAlign w:val="center"/>
                </w:tcPr>
                <w:p>
                  <w:pPr>
                    <w:overflowPunct w:val="0"/>
                    <w:spacing w:before="0"/>
                    <w:ind w:firstLine="0" w:firstLineChars="0"/>
                    <w:jc w:val="center"/>
                    <w:rPr>
                      <w:color w:val="auto"/>
                      <w:kern w:val="0"/>
                      <w:sz w:val="21"/>
                      <w:szCs w:val="21"/>
                    </w:rPr>
                  </w:pPr>
                  <w:r>
                    <w:rPr>
                      <w:color w:val="auto"/>
                      <w:kern w:val="0"/>
                      <w:sz w:val="21"/>
                      <w:szCs w:val="21"/>
                    </w:rPr>
                    <w:t>防火堤</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w:t>
                  </w:r>
                  <w:r>
                    <w:rPr>
                      <w:rFonts w:hint="eastAsia"/>
                      <w:color w:val="auto"/>
                      <w:kern w:val="0"/>
                      <w:sz w:val="21"/>
                      <w:szCs w:val="21"/>
                      <w:lang w:val="en-US" w:eastAsia="zh-CN"/>
                    </w:rPr>
                    <w:t>0</w:t>
                  </w:r>
                  <w:r>
                    <w:rPr>
                      <w:color w:val="auto"/>
                      <w:kern w:val="0"/>
                      <w:sz w:val="21"/>
                      <w:szCs w:val="21"/>
                    </w:rPr>
                    <w:t>（0.5H）</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北</w:t>
                  </w:r>
                </w:p>
              </w:tc>
              <w:tc>
                <w:tcPr>
                  <w:tcW w:w="1315"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V1001B储罐</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11.2（0.4D）</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12</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V1002A储罐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rPr>
                  </w:pPr>
                  <w:r>
                    <w:rPr>
                      <w:color w:val="auto"/>
                      <w:kern w:val="0"/>
                      <w:sz w:val="21"/>
                      <w:szCs w:val="21"/>
                    </w:rPr>
                    <w:t>东</w:t>
                  </w:r>
                </w:p>
              </w:tc>
              <w:tc>
                <w:tcPr>
                  <w:tcW w:w="1315" w:type="pct"/>
                  <w:noWrap w:val="0"/>
                  <w:vAlign w:val="center"/>
                </w:tcPr>
                <w:p>
                  <w:pPr>
                    <w:overflowPunct w:val="0"/>
                    <w:spacing w:before="0"/>
                    <w:ind w:firstLine="0" w:firstLineChars="0"/>
                    <w:jc w:val="center"/>
                    <w:rPr>
                      <w:color w:val="auto"/>
                      <w:kern w:val="0"/>
                      <w:sz w:val="21"/>
                      <w:szCs w:val="21"/>
                    </w:rPr>
                  </w:pPr>
                  <w:r>
                    <w:rPr>
                      <w:color w:val="auto"/>
                      <w:kern w:val="0"/>
                      <w:sz w:val="21"/>
                      <w:szCs w:val="21"/>
                    </w:rPr>
                    <w:t>防火堤</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w:t>
                  </w:r>
                  <w:r>
                    <w:rPr>
                      <w:rFonts w:hint="eastAsia"/>
                      <w:color w:val="auto"/>
                      <w:kern w:val="0"/>
                      <w:sz w:val="21"/>
                      <w:szCs w:val="21"/>
                      <w:lang w:val="en-US" w:eastAsia="zh-CN"/>
                    </w:rPr>
                    <w:t>0</w:t>
                  </w:r>
                  <w:r>
                    <w:rPr>
                      <w:color w:val="auto"/>
                      <w:kern w:val="0"/>
                      <w:sz w:val="21"/>
                      <w:szCs w:val="21"/>
                    </w:rPr>
                    <w:t>（0.5H）</w:t>
                  </w:r>
                </w:p>
              </w:tc>
              <w:tc>
                <w:tcPr>
                  <w:tcW w:w="654"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1</w:t>
                  </w:r>
                  <w:r>
                    <w:rPr>
                      <w:rFonts w:hint="eastAsia"/>
                      <w:color w:val="auto"/>
                      <w:kern w:val="0"/>
                      <w:sz w:val="21"/>
                      <w:szCs w:val="21"/>
                      <w:lang w:val="en-US" w:eastAsia="zh-CN"/>
                    </w:rPr>
                    <w:t>1</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V1001B储罐</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11.2（0.4D）</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12</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南</w:t>
                  </w:r>
                </w:p>
              </w:tc>
              <w:tc>
                <w:tcPr>
                  <w:tcW w:w="1315"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V1002</w:t>
                  </w:r>
                  <w:r>
                    <w:rPr>
                      <w:rFonts w:hint="eastAsia"/>
                      <w:color w:val="auto"/>
                      <w:kern w:val="0"/>
                      <w:sz w:val="21"/>
                      <w:szCs w:val="21"/>
                      <w:lang w:val="en-US" w:eastAsia="zh-CN"/>
                    </w:rPr>
                    <w:t>B</w:t>
                  </w:r>
                  <w:r>
                    <w:rPr>
                      <w:color w:val="auto"/>
                      <w:kern w:val="0"/>
                      <w:sz w:val="21"/>
                      <w:szCs w:val="21"/>
                    </w:rPr>
                    <w:t>储罐</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11.2（0.4D）</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12</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北</w:t>
                  </w:r>
                </w:p>
              </w:tc>
              <w:tc>
                <w:tcPr>
                  <w:tcW w:w="1315" w:type="pct"/>
                  <w:noWrap w:val="0"/>
                  <w:vAlign w:val="center"/>
                </w:tcPr>
                <w:p>
                  <w:pPr>
                    <w:overflowPunct w:val="0"/>
                    <w:spacing w:before="0"/>
                    <w:ind w:firstLine="0" w:firstLineChars="0"/>
                    <w:jc w:val="center"/>
                    <w:rPr>
                      <w:color w:val="auto"/>
                      <w:kern w:val="0"/>
                      <w:sz w:val="21"/>
                      <w:szCs w:val="21"/>
                    </w:rPr>
                  </w:pPr>
                  <w:r>
                    <w:rPr>
                      <w:color w:val="auto"/>
                      <w:kern w:val="0"/>
                      <w:sz w:val="21"/>
                      <w:szCs w:val="21"/>
                    </w:rPr>
                    <w:t>防火堤</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10.5（0.5H）</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V1002B储罐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rPr>
                  </w:pPr>
                  <w:r>
                    <w:rPr>
                      <w:color w:val="auto"/>
                      <w:kern w:val="0"/>
                      <w:sz w:val="21"/>
                      <w:szCs w:val="21"/>
                    </w:rPr>
                    <w:t>东</w:t>
                  </w:r>
                </w:p>
              </w:tc>
              <w:tc>
                <w:tcPr>
                  <w:tcW w:w="1315" w:type="pct"/>
                  <w:noWrap w:val="0"/>
                  <w:vAlign w:val="center"/>
                </w:tcPr>
                <w:p>
                  <w:pPr>
                    <w:overflowPunct w:val="0"/>
                    <w:spacing w:before="0"/>
                    <w:ind w:firstLine="0" w:firstLineChars="0"/>
                    <w:jc w:val="center"/>
                    <w:rPr>
                      <w:color w:val="auto"/>
                      <w:kern w:val="0"/>
                      <w:sz w:val="21"/>
                      <w:szCs w:val="21"/>
                    </w:rPr>
                  </w:pPr>
                  <w:r>
                    <w:rPr>
                      <w:color w:val="auto"/>
                      <w:kern w:val="0"/>
                      <w:sz w:val="21"/>
                      <w:szCs w:val="21"/>
                    </w:rPr>
                    <w:t>防火堤</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10（0.5H）</w:t>
                  </w:r>
                </w:p>
              </w:tc>
              <w:tc>
                <w:tcPr>
                  <w:tcW w:w="654"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color w:val="auto"/>
                      <w:kern w:val="0"/>
                      <w:sz w:val="21"/>
                      <w:szCs w:val="21"/>
                    </w:rPr>
                    <w:t>10</w:t>
                  </w:r>
                  <w:r>
                    <w:rPr>
                      <w:rFonts w:hint="eastAsia"/>
                      <w:color w:val="auto"/>
                      <w:kern w:val="0"/>
                      <w:sz w:val="21"/>
                      <w:szCs w:val="21"/>
                      <w:lang w:val="en-US" w:eastAsia="zh-CN"/>
                    </w:rPr>
                    <w:t>.50</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V1002A储罐</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11.2（0.4D）</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12</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南</w:t>
                  </w:r>
                </w:p>
              </w:tc>
              <w:tc>
                <w:tcPr>
                  <w:tcW w:w="1315" w:type="pct"/>
                  <w:noWrap w:val="0"/>
                  <w:vAlign w:val="center"/>
                </w:tcPr>
                <w:p>
                  <w:pPr>
                    <w:overflowPunct w:val="0"/>
                    <w:spacing w:before="0"/>
                    <w:ind w:firstLine="0" w:firstLineChars="0"/>
                    <w:jc w:val="center"/>
                    <w:rPr>
                      <w:color w:val="auto"/>
                      <w:kern w:val="0"/>
                      <w:sz w:val="21"/>
                      <w:szCs w:val="21"/>
                    </w:rPr>
                  </w:pPr>
                  <w:r>
                    <w:rPr>
                      <w:color w:val="auto"/>
                      <w:kern w:val="0"/>
                      <w:sz w:val="21"/>
                      <w:szCs w:val="21"/>
                    </w:rPr>
                    <w:t>防火堤</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10（0.5H）</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rPr>
                  </w:pPr>
                </w:p>
              </w:tc>
              <w:tc>
                <w:tcPr>
                  <w:tcW w:w="61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北</w:t>
                  </w:r>
                </w:p>
              </w:tc>
              <w:tc>
                <w:tcPr>
                  <w:tcW w:w="1315"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V1002</w:t>
                  </w:r>
                  <w:r>
                    <w:rPr>
                      <w:rFonts w:hint="eastAsia"/>
                      <w:color w:val="auto"/>
                      <w:kern w:val="0"/>
                      <w:sz w:val="21"/>
                      <w:szCs w:val="21"/>
                      <w:lang w:val="en-US" w:eastAsia="zh-CN"/>
                    </w:rPr>
                    <w:t>A</w:t>
                  </w:r>
                  <w:r>
                    <w:rPr>
                      <w:color w:val="auto"/>
                      <w:kern w:val="0"/>
                      <w:sz w:val="21"/>
                      <w:szCs w:val="21"/>
                    </w:rPr>
                    <w:t>储罐</w:t>
                  </w:r>
                </w:p>
              </w:tc>
              <w:tc>
                <w:tcPr>
                  <w:tcW w:w="1057"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11.2（0.4D）</w:t>
                  </w:r>
                </w:p>
              </w:tc>
              <w:tc>
                <w:tcPr>
                  <w:tcW w:w="654"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12</w:t>
                  </w:r>
                </w:p>
              </w:tc>
              <w:tc>
                <w:tcPr>
                  <w:tcW w:w="51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overflowPunct w:val="0"/>
                    <w:spacing w:before="0"/>
                    <w:ind w:firstLine="0" w:firstLineChars="0"/>
                    <w:jc w:val="center"/>
                    <w:rPr>
                      <w:rFonts w:hint="default" w:eastAsia="宋体"/>
                      <w:b/>
                      <w:bCs/>
                      <w:color w:val="auto"/>
                      <w:kern w:val="0"/>
                      <w:sz w:val="21"/>
                      <w:szCs w:val="21"/>
                      <w:highlight w:val="none"/>
                      <w:lang w:val="en-US" w:eastAsia="zh-CN"/>
                    </w:rPr>
                  </w:pPr>
                  <w:r>
                    <w:rPr>
                      <w:rFonts w:hint="eastAsia"/>
                      <w:b/>
                      <w:bCs/>
                      <w:color w:val="auto"/>
                      <w:kern w:val="0"/>
                      <w:sz w:val="21"/>
                      <w:szCs w:val="21"/>
                      <w:highlight w:val="none"/>
                      <w:lang w:val="en-US" w:eastAsia="zh-CN"/>
                    </w:rPr>
                    <w:t>2#罐区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V2001A储罐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2</w:t>
                  </w:r>
                  <w:r>
                    <w:rPr>
                      <w:color w:val="auto"/>
                      <w:kern w:val="0"/>
                      <w:sz w:val="21"/>
                      <w:szCs w:val="21"/>
                      <w:highlight w:val="none"/>
                    </w:rPr>
                    <w:t>A储罐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9.5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V2001B储罐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10.5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V2001</w:t>
                  </w:r>
                  <w:r>
                    <w:rPr>
                      <w:rFonts w:hint="eastAsia"/>
                      <w:color w:val="auto"/>
                      <w:kern w:val="0"/>
                      <w:sz w:val="21"/>
                      <w:szCs w:val="21"/>
                      <w:highlight w:val="none"/>
                      <w:lang w:val="en-US" w:eastAsia="zh-CN"/>
                    </w:rPr>
                    <w:t>B</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2</w:t>
                  </w:r>
                  <w:r>
                    <w:rPr>
                      <w:color w:val="auto"/>
                      <w:kern w:val="0"/>
                      <w:sz w:val="21"/>
                      <w:szCs w:val="21"/>
                      <w:highlight w:val="none"/>
                    </w:rPr>
                    <w:t>B储罐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1C</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1A</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V2001</w:t>
                  </w:r>
                  <w:r>
                    <w:rPr>
                      <w:rFonts w:hint="eastAsia"/>
                      <w:color w:val="auto"/>
                      <w:kern w:val="0"/>
                      <w:sz w:val="21"/>
                      <w:szCs w:val="21"/>
                      <w:highlight w:val="none"/>
                      <w:lang w:val="en-US" w:eastAsia="zh-CN"/>
                    </w:rPr>
                    <w:t>C</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2C</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1B</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2A</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1A</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2B</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10.5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2B</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9.5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1B</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2C</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2A</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2C</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9.5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1C</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V200</w:t>
                  </w:r>
                  <w:r>
                    <w:rPr>
                      <w:rFonts w:hint="eastAsia"/>
                      <w:color w:val="auto"/>
                      <w:kern w:val="0"/>
                      <w:sz w:val="21"/>
                      <w:szCs w:val="21"/>
                      <w:highlight w:val="none"/>
                      <w:lang w:val="en-US" w:eastAsia="zh-CN"/>
                    </w:rPr>
                    <w:t>2B</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overflowPunct w:val="0"/>
                    <w:spacing w:before="0"/>
                    <w:ind w:firstLine="0" w:firstLineChars="0"/>
                    <w:jc w:val="center"/>
                    <w:rPr>
                      <w:rFonts w:hint="default" w:eastAsia="宋体"/>
                      <w:b/>
                      <w:bCs/>
                      <w:color w:val="auto"/>
                      <w:kern w:val="0"/>
                      <w:sz w:val="21"/>
                      <w:szCs w:val="21"/>
                      <w:highlight w:val="none"/>
                      <w:lang w:val="en-US" w:eastAsia="zh-CN"/>
                    </w:rPr>
                  </w:pPr>
                  <w:r>
                    <w:rPr>
                      <w:rFonts w:hint="eastAsia"/>
                      <w:b/>
                      <w:bCs/>
                      <w:color w:val="auto"/>
                      <w:kern w:val="0"/>
                      <w:sz w:val="21"/>
                      <w:szCs w:val="21"/>
                      <w:highlight w:val="none"/>
                      <w:lang w:val="en-US" w:eastAsia="zh-CN"/>
                    </w:rPr>
                    <w:t>3#罐区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V3001A</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6</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6.5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6</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6.5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V3001</w:t>
                  </w:r>
                  <w:r>
                    <w:rPr>
                      <w:rFonts w:hint="eastAsia"/>
                      <w:color w:val="auto"/>
                      <w:kern w:val="0"/>
                      <w:sz w:val="21"/>
                      <w:szCs w:val="21"/>
                      <w:highlight w:val="none"/>
                      <w:lang w:val="en-US" w:eastAsia="zh-CN"/>
                    </w:rPr>
                    <w:t>B</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3.2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lang w:val="en-US" w:eastAsia="zh-CN"/>
                    </w:rPr>
                    <w:t>4</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6</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6.5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V3001</w:t>
                  </w:r>
                  <w:r>
                    <w:rPr>
                      <w:rFonts w:hint="eastAsia"/>
                      <w:color w:val="auto"/>
                      <w:kern w:val="0"/>
                      <w:sz w:val="21"/>
                      <w:szCs w:val="21"/>
                      <w:highlight w:val="none"/>
                      <w:lang w:val="en-US" w:eastAsia="zh-CN"/>
                    </w:rPr>
                    <w:t>B</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18"/>
                      <w:szCs w:val="18"/>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color w:val="auto"/>
                      <w:kern w:val="0"/>
                      <w:sz w:val="18"/>
                      <w:szCs w:val="18"/>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18"/>
                      <w:szCs w:val="18"/>
                      <w:highlight w:val="none"/>
                    </w:rPr>
                  </w:pPr>
                  <w:r>
                    <w:rPr>
                      <w:rFonts w:hint="eastAsia"/>
                      <w:color w:val="auto"/>
                      <w:kern w:val="0"/>
                      <w:sz w:val="21"/>
                      <w:szCs w:val="21"/>
                      <w:highlight w:val="none"/>
                      <w:lang w:val="en-US" w:eastAsia="zh-CN"/>
                    </w:rPr>
                    <w:t>6</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18"/>
                      <w:szCs w:val="18"/>
                      <w:highlight w:val="none"/>
                    </w:rPr>
                  </w:pPr>
                  <w:r>
                    <w:rPr>
                      <w:rFonts w:hint="eastAsia"/>
                      <w:color w:val="auto"/>
                      <w:kern w:val="0"/>
                      <w:sz w:val="21"/>
                      <w:szCs w:val="21"/>
                      <w:highlight w:val="none"/>
                      <w:lang w:val="en-US" w:eastAsia="zh-CN"/>
                    </w:rPr>
                    <w:t>6.5</w:t>
                  </w:r>
                </w:p>
              </w:tc>
              <w:tc>
                <w:tcPr>
                  <w:tcW w:w="510" w:type="pct"/>
                  <w:noWrap w:val="0"/>
                  <w:vAlign w:val="center"/>
                </w:tcPr>
                <w:p>
                  <w:pPr>
                    <w:overflowPunct w:val="0"/>
                    <w:spacing w:before="0"/>
                    <w:ind w:firstLine="0" w:firstLineChars="0"/>
                    <w:jc w:val="center"/>
                    <w:rPr>
                      <w:color w:val="auto"/>
                      <w:kern w:val="0"/>
                      <w:sz w:val="18"/>
                      <w:szCs w:val="18"/>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18"/>
                      <w:szCs w:val="18"/>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color w:val="auto"/>
                      <w:kern w:val="0"/>
                      <w:sz w:val="18"/>
                      <w:szCs w:val="18"/>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18"/>
                      <w:szCs w:val="18"/>
                      <w:highlight w:val="none"/>
                    </w:rPr>
                  </w:pPr>
                  <w:r>
                    <w:rPr>
                      <w:rFonts w:hint="eastAsia"/>
                      <w:color w:val="auto"/>
                      <w:kern w:val="0"/>
                      <w:sz w:val="21"/>
                      <w:szCs w:val="21"/>
                      <w:highlight w:val="none"/>
                      <w:lang w:val="en-US" w:eastAsia="zh-CN"/>
                    </w:rPr>
                    <w:t>6</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18"/>
                      <w:szCs w:val="18"/>
                      <w:highlight w:val="none"/>
                    </w:rPr>
                  </w:pPr>
                  <w:r>
                    <w:rPr>
                      <w:rFonts w:hint="eastAsia"/>
                      <w:color w:val="auto"/>
                      <w:kern w:val="0"/>
                      <w:sz w:val="21"/>
                      <w:szCs w:val="21"/>
                      <w:highlight w:val="none"/>
                      <w:lang w:val="en-US" w:eastAsia="zh-CN"/>
                    </w:rPr>
                    <w:t>6.5</w:t>
                  </w:r>
                </w:p>
              </w:tc>
              <w:tc>
                <w:tcPr>
                  <w:tcW w:w="510" w:type="pct"/>
                  <w:noWrap w:val="0"/>
                  <w:vAlign w:val="center"/>
                </w:tcPr>
                <w:p>
                  <w:pPr>
                    <w:overflowPunct w:val="0"/>
                    <w:spacing w:before="0"/>
                    <w:ind w:firstLine="0" w:firstLineChars="0"/>
                    <w:jc w:val="center"/>
                    <w:rPr>
                      <w:color w:val="auto"/>
                      <w:kern w:val="0"/>
                      <w:sz w:val="18"/>
                      <w:szCs w:val="18"/>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18"/>
                      <w:szCs w:val="18"/>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color w:val="auto"/>
                      <w:kern w:val="0"/>
                      <w:sz w:val="18"/>
                      <w:szCs w:val="18"/>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18"/>
                      <w:szCs w:val="18"/>
                      <w:highlight w:val="none"/>
                    </w:rPr>
                  </w:pPr>
                  <w:r>
                    <w:rPr>
                      <w:rFonts w:hint="eastAsia"/>
                      <w:color w:val="auto"/>
                      <w:kern w:val="0"/>
                      <w:sz w:val="21"/>
                      <w:szCs w:val="21"/>
                      <w:highlight w:val="none"/>
                      <w:lang w:val="en-US" w:eastAsia="zh-CN"/>
                    </w:rPr>
                    <w:t>6</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color w:val="auto"/>
                      <w:kern w:val="0"/>
                      <w:sz w:val="18"/>
                      <w:szCs w:val="18"/>
                      <w:highlight w:val="none"/>
                      <w:lang w:val="en-US"/>
                    </w:rPr>
                  </w:pPr>
                  <w:r>
                    <w:rPr>
                      <w:rFonts w:hint="eastAsia"/>
                      <w:color w:val="auto"/>
                      <w:kern w:val="0"/>
                      <w:sz w:val="21"/>
                      <w:szCs w:val="21"/>
                      <w:highlight w:val="none"/>
                      <w:lang w:val="en-US" w:eastAsia="zh-CN"/>
                    </w:rPr>
                    <w:t>8.33</w:t>
                  </w:r>
                </w:p>
              </w:tc>
              <w:tc>
                <w:tcPr>
                  <w:tcW w:w="510" w:type="pct"/>
                  <w:noWrap w:val="0"/>
                  <w:vAlign w:val="center"/>
                </w:tcPr>
                <w:p>
                  <w:pPr>
                    <w:overflowPunct w:val="0"/>
                    <w:spacing w:before="0"/>
                    <w:ind w:firstLine="0" w:firstLineChars="0"/>
                    <w:jc w:val="center"/>
                    <w:rPr>
                      <w:color w:val="auto"/>
                      <w:kern w:val="0"/>
                      <w:sz w:val="18"/>
                      <w:szCs w:val="18"/>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18"/>
                      <w:szCs w:val="18"/>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rFonts w:hint="eastAsia" w:eastAsia="宋体"/>
                      <w:color w:val="auto"/>
                      <w:kern w:val="0"/>
                      <w:sz w:val="18"/>
                      <w:szCs w:val="18"/>
                      <w:highlight w:val="none"/>
                      <w:lang w:eastAsia="zh-CN"/>
                    </w:rPr>
                  </w:pPr>
                  <w:r>
                    <w:rPr>
                      <w:rFonts w:hint="eastAsia"/>
                      <w:color w:val="auto"/>
                      <w:kern w:val="0"/>
                      <w:sz w:val="21"/>
                      <w:szCs w:val="21"/>
                      <w:highlight w:val="none"/>
                    </w:rPr>
                    <w:t>V3001</w:t>
                  </w:r>
                  <w:r>
                    <w:rPr>
                      <w:rFonts w:hint="eastAsia"/>
                      <w:color w:val="auto"/>
                      <w:kern w:val="0"/>
                      <w:sz w:val="21"/>
                      <w:szCs w:val="21"/>
                      <w:highlight w:val="none"/>
                      <w:lang w:val="en-US" w:eastAsia="zh-CN"/>
                    </w:rPr>
                    <w:t>A</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18"/>
                      <w:szCs w:val="18"/>
                      <w:highlight w:val="none"/>
                    </w:rPr>
                  </w:pPr>
                  <w:r>
                    <w:rPr>
                      <w:rFonts w:hint="eastAsia"/>
                      <w:color w:val="auto"/>
                      <w:kern w:val="0"/>
                      <w:sz w:val="21"/>
                      <w:szCs w:val="21"/>
                      <w:highlight w:val="none"/>
                      <w:lang w:val="en-US" w:eastAsia="zh-CN"/>
                    </w:rPr>
                    <w:t>3.2</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18"/>
                      <w:szCs w:val="18"/>
                      <w:highlight w:val="none"/>
                    </w:rPr>
                  </w:pPr>
                  <w:r>
                    <w:rPr>
                      <w:rFonts w:hint="eastAsia"/>
                      <w:color w:val="auto"/>
                      <w:kern w:val="0"/>
                      <w:sz w:val="21"/>
                      <w:szCs w:val="21"/>
                      <w:highlight w:val="none"/>
                      <w:lang w:val="en-US" w:eastAsia="zh-CN"/>
                    </w:rPr>
                    <w:t>4</w:t>
                  </w:r>
                </w:p>
              </w:tc>
              <w:tc>
                <w:tcPr>
                  <w:tcW w:w="510" w:type="pct"/>
                  <w:noWrap w:val="0"/>
                  <w:vAlign w:val="center"/>
                </w:tcPr>
                <w:p>
                  <w:pPr>
                    <w:overflowPunct w:val="0"/>
                    <w:spacing w:before="0"/>
                    <w:ind w:firstLine="0" w:firstLineChars="0"/>
                    <w:jc w:val="center"/>
                    <w:rPr>
                      <w:color w:val="auto"/>
                      <w:kern w:val="0"/>
                      <w:sz w:val="18"/>
                      <w:szCs w:val="18"/>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V300</w:t>
                  </w:r>
                  <w:r>
                    <w:rPr>
                      <w:rFonts w:hint="eastAsia"/>
                      <w:color w:val="auto"/>
                      <w:kern w:val="0"/>
                      <w:sz w:val="21"/>
                      <w:szCs w:val="21"/>
                      <w:highlight w:val="none"/>
                      <w:lang w:val="en-US" w:eastAsia="zh-CN"/>
                    </w:rPr>
                    <w:t>2B</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7.4</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7.4</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V300</w:t>
                  </w:r>
                  <w:r>
                    <w:rPr>
                      <w:rFonts w:hint="eastAsia"/>
                      <w:color w:val="auto"/>
                      <w:kern w:val="0"/>
                      <w:sz w:val="21"/>
                      <w:szCs w:val="21"/>
                      <w:highlight w:val="none"/>
                      <w:lang w:val="en-US" w:eastAsia="zh-CN"/>
                    </w:rPr>
                    <w:t>2C</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5.6</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6</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7.4</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11.87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V300</w:t>
                  </w:r>
                  <w:r>
                    <w:rPr>
                      <w:rFonts w:hint="eastAsia"/>
                      <w:color w:val="auto"/>
                      <w:kern w:val="0"/>
                      <w:sz w:val="21"/>
                      <w:szCs w:val="21"/>
                      <w:highlight w:val="none"/>
                      <w:lang w:val="en-US" w:eastAsia="zh-CN"/>
                    </w:rPr>
                    <w:t>2C</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7.4</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V300</w:t>
                  </w:r>
                  <w:r>
                    <w:rPr>
                      <w:rFonts w:hint="eastAsia"/>
                      <w:color w:val="auto"/>
                      <w:kern w:val="0"/>
                      <w:sz w:val="21"/>
                      <w:szCs w:val="21"/>
                      <w:highlight w:val="none"/>
                      <w:lang w:val="en-US" w:eastAsia="zh-CN"/>
                    </w:rPr>
                    <w:t>2A</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5.6</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6</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7.4</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V300</w:t>
                  </w:r>
                  <w:r>
                    <w:rPr>
                      <w:rFonts w:hint="eastAsia"/>
                      <w:color w:val="auto"/>
                      <w:kern w:val="0"/>
                      <w:sz w:val="21"/>
                      <w:szCs w:val="21"/>
                      <w:highlight w:val="none"/>
                      <w:lang w:val="en-US" w:eastAsia="zh-CN"/>
                    </w:rPr>
                    <w:t>2B</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5.6</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6</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V300</w:t>
                  </w:r>
                  <w:r>
                    <w:rPr>
                      <w:rFonts w:hint="eastAsia"/>
                      <w:color w:val="auto"/>
                      <w:kern w:val="0"/>
                      <w:sz w:val="21"/>
                      <w:szCs w:val="21"/>
                      <w:highlight w:val="none"/>
                      <w:lang w:val="en-US" w:eastAsia="zh-CN"/>
                    </w:rPr>
                    <w:t>2A</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V300</w:t>
                  </w:r>
                  <w:r>
                    <w:rPr>
                      <w:rFonts w:hint="eastAsia"/>
                      <w:color w:val="auto"/>
                      <w:kern w:val="0"/>
                      <w:sz w:val="21"/>
                      <w:szCs w:val="21"/>
                      <w:highlight w:val="none"/>
                      <w:lang w:val="en-US" w:eastAsia="zh-CN"/>
                    </w:rPr>
                    <w:t>2C</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5.6</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6</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7.4</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7.4</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7.4</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overflowPunct w:val="0"/>
                    <w:spacing w:before="0"/>
                    <w:ind w:firstLine="0" w:firstLineChars="0"/>
                    <w:jc w:val="center"/>
                    <w:rPr>
                      <w:rFonts w:hint="default" w:eastAsia="宋体"/>
                      <w:b/>
                      <w:bCs/>
                      <w:color w:val="auto"/>
                      <w:kern w:val="0"/>
                      <w:sz w:val="21"/>
                      <w:szCs w:val="21"/>
                      <w:highlight w:val="none"/>
                      <w:lang w:val="en-US" w:eastAsia="zh-CN"/>
                    </w:rPr>
                  </w:pPr>
                  <w:r>
                    <w:rPr>
                      <w:rFonts w:hint="eastAsia"/>
                      <w:b/>
                      <w:bCs/>
                      <w:color w:val="auto"/>
                      <w:kern w:val="0"/>
                      <w:sz w:val="21"/>
                      <w:szCs w:val="21"/>
                      <w:highlight w:val="none"/>
                      <w:lang w:val="en-US" w:eastAsia="zh-CN"/>
                    </w:rPr>
                    <w:t>4#罐区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V4001A</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B</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.25</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12.77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D</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.25</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B</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C</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A</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E</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.25</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C</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F</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49.56</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vMerge w:val="restar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B</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vMerge w:val="continue"/>
                  <w:noWrap w:val="0"/>
                  <w:vAlign w:val="center"/>
                </w:tcPr>
                <w:p>
                  <w:pPr>
                    <w:overflowPunct w:val="0"/>
                    <w:spacing w:before="0"/>
                    <w:ind w:firstLine="0" w:firstLineChars="0"/>
                    <w:jc w:val="center"/>
                    <w:rPr>
                      <w:color w:val="auto"/>
                      <w:kern w:val="0"/>
                      <w:sz w:val="21"/>
                      <w:szCs w:val="21"/>
                      <w:highlight w:val="none"/>
                    </w:rPr>
                  </w:pP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E</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21.8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vMerge w:val="restar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G</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29.05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vMerge w:val="continue"/>
                  <w:noWrap w:val="0"/>
                  <w:vAlign w:val="center"/>
                </w:tcPr>
                <w:p>
                  <w:pPr>
                    <w:overflowPunct w:val="0"/>
                    <w:spacing w:before="0"/>
                    <w:ind w:firstLine="0" w:firstLineChars="0"/>
                    <w:jc w:val="center"/>
                    <w:rPr>
                      <w:color w:val="auto"/>
                      <w:kern w:val="0"/>
                      <w:sz w:val="21"/>
                      <w:szCs w:val="21"/>
                      <w:highlight w:val="none"/>
                    </w:rPr>
                  </w:pP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color w:val="auto"/>
                      <w:kern w:val="0"/>
                      <w:sz w:val="21"/>
                      <w:szCs w:val="21"/>
                      <w:highlight w:val="none"/>
                    </w:rPr>
                    <w:t>7</w:t>
                  </w:r>
                  <w:r>
                    <w:rPr>
                      <w:rFonts w:hint="eastAsia"/>
                      <w:color w:val="auto"/>
                      <w:kern w:val="0"/>
                      <w:sz w:val="21"/>
                      <w:szCs w:val="21"/>
                      <w:highlight w:val="none"/>
                      <w:lang w:val="en-US" w:eastAsia="zh-CN"/>
                    </w:rPr>
                    <w:t>.25</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38.5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.25</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D</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E</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.25</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15.43</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.25</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A</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E</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G</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51.20</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D</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.25</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B</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F</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w:t>
                  </w:r>
                  <w:r>
                    <w:rPr>
                      <w:rFonts w:hint="eastAsia"/>
                      <w:color w:val="auto"/>
                      <w:kern w:val="0"/>
                      <w:sz w:val="21"/>
                      <w:szCs w:val="21"/>
                      <w:highlight w:val="none"/>
                      <w:lang w:val="en-US" w:eastAsia="zh-CN"/>
                    </w:rPr>
                    <w:t>2</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15.20</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16.46</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C</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H</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color w:val="auto"/>
                      <w:kern w:val="0"/>
                      <w:sz w:val="21"/>
                      <w:szCs w:val="21"/>
                      <w:highlight w:val="none"/>
                    </w:rPr>
                    <w:t>7</w:t>
                  </w:r>
                  <w:r>
                    <w:rPr>
                      <w:rFonts w:hint="eastAsia"/>
                      <w:color w:val="auto"/>
                      <w:kern w:val="0"/>
                      <w:sz w:val="21"/>
                      <w:szCs w:val="21"/>
                      <w:highlight w:val="none"/>
                      <w:lang w:val="en-US" w:eastAsia="zh-CN"/>
                    </w:rPr>
                    <w:t>.25</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G</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H</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E</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51.20</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.25</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.25</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49.56</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H</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w:t>
                  </w:r>
                  <w:r>
                    <w:rPr>
                      <w:rFonts w:hint="eastAsia"/>
                      <w:color w:val="auto"/>
                      <w:kern w:val="0"/>
                      <w:sz w:val="21"/>
                      <w:szCs w:val="21"/>
                      <w:highlight w:val="none"/>
                      <w:lang w:val="en-US" w:eastAsia="zh-CN"/>
                    </w:rPr>
                    <w:t>2</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15.20</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19.37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G</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.25</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7.5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V4001</w:t>
                  </w:r>
                  <w:r>
                    <w:rPr>
                      <w:rFonts w:hint="eastAsia"/>
                      <w:color w:val="auto"/>
                      <w:kern w:val="0"/>
                      <w:sz w:val="21"/>
                      <w:szCs w:val="21"/>
                      <w:highlight w:val="none"/>
                      <w:lang w:val="en-US" w:eastAsia="zh-CN"/>
                    </w:rPr>
                    <w:t>F</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9</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V4002</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10</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rPr>
                    <w:t>V400</w:t>
                  </w:r>
                  <w:r>
                    <w:rPr>
                      <w:rFonts w:hint="eastAsia"/>
                      <w:color w:val="auto"/>
                      <w:kern w:val="0"/>
                      <w:sz w:val="21"/>
                      <w:szCs w:val="21"/>
                      <w:highlight w:val="none"/>
                      <w:lang w:val="en-US" w:eastAsia="zh-CN"/>
                    </w:rPr>
                    <w:t>1F</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15.20</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16.46</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10</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19.45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东南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10</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10.52</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10</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10.5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top"/>
                </w:tcPr>
                <w:p>
                  <w:pPr>
                    <w:overflowPunct w:val="0"/>
                    <w:spacing w:before="0"/>
                    <w:ind w:firstLine="0" w:firstLineChars="0"/>
                    <w:jc w:val="center"/>
                    <w:rPr>
                      <w:rFonts w:hint="default" w:eastAsia="宋体"/>
                      <w:b/>
                      <w:bCs/>
                      <w:color w:val="auto"/>
                      <w:kern w:val="0"/>
                      <w:sz w:val="21"/>
                      <w:szCs w:val="21"/>
                      <w:highlight w:val="none"/>
                      <w:lang w:val="en-US" w:eastAsia="zh-CN"/>
                    </w:rPr>
                  </w:pPr>
                  <w:r>
                    <w:rPr>
                      <w:rFonts w:hint="eastAsia"/>
                      <w:b/>
                      <w:bCs/>
                      <w:color w:val="auto"/>
                      <w:kern w:val="0"/>
                      <w:sz w:val="21"/>
                      <w:szCs w:val="21"/>
                      <w:highlight w:val="none"/>
                      <w:lang w:val="en-US" w:eastAsia="zh-CN"/>
                    </w:rPr>
                    <w:t>5#罐区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V5001A储罐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6（0.5H）</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6.5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6（0.5H）</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6.5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V5001B储罐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3.2（0.4D）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4</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6（0.5H）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6.5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V5001B储罐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6（0.5H）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6.5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6（0.5H）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6.5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6</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6.5</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V5001A储罐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3.2（0.4D）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4</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overflowPunct w:val="0"/>
                    <w:spacing w:before="0"/>
                    <w:ind w:firstLine="0" w:firstLineChars="0"/>
                    <w:jc w:val="center"/>
                    <w:rPr>
                      <w:rFonts w:hint="default" w:eastAsia="宋体"/>
                      <w:b/>
                      <w:bCs/>
                      <w:color w:val="auto"/>
                      <w:kern w:val="0"/>
                      <w:sz w:val="21"/>
                      <w:szCs w:val="21"/>
                      <w:highlight w:val="none"/>
                      <w:lang w:val="en-US" w:eastAsia="zh-CN"/>
                    </w:rPr>
                  </w:pPr>
                  <w:r>
                    <w:rPr>
                      <w:rFonts w:hint="eastAsia"/>
                      <w:b/>
                      <w:bCs/>
                      <w:color w:val="auto"/>
                      <w:kern w:val="0"/>
                      <w:sz w:val="21"/>
                      <w:szCs w:val="21"/>
                      <w:highlight w:val="none"/>
                      <w:lang w:val="en-US" w:eastAsia="zh-CN"/>
                    </w:rPr>
                    <w:t>6#罐区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001储罐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25</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25</w:t>
                  </w:r>
                  <w:r>
                    <w:rPr>
                      <w:color w:val="auto"/>
                      <w:kern w:val="0"/>
                      <w:sz w:val="21"/>
                      <w:szCs w:val="21"/>
                      <w:highlight w:val="none"/>
                    </w:rPr>
                    <w:t>（0.5H）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5（0.5H）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东南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w:t>
                  </w:r>
                  <w:r>
                    <w:rPr>
                      <w:rFonts w:hint="eastAsia"/>
                      <w:color w:val="auto"/>
                      <w:kern w:val="0"/>
                      <w:sz w:val="21"/>
                      <w:szCs w:val="21"/>
                      <w:highlight w:val="none"/>
                      <w:lang w:val="en-US" w:eastAsia="zh-CN"/>
                    </w:rPr>
                    <w:t>2A</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9.2</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center"/>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5（0.5H）</w:t>
                  </w:r>
                </w:p>
              </w:tc>
              <w:tc>
                <w:tcPr>
                  <w:tcW w:w="654" w:type="pct"/>
                  <w:noWrap w:val="0"/>
                  <w:vAlign w:val="center"/>
                </w:tcPr>
                <w:p>
                  <w:pPr>
                    <w:overflowPunct w:val="0"/>
                    <w:spacing w:before="0"/>
                    <w:ind w:firstLine="0" w:firstLineChars="0"/>
                    <w:jc w:val="center"/>
                    <w:rPr>
                      <w:rFonts w:hint="eastAsia" w:eastAsia="宋体"/>
                      <w:color w:val="auto"/>
                      <w:kern w:val="0"/>
                      <w:sz w:val="21"/>
                      <w:szCs w:val="21"/>
                      <w:highlight w:val="none"/>
                      <w:lang w:val="en-US" w:eastAsia="zh-CN"/>
                    </w:rPr>
                  </w:pPr>
                  <w:r>
                    <w:rPr>
                      <w:color w:val="auto"/>
                      <w:kern w:val="0"/>
                      <w:sz w:val="21"/>
                      <w:szCs w:val="21"/>
                      <w:highlight w:val="none"/>
                    </w:rPr>
                    <w:t>8.8</w:t>
                  </w:r>
                  <w:r>
                    <w:rPr>
                      <w:rFonts w:hint="eastAsia"/>
                      <w:color w:val="auto"/>
                      <w:kern w:val="0"/>
                      <w:sz w:val="21"/>
                      <w:szCs w:val="21"/>
                      <w:highlight w:val="none"/>
                      <w:lang w:val="en-US" w:eastAsia="zh-CN"/>
                    </w:rPr>
                    <w:t>1</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002A储罐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003A储罐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8.8（0.4D）</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color w:val="auto"/>
                      <w:kern w:val="0"/>
                      <w:sz w:val="21"/>
                      <w:szCs w:val="21"/>
                      <w:highlight w:val="none"/>
                    </w:rPr>
                    <w:t>9.</w:t>
                  </w:r>
                  <w:r>
                    <w:rPr>
                      <w:rFonts w:hint="eastAsia"/>
                      <w:color w:val="auto"/>
                      <w:kern w:val="0"/>
                      <w:sz w:val="21"/>
                      <w:szCs w:val="21"/>
                      <w:highlight w:val="none"/>
                      <w:lang w:val="en-US" w:eastAsia="zh-CN"/>
                    </w:rPr>
                    <w:t>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001储罐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8.8（0.4D）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9.2</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5（0.5H）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东南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002B储罐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9.2</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002B储罐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w:t>
                  </w:r>
                  <w:r>
                    <w:rPr>
                      <w:rFonts w:hint="eastAsia"/>
                      <w:color w:val="auto"/>
                      <w:kern w:val="0"/>
                      <w:sz w:val="21"/>
                      <w:szCs w:val="21"/>
                      <w:highlight w:val="none"/>
                      <w:lang w:val="en-US" w:eastAsia="zh-CN"/>
                    </w:rPr>
                    <w:t>3</w:t>
                  </w:r>
                  <w:r>
                    <w:rPr>
                      <w:color w:val="auto"/>
                      <w:kern w:val="0"/>
                      <w:sz w:val="21"/>
                      <w:szCs w:val="21"/>
                      <w:highlight w:val="none"/>
                    </w:rPr>
                    <w:t>B储罐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8.8（0.4D）</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9.17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w:t>
                  </w:r>
                  <w:r>
                    <w:rPr>
                      <w:rFonts w:hint="eastAsia"/>
                      <w:color w:val="auto"/>
                      <w:kern w:val="0"/>
                      <w:sz w:val="21"/>
                      <w:szCs w:val="21"/>
                      <w:highlight w:val="none"/>
                      <w:lang w:val="en-US" w:eastAsia="zh-CN"/>
                    </w:rPr>
                    <w:t>2</w:t>
                  </w:r>
                  <w:r>
                    <w:rPr>
                      <w:color w:val="auto"/>
                      <w:kern w:val="0"/>
                      <w:sz w:val="21"/>
                      <w:szCs w:val="21"/>
                      <w:highlight w:val="none"/>
                    </w:rPr>
                    <w:t>A储罐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8.8（0.4D）</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rPr>
                  </w:pPr>
                  <w:r>
                    <w:rPr>
                      <w:color w:val="auto"/>
                      <w:kern w:val="0"/>
                      <w:sz w:val="21"/>
                      <w:szCs w:val="21"/>
                      <w:highlight w:val="none"/>
                    </w:rPr>
                    <w:t>9.</w:t>
                  </w:r>
                  <w:r>
                    <w:rPr>
                      <w:rFonts w:hint="eastAsia"/>
                      <w:color w:val="auto"/>
                      <w:kern w:val="0"/>
                      <w:sz w:val="21"/>
                      <w:szCs w:val="21"/>
                      <w:highlight w:val="none"/>
                      <w:lang w:val="en-US" w:eastAsia="zh-CN"/>
                    </w:rPr>
                    <w:t>20</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5（0.5H）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东南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002</w:t>
                  </w:r>
                  <w:r>
                    <w:rPr>
                      <w:rFonts w:hint="eastAsia"/>
                      <w:color w:val="auto"/>
                      <w:kern w:val="0"/>
                      <w:sz w:val="21"/>
                      <w:szCs w:val="21"/>
                      <w:highlight w:val="none"/>
                      <w:lang w:val="en-US" w:eastAsia="zh-CN"/>
                    </w:rPr>
                    <w:t>C</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9.2</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002</w:t>
                  </w:r>
                  <w:r>
                    <w:rPr>
                      <w:rFonts w:hint="eastAsia"/>
                      <w:color w:val="auto"/>
                      <w:kern w:val="0"/>
                      <w:sz w:val="21"/>
                      <w:szCs w:val="21"/>
                      <w:highlight w:val="none"/>
                      <w:lang w:val="en-US" w:eastAsia="zh-CN"/>
                    </w:rPr>
                    <w:t>C</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003</w:t>
                  </w:r>
                  <w:r>
                    <w:rPr>
                      <w:rFonts w:hint="eastAsia"/>
                      <w:color w:val="auto"/>
                      <w:kern w:val="0"/>
                      <w:sz w:val="21"/>
                      <w:szCs w:val="21"/>
                      <w:highlight w:val="none"/>
                      <w:lang w:val="en-US" w:eastAsia="zh-CN"/>
                    </w:rPr>
                    <w:t>C</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color w:val="auto"/>
                      <w:kern w:val="0"/>
                      <w:sz w:val="21"/>
                      <w:szCs w:val="21"/>
                      <w:highlight w:val="none"/>
                    </w:rPr>
                    <w:t>8.8（0.4D）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9.</w:t>
                  </w:r>
                  <w:r>
                    <w:rPr>
                      <w:rFonts w:hint="eastAsia"/>
                      <w:color w:val="auto"/>
                      <w:kern w:val="0"/>
                      <w:sz w:val="21"/>
                      <w:szCs w:val="21"/>
                      <w:highlight w:val="none"/>
                      <w:lang w:val="en-US" w:eastAsia="zh-CN"/>
                    </w:rPr>
                    <w:t>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ascii="Times New Roman" w:hAnsi="Times New Roman" w:eastAsia="宋体" w:cs="Times New Roman"/>
                      <w:color w:val="auto"/>
                      <w:kern w:val="0"/>
                      <w:sz w:val="21"/>
                      <w:szCs w:val="21"/>
                      <w:highlight w:val="none"/>
                    </w:rPr>
                    <w:t>V</w:t>
                  </w:r>
                  <w:r>
                    <w:rPr>
                      <w:rFonts w:hint="eastAsia" w:ascii="Times New Roman" w:hAnsi="Times New Roman" w:eastAsia="宋体" w:cs="Times New Roman"/>
                      <w:color w:val="auto"/>
                      <w:kern w:val="0"/>
                      <w:sz w:val="21"/>
                      <w:szCs w:val="21"/>
                      <w:highlight w:val="none"/>
                      <w:lang w:val="en-US" w:eastAsia="zh-CN"/>
                    </w:rPr>
                    <w:t>6</w:t>
                  </w:r>
                  <w:r>
                    <w:rPr>
                      <w:rFonts w:ascii="Times New Roman" w:hAnsi="Times New Roman" w:eastAsia="宋体" w:cs="Times New Roman"/>
                      <w:color w:val="auto"/>
                      <w:kern w:val="0"/>
                      <w:sz w:val="21"/>
                      <w:szCs w:val="21"/>
                      <w:highlight w:val="none"/>
                    </w:rPr>
                    <w:t>00</w:t>
                  </w:r>
                  <w:r>
                    <w:rPr>
                      <w:rFonts w:hint="eastAsia" w:ascii="Times New Roman" w:hAnsi="Times New Roman" w:eastAsia="宋体" w:cs="Times New Roman"/>
                      <w:color w:val="auto"/>
                      <w:kern w:val="0"/>
                      <w:sz w:val="21"/>
                      <w:szCs w:val="21"/>
                      <w:highlight w:val="none"/>
                      <w:lang w:val="en-US" w:eastAsia="zh-CN"/>
                    </w:rPr>
                    <w:t>2B</w:t>
                  </w:r>
                  <w:r>
                    <w:rPr>
                      <w:rFonts w:ascii="Times New Roman" w:hAnsi="Times New Roman" w:eastAsia="宋体" w:cs="Times New Roman"/>
                      <w:color w:val="auto"/>
                      <w:kern w:val="0"/>
                      <w:sz w:val="21"/>
                      <w:szCs w:val="21"/>
                      <w:highlight w:val="none"/>
                    </w:rPr>
                    <w:t>储</w:t>
                  </w:r>
                  <w:r>
                    <w:rPr>
                      <w:color w:val="auto"/>
                      <w:kern w:val="0"/>
                      <w:sz w:val="21"/>
                      <w:szCs w:val="21"/>
                      <w:highlight w:val="none"/>
                    </w:rPr>
                    <w:t>罐</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color w:val="auto"/>
                      <w:kern w:val="0"/>
                      <w:sz w:val="21"/>
                      <w:szCs w:val="21"/>
                      <w:highlight w:val="none"/>
                    </w:rPr>
                    <w:t>8.8（0.4D）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9.2</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5（0.5H）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东南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002</w:t>
                  </w:r>
                  <w:r>
                    <w:rPr>
                      <w:rFonts w:hint="eastAsia"/>
                      <w:color w:val="auto"/>
                      <w:kern w:val="0"/>
                      <w:sz w:val="21"/>
                      <w:szCs w:val="21"/>
                      <w:highlight w:val="none"/>
                      <w:lang w:val="en-US" w:eastAsia="zh-CN"/>
                    </w:rPr>
                    <w:t>D</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9.2</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002</w:t>
                  </w:r>
                  <w:r>
                    <w:rPr>
                      <w:rFonts w:hint="eastAsia"/>
                      <w:color w:val="auto"/>
                      <w:kern w:val="0"/>
                      <w:sz w:val="21"/>
                      <w:szCs w:val="21"/>
                      <w:highlight w:val="none"/>
                      <w:lang w:val="en-US" w:eastAsia="zh-CN"/>
                    </w:rPr>
                    <w:t>D</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w:t>
                  </w:r>
                  <w:r>
                    <w:rPr>
                      <w:rFonts w:hint="eastAsia"/>
                      <w:color w:val="auto"/>
                      <w:kern w:val="0"/>
                      <w:sz w:val="21"/>
                      <w:szCs w:val="21"/>
                      <w:highlight w:val="none"/>
                      <w:lang w:val="en-US" w:eastAsia="zh-CN"/>
                    </w:rPr>
                    <w:t>3D</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color w:val="auto"/>
                      <w:kern w:val="0"/>
                      <w:sz w:val="21"/>
                      <w:szCs w:val="21"/>
                      <w:highlight w:val="none"/>
                    </w:rPr>
                    <w:t>8.8（0.4D）</w:t>
                  </w:r>
                </w:p>
              </w:tc>
              <w:tc>
                <w:tcPr>
                  <w:tcW w:w="654"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9.17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w:t>
                  </w:r>
                  <w:r>
                    <w:rPr>
                      <w:rFonts w:hint="eastAsia"/>
                      <w:color w:val="auto"/>
                      <w:kern w:val="0"/>
                      <w:sz w:val="21"/>
                      <w:szCs w:val="21"/>
                      <w:highlight w:val="none"/>
                      <w:lang w:val="en-US" w:eastAsia="zh-CN"/>
                    </w:rPr>
                    <w:t>2C</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color w:val="auto"/>
                      <w:kern w:val="0"/>
                      <w:sz w:val="21"/>
                      <w:szCs w:val="21"/>
                      <w:highlight w:val="none"/>
                    </w:rPr>
                    <w:t>8.8（0.4D）</w:t>
                  </w:r>
                </w:p>
              </w:tc>
              <w:tc>
                <w:tcPr>
                  <w:tcW w:w="654" w:type="pct"/>
                  <w:noWrap w:val="0"/>
                  <w:vAlign w:val="center"/>
                </w:tcPr>
                <w:p>
                  <w:pPr>
                    <w:overflowPunct w:val="0"/>
                    <w:spacing w:before="0"/>
                    <w:ind w:firstLine="0" w:firstLineChars="0"/>
                    <w:jc w:val="center"/>
                    <w:rPr>
                      <w:rFonts w:hint="default"/>
                      <w:color w:val="auto"/>
                      <w:kern w:val="0"/>
                      <w:sz w:val="21"/>
                      <w:szCs w:val="21"/>
                      <w:highlight w:val="none"/>
                      <w:lang w:val="en-US"/>
                    </w:rPr>
                  </w:pPr>
                  <w:r>
                    <w:rPr>
                      <w:color w:val="auto"/>
                      <w:kern w:val="0"/>
                      <w:sz w:val="21"/>
                      <w:szCs w:val="21"/>
                      <w:highlight w:val="none"/>
                    </w:rPr>
                    <w:t>9.</w:t>
                  </w:r>
                  <w:r>
                    <w:rPr>
                      <w:rFonts w:hint="eastAsia"/>
                      <w:color w:val="auto"/>
                      <w:kern w:val="0"/>
                      <w:sz w:val="21"/>
                      <w:szCs w:val="21"/>
                      <w:highlight w:val="none"/>
                      <w:lang w:val="en-US" w:eastAsia="zh-CN"/>
                    </w:rPr>
                    <w:t>20</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5（0.5H）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东南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5（0.5H）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w:t>
                  </w:r>
                  <w:r>
                    <w:rPr>
                      <w:rFonts w:hint="eastAsia"/>
                      <w:color w:val="auto"/>
                      <w:kern w:val="0"/>
                      <w:sz w:val="21"/>
                      <w:szCs w:val="21"/>
                      <w:highlight w:val="none"/>
                      <w:lang w:val="en-US" w:eastAsia="zh-CN"/>
                    </w:rPr>
                    <w:t>3</w:t>
                  </w:r>
                  <w:r>
                    <w:rPr>
                      <w:color w:val="auto"/>
                      <w:kern w:val="0"/>
                      <w:sz w:val="21"/>
                      <w:szCs w:val="21"/>
                      <w:highlight w:val="none"/>
                    </w:rPr>
                    <w:t>A储罐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5（0.5H）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5（0.5H）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w:t>
                  </w:r>
                  <w:r>
                    <w:rPr>
                      <w:rFonts w:hint="eastAsia"/>
                      <w:color w:val="auto"/>
                      <w:kern w:val="0"/>
                      <w:sz w:val="21"/>
                      <w:szCs w:val="21"/>
                      <w:highlight w:val="none"/>
                      <w:lang w:val="en-US" w:eastAsia="zh-CN"/>
                    </w:rPr>
                    <w:t>2A</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8.8（0.4D）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9.</w:t>
                  </w:r>
                  <w:r>
                    <w:rPr>
                      <w:rFonts w:hint="eastAsia"/>
                      <w:color w:val="auto"/>
                      <w:kern w:val="0"/>
                      <w:sz w:val="21"/>
                      <w:szCs w:val="21"/>
                      <w:highlight w:val="none"/>
                      <w:lang w:val="en-US" w:eastAsia="zh-CN"/>
                    </w:rPr>
                    <w:t>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东南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w:t>
                  </w:r>
                  <w:r>
                    <w:rPr>
                      <w:rFonts w:hint="eastAsia"/>
                      <w:color w:val="auto"/>
                      <w:kern w:val="0"/>
                      <w:sz w:val="21"/>
                      <w:szCs w:val="21"/>
                      <w:highlight w:val="none"/>
                      <w:lang w:val="en-US" w:eastAsia="zh-CN"/>
                    </w:rPr>
                    <w:t>3B</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color w:val="auto"/>
                      <w:kern w:val="0"/>
                      <w:sz w:val="21"/>
                      <w:szCs w:val="21"/>
                      <w:highlight w:val="none"/>
                    </w:rPr>
                    <w:t>9.</w:t>
                  </w:r>
                  <w:r>
                    <w:rPr>
                      <w:rFonts w:hint="eastAsia"/>
                      <w:color w:val="auto"/>
                      <w:kern w:val="0"/>
                      <w:sz w:val="21"/>
                      <w:szCs w:val="21"/>
                      <w:highlight w:val="none"/>
                      <w:lang w:val="en-US" w:eastAsia="zh-CN"/>
                    </w:rPr>
                    <w:t>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w:t>
                  </w:r>
                  <w:r>
                    <w:rPr>
                      <w:rFonts w:hint="eastAsia"/>
                      <w:color w:val="auto"/>
                      <w:kern w:val="0"/>
                      <w:sz w:val="21"/>
                      <w:szCs w:val="21"/>
                      <w:highlight w:val="none"/>
                      <w:lang w:val="en-US" w:eastAsia="zh-CN"/>
                    </w:rPr>
                    <w:t>3</w:t>
                  </w:r>
                  <w:r>
                    <w:rPr>
                      <w:color w:val="auto"/>
                      <w:kern w:val="0"/>
                      <w:sz w:val="21"/>
                      <w:szCs w:val="21"/>
                      <w:highlight w:val="none"/>
                    </w:rPr>
                    <w:t>B储罐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5（0.5H）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003A储罐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8.8（0.4D）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9.</w:t>
                  </w:r>
                  <w:r>
                    <w:rPr>
                      <w:rFonts w:hint="eastAsia"/>
                      <w:color w:val="auto"/>
                      <w:kern w:val="0"/>
                      <w:sz w:val="21"/>
                      <w:szCs w:val="21"/>
                      <w:highlight w:val="none"/>
                      <w:lang w:val="en-US" w:eastAsia="zh-CN"/>
                    </w:rPr>
                    <w:t>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w:t>
                  </w:r>
                  <w:r>
                    <w:rPr>
                      <w:rFonts w:hint="eastAsia"/>
                      <w:color w:val="auto"/>
                      <w:kern w:val="0"/>
                      <w:sz w:val="21"/>
                      <w:szCs w:val="21"/>
                      <w:highlight w:val="none"/>
                      <w:lang w:val="en-US" w:eastAsia="zh-CN"/>
                    </w:rPr>
                    <w:t>2B</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8.8（0.4D）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9.</w:t>
                  </w:r>
                  <w:r>
                    <w:rPr>
                      <w:rFonts w:hint="eastAsia"/>
                      <w:color w:val="auto"/>
                      <w:kern w:val="0"/>
                      <w:sz w:val="21"/>
                      <w:szCs w:val="21"/>
                      <w:highlight w:val="none"/>
                      <w:lang w:val="en-US" w:eastAsia="zh-CN"/>
                    </w:rPr>
                    <w:t>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东南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002</w:t>
                  </w:r>
                  <w:r>
                    <w:rPr>
                      <w:rFonts w:hint="eastAsia"/>
                      <w:color w:val="auto"/>
                      <w:kern w:val="0"/>
                      <w:sz w:val="21"/>
                      <w:szCs w:val="21"/>
                      <w:highlight w:val="none"/>
                      <w:lang w:val="en-US" w:eastAsia="zh-CN"/>
                    </w:rPr>
                    <w:t>C</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color w:val="auto"/>
                      <w:kern w:val="0"/>
                      <w:sz w:val="21"/>
                      <w:szCs w:val="21"/>
                      <w:highlight w:val="none"/>
                    </w:rPr>
                    <w:t>9.</w:t>
                  </w:r>
                  <w:r>
                    <w:rPr>
                      <w:rFonts w:hint="eastAsia"/>
                      <w:color w:val="auto"/>
                      <w:kern w:val="0"/>
                      <w:sz w:val="21"/>
                      <w:szCs w:val="21"/>
                      <w:highlight w:val="none"/>
                      <w:lang w:val="en-US" w:eastAsia="zh-CN"/>
                    </w:rPr>
                    <w:t>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w:t>
                  </w:r>
                  <w:r>
                    <w:rPr>
                      <w:rFonts w:hint="eastAsia"/>
                      <w:color w:val="auto"/>
                      <w:kern w:val="0"/>
                      <w:sz w:val="21"/>
                      <w:szCs w:val="21"/>
                      <w:highlight w:val="none"/>
                      <w:lang w:val="en-US" w:eastAsia="zh-CN"/>
                    </w:rPr>
                    <w:t>3C</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5（0.5H）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ascii="Times New Roman" w:hAnsi="Times New Roman" w:eastAsia="宋体" w:cs="Times New Roman"/>
                      <w:color w:val="auto"/>
                      <w:kern w:val="0"/>
                      <w:sz w:val="21"/>
                      <w:szCs w:val="21"/>
                      <w:highlight w:val="none"/>
                    </w:rPr>
                    <w:t>V</w:t>
                  </w:r>
                  <w:r>
                    <w:rPr>
                      <w:rFonts w:hint="eastAsia" w:ascii="Times New Roman" w:hAnsi="Times New Roman" w:eastAsia="宋体" w:cs="Times New Roman"/>
                      <w:color w:val="auto"/>
                      <w:kern w:val="0"/>
                      <w:sz w:val="21"/>
                      <w:szCs w:val="21"/>
                      <w:highlight w:val="none"/>
                      <w:lang w:val="en-US" w:eastAsia="zh-CN"/>
                    </w:rPr>
                    <w:t>6</w:t>
                  </w:r>
                  <w:r>
                    <w:rPr>
                      <w:rFonts w:ascii="Times New Roman" w:hAnsi="Times New Roman" w:eastAsia="宋体" w:cs="Times New Roman"/>
                      <w:color w:val="auto"/>
                      <w:kern w:val="0"/>
                      <w:sz w:val="21"/>
                      <w:szCs w:val="21"/>
                      <w:highlight w:val="none"/>
                    </w:rPr>
                    <w:t>00</w:t>
                  </w:r>
                  <w:r>
                    <w:rPr>
                      <w:rFonts w:hint="eastAsia" w:ascii="Times New Roman" w:hAnsi="Times New Roman" w:eastAsia="宋体" w:cs="Times New Roman"/>
                      <w:color w:val="auto"/>
                      <w:kern w:val="0"/>
                      <w:sz w:val="21"/>
                      <w:szCs w:val="21"/>
                      <w:highlight w:val="none"/>
                      <w:lang w:val="en-US" w:eastAsia="zh-CN"/>
                    </w:rPr>
                    <w:t>3B</w:t>
                  </w:r>
                  <w:r>
                    <w:rPr>
                      <w:rFonts w:ascii="Times New Roman" w:hAnsi="Times New Roman" w:eastAsia="宋体" w:cs="Times New Roman"/>
                      <w:color w:val="auto"/>
                      <w:kern w:val="0"/>
                      <w:sz w:val="21"/>
                      <w:szCs w:val="21"/>
                      <w:highlight w:val="none"/>
                    </w:rPr>
                    <w:t>储</w:t>
                  </w:r>
                  <w:r>
                    <w:rPr>
                      <w:color w:val="auto"/>
                      <w:kern w:val="0"/>
                      <w:sz w:val="21"/>
                      <w:szCs w:val="21"/>
                      <w:highlight w:val="none"/>
                    </w:rPr>
                    <w:t>罐</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8.8（0.4D）</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color w:val="auto"/>
                      <w:kern w:val="0"/>
                      <w:sz w:val="21"/>
                      <w:szCs w:val="21"/>
                      <w:highlight w:val="none"/>
                    </w:rPr>
                    <w:t>9.</w:t>
                  </w:r>
                  <w:r>
                    <w:rPr>
                      <w:rFonts w:hint="eastAsia"/>
                      <w:color w:val="auto"/>
                      <w:kern w:val="0"/>
                      <w:sz w:val="21"/>
                      <w:szCs w:val="21"/>
                      <w:highlight w:val="none"/>
                      <w:lang w:val="en-US" w:eastAsia="zh-CN"/>
                    </w:rPr>
                    <w:t>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w:t>
                  </w:r>
                  <w:r>
                    <w:rPr>
                      <w:rFonts w:hint="eastAsia"/>
                      <w:color w:val="auto"/>
                      <w:kern w:val="0"/>
                      <w:sz w:val="21"/>
                      <w:szCs w:val="21"/>
                      <w:highlight w:val="none"/>
                      <w:lang w:val="en-US" w:eastAsia="zh-CN"/>
                    </w:rPr>
                    <w:t>2C</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color w:val="auto"/>
                      <w:kern w:val="0"/>
                      <w:sz w:val="21"/>
                      <w:szCs w:val="21"/>
                      <w:highlight w:val="none"/>
                    </w:rPr>
                    <w:t>9.</w:t>
                  </w:r>
                  <w:r>
                    <w:rPr>
                      <w:rFonts w:hint="eastAsia"/>
                      <w:color w:val="auto"/>
                      <w:kern w:val="0"/>
                      <w:sz w:val="21"/>
                      <w:szCs w:val="21"/>
                      <w:highlight w:val="none"/>
                      <w:lang w:val="en-US" w:eastAsia="zh-CN"/>
                    </w:rPr>
                    <w:t>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东南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w:t>
                  </w:r>
                  <w:r>
                    <w:rPr>
                      <w:rFonts w:hint="eastAsia"/>
                      <w:color w:val="auto"/>
                      <w:kern w:val="0"/>
                      <w:sz w:val="21"/>
                      <w:szCs w:val="21"/>
                      <w:highlight w:val="none"/>
                      <w:lang w:val="en-US" w:eastAsia="zh-CN"/>
                    </w:rPr>
                    <w:t>3D</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8.8</w:t>
                  </w:r>
                  <w:r>
                    <w:rPr>
                      <w:color w:val="auto"/>
                      <w:kern w:val="0"/>
                      <w:sz w:val="21"/>
                      <w:szCs w:val="21"/>
                      <w:highlight w:val="none"/>
                    </w:rPr>
                    <w:t>（0.4D）</w:t>
                  </w:r>
                </w:p>
              </w:tc>
              <w:tc>
                <w:tcPr>
                  <w:tcW w:w="654"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color w:val="auto"/>
                      <w:kern w:val="0"/>
                      <w:sz w:val="21"/>
                      <w:szCs w:val="21"/>
                      <w:highlight w:val="none"/>
                    </w:rPr>
                    <w:t>9.</w:t>
                  </w:r>
                  <w:r>
                    <w:rPr>
                      <w:rFonts w:hint="eastAsia"/>
                      <w:color w:val="auto"/>
                      <w:kern w:val="0"/>
                      <w:sz w:val="21"/>
                      <w:szCs w:val="21"/>
                      <w:highlight w:val="none"/>
                      <w:lang w:val="en-US" w:eastAsia="zh-CN"/>
                    </w:rPr>
                    <w:t>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002</w:t>
                  </w:r>
                  <w:r>
                    <w:rPr>
                      <w:rFonts w:hint="eastAsia"/>
                      <w:color w:val="auto"/>
                      <w:kern w:val="0"/>
                      <w:sz w:val="21"/>
                      <w:szCs w:val="21"/>
                      <w:highlight w:val="none"/>
                      <w:lang w:val="en-US" w:eastAsia="zh-CN"/>
                    </w:rPr>
                    <w:t>D</w:t>
                  </w:r>
                  <w:r>
                    <w:rPr>
                      <w:color w:val="auto"/>
                      <w:kern w:val="0"/>
                      <w:sz w:val="21"/>
                      <w:szCs w:val="21"/>
                      <w:highlight w:val="none"/>
                    </w:rPr>
                    <w:t>储罐</w:t>
                  </w:r>
                </w:p>
              </w:tc>
              <w:tc>
                <w:tcPr>
                  <w:tcW w:w="612" w:type="pct"/>
                  <w:noWrap w:val="0"/>
                  <w:vAlign w:val="center"/>
                </w:tcPr>
                <w:p>
                  <w:pPr>
                    <w:overflowPunct w:val="0"/>
                    <w:spacing w:before="100" w:beforeAutospacing="1" w:after="100" w:afterAutospacing="1"/>
                    <w:ind w:firstLine="0" w:firstLineChars="0"/>
                    <w:jc w:val="center"/>
                    <w:rPr>
                      <w:color w:val="auto"/>
                      <w:kern w:val="0"/>
                      <w:sz w:val="21"/>
                      <w:szCs w:val="21"/>
                      <w:highlight w:val="none"/>
                    </w:rPr>
                  </w:pPr>
                  <w:r>
                    <w:rPr>
                      <w:color w:val="auto"/>
                      <w:kern w:val="0"/>
                      <w:sz w:val="21"/>
                      <w:szCs w:val="21"/>
                      <w:highlight w:val="none"/>
                    </w:rPr>
                    <w:t>东北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5（0.5H）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003</w:t>
                  </w:r>
                  <w:r>
                    <w:rPr>
                      <w:rFonts w:hint="eastAsia"/>
                      <w:color w:val="auto"/>
                      <w:kern w:val="0"/>
                      <w:sz w:val="21"/>
                      <w:szCs w:val="21"/>
                      <w:highlight w:val="none"/>
                      <w:lang w:val="en-US" w:eastAsia="zh-CN"/>
                    </w:rPr>
                    <w:t>C</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8.8（0.4D）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9.</w:t>
                  </w:r>
                  <w:r>
                    <w:rPr>
                      <w:rFonts w:hint="eastAsia"/>
                      <w:color w:val="auto"/>
                      <w:kern w:val="0"/>
                      <w:sz w:val="21"/>
                      <w:szCs w:val="21"/>
                      <w:highlight w:val="none"/>
                      <w:lang w:val="en-US" w:eastAsia="zh-CN"/>
                    </w:rPr>
                    <w:t>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西南</w:t>
                  </w:r>
                </w:p>
              </w:tc>
              <w:tc>
                <w:tcPr>
                  <w:tcW w:w="1315" w:type="pc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color w:val="auto"/>
                      <w:kern w:val="0"/>
                      <w:sz w:val="21"/>
                      <w:szCs w:val="21"/>
                      <w:highlight w:val="none"/>
                    </w:rPr>
                    <w:t>V</w:t>
                  </w:r>
                  <w:r>
                    <w:rPr>
                      <w:rFonts w:hint="eastAsia"/>
                      <w:color w:val="auto"/>
                      <w:kern w:val="0"/>
                      <w:sz w:val="21"/>
                      <w:szCs w:val="21"/>
                      <w:highlight w:val="none"/>
                      <w:lang w:val="en-US" w:eastAsia="zh-CN"/>
                    </w:rPr>
                    <w:t>6</w:t>
                  </w:r>
                  <w:r>
                    <w:rPr>
                      <w:color w:val="auto"/>
                      <w:kern w:val="0"/>
                      <w:sz w:val="21"/>
                      <w:szCs w:val="21"/>
                      <w:highlight w:val="none"/>
                    </w:rPr>
                    <w:t>00</w:t>
                  </w:r>
                  <w:r>
                    <w:rPr>
                      <w:rFonts w:hint="eastAsia"/>
                      <w:color w:val="auto"/>
                      <w:kern w:val="0"/>
                      <w:sz w:val="21"/>
                      <w:szCs w:val="21"/>
                      <w:highlight w:val="none"/>
                      <w:lang w:val="en-US" w:eastAsia="zh-CN"/>
                    </w:rPr>
                    <w:t>2D</w:t>
                  </w:r>
                  <w:r>
                    <w:rPr>
                      <w:color w:val="auto"/>
                      <w:kern w:val="0"/>
                      <w:sz w:val="21"/>
                      <w:szCs w:val="21"/>
                      <w:highlight w:val="none"/>
                    </w:rPr>
                    <w:t>储罐</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8.8（0.4D）</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9.</w:t>
                  </w:r>
                  <w:r>
                    <w:rPr>
                      <w:rFonts w:hint="eastAsia"/>
                      <w:color w:val="auto"/>
                      <w:kern w:val="0"/>
                      <w:sz w:val="21"/>
                      <w:szCs w:val="21"/>
                      <w:highlight w:val="none"/>
                      <w:lang w:val="en-US" w:eastAsia="zh-CN"/>
                    </w:rPr>
                    <w:t>17</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 w:type="pct"/>
                  <w:vMerge w:val="continue"/>
                  <w:noWrap w:val="0"/>
                  <w:vAlign w:val="top"/>
                </w:tcPr>
                <w:p>
                  <w:pPr>
                    <w:overflowPunct w:val="0"/>
                    <w:spacing w:before="0"/>
                    <w:ind w:firstLine="0" w:firstLineChars="0"/>
                    <w:jc w:val="center"/>
                    <w:rPr>
                      <w:color w:val="auto"/>
                      <w:kern w:val="0"/>
                      <w:sz w:val="21"/>
                      <w:szCs w:val="21"/>
                      <w:highlight w:val="none"/>
                    </w:rPr>
                  </w:pPr>
                </w:p>
              </w:tc>
              <w:tc>
                <w:tcPr>
                  <w:tcW w:w="61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东南</w:t>
                  </w:r>
                </w:p>
              </w:tc>
              <w:tc>
                <w:tcPr>
                  <w:tcW w:w="1315"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防火堤</w:t>
                  </w:r>
                </w:p>
              </w:tc>
              <w:tc>
                <w:tcPr>
                  <w:tcW w:w="1057"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7.</w:t>
                  </w:r>
                  <w:r>
                    <w:rPr>
                      <w:rFonts w:hint="eastAsia"/>
                      <w:color w:val="auto"/>
                      <w:kern w:val="0"/>
                      <w:sz w:val="21"/>
                      <w:szCs w:val="21"/>
                      <w:highlight w:val="none"/>
                      <w:lang w:val="en-US" w:eastAsia="zh-CN"/>
                    </w:rPr>
                    <w:t>2</w:t>
                  </w:r>
                  <w:r>
                    <w:rPr>
                      <w:color w:val="auto"/>
                      <w:kern w:val="0"/>
                      <w:sz w:val="21"/>
                      <w:szCs w:val="21"/>
                      <w:highlight w:val="none"/>
                    </w:rPr>
                    <w:t>5（0.5H）</w:t>
                  </w:r>
                </w:p>
              </w:tc>
              <w:tc>
                <w:tcPr>
                  <w:tcW w:w="654"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8</w:t>
                  </w:r>
                </w:p>
              </w:tc>
              <w:tc>
                <w:tcPr>
                  <w:tcW w:w="510"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bl>
          <w:p>
            <w:pPr>
              <w:pStyle w:val="77"/>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cs="Times New Roman"/>
                <w:b w:val="0"/>
                <w:bCs/>
                <w:color w:val="auto"/>
                <w:sz w:val="24"/>
                <w:szCs w:val="24"/>
                <w:lang w:val="en-US" w:eastAsia="zh-CN"/>
              </w:rPr>
            </w:pPr>
            <w:r>
              <w:rPr>
                <w:rFonts w:hint="eastAsia" w:ascii="Times New Roman" w:hAnsi="Times New Roman" w:cs="Times New Roman"/>
                <w:b w:val="0"/>
                <w:bCs/>
                <w:color w:val="auto"/>
                <w:sz w:val="24"/>
                <w:szCs w:val="24"/>
                <w:lang w:val="en-US" w:eastAsia="zh-CN"/>
              </w:rPr>
              <w:t>综上</w:t>
            </w:r>
            <w:r>
              <w:rPr>
                <w:rFonts w:hint="eastAsia" w:ascii="Times New Roman" w:hAnsi="Times New Roman" w:eastAsia="宋体" w:cs="Times New Roman"/>
                <w:b w:val="0"/>
                <w:bCs/>
                <w:color w:val="auto"/>
                <w:sz w:val="24"/>
                <w:szCs w:val="24"/>
                <w:lang w:val="en-US" w:eastAsia="zh-CN"/>
              </w:rPr>
              <w:t>分析，本项目符合《石油库设计规范》（GB50074-2014）</w:t>
            </w:r>
            <w:r>
              <w:rPr>
                <w:rFonts w:hint="eastAsia" w:ascii="Times New Roman" w:hAnsi="Times New Roman" w:cs="Times New Roman"/>
                <w:b w:val="0"/>
                <w:bCs/>
                <w:color w:val="auto"/>
                <w:sz w:val="24"/>
                <w:szCs w:val="24"/>
                <w:lang w:val="en-US" w:eastAsia="zh-CN"/>
              </w:rPr>
              <w:t>相关</w:t>
            </w:r>
            <w:r>
              <w:rPr>
                <w:rFonts w:hint="eastAsia" w:ascii="Times New Roman" w:hAnsi="Times New Roman" w:eastAsia="宋体" w:cs="Times New Roman"/>
                <w:b w:val="0"/>
                <w:bCs/>
                <w:color w:val="auto"/>
                <w:sz w:val="24"/>
                <w:szCs w:val="24"/>
                <w:lang w:val="en-US" w:eastAsia="zh-CN"/>
              </w:rPr>
              <w:t>要求</w:t>
            </w:r>
            <w:r>
              <w:rPr>
                <w:rFonts w:hint="eastAsia" w:ascii="Times New Roman" w:hAnsi="Times New Roman" w:cs="Times New Roman"/>
                <w:b w:val="0"/>
                <w:bCs/>
                <w:color w:val="auto"/>
                <w:sz w:val="24"/>
                <w:szCs w:val="24"/>
                <w:lang w:val="en-US" w:eastAsia="zh-CN"/>
              </w:rPr>
              <w:t>。</w:t>
            </w:r>
          </w:p>
          <w:p>
            <w:pPr>
              <w:pStyle w:val="77"/>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color w:val="auto"/>
                <w:kern w:val="0"/>
                <w:sz w:val="24"/>
                <w:lang w:val="en-US" w:eastAsia="zh-CN"/>
              </w:rPr>
            </w:pPr>
          </w:p>
        </w:tc>
      </w:tr>
    </w:tbl>
    <w:p>
      <w:pPr>
        <w:spacing w:line="360" w:lineRule="auto"/>
        <w:outlineLvl w:val="0"/>
        <w:rPr>
          <w:rFonts w:hint="default" w:ascii="Times New Roman" w:hAnsi="Times New Roman" w:cs="Times New Roman"/>
          <w:color w:val="auto"/>
          <w:sz w:val="30"/>
        </w:rPr>
        <w:sectPr>
          <w:footerReference r:id="rId3" w:type="default"/>
          <w:pgSz w:w="11906" w:h="16838"/>
          <w:pgMar w:top="1701" w:right="1531" w:bottom="1701" w:left="1531" w:header="1020" w:footer="1020" w:gutter="0"/>
          <w:pgBorders>
            <w:top w:val="none" w:sz="0" w:space="0"/>
            <w:left w:val="none" w:sz="0" w:space="0"/>
            <w:bottom w:val="none" w:sz="0" w:space="0"/>
            <w:right w:val="none" w:sz="0" w:space="0"/>
          </w:pgBorders>
          <w:pgNumType w:fmt="decimal" w:start="1"/>
          <w:cols w:space="720" w:num="1"/>
          <w:docGrid w:linePitch="312" w:charSpace="0"/>
        </w:sectPr>
      </w:pPr>
    </w:p>
    <w:p>
      <w:pPr>
        <w:pStyle w:val="22"/>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bookmarkStart w:id="17" w:name="_GoBack"/>
      <w:bookmarkEnd w:id="17"/>
      <w:r>
        <w:rPr>
          <w:rFonts w:hint="default" w:ascii="Times New Roman" w:hAnsi="Times New Roman" w:eastAsia="黑体" w:cs="Times New Roman"/>
          <w:snapToGrid w:val="0"/>
          <w:color w:val="auto"/>
          <w:sz w:val="30"/>
          <w:szCs w:val="30"/>
          <w:highlight w:val="none"/>
        </w:rPr>
        <w:t>二、建设项目工程分析</w:t>
      </w:r>
    </w:p>
    <w:tbl>
      <w:tblPr>
        <w:tblStyle w:val="26"/>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64"/>
        <w:gridCol w:w="85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26" w:hRule="atLeast"/>
          <w:jc w:val="center"/>
        </w:trPr>
        <w:tc>
          <w:tcPr>
            <w:tcW w:w="256" w:type="pct"/>
            <w:vAlign w:val="center"/>
          </w:tcPr>
          <w:p>
            <w:pPr>
              <w:pStyle w:val="22"/>
              <w:adjustRightInd w:val="0"/>
              <w:snapToGrid w:val="0"/>
              <w:spacing w:before="0" w:beforeAutospacing="0" w:after="0" w:afterAutospacing="0"/>
              <w:jc w:val="center"/>
              <w:rPr>
                <w:rFonts w:hint="default" w:ascii="Times New Roman" w:hAnsi="Times New Roman" w:cs="Times New Roman"/>
                <w:color w:val="auto"/>
                <w:sz w:val="21"/>
                <w:szCs w:val="21"/>
                <w:lang w:val="en-US" w:eastAsia="zh-CN"/>
              </w:rPr>
            </w:pPr>
            <w:r>
              <w:rPr>
                <w:rFonts w:hint="default" w:ascii="黑体" w:hAnsi="黑体" w:eastAsia="黑体" w:cs="黑体"/>
                <w:color w:val="auto"/>
                <w:sz w:val="24"/>
                <w:szCs w:val="24"/>
                <w:highlight w:val="none"/>
                <w:lang w:val="en-US" w:eastAsia="zh-CN"/>
              </w:rPr>
              <w:t>建设内容</w:t>
            </w:r>
          </w:p>
        </w:tc>
        <w:tc>
          <w:tcPr>
            <w:tcW w:w="4743" w:type="pct"/>
          </w:tcPr>
          <w:p>
            <w:pPr>
              <w:spacing w:line="360" w:lineRule="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1、项目由来</w:t>
            </w:r>
          </w:p>
          <w:p>
            <w:pPr>
              <w:adjustRightInd w:val="0"/>
              <w:snapToGrid w:val="0"/>
              <w:spacing w:line="360" w:lineRule="auto"/>
              <w:ind w:firstLine="441" w:firstLineChars="184"/>
              <w:rPr>
                <w:rFonts w:hint="eastAsia"/>
                <w:color w:val="auto"/>
                <w:sz w:val="24"/>
                <w:lang w:val="en-US" w:eastAsia="zh-CN"/>
              </w:rPr>
            </w:pPr>
            <w:r>
              <w:rPr>
                <w:rFonts w:hint="eastAsia"/>
                <w:color w:val="auto"/>
                <w:sz w:val="24"/>
                <w:lang w:val="en-US" w:eastAsia="zh-CN"/>
              </w:rPr>
              <w:t>淄博宝发顺仓储有限公司成立于2022年11月07日，注册地位于山东省淄博市淄川区寨里镇土湾村胶王路与一干渠路交叉口东10米，法定代表人为郝文涛。经营范围包括一般项目：普通货物仓储服务；石油制品制造；成品油仓储。</w:t>
            </w:r>
          </w:p>
          <w:p>
            <w:pPr>
              <w:adjustRightInd w:val="0"/>
              <w:snapToGrid w:val="0"/>
              <w:spacing w:line="360" w:lineRule="auto"/>
              <w:ind w:firstLine="441" w:firstLineChars="184"/>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为满足市场需要以及公司自身发展需求，淄博宝发顺仓储有限公司拟投资28000万元建设“淄博宝发顺仓储有限公司仓储项目”。项目存储的主要产品是重油、渣油、汽油、柴油、石脑油、甲醇及小众甲类物料等，不涉及生产工艺，仅为危化品储存及运输，采用一卡通智能装卸车系统，使提装车作业更为有序，实现定量放料控制、刷卡装车、接地保护、掉电保护、数据采集、阀门和泵的顺序控制、现场急停、远程实时监视、通讯联网和设备自检功能，大大提高了危化品装卸车流程的本质安全水平。本项目所采用的均为国内常规的成熟工艺及设备，安全可靠</w:t>
            </w:r>
            <w:r>
              <w:rPr>
                <w:rFonts w:hint="eastAsia" w:cs="Times New Roman"/>
                <w:color w:val="auto"/>
                <w:sz w:val="24"/>
                <w:lang w:val="en-US" w:eastAsia="zh-CN"/>
              </w:rPr>
              <w:t>，</w:t>
            </w:r>
            <w:r>
              <w:rPr>
                <w:rFonts w:hint="eastAsia" w:ascii="Times New Roman" w:hAnsi="Times New Roman" w:cs="Times New Roman"/>
                <w:color w:val="auto"/>
                <w:sz w:val="24"/>
                <w:lang w:val="en-US" w:eastAsia="zh-CN"/>
              </w:rPr>
              <w:t>不存在技术风险及设备风险。</w:t>
            </w:r>
          </w:p>
          <w:p>
            <w:pPr>
              <w:spacing w:line="360" w:lineRule="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2、项目概况</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项目名称：</w:t>
            </w:r>
            <w:r>
              <w:rPr>
                <w:rFonts w:hint="eastAsia" w:cs="Times New Roman"/>
                <w:color w:val="auto"/>
                <w:sz w:val="24"/>
                <w:szCs w:val="24"/>
                <w:lang w:val="en-US" w:eastAsia="zh-CN"/>
              </w:rPr>
              <w:t>淄博宝发顺仓储有限公司仓储项目</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总投资：</w:t>
            </w:r>
            <w:r>
              <w:rPr>
                <w:rFonts w:hint="eastAsia" w:cs="Times New Roman"/>
                <w:color w:val="auto"/>
                <w:sz w:val="24"/>
                <w:szCs w:val="24"/>
                <w:lang w:val="en-US" w:eastAsia="zh-CN"/>
              </w:rPr>
              <w:t>28000</w:t>
            </w:r>
            <w:r>
              <w:rPr>
                <w:rFonts w:hint="eastAsia" w:ascii="Times New Roman" w:hAnsi="Times New Roman" w:eastAsia="宋体" w:cs="Times New Roman"/>
                <w:color w:val="auto"/>
                <w:sz w:val="24"/>
                <w:szCs w:val="24"/>
                <w:lang w:val="en-US" w:eastAsia="zh-CN"/>
              </w:rPr>
              <w:t>万元</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建设性质：</w:t>
            </w:r>
            <w:r>
              <w:rPr>
                <w:rFonts w:hint="eastAsia" w:cs="Times New Roman"/>
                <w:color w:val="auto"/>
                <w:sz w:val="24"/>
                <w:szCs w:val="24"/>
                <w:lang w:val="en-US" w:eastAsia="zh-CN"/>
              </w:rPr>
              <w:t>新建</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建设地点：</w:t>
            </w:r>
            <w:r>
              <w:rPr>
                <w:rFonts w:hint="eastAsia" w:cs="Times New Roman"/>
                <w:color w:val="auto"/>
                <w:sz w:val="24"/>
                <w:szCs w:val="24"/>
                <w:lang w:val="en-US" w:eastAsia="zh-CN"/>
              </w:rPr>
              <w:t>淄博市淄川区寨里镇土湾村胶王路与一干渠路交叉口东10米，原淄博正晋特钢有限公司厂区内</w:t>
            </w:r>
            <w:r>
              <w:rPr>
                <w:rFonts w:hint="default" w:ascii="Times New Roman" w:hAnsi="Times New Roman" w:eastAsia="宋体" w:cs="Times New Roman"/>
                <w:color w:val="auto"/>
                <w:sz w:val="24"/>
                <w:szCs w:val="24"/>
                <w:lang w:val="en-US" w:eastAsia="zh-CN"/>
              </w:rPr>
              <w:t>。项目地理位置图见附图1。</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项目主要建设内容见表</w:t>
            </w:r>
            <w:r>
              <w:rPr>
                <w:rFonts w:hint="eastAsia" w:ascii="Times New Roman" w:hAnsi="Times New Roman" w:eastAsia="宋体" w:cs="Times New Roman"/>
                <w:color w:val="auto"/>
                <w:sz w:val="24"/>
                <w:szCs w:val="24"/>
                <w:lang w:val="en-US" w:eastAsia="zh-CN"/>
              </w:rPr>
              <w:t>2-1</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eastAsia="zh-CN"/>
              </w:rPr>
            </w:pPr>
            <w:r>
              <w:rPr>
                <w:rFonts w:hint="default" w:ascii="Times New Roman" w:hAnsi="Times New Roman" w:eastAsia="黑体" w:cs="Times New Roman"/>
                <w:b w:val="0"/>
                <w:bCs w:val="0"/>
                <w:color w:val="auto"/>
                <w:kern w:val="0"/>
                <w:sz w:val="24"/>
                <w:szCs w:val="24"/>
                <w:lang w:eastAsia="zh-CN"/>
              </w:rPr>
              <w:t>表</w:t>
            </w:r>
            <w:r>
              <w:rPr>
                <w:rFonts w:hint="eastAsia" w:ascii="Times New Roman" w:hAnsi="Times New Roman" w:eastAsia="黑体" w:cs="Times New Roman"/>
                <w:b w:val="0"/>
                <w:bCs w:val="0"/>
                <w:color w:val="auto"/>
                <w:kern w:val="0"/>
                <w:sz w:val="24"/>
                <w:szCs w:val="24"/>
                <w:lang w:val="en-US" w:eastAsia="zh-CN"/>
              </w:rPr>
              <w:t xml:space="preserve">2-1 </w:t>
            </w:r>
            <w:r>
              <w:rPr>
                <w:rFonts w:hint="default" w:ascii="Times New Roman" w:hAnsi="Times New Roman" w:eastAsia="黑体" w:cs="Times New Roman"/>
                <w:b w:val="0"/>
                <w:bCs w:val="0"/>
                <w:color w:val="auto"/>
                <w:kern w:val="0"/>
                <w:sz w:val="24"/>
                <w:szCs w:val="24"/>
                <w:lang w:eastAsia="zh-CN"/>
              </w:rPr>
              <w:t>项目主要建设内容一览表</w:t>
            </w:r>
          </w:p>
          <w:tbl>
            <w:tblPr>
              <w:tblStyle w:val="26"/>
              <w:tblW w:w="0" w:type="auto"/>
              <w:tblInd w:w="5"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565"/>
              <w:gridCol w:w="960"/>
              <w:gridCol w:w="5555"/>
              <w:gridCol w:w="126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9" w:hRule="atLeast"/>
              </w:trPr>
              <w:tc>
                <w:tcPr>
                  <w:tcW w:w="56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工程组成</w:t>
                  </w:r>
                </w:p>
              </w:tc>
              <w:tc>
                <w:tcPr>
                  <w:tcW w:w="960"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工程名称</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工程内容</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备注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restart"/>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主体工程</w:t>
                  </w:r>
                </w:p>
              </w:tc>
              <w:tc>
                <w:tcPr>
                  <w:tcW w:w="960"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1#罐区</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eastAsia="zh-CN"/>
                    </w:rPr>
                    <w:t>占地面积</w:t>
                  </w:r>
                  <w:r>
                    <w:rPr>
                      <w:rFonts w:hint="eastAsia" w:cs="Times New Roman"/>
                      <w:b w:val="0"/>
                      <w:bCs w:val="0"/>
                      <w:color w:val="auto"/>
                      <w:sz w:val="21"/>
                      <w:szCs w:val="21"/>
                      <w:lang w:val="en-US" w:eastAsia="zh-CN"/>
                    </w:rPr>
                    <w:t>11399.76</w:t>
                  </w:r>
                  <w:r>
                    <w:rPr>
                      <w:rFonts w:hint="default" w:ascii="Times New Roman" w:hAnsi="Times New Roman" w:cs="Times New Roman"/>
                      <w:b w:val="0"/>
                      <w:bCs w:val="0"/>
                      <w:color w:val="auto"/>
                      <w:sz w:val="21"/>
                      <w:szCs w:val="21"/>
                      <w:lang w:val="en-US" w:eastAsia="zh-CN"/>
                    </w:rPr>
                    <w:t>m</w:t>
                  </w:r>
                  <w:r>
                    <w:rPr>
                      <w:rFonts w:hint="default" w:ascii="Times New Roman" w:hAnsi="Times New Roman" w:cs="Times New Roman"/>
                      <w:b w:val="0"/>
                      <w:bCs w:val="0"/>
                      <w:color w:val="auto"/>
                      <w:sz w:val="21"/>
                      <w:szCs w:val="21"/>
                      <w:vertAlign w:val="superscript"/>
                      <w:lang w:val="en-US" w:eastAsia="zh-CN"/>
                    </w:rPr>
                    <w:t>2</w:t>
                  </w:r>
                  <w:r>
                    <w:rPr>
                      <w:rFonts w:hint="default" w:ascii="Times New Roman" w:hAnsi="Times New Roman" w:cs="Times New Roman"/>
                      <w:b w:val="0"/>
                      <w:bCs w:val="0"/>
                      <w:color w:val="auto"/>
                      <w:sz w:val="21"/>
                      <w:szCs w:val="21"/>
                      <w:vertAlign w:val="baseline"/>
                      <w:lang w:val="en-US" w:eastAsia="zh-CN"/>
                    </w:rPr>
                    <w:t>；</w:t>
                  </w:r>
                  <w:r>
                    <w:rPr>
                      <w:rFonts w:hint="default" w:ascii="Times New Roman" w:hAnsi="Times New Roman" w:cs="Times New Roman"/>
                      <w:b w:val="0"/>
                      <w:bCs w:val="0"/>
                      <w:color w:val="auto"/>
                      <w:sz w:val="21"/>
                      <w:szCs w:val="21"/>
                      <w:lang w:val="en-US" w:eastAsia="zh-CN"/>
                    </w:rPr>
                    <w:t>包括4个</w:t>
                  </w:r>
                  <w:r>
                    <w:rPr>
                      <w:rFonts w:hint="default" w:ascii="Times New Roman" w:hAnsi="Times New Roman" w:cs="Times New Roman"/>
                      <w:i w:val="0"/>
                      <w:iCs w:val="0"/>
                      <w:color w:val="auto"/>
                      <w:sz w:val="21"/>
                      <w:szCs w:val="21"/>
                      <w:highlight w:val="none"/>
                      <w:u w:val="none"/>
                      <w:lang w:eastAsia="zh-CN"/>
                    </w:rPr>
                    <w:t>10000m</w:t>
                  </w:r>
                  <w:r>
                    <w:rPr>
                      <w:rFonts w:hint="default" w:ascii="Times New Roman" w:hAnsi="Times New Roman" w:cs="Times New Roman"/>
                      <w:i w:val="0"/>
                      <w:iCs w:val="0"/>
                      <w:color w:val="auto"/>
                      <w:sz w:val="21"/>
                      <w:szCs w:val="21"/>
                      <w:highlight w:val="none"/>
                      <w:u w:val="none"/>
                      <w:vertAlign w:val="superscript"/>
                      <w:lang w:eastAsia="zh-CN"/>
                    </w:rPr>
                    <w:t>3</w:t>
                  </w:r>
                  <w:r>
                    <w:rPr>
                      <w:rFonts w:hint="default" w:ascii="Times New Roman" w:hAnsi="Times New Roman" w:cs="Times New Roman"/>
                      <w:b w:val="0"/>
                      <w:bCs w:val="0"/>
                      <w:color w:val="auto"/>
                      <w:sz w:val="21"/>
                      <w:szCs w:val="21"/>
                      <w:lang w:eastAsia="zh-CN"/>
                    </w:rPr>
                    <w:t>柴油储罐，</w:t>
                  </w:r>
                  <w:r>
                    <w:rPr>
                      <w:rFonts w:hint="default" w:ascii="Times New Roman" w:hAnsi="Times New Roman" w:cs="Times New Roman"/>
                      <w:b w:val="0"/>
                      <w:bCs w:val="0"/>
                      <w:color w:val="auto"/>
                      <w:sz w:val="21"/>
                      <w:szCs w:val="21"/>
                      <w:lang w:val="en-US" w:eastAsia="zh-CN"/>
                    </w:rPr>
                    <w:t>2个</w:t>
                  </w:r>
                  <w:r>
                    <w:rPr>
                      <w:rFonts w:hint="default" w:ascii="Times New Roman" w:hAnsi="Times New Roman" w:cs="Times New Roman"/>
                      <w:i w:val="0"/>
                      <w:iCs w:val="0"/>
                      <w:color w:val="auto"/>
                      <w:sz w:val="21"/>
                      <w:szCs w:val="21"/>
                      <w:highlight w:val="none"/>
                      <w:u w:val="none"/>
                      <w:lang w:eastAsia="zh-CN"/>
                    </w:rPr>
                    <w:t>10000m</w:t>
                  </w:r>
                  <w:r>
                    <w:rPr>
                      <w:rFonts w:hint="default" w:ascii="Times New Roman" w:hAnsi="Times New Roman" w:cs="Times New Roman"/>
                      <w:i w:val="0"/>
                      <w:iCs w:val="0"/>
                      <w:color w:val="auto"/>
                      <w:sz w:val="21"/>
                      <w:szCs w:val="21"/>
                      <w:highlight w:val="none"/>
                      <w:u w:val="none"/>
                      <w:vertAlign w:val="superscript"/>
                      <w:lang w:eastAsia="zh-CN"/>
                    </w:rPr>
                    <w:t>3</w:t>
                  </w:r>
                  <w:r>
                    <w:rPr>
                      <w:rFonts w:hint="default" w:ascii="Times New Roman" w:hAnsi="Times New Roman" w:cs="Times New Roman"/>
                      <w:b w:val="0"/>
                      <w:bCs w:val="0"/>
                      <w:color w:val="auto"/>
                      <w:sz w:val="21"/>
                      <w:szCs w:val="21"/>
                      <w:lang w:eastAsia="zh-CN"/>
                    </w:rPr>
                    <w:t>汽油储罐</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2#罐区</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eastAsia="zh-CN"/>
                    </w:rPr>
                    <w:t>占地面积</w:t>
                  </w:r>
                  <w:r>
                    <w:rPr>
                      <w:rFonts w:hint="eastAsia" w:cs="Times New Roman"/>
                      <w:b w:val="0"/>
                      <w:bCs w:val="0"/>
                      <w:color w:val="auto"/>
                      <w:sz w:val="21"/>
                      <w:szCs w:val="21"/>
                      <w:lang w:val="en-US" w:eastAsia="zh-CN"/>
                    </w:rPr>
                    <w:t>5628.52</w:t>
                  </w:r>
                  <w:r>
                    <w:rPr>
                      <w:rFonts w:hint="default" w:ascii="Times New Roman" w:hAnsi="Times New Roman" w:cs="Times New Roman"/>
                      <w:b w:val="0"/>
                      <w:bCs w:val="0"/>
                      <w:color w:val="auto"/>
                      <w:sz w:val="21"/>
                      <w:szCs w:val="21"/>
                      <w:lang w:val="en-US" w:eastAsia="zh-CN"/>
                    </w:rPr>
                    <w:t>m</w:t>
                  </w:r>
                  <w:r>
                    <w:rPr>
                      <w:rFonts w:hint="default" w:ascii="Times New Roman" w:hAnsi="Times New Roman" w:cs="Times New Roman"/>
                      <w:b w:val="0"/>
                      <w:bCs w:val="0"/>
                      <w:color w:val="auto"/>
                      <w:sz w:val="21"/>
                      <w:szCs w:val="21"/>
                      <w:vertAlign w:val="superscript"/>
                      <w:lang w:val="en-US" w:eastAsia="zh-CN"/>
                    </w:rPr>
                    <w:t>2</w:t>
                  </w:r>
                  <w:r>
                    <w:rPr>
                      <w:rFonts w:hint="default" w:ascii="Times New Roman" w:hAnsi="Times New Roman" w:cs="Times New Roman"/>
                      <w:b w:val="0"/>
                      <w:bCs w:val="0"/>
                      <w:color w:val="auto"/>
                      <w:sz w:val="21"/>
                      <w:szCs w:val="21"/>
                      <w:vertAlign w:val="baseline"/>
                      <w:lang w:val="en-US" w:eastAsia="zh-CN"/>
                    </w:rPr>
                    <w:t>；</w:t>
                  </w:r>
                  <w:r>
                    <w:rPr>
                      <w:rFonts w:hint="default" w:ascii="Times New Roman" w:hAnsi="Times New Roman" w:cs="Times New Roman"/>
                      <w:b w:val="0"/>
                      <w:bCs w:val="0"/>
                      <w:color w:val="auto"/>
                      <w:sz w:val="21"/>
                      <w:szCs w:val="21"/>
                      <w:lang w:val="en-US" w:eastAsia="zh-CN"/>
                    </w:rPr>
                    <w:t>包括3个</w:t>
                  </w:r>
                  <w:r>
                    <w:rPr>
                      <w:rFonts w:hint="default" w:ascii="Times New Roman" w:hAnsi="Times New Roman" w:cs="Times New Roman"/>
                      <w:i w:val="0"/>
                      <w:iCs w:val="0"/>
                      <w:color w:val="auto"/>
                      <w:sz w:val="21"/>
                      <w:szCs w:val="21"/>
                      <w:highlight w:val="none"/>
                      <w:u w:val="none"/>
                      <w:lang w:val="en-US" w:eastAsia="zh-CN"/>
                    </w:rPr>
                    <w:t>4</w:t>
                  </w:r>
                  <w:r>
                    <w:rPr>
                      <w:rFonts w:hint="default" w:ascii="Times New Roman" w:hAnsi="Times New Roman" w:cs="Times New Roman"/>
                      <w:i w:val="0"/>
                      <w:iCs w:val="0"/>
                      <w:color w:val="auto"/>
                      <w:sz w:val="21"/>
                      <w:szCs w:val="21"/>
                      <w:highlight w:val="none"/>
                      <w:u w:val="none"/>
                      <w:lang w:eastAsia="zh-CN"/>
                    </w:rPr>
                    <w:t>000m</w:t>
                  </w:r>
                  <w:r>
                    <w:rPr>
                      <w:rFonts w:hint="default" w:ascii="Times New Roman" w:hAnsi="Times New Roman" w:cs="Times New Roman"/>
                      <w:i w:val="0"/>
                      <w:iCs w:val="0"/>
                      <w:color w:val="auto"/>
                      <w:sz w:val="21"/>
                      <w:szCs w:val="21"/>
                      <w:highlight w:val="none"/>
                      <w:u w:val="none"/>
                      <w:vertAlign w:val="superscript"/>
                      <w:lang w:eastAsia="zh-CN"/>
                    </w:rPr>
                    <w:t>3</w:t>
                  </w:r>
                  <w:r>
                    <w:rPr>
                      <w:rFonts w:hint="default" w:ascii="Times New Roman" w:hAnsi="Times New Roman" w:cs="Times New Roman"/>
                      <w:b w:val="0"/>
                      <w:bCs w:val="0"/>
                      <w:color w:val="auto"/>
                      <w:sz w:val="21"/>
                      <w:szCs w:val="21"/>
                      <w:lang w:eastAsia="zh-CN"/>
                    </w:rPr>
                    <w:t>甲醇储罐，</w:t>
                  </w:r>
                  <w:r>
                    <w:rPr>
                      <w:rFonts w:hint="eastAsia" w:cs="Times New Roman"/>
                      <w:b w:val="0"/>
                      <w:bCs w:val="0"/>
                      <w:color w:val="auto"/>
                      <w:sz w:val="21"/>
                      <w:szCs w:val="21"/>
                      <w:lang w:val="en-US" w:eastAsia="zh-CN"/>
                    </w:rPr>
                    <w:t>2</w:t>
                  </w:r>
                  <w:r>
                    <w:rPr>
                      <w:rFonts w:hint="default" w:ascii="Times New Roman" w:hAnsi="Times New Roman" w:cs="Times New Roman"/>
                      <w:b w:val="0"/>
                      <w:bCs w:val="0"/>
                      <w:color w:val="auto"/>
                      <w:sz w:val="21"/>
                      <w:szCs w:val="21"/>
                      <w:lang w:val="en-US" w:eastAsia="zh-CN"/>
                    </w:rPr>
                    <w:t>个</w:t>
                  </w:r>
                  <w:r>
                    <w:rPr>
                      <w:rFonts w:hint="default" w:ascii="Times New Roman" w:hAnsi="Times New Roman" w:cs="Times New Roman"/>
                      <w:i w:val="0"/>
                      <w:iCs w:val="0"/>
                      <w:color w:val="auto"/>
                      <w:sz w:val="21"/>
                      <w:szCs w:val="21"/>
                      <w:highlight w:val="none"/>
                      <w:u w:val="none"/>
                      <w:lang w:val="en-US" w:eastAsia="zh-CN"/>
                    </w:rPr>
                    <w:t>4</w:t>
                  </w:r>
                  <w:r>
                    <w:rPr>
                      <w:rFonts w:hint="default" w:ascii="Times New Roman" w:hAnsi="Times New Roman" w:cs="Times New Roman"/>
                      <w:i w:val="0"/>
                      <w:iCs w:val="0"/>
                      <w:color w:val="auto"/>
                      <w:sz w:val="21"/>
                      <w:szCs w:val="21"/>
                      <w:highlight w:val="none"/>
                      <w:u w:val="none"/>
                      <w:lang w:eastAsia="zh-CN"/>
                    </w:rPr>
                    <w:t>000m</w:t>
                  </w:r>
                  <w:r>
                    <w:rPr>
                      <w:rFonts w:hint="default" w:ascii="Times New Roman" w:hAnsi="Times New Roman" w:cs="Times New Roman"/>
                      <w:i w:val="0"/>
                      <w:iCs w:val="0"/>
                      <w:color w:val="auto"/>
                      <w:sz w:val="21"/>
                      <w:szCs w:val="21"/>
                      <w:highlight w:val="none"/>
                      <w:u w:val="none"/>
                      <w:vertAlign w:val="superscript"/>
                      <w:lang w:eastAsia="zh-CN"/>
                    </w:rPr>
                    <w:t>3</w:t>
                  </w:r>
                  <w:r>
                    <w:rPr>
                      <w:rFonts w:hint="default" w:ascii="Times New Roman" w:hAnsi="Times New Roman" w:cs="Times New Roman"/>
                      <w:b w:val="0"/>
                      <w:bCs w:val="0"/>
                      <w:color w:val="auto"/>
                      <w:sz w:val="21"/>
                      <w:szCs w:val="21"/>
                      <w:lang w:eastAsia="zh-CN"/>
                    </w:rPr>
                    <w:t>汽油储罐，</w:t>
                  </w:r>
                  <w:r>
                    <w:rPr>
                      <w:rFonts w:hint="eastAsia" w:cs="Times New Roman"/>
                      <w:b w:val="0"/>
                      <w:bCs w:val="0"/>
                      <w:color w:val="auto"/>
                      <w:sz w:val="21"/>
                      <w:szCs w:val="21"/>
                      <w:lang w:val="en-US" w:eastAsia="zh-CN"/>
                    </w:rPr>
                    <w:t>1</w:t>
                  </w:r>
                  <w:r>
                    <w:rPr>
                      <w:rFonts w:hint="default" w:ascii="Times New Roman" w:hAnsi="Times New Roman" w:cs="Times New Roman"/>
                      <w:b w:val="0"/>
                      <w:bCs w:val="0"/>
                      <w:color w:val="auto"/>
                      <w:sz w:val="21"/>
                      <w:szCs w:val="21"/>
                      <w:lang w:val="en-US" w:eastAsia="zh-CN"/>
                    </w:rPr>
                    <w:t>个</w:t>
                  </w:r>
                  <w:r>
                    <w:rPr>
                      <w:rFonts w:hint="eastAsia" w:cs="Times New Roman"/>
                      <w:i w:val="0"/>
                      <w:iCs w:val="0"/>
                      <w:color w:val="auto"/>
                      <w:sz w:val="21"/>
                      <w:szCs w:val="21"/>
                      <w:highlight w:val="none"/>
                      <w:u w:val="none"/>
                      <w:lang w:val="en-US" w:eastAsia="zh-CN"/>
                    </w:rPr>
                    <w:t>2</w:t>
                  </w:r>
                  <w:r>
                    <w:rPr>
                      <w:rFonts w:hint="default" w:ascii="Times New Roman" w:hAnsi="Times New Roman" w:cs="Times New Roman"/>
                      <w:i w:val="0"/>
                      <w:iCs w:val="0"/>
                      <w:color w:val="auto"/>
                      <w:sz w:val="21"/>
                      <w:szCs w:val="21"/>
                      <w:highlight w:val="none"/>
                      <w:u w:val="none"/>
                      <w:lang w:eastAsia="zh-CN"/>
                    </w:rPr>
                    <w:t>000m</w:t>
                  </w:r>
                  <w:r>
                    <w:rPr>
                      <w:rFonts w:hint="default" w:ascii="Times New Roman" w:hAnsi="Times New Roman" w:cs="Times New Roman"/>
                      <w:i w:val="0"/>
                      <w:iCs w:val="0"/>
                      <w:color w:val="auto"/>
                      <w:sz w:val="21"/>
                      <w:szCs w:val="21"/>
                      <w:highlight w:val="none"/>
                      <w:u w:val="none"/>
                      <w:vertAlign w:val="superscript"/>
                      <w:lang w:eastAsia="zh-CN"/>
                    </w:rPr>
                    <w:t>3</w:t>
                  </w:r>
                  <w:r>
                    <w:rPr>
                      <w:rFonts w:hint="default" w:ascii="Times New Roman" w:hAnsi="Times New Roman" w:cs="Times New Roman"/>
                      <w:b w:val="0"/>
                      <w:bCs w:val="0"/>
                      <w:color w:val="auto"/>
                      <w:sz w:val="21"/>
                      <w:szCs w:val="21"/>
                      <w:lang w:eastAsia="zh-CN"/>
                    </w:rPr>
                    <w:t>汽油储罐</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val="en-US" w:eastAsia="zh-CN"/>
                    </w:rPr>
                    <w:t>3#罐区</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占地面积</w:t>
                  </w:r>
                  <w:r>
                    <w:rPr>
                      <w:rFonts w:hint="eastAsia" w:cs="Times New Roman"/>
                      <w:b w:val="0"/>
                      <w:bCs w:val="0"/>
                      <w:color w:val="auto"/>
                      <w:sz w:val="21"/>
                      <w:szCs w:val="21"/>
                      <w:lang w:val="en-US" w:eastAsia="zh-CN"/>
                    </w:rPr>
                    <w:t>3269.40</w:t>
                  </w:r>
                  <w:r>
                    <w:rPr>
                      <w:rFonts w:hint="default" w:ascii="Times New Roman" w:hAnsi="Times New Roman" w:cs="Times New Roman"/>
                      <w:b w:val="0"/>
                      <w:bCs w:val="0"/>
                      <w:color w:val="auto"/>
                      <w:sz w:val="21"/>
                      <w:szCs w:val="21"/>
                      <w:lang w:val="en-US" w:eastAsia="zh-CN"/>
                    </w:rPr>
                    <w:t>m</w:t>
                  </w:r>
                  <w:r>
                    <w:rPr>
                      <w:rFonts w:hint="default" w:ascii="Times New Roman" w:hAnsi="Times New Roman" w:cs="Times New Roman"/>
                      <w:b w:val="0"/>
                      <w:bCs w:val="0"/>
                      <w:color w:val="auto"/>
                      <w:sz w:val="21"/>
                      <w:szCs w:val="21"/>
                      <w:vertAlign w:val="superscript"/>
                      <w:lang w:val="en-US" w:eastAsia="zh-CN"/>
                    </w:rPr>
                    <w:t>2</w:t>
                  </w:r>
                  <w:r>
                    <w:rPr>
                      <w:rFonts w:hint="default" w:ascii="Times New Roman" w:hAnsi="Times New Roman" w:cs="Times New Roman"/>
                      <w:b w:val="0"/>
                      <w:bCs w:val="0"/>
                      <w:color w:val="auto"/>
                      <w:sz w:val="21"/>
                      <w:szCs w:val="21"/>
                      <w:vertAlign w:val="baseline"/>
                      <w:lang w:val="en-US" w:eastAsia="zh-CN"/>
                    </w:rPr>
                    <w:t>；</w:t>
                  </w:r>
                  <w:r>
                    <w:rPr>
                      <w:rFonts w:hint="default" w:ascii="Times New Roman" w:hAnsi="Times New Roman" w:cs="Times New Roman"/>
                      <w:b w:val="0"/>
                      <w:bCs w:val="0"/>
                      <w:color w:val="auto"/>
                      <w:sz w:val="21"/>
                      <w:szCs w:val="21"/>
                      <w:lang w:val="en-US" w:eastAsia="zh-CN"/>
                    </w:rPr>
                    <w:t>包括3个</w:t>
                  </w:r>
                  <w:r>
                    <w:rPr>
                      <w:rFonts w:hint="default" w:ascii="Times New Roman" w:hAnsi="Times New Roman" w:cs="Times New Roman"/>
                      <w:i w:val="0"/>
                      <w:iCs w:val="0"/>
                      <w:color w:val="auto"/>
                      <w:sz w:val="21"/>
                      <w:szCs w:val="21"/>
                      <w:highlight w:val="none"/>
                      <w:u w:val="none"/>
                      <w:lang w:val="en-US" w:eastAsia="zh-CN"/>
                    </w:rPr>
                    <w:t>2</w:t>
                  </w:r>
                  <w:r>
                    <w:rPr>
                      <w:rFonts w:hint="default" w:ascii="Times New Roman" w:hAnsi="Times New Roman" w:cs="Times New Roman"/>
                      <w:i w:val="0"/>
                      <w:iCs w:val="0"/>
                      <w:color w:val="auto"/>
                      <w:sz w:val="21"/>
                      <w:szCs w:val="21"/>
                      <w:highlight w:val="none"/>
                      <w:u w:val="none"/>
                      <w:lang w:eastAsia="zh-CN"/>
                    </w:rPr>
                    <w:t>000m</w:t>
                  </w:r>
                  <w:r>
                    <w:rPr>
                      <w:rFonts w:hint="default" w:ascii="Times New Roman" w:hAnsi="Times New Roman" w:cs="Times New Roman"/>
                      <w:i w:val="0"/>
                      <w:iCs w:val="0"/>
                      <w:color w:val="auto"/>
                      <w:sz w:val="21"/>
                      <w:szCs w:val="21"/>
                      <w:highlight w:val="none"/>
                      <w:u w:val="none"/>
                      <w:vertAlign w:val="superscript"/>
                      <w:lang w:eastAsia="zh-CN"/>
                    </w:rPr>
                    <w:t>3</w:t>
                  </w:r>
                  <w:r>
                    <w:rPr>
                      <w:rFonts w:hint="default" w:ascii="Times New Roman" w:hAnsi="Times New Roman" w:cs="Times New Roman"/>
                      <w:b w:val="0"/>
                      <w:bCs w:val="0"/>
                      <w:color w:val="auto"/>
                      <w:sz w:val="21"/>
                      <w:szCs w:val="21"/>
                      <w:lang w:eastAsia="zh-CN"/>
                    </w:rPr>
                    <w:t>汽油储罐，</w:t>
                  </w:r>
                  <w:r>
                    <w:rPr>
                      <w:rFonts w:hint="default" w:ascii="Times New Roman" w:hAnsi="Times New Roman" w:cs="Times New Roman"/>
                      <w:b w:val="0"/>
                      <w:bCs w:val="0"/>
                      <w:color w:val="auto"/>
                      <w:sz w:val="21"/>
                      <w:szCs w:val="21"/>
                      <w:lang w:val="en-US" w:eastAsia="zh-CN"/>
                    </w:rPr>
                    <w:t>2个</w:t>
                  </w:r>
                  <w:r>
                    <w:rPr>
                      <w:rFonts w:hint="default" w:ascii="Times New Roman" w:hAnsi="Times New Roman" w:cs="Times New Roman"/>
                      <w:i w:val="0"/>
                      <w:iCs w:val="0"/>
                      <w:color w:val="auto"/>
                      <w:sz w:val="21"/>
                      <w:szCs w:val="21"/>
                      <w:highlight w:val="none"/>
                      <w:u w:val="none"/>
                      <w:lang w:val="en-US" w:eastAsia="zh-CN"/>
                    </w:rPr>
                    <w:t>5</w:t>
                  </w:r>
                  <w:r>
                    <w:rPr>
                      <w:rFonts w:hint="default" w:ascii="Times New Roman" w:hAnsi="Times New Roman" w:cs="Times New Roman"/>
                      <w:i w:val="0"/>
                      <w:iCs w:val="0"/>
                      <w:color w:val="auto"/>
                      <w:sz w:val="21"/>
                      <w:szCs w:val="21"/>
                      <w:highlight w:val="none"/>
                      <w:u w:val="none"/>
                      <w:lang w:eastAsia="zh-CN"/>
                    </w:rPr>
                    <w:t>00m</w:t>
                  </w:r>
                  <w:r>
                    <w:rPr>
                      <w:rFonts w:hint="default" w:ascii="Times New Roman" w:hAnsi="Times New Roman" w:cs="Times New Roman"/>
                      <w:i w:val="0"/>
                      <w:iCs w:val="0"/>
                      <w:color w:val="auto"/>
                      <w:sz w:val="21"/>
                      <w:szCs w:val="21"/>
                      <w:highlight w:val="none"/>
                      <w:u w:val="none"/>
                      <w:vertAlign w:val="superscript"/>
                      <w:lang w:eastAsia="zh-CN"/>
                    </w:rPr>
                    <w:t>3</w:t>
                  </w:r>
                  <w:r>
                    <w:rPr>
                      <w:rFonts w:hint="default" w:ascii="Times New Roman" w:hAnsi="Times New Roman" w:cs="Times New Roman"/>
                      <w:b w:val="0"/>
                      <w:bCs w:val="0"/>
                      <w:color w:val="auto"/>
                      <w:sz w:val="21"/>
                      <w:szCs w:val="21"/>
                      <w:lang w:eastAsia="zh-CN"/>
                    </w:rPr>
                    <w:t>汽油储罐</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val="en-US" w:eastAsia="zh-CN"/>
                    </w:rPr>
                    <w:t>4#罐区</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占地面积</w:t>
                  </w:r>
                  <w:r>
                    <w:rPr>
                      <w:rFonts w:hint="eastAsia" w:cs="Times New Roman"/>
                      <w:b w:val="0"/>
                      <w:bCs w:val="0"/>
                      <w:color w:val="auto"/>
                      <w:sz w:val="21"/>
                      <w:szCs w:val="21"/>
                      <w:lang w:val="en-US" w:eastAsia="zh-CN"/>
                    </w:rPr>
                    <w:t>15789.40</w:t>
                  </w:r>
                  <w:r>
                    <w:rPr>
                      <w:rFonts w:hint="default" w:ascii="Times New Roman" w:hAnsi="Times New Roman" w:cs="Times New Roman"/>
                      <w:b w:val="0"/>
                      <w:bCs w:val="0"/>
                      <w:color w:val="auto"/>
                      <w:sz w:val="21"/>
                      <w:szCs w:val="21"/>
                      <w:lang w:val="en-US" w:eastAsia="zh-CN"/>
                    </w:rPr>
                    <w:t>m</w:t>
                  </w:r>
                  <w:r>
                    <w:rPr>
                      <w:rFonts w:hint="default" w:ascii="Times New Roman" w:hAnsi="Times New Roman" w:cs="Times New Roman"/>
                      <w:b w:val="0"/>
                      <w:bCs w:val="0"/>
                      <w:color w:val="auto"/>
                      <w:sz w:val="21"/>
                      <w:szCs w:val="21"/>
                      <w:vertAlign w:val="superscript"/>
                      <w:lang w:val="en-US" w:eastAsia="zh-CN"/>
                    </w:rPr>
                    <w:t>2</w:t>
                  </w:r>
                  <w:r>
                    <w:rPr>
                      <w:rFonts w:hint="default" w:ascii="Times New Roman" w:hAnsi="Times New Roman" w:cs="Times New Roman"/>
                      <w:b w:val="0"/>
                      <w:bCs w:val="0"/>
                      <w:color w:val="auto"/>
                      <w:sz w:val="21"/>
                      <w:szCs w:val="21"/>
                      <w:vertAlign w:val="baseline"/>
                      <w:lang w:val="en-US" w:eastAsia="zh-CN"/>
                    </w:rPr>
                    <w:t>；</w:t>
                  </w:r>
                  <w:r>
                    <w:rPr>
                      <w:rFonts w:hint="default" w:ascii="Times New Roman" w:hAnsi="Times New Roman" w:cs="Times New Roman"/>
                      <w:b w:val="0"/>
                      <w:bCs w:val="0"/>
                      <w:color w:val="auto"/>
                      <w:sz w:val="21"/>
                      <w:szCs w:val="21"/>
                      <w:lang w:val="en-US" w:eastAsia="zh-CN"/>
                    </w:rPr>
                    <w:t>包括8个</w:t>
                  </w:r>
                  <w:r>
                    <w:rPr>
                      <w:rFonts w:hint="default" w:ascii="Times New Roman" w:hAnsi="Times New Roman" w:cs="Times New Roman"/>
                      <w:i w:val="0"/>
                      <w:iCs w:val="0"/>
                      <w:color w:val="auto"/>
                      <w:sz w:val="21"/>
                      <w:szCs w:val="21"/>
                      <w:highlight w:val="none"/>
                      <w:u w:val="none"/>
                      <w:lang w:val="en-US" w:eastAsia="zh-CN"/>
                    </w:rPr>
                    <w:t>5</w:t>
                  </w:r>
                  <w:r>
                    <w:rPr>
                      <w:rFonts w:hint="default" w:ascii="Times New Roman" w:hAnsi="Times New Roman" w:cs="Times New Roman"/>
                      <w:i w:val="0"/>
                      <w:iCs w:val="0"/>
                      <w:color w:val="auto"/>
                      <w:sz w:val="21"/>
                      <w:szCs w:val="21"/>
                      <w:highlight w:val="none"/>
                      <w:u w:val="none"/>
                      <w:lang w:eastAsia="zh-CN"/>
                    </w:rPr>
                    <w:t>000m</w:t>
                  </w:r>
                  <w:r>
                    <w:rPr>
                      <w:rFonts w:hint="default" w:ascii="Times New Roman" w:hAnsi="Times New Roman" w:cs="Times New Roman"/>
                      <w:i w:val="0"/>
                      <w:iCs w:val="0"/>
                      <w:color w:val="auto"/>
                      <w:sz w:val="21"/>
                      <w:szCs w:val="21"/>
                      <w:highlight w:val="none"/>
                      <w:u w:val="none"/>
                      <w:vertAlign w:val="superscript"/>
                      <w:lang w:eastAsia="zh-CN"/>
                    </w:rPr>
                    <w:t>3</w:t>
                  </w:r>
                  <w:r>
                    <w:rPr>
                      <w:rFonts w:hint="default" w:ascii="Times New Roman" w:hAnsi="Times New Roman" w:cs="Times New Roman"/>
                      <w:i w:val="0"/>
                      <w:iCs w:val="0"/>
                      <w:color w:val="auto"/>
                      <w:sz w:val="21"/>
                      <w:szCs w:val="21"/>
                      <w:highlight w:val="none"/>
                      <w:u w:val="none"/>
                      <w:lang w:eastAsia="zh-CN"/>
                    </w:rPr>
                    <w:t>石脑油</w:t>
                  </w:r>
                  <w:r>
                    <w:rPr>
                      <w:rFonts w:hint="default" w:ascii="Times New Roman" w:hAnsi="Times New Roman" w:cs="Times New Roman"/>
                      <w:b w:val="0"/>
                      <w:bCs w:val="0"/>
                      <w:color w:val="auto"/>
                      <w:sz w:val="21"/>
                      <w:szCs w:val="21"/>
                      <w:lang w:eastAsia="zh-CN"/>
                    </w:rPr>
                    <w:t>储罐，</w:t>
                  </w:r>
                  <w:r>
                    <w:rPr>
                      <w:rFonts w:hint="default" w:ascii="Times New Roman" w:hAnsi="Times New Roman" w:cs="Times New Roman"/>
                      <w:b w:val="0"/>
                      <w:bCs w:val="0"/>
                      <w:color w:val="auto"/>
                      <w:sz w:val="21"/>
                      <w:szCs w:val="21"/>
                      <w:lang w:val="en-US" w:eastAsia="zh-CN"/>
                    </w:rPr>
                    <w:t>1个</w:t>
                  </w:r>
                  <w:r>
                    <w:rPr>
                      <w:rFonts w:hint="default" w:ascii="Times New Roman" w:hAnsi="Times New Roman" w:cs="Times New Roman"/>
                      <w:i w:val="0"/>
                      <w:iCs w:val="0"/>
                      <w:color w:val="auto"/>
                      <w:sz w:val="21"/>
                      <w:szCs w:val="21"/>
                      <w:highlight w:val="none"/>
                      <w:u w:val="none"/>
                      <w:lang w:val="en-US" w:eastAsia="zh-CN"/>
                    </w:rPr>
                    <w:t>19000</w:t>
                  </w:r>
                  <w:r>
                    <w:rPr>
                      <w:rFonts w:hint="default" w:ascii="Times New Roman" w:hAnsi="Times New Roman" w:cs="Times New Roman"/>
                      <w:i w:val="0"/>
                      <w:iCs w:val="0"/>
                      <w:color w:val="auto"/>
                      <w:sz w:val="21"/>
                      <w:szCs w:val="21"/>
                      <w:highlight w:val="none"/>
                      <w:u w:val="none"/>
                      <w:lang w:eastAsia="zh-CN"/>
                    </w:rPr>
                    <w:t>m</w:t>
                  </w:r>
                  <w:r>
                    <w:rPr>
                      <w:rFonts w:hint="default" w:ascii="Times New Roman" w:hAnsi="Times New Roman" w:cs="Times New Roman"/>
                      <w:i w:val="0"/>
                      <w:iCs w:val="0"/>
                      <w:color w:val="auto"/>
                      <w:sz w:val="21"/>
                      <w:szCs w:val="21"/>
                      <w:highlight w:val="none"/>
                      <w:u w:val="none"/>
                      <w:vertAlign w:val="superscript"/>
                      <w:lang w:eastAsia="zh-CN"/>
                    </w:rPr>
                    <w:t>3</w:t>
                  </w:r>
                  <w:r>
                    <w:rPr>
                      <w:rFonts w:hint="default" w:ascii="Times New Roman" w:hAnsi="Times New Roman" w:cs="Times New Roman"/>
                      <w:i w:val="0"/>
                      <w:iCs w:val="0"/>
                      <w:color w:val="auto"/>
                      <w:sz w:val="21"/>
                      <w:szCs w:val="21"/>
                      <w:highlight w:val="none"/>
                      <w:u w:val="none"/>
                      <w:lang w:eastAsia="zh-CN"/>
                    </w:rPr>
                    <w:t>柴油储罐</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val="en-US" w:eastAsia="zh-CN"/>
                    </w:rPr>
                    <w:t>5#罐区</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eastAsia="zh-CN"/>
                    </w:rPr>
                    <w:t>占地面积</w:t>
                  </w:r>
                  <w:r>
                    <w:rPr>
                      <w:rFonts w:hint="eastAsia" w:cs="Times New Roman"/>
                      <w:b w:val="0"/>
                      <w:bCs w:val="0"/>
                      <w:color w:val="auto"/>
                      <w:sz w:val="21"/>
                      <w:szCs w:val="21"/>
                      <w:lang w:val="en-US" w:eastAsia="zh-CN"/>
                    </w:rPr>
                    <w:t>656.22</w:t>
                  </w:r>
                  <w:r>
                    <w:rPr>
                      <w:rFonts w:hint="default" w:ascii="Times New Roman" w:hAnsi="Times New Roman" w:cs="Times New Roman"/>
                      <w:b w:val="0"/>
                      <w:bCs w:val="0"/>
                      <w:color w:val="auto"/>
                      <w:sz w:val="21"/>
                      <w:szCs w:val="21"/>
                      <w:lang w:val="en-US" w:eastAsia="zh-CN"/>
                    </w:rPr>
                    <w:t>m</w:t>
                  </w:r>
                  <w:r>
                    <w:rPr>
                      <w:rFonts w:hint="default" w:ascii="Times New Roman" w:hAnsi="Times New Roman" w:cs="Times New Roman"/>
                      <w:b w:val="0"/>
                      <w:bCs w:val="0"/>
                      <w:color w:val="auto"/>
                      <w:sz w:val="21"/>
                      <w:szCs w:val="21"/>
                      <w:vertAlign w:val="superscript"/>
                      <w:lang w:val="en-US" w:eastAsia="zh-CN"/>
                    </w:rPr>
                    <w:t>2</w:t>
                  </w:r>
                  <w:r>
                    <w:rPr>
                      <w:rFonts w:hint="default" w:ascii="Times New Roman" w:hAnsi="Times New Roman" w:cs="Times New Roman"/>
                      <w:b w:val="0"/>
                      <w:bCs w:val="0"/>
                      <w:color w:val="auto"/>
                      <w:sz w:val="21"/>
                      <w:szCs w:val="21"/>
                      <w:vertAlign w:val="baseline"/>
                      <w:lang w:val="en-US" w:eastAsia="zh-CN"/>
                    </w:rPr>
                    <w:t>；</w:t>
                  </w:r>
                  <w:r>
                    <w:rPr>
                      <w:rFonts w:hint="default" w:ascii="Times New Roman" w:hAnsi="Times New Roman" w:cs="Times New Roman"/>
                      <w:b w:val="0"/>
                      <w:bCs w:val="0"/>
                      <w:color w:val="auto"/>
                      <w:sz w:val="21"/>
                      <w:szCs w:val="21"/>
                      <w:lang w:val="en-US" w:eastAsia="zh-CN"/>
                    </w:rPr>
                    <w:t>包括2个</w:t>
                  </w:r>
                  <w:r>
                    <w:rPr>
                      <w:rFonts w:hint="default" w:ascii="Times New Roman" w:hAnsi="Times New Roman" w:cs="Times New Roman"/>
                      <w:i w:val="0"/>
                      <w:iCs w:val="0"/>
                      <w:color w:val="auto"/>
                      <w:sz w:val="21"/>
                      <w:szCs w:val="21"/>
                      <w:highlight w:val="none"/>
                      <w:u w:val="none"/>
                      <w:lang w:val="en-US" w:eastAsia="zh-CN"/>
                    </w:rPr>
                    <w:t>5</w:t>
                  </w:r>
                  <w:r>
                    <w:rPr>
                      <w:rFonts w:hint="default" w:ascii="Times New Roman" w:hAnsi="Times New Roman" w:cs="Times New Roman"/>
                      <w:i w:val="0"/>
                      <w:iCs w:val="0"/>
                      <w:color w:val="auto"/>
                      <w:sz w:val="21"/>
                      <w:szCs w:val="21"/>
                      <w:highlight w:val="none"/>
                      <w:u w:val="none"/>
                      <w:lang w:eastAsia="zh-CN"/>
                    </w:rPr>
                    <w:t>00m</w:t>
                  </w:r>
                  <w:r>
                    <w:rPr>
                      <w:rFonts w:hint="default" w:ascii="Times New Roman" w:hAnsi="Times New Roman" w:cs="Times New Roman"/>
                      <w:i w:val="0"/>
                      <w:iCs w:val="0"/>
                      <w:color w:val="auto"/>
                      <w:sz w:val="21"/>
                      <w:szCs w:val="21"/>
                      <w:highlight w:val="none"/>
                      <w:u w:val="none"/>
                      <w:vertAlign w:val="superscript"/>
                      <w:lang w:eastAsia="zh-CN"/>
                    </w:rPr>
                    <w:t>3</w:t>
                  </w:r>
                  <w:r>
                    <w:rPr>
                      <w:rFonts w:hint="default" w:ascii="Times New Roman" w:hAnsi="Times New Roman" w:cs="Times New Roman"/>
                      <w:b w:val="0"/>
                      <w:bCs w:val="0"/>
                      <w:color w:val="auto"/>
                      <w:sz w:val="21"/>
                      <w:szCs w:val="21"/>
                      <w:lang w:eastAsia="zh-CN"/>
                    </w:rPr>
                    <w:t>汽油储罐</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val="en-US" w:eastAsia="zh-CN"/>
                    </w:rPr>
                    <w:t>6#罐区</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eastAsia="zh-CN"/>
                    </w:rPr>
                    <w:t>占地面积</w:t>
                  </w:r>
                  <w:r>
                    <w:rPr>
                      <w:rFonts w:hint="eastAsia" w:cs="Times New Roman"/>
                      <w:b w:val="0"/>
                      <w:bCs w:val="0"/>
                      <w:color w:val="auto"/>
                      <w:sz w:val="21"/>
                      <w:szCs w:val="21"/>
                      <w:lang w:val="en-US" w:eastAsia="zh-CN"/>
                    </w:rPr>
                    <w:t>10302.40</w:t>
                  </w:r>
                  <w:r>
                    <w:rPr>
                      <w:rFonts w:hint="default" w:ascii="Times New Roman" w:hAnsi="Times New Roman" w:cs="Times New Roman"/>
                      <w:b w:val="0"/>
                      <w:bCs w:val="0"/>
                      <w:color w:val="auto"/>
                      <w:sz w:val="21"/>
                      <w:szCs w:val="21"/>
                      <w:lang w:val="en-US" w:eastAsia="zh-CN"/>
                    </w:rPr>
                    <w:t>m</w:t>
                  </w:r>
                  <w:r>
                    <w:rPr>
                      <w:rFonts w:hint="default" w:ascii="Times New Roman" w:hAnsi="Times New Roman" w:cs="Times New Roman"/>
                      <w:b w:val="0"/>
                      <w:bCs w:val="0"/>
                      <w:color w:val="auto"/>
                      <w:sz w:val="21"/>
                      <w:szCs w:val="21"/>
                      <w:vertAlign w:val="superscript"/>
                      <w:lang w:val="en-US" w:eastAsia="zh-CN"/>
                    </w:rPr>
                    <w:t>2</w:t>
                  </w:r>
                  <w:r>
                    <w:rPr>
                      <w:rFonts w:hint="default" w:ascii="Times New Roman" w:hAnsi="Times New Roman" w:cs="Times New Roman"/>
                      <w:b w:val="0"/>
                      <w:bCs w:val="0"/>
                      <w:color w:val="auto"/>
                      <w:sz w:val="21"/>
                      <w:szCs w:val="21"/>
                      <w:vertAlign w:val="baseline"/>
                      <w:lang w:val="en-US" w:eastAsia="zh-CN"/>
                    </w:rPr>
                    <w:t>；</w:t>
                  </w:r>
                  <w:r>
                    <w:rPr>
                      <w:rFonts w:hint="default" w:ascii="Times New Roman" w:hAnsi="Times New Roman" w:cs="Times New Roman"/>
                      <w:b w:val="0"/>
                      <w:bCs w:val="0"/>
                      <w:color w:val="auto"/>
                      <w:sz w:val="21"/>
                      <w:szCs w:val="21"/>
                      <w:lang w:val="en-US" w:eastAsia="zh-CN"/>
                    </w:rPr>
                    <w:t>包括4个</w:t>
                  </w:r>
                  <w:r>
                    <w:rPr>
                      <w:rFonts w:hint="default" w:ascii="Times New Roman" w:hAnsi="Times New Roman" w:cs="Times New Roman"/>
                      <w:i w:val="0"/>
                      <w:iCs w:val="0"/>
                      <w:color w:val="auto"/>
                      <w:sz w:val="21"/>
                      <w:szCs w:val="21"/>
                      <w:highlight w:val="none"/>
                      <w:u w:val="none"/>
                      <w:lang w:val="en-US" w:eastAsia="zh-CN"/>
                    </w:rPr>
                    <w:t>5</w:t>
                  </w:r>
                  <w:r>
                    <w:rPr>
                      <w:rFonts w:hint="default" w:ascii="Times New Roman" w:hAnsi="Times New Roman" w:cs="Times New Roman"/>
                      <w:i w:val="0"/>
                      <w:iCs w:val="0"/>
                      <w:color w:val="auto"/>
                      <w:sz w:val="21"/>
                      <w:szCs w:val="21"/>
                      <w:highlight w:val="none"/>
                      <w:u w:val="none"/>
                      <w:lang w:eastAsia="zh-CN"/>
                    </w:rPr>
                    <w:t>000m</w:t>
                  </w:r>
                  <w:r>
                    <w:rPr>
                      <w:rFonts w:hint="default" w:ascii="Times New Roman" w:hAnsi="Times New Roman" w:cs="Times New Roman"/>
                      <w:i w:val="0"/>
                      <w:iCs w:val="0"/>
                      <w:color w:val="auto"/>
                      <w:sz w:val="21"/>
                      <w:szCs w:val="21"/>
                      <w:highlight w:val="none"/>
                      <w:u w:val="none"/>
                      <w:vertAlign w:val="superscript"/>
                      <w:lang w:eastAsia="zh-CN"/>
                    </w:rPr>
                    <w:t>3</w:t>
                  </w:r>
                  <w:r>
                    <w:rPr>
                      <w:rFonts w:hint="default" w:ascii="Times New Roman" w:hAnsi="Times New Roman" w:cs="Times New Roman"/>
                      <w:b w:val="0"/>
                      <w:bCs w:val="0"/>
                      <w:color w:val="auto"/>
                      <w:sz w:val="21"/>
                      <w:szCs w:val="21"/>
                      <w:lang w:eastAsia="zh-CN"/>
                    </w:rPr>
                    <w:t>渣油储罐，</w:t>
                  </w:r>
                  <w:r>
                    <w:rPr>
                      <w:rFonts w:hint="default" w:ascii="Times New Roman" w:hAnsi="Times New Roman" w:cs="Times New Roman"/>
                      <w:b w:val="0"/>
                      <w:bCs w:val="0"/>
                      <w:color w:val="auto"/>
                      <w:sz w:val="21"/>
                      <w:szCs w:val="21"/>
                      <w:lang w:val="en-US" w:eastAsia="zh-CN"/>
                    </w:rPr>
                    <w:t>4个</w:t>
                  </w:r>
                  <w:r>
                    <w:rPr>
                      <w:rFonts w:hint="default" w:ascii="Times New Roman" w:hAnsi="Times New Roman" w:cs="Times New Roman"/>
                      <w:i w:val="0"/>
                      <w:iCs w:val="0"/>
                      <w:color w:val="auto"/>
                      <w:sz w:val="21"/>
                      <w:szCs w:val="21"/>
                      <w:highlight w:val="none"/>
                      <w:u w:val="none"/>
                      <w:lang w:val="en-US" w:eastAsia="zh-CN"/>
                    </w:rPr>
                    <w:t>5</w:t>
                  </w:r>
                  <w:r>
                    <w:rPr>
                      <w:rFonts w:hint="default" w:ascii="Times New Roman" w:hAnsi="Times New Roman" w:cs="Times New Roman"/>
                      <w:i w:val="0"/>
                      <w:iCs w:val="0"/>
                      <w:color w:val="auto"/>
                      <w:sz w:val="21"/>
                      <w:szCs w:val="21"/>
                      <w:highlight w:val="none"/>
                      <w:u w:val="none"/>
                      <w:lang w:eastAsia="zh-CN"/>
                    </w:rPr>
                    <w:t>000m</w:t>
                  </w:r>
                  <w:r>
                    <w:rPr>
                      <w:rFonts w:hint="default" w:ascii="Times New Roman" w:hAnsi="Times New Roman" w:cs="Times New Roman"/>
                      <w:i w:val="0"/>
                      <w:iCs w:val="0"/>
                      <w:color w:val="auto"/>
                      <w:sz w:val="21"/>
                      <w:szCs w:val="21"/>
                      <w:highlight w:val="none"/>
                      <w:u w:val="none"/>
                      <w:vertAlign w:val="superscript"/>
                      <w:lang w:eastAsia="zh-CN"/>
                    </w:rPr>
                    <w:t>3</w:t>
                  </w:r>
                  <w:r>
                    <w:rPr>
                      <w:rFonts w:hint="default" w:ascii="Times New Roman" w:hAnsi="Times New Roman" w:cs="Times New Roman"/>
                      <w:b w:val="0"/>
                      <w:bCs w:val="0"/>
                      <w:color w:val="auto"/>
                      <w:sz w:val="21"/>
                      <w:szCs w:val="21"/>
                      <w:lang w:eastAsia="zh-CN"/>
                    </w:rPr>
                    <w:t>重油储罐，</w:t>
                  </w:r>
                  <w:r>
                    <w:rPr>
                      <w:rFonts w:hint="default" w:ascii="Times New Roman" w:hAnsi="Times New Roman" w:cs="Times New Roman"/>
                      <w:b w:val="0"/>
                      <w:bCs w:val="0"/>
                      <w:color w:val="auto"/>
                      <w:sz w:val="21"/>
                      <w:szCs w:val="21"/>
                      <w:lang w:val="en-US" w:eastAsia="zh-CN"/>
                    </w:rPr>
                    <w:t>1个</w:t>
                  </w:r>
                  <w:r>
                    <w:rPr>
                      <w:rFonts w:hint="default" w:ascii="Times New Roman" w:hAnsi="Times New Roman" w:cs="Times New Roman"/>
                      <w:i w:val="0"/>
                      <w:iCs w:val="0"/>
                      <w:color w:val="auto"/>
                      <w:sz w:val="21"/>
                      <w:szCs w:val="21"/>
                      <w:highlight w:val="none"/>
                      <w:u w:val="none"/>
                      <w:lang w:val="en-US" w:eastAsia="zh-CN"/>
                    </w:rPr>
                    <w:t>5</w:t>
                  </w:r>
                  <w:r>
                    <w:rPr>
                      <w:rFonts w:hint="default" w:ascii="Times New Roman" w:hAnsi="Times New Roman" w:cs="Times New Roman"/>
                      <w:i w:val="0"/>
                      <w:iCs w:val="0"/>
                      <w:color w:val="auto"/>
                      <w:sz w:val="21"/>
                      <w:szCs w:val="21"/>
                      <w:highlight w:val="none"/>
                      <w:u w:val="none"/>
                      <w:lang w:eastAsia="zh-CN"/>
                    </w:rPr>
                    <w:t>000m</w:t>
                  </w:r>
                  <w:r>
                    <w:rPr>
                      <w:rFonts w:hint="default" w:ascii="Times New Roman" w:hAnsi="Times New Roman" w:cs="Times New Roman"/>
                      <w:i w:val="0"/>
                      <w:iCs w:val="0"/>
                      <w:color w:val="auto"/>
                      <w:sz w:val="21"/>
                      <w:szCs w:val="21"/>
                      <w:highlight w:val="none"/>
                      <w:u w:val="none"/>
                      <w:vertAlign w:val="superscript"/>
                      <w:lang w:eastAsia="zh-CN"/>
                    </w:rPr>
                    <w:t>3</w:t>
                  </w:r>
                  <w:r>
                    <w:rPr>
                      <w:rFonts w:hint="default" w:ascii="Times New Roman" w:hAnsi="Times New Roman" w:cs="Times New Roman"/>
                      <w:b w:val="0"/>
                      <w:bCs w:val="0"/>
                      <w:color w:val="auto"/>
                      <w:sz w:val="21"/>
                      <w:szCs w:val="21"/>
                      <w:lang w:eastAsia="zh-CN"/>
                    </w:rPr>
                    <w:t>沥青储罐</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装卸车区</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eastAsia="zh-CN"/>
                    </w:rPr>
                    <w:t>占地面积</w:t>
                  </w:r>
                  <w:r>
                    <w:rPr>
                      <w:rFonts w:hint="eastAsia" w:cs="Times New Roman"/>
                      <w:b w:val="0"/>
                      <w:bCs w:val="0"/>
                      <w:color w:val="auto"/>
                      <w:sz w:val="21"/>
                      <w:szCs w:val="21"/>
                      <w:lang w:val="en-US" w:eastAsia="zh-CN"/>
                    </w:rPr>
                    <w:t>4025.00</w:t>
                  </w:r>
                  <w:r>
                    <w:rPr>
                      <w:rFonts w:hint="default" w:ascii="Times New Roman" w:hAnsi="Times New Roman" w:cs="Times New Roman"/>
                      <w:b w:val="0"/>
                      <w:bCs w:val="0"/>
                      <w:color w:val="auto"/>
                      <w:sz w:val="21"/>
                      <w:szCs w:val="21"/>
                      <w:lang w:val="en-US" w:eastAsia="zh-CN"/>
                    </w:rPr>
                    <w:t>m</w:t>
                  </w:r>
                  <w:r>
                    <w:rPr>
                      <w:rFonts w:hint="default" w:ascii="Times New Roman" w:hAnsi="Times New Roman" w:cs="Times New Roman"/>
                      <w:b w:val="0"/>
                      <w:bCs w:val="0"/>
                      <w:color w:val="auto"/>
                      <w:sz w:val="21"/>
                      <w:szCs w:val="21"/>
                      <w:vertAlign w:val="superscript"/>
                      <w:lang w:val="en-US" w:eastAsia="zh-CN"/>
                    </w:rPr>
                    <w:t>2</w:t>
                  </w:r>
                  <w:r>
                    <w:rPr>
                      <w:rFonts w:hint="default" w:ascii="Times New Roman" w:hAnsi="Times New Roman" w:cs="Times New Roman"/>
                      <w:b w:val="0"/>
                      <w:bCs w:val="0"/>
                      <w:color w:val="auto"/>
                      <w:sz w:val="21"/>
                      <w:szCs w:val="21"/>
                      <w:lang w:val="en-US" w:eastAsia="zh-CN"/>
                    </w:rPr>
                    <w:t>，包括泵棚、地磅及油气回收装置区</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restart"/>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辅助工程</w:t>
                  </w:r>
                </w:p>
              </w:tc>
              <w:tc>
                <w:tcPr>
                  <w:tcW w:w="960"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综合楼</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1座，钢筋混凝土结构，4F，占地面积504</w:t>
                  </w:r>
                  <w:r>
                    <w:rPr>
                      <w:rFonts w:hint="default" w:ascii="Times New Roman" w:hAnsi="Times New Roman" w:cs="Times New Roman"/>
                      <w:b w:val="0"/>
                      <w:bCs w:val="0"/>
                      <w:color w:val="auto"/>
                      <w:sz w:val="21"/>
                      <w:szCs w:val="21"/>
                      <w:highlight w:val="none"/>
                      <w:lang w:val="en-US" w:eastAsia="zh-CN"/>
                    </w:rPr>
                    <w:t>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lang w:val="en-US" w:eastAsia="zh-CN"/>
                    </w:rPr>
                    <w:t>，建筑面积为</w:t>
                  </w:r>
                  <w:r>
                    <w:rPr>
                      <w:rFonts w:hint="default" w:ascii="Times New Roman" w:hAnsi="Times New Roman" w:cs="Times New Roman"/>
                      <w:b w:val="0"/>
                      <w:bCs w:val="0"/>
                      <w:color w:val="auto"/>
                      <w:sz w:val="21"/>
                      <w:szCs w:val="21"/>
                      <w:highlight w:val="none"/>
                      <w:lang w:val="en-US" w:eastAsia="zh-CN"/>
                    </w:rPr>
                    <w:t>2016m</w:t>
                  </w:r>
                  <w:r>
                    <w:rPr>
                      <w:rFonts w:hint="default" w:ascii="Times New Roman" w:hAnsi="Times New Roman" w:cs="Times New Roman"/>
                      <w:b w:val="0"/>
                      <w:bCs w:val="0"/>
                      <w:color w:val="auto"/>
                      <w:sz w:val="21"/>
                      <w:szCs w:val="21"/>
                      <w:highlight w:val="none"/>
                      <w:vertAlign w:val="superscript"/>
                      <w:lang w:val="en-US" w:eastAsia="zh-CN"/>
                    </w:rPr>
                    <w:t>2</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利用厂区内现有办公楼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eastAsia="zh-CN"/>
                    </w:rPr>
                    <w:t>控制室</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1座，钢筋混凝土结构，1F，占地面积</w:t>
                  </w:r>
                  <w:r>
                    <w:rPr>
                      <w:rFonts w:hint="eastAsia" w:cs="Times New Roman"/>
                      <w:b w:val="0"/>
                      <w:bCs w:val="0"/>
                      <w:color w:val="auto"/>
                      <w:sz w:val="21"/>
                      <w:szCs w:val="21"/>
                      <w:lang w:val="en-US" w:eastAsia="zh-CN"/>
                    </w:rPr>
                    <w:t>252</w:t>
                  </w:r>
                  <w:r>
                    <w:rPr>
                      <w:rFonts w:hint="default" w:ascii="Times New Roman" w:hAnsi="Times New Roman" w:cs="Times New Roman"/>
                      <w:b w:val="0"/>
                      <w:bCs w:val="0"/>
                      <w:color w:val="auto"/>
                      <w:sz w:val="21"/>
                      <w:szCs w:val="21"/>
                      <w:highlight w:val="none"/>
                      <w:lang w:val="en-US" w:eastAsia="zh-CN"/>
                    </w:rPr>
                    <w:t>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lang w:val="en-US" w:eastAsia="zh-CN"/>
                    </w:rPr>
                    <w:t>，建筑面积为</w:t>
                  </w:r>
                  <w:r>
                    <w:rPr>
                      <w:rFonts w:hint="eastAsia" w:cs="Times New Roman"/>
                      <w:b w:val="0"/>
                      <w:bCs w:val="0"/>
                      <w:color w:val="auto"/>
                      <w:sz w:val="21"/>
                      <w:szCs w:val="21"/>
                      <w:highlight w:val="none"/>
                      <w:lang w:val="en-US" w:eastAsia="zh-CN"/>
                    </w:rPr>
                    <w:t>252</w:t>
                  </w:r>
                  <w:r>
                    <w:rPr>
                      <w:rFonts w:hint="default" w:ascii="Times New Roman" w:hAnsi="Times New Roman" w:cs="Times New Roman"/>
                      <w:b w:val="0"/>
                      <w:bCs w:val="0"/>
                      <w:color w:val="auto"/>
                      <w:sz w:val="21"/>
                      <w:szCs w:val="21"/>
                      <w:highlight w:val="none"/>
                      <w:lang w:val="en-US" w:eastAsia="zh-CN"/>
                    </w:rPr>
                    <w:t>m</w:t>
                  </w:r>
                  <w:r>
                    <w:rPr>
                      <w:rFonts w:hint="default" w:ascii="Times New Roman" w:hAnsi="Times New Roman" w:cs="Times New Roman"/>
                      <w:b w:val="0"/>
                      <w:bCs w:val="0"/>
                      <w:color w:val="auto"/>
                      <w:sz w:val="21"/>
                      <w:szCs w:val="21"/>
                      <w:highlight w:val="none"/>
                      <w:vertAlign w:val="superscript"/>
                      <w:lang w:val="en-US" w:eastAsia="zh-CN"/>
                    </w:rPr>
                    <w:t>2</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变配电室</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1座，钢筋混凝土结构，1F，占地面积256</w:t>
                  </w:r>
                  <w:r>
                    <w:rPr>
                      <w:rFonts w:hint="default" w:ascii="Times New Roman" w:hAnsi="Times New Roman" w:cs="Times New Roman"/>
                      <w:b w:val="0"/>
                      <w:bCs w:val="0"/>
                      <w:color w:val="auto"/>
                      <w:sz w:val="21"/>
                      <w:szCs w:val="21"/>
                      <w:highlight w:val="none"/>
                      <w:lang w:val="en-US" w:eastAsia="zh-CN"/>
                    </w:rPr>
                    <w:t>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lang w:val="en-US" w:eastAsia="zh-CN"/>
                    </w:rPr>
                    <w:t>，建筑面积为</w:t>
                  </w:r>
                  <w:r>
                    <w:rPr>
                      <w:rFonts w:hint="default" w:ascii="Times New Roman" w:hAnsi="Times New Roman" w:cs="Times New Roman"/>
                      <w:b w:val="0"/>
                      <w:bCs w:val="0"/>
                      <w:color w:val="auto"/>
                      <w:sz w:val="21"/>
                      <w:szCs w:val="21"/>
                      <w:highlight w:val="none"/>
                      <w:lang w:val="en-US" w:eastAsia="zh-CN"/>
                    </w:rPr>
                    <w:t>256m</w:t>
                  </w:r>
                  <w:r>
                    <w:rPr>
                      <w:rFonts w:hint="default" w:ascii="Times New Roman" w:hAnsi="Times New Roman" w:cs="Times New Roman"/>
                      <w:b w:val="0"/>
                      <w:bCs w:val="0"/>
                      <w:color w:val="auto"/>
                      <w:sz w:val="21"/>
                      <w:szCs w:val="21"/>
                      <w:highlight w:val="none"/>
                      <w:vertAlign w:val="superscript"/>
                      <w:lang w:val="en-US" w:eastAsia="zh-CN"/>
                    </w:rPr>
                    <w:t>2</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eastAsia="zh-CN"/>
                    </w:rPr>
                    <w:t>消防泵房</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1座，钢筋混凝土结构，1F，占地面积</w:t>
                  </w:r>
                  <w:r>
                    <w:rPr>
                      <w:rFonts w:hint="eastAsia" w:cs="Times New Roman"/>
                      <w:b w:val="0"/>
                      <w:bCs w:val="0"/>
                      <w:color w:val="auto"/>
                      <w:sz w:val="21"/>
                      <w:szCs w:val="21"/>
                      <w:lang w:val="en-US" w:eastAsia="zh-CN"/>
                    </w:rPr>
                    <w:t>136</w:t>
                  </w:r>
                  <w:r>
                    <w:rPr>
                      <w:rFonts w:hint="default" w:ascii="Times New Roman" w:hAnsi="Times New Roman" w:cs="Times New Roman"/>
                      <w:b w:val="0"/>
                      <w:bCs w:val="0"/>
                      <w:color w:val="auto"/>
                      <w:sz w:val="21"/>
                      <w:szCs w:val="21"/>
                      <w:highlight w:val="none"/>
                      <w:lang w:val="en-US" w:eastAsia="zh-CN"/>
                    </w:rPr>
                    <w:t>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lang w:val="en-US" w:eastAsia="zh-CN"/>
                    </w:rPr>
                    <w:t>，建筑面积为</w:t>
                  </w:r>
                  <w:r>
                    <w:rPr>
                      <w:rFonts w:hint="eastAsia" w:cs="Times New Roman"/>
                      <w:b w:val="0"/>
                      <w:bCs w:val="0"/>
                      <w:color w:val="auto"/>
                      <w:sz w:val="21"/>
                      <w:szCs w:val="21"/>
                      <w:highlight w:val="none"/>
                      <w:lang w:val="en-US" w:eastAsia="zh-CN"/>
                    </w:rPr>
                    <w:t>136</w:t>
                  </w:r>
                  <w:r>
                    <w:rPr>
                      <w:rFonts w:hint="default" w:ascii="Times New Roman" w:hAnsi="Times New Roman" w:cs="Times New Roman"/>
                      <w:b w:val="0"/>
                      <w:bCs w:val="0"/>
                      <w:color w:val="auto"/>
                      <w:sz w:val="21"/>
                      <w:szCs w:val="21"/>
                      <w:highlight w:val="none"/>
                      <w:lang w:val="en-US" w:eastAsia="zh-CN"/>
                    </w:rPr>
                    <w:t>m</w:t>
                  </w:r>
                  <w:r>
                    <w:rPr>
                      <w:rFonts w:hint="default" w:ascii="Times New Roman" w:hAnsi="Times New Roman" w:cs="Times New Roman"/>
                      <w:b w:val="0"/>
                      <w:bCs w:val="0"/>
                      <w:color w:val="auto"/>
                      <w:sz w:val="21"/>
                      <w:szCs w:val="21"/>
                      <w:highlight w:val="none"/>
                      <w:vertAlign w:val="superscript"/>
                      <w:lang w:val="en-US" w:eastAsia="zh-CN"/>
                    </w:rPr>
                    <w:t>2</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eastAsia="zh-CN"/>
                    </w:rPr>
                    <w:t>动力车间</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1座，钢筋混凝土结构，1F，占地面积980</w:t>
                  </w:r>
                  <w:r>
                    <w:rPr>
                      <w:rFonts w:hint="default" w:ascii="Times New Roman" w:hAnsi="Times New Roman" w:cs="Times New Roman"/>
                      <w:b w:val="0"/>
                      <w:bCs w:val="0"/>
                      <w:color w:val="auto"/>
                      <w:sz w:val="21"/>
                      <w:szCs w:val="21"/>
                      <w:highlight w:val="none"/>
                      <w:lang w:val="en-US" w:eastAsia="zh-CN"/>
                    </w:rPr>
                    <w:t>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lang w:val="en-US" w:eastAsia="zh-CN"/>
                    </w:rPr>
                    <w:t>，建筑面积为</w:t>
                  </w:r>
                  <w:r>
                    <w:rPr>
                      <w:rFonts w:hint="default" w:ascii="Times New Roman" w:hAnsi="Times New Roman" w:cs="Times New Roman"/>
                      <w:b w:val="0"/>
                      <w:bCs w:val="0"/>
                      <w:color w:val="auto"/>
                      <w:sz w:val="21"/>
                      <w:szCs w:val="21"/>
                      <w:highlight w:val="none"/>
                      <w:lang w:val="en-US" w:eastAsia="zh-CN"/>
                    </w:rPr>
                    <w:t>980m</w:t>
                  </w:r>
                  <w:r>
                    <w:rPr>
                      <w:rFonts w:hint="default" w:ascii="Times New Roman" w:hAnsi="Times New Roman" w:cs="Times New Roman"/>
                      <w:b w:val="0"/>
                      <w:bCs w:val="0"/>
                      <w:color w:val="auto"/>
                      <w:sz w:val="21"/>
                      <w:szCs w:val="21"/>
                      <w:highlight w:val="none"/>
                      <w:vertAlign w:val="superscript"/>
                      <w:lang w:val="en-US" w:eastAsia="zh-CN"/>
                    </w:rPr>
                    <w:t>2</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adjustRightInd/>
                    <w:snapToGrid/>
                    <w:spacing w:before="0" w:line="240" w:lineRule="auto"/>
                    <w:ind w:firstLine="0" w:firstLineChars="0"/>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cs="Times New Roman"/>
                      <w:snapToGrid w:val="0"/>
                      <w:color w:val="auto"/>
                      <w:sz w:val="21"/>
                      <w:szCs w:val="21"/>
                      <w:lang w:val="en-US" w:eastAsia="zh-CN"/>
                    </w:rPr>
                    <w:t>分析化验室</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1座，钢筋混凝土结构，1F，占地面积</w:t>
                  </w:r>
                  <w:r>
                    <w:rPr>
                      <w:rFonts w:hint="eastAsia" w:cs="Times New Roman"/>
                      <w:b w:val="0"/>
                      <w:bCs w:val="0"/>
                      <w:color w:val="auto"/>
                      <w:sz w:val="21"/>
                      <w:szCs w:val="21"/>
                      <w:lang w:val="en-US" w:eastAsia="zh-CN"/>
                    </w:rPr>
                    <w:t>9</w:t>
                  </w:r>
                  <w:r>
                    <w:rPr>
                      <w:rFonts w:hint="default" w:ascii="Times New Roman" w:hAnsi="Times New Roman" w:cs="Times New Roman"/>
                      <w:b w:val="0"/>
                      <w:bCs w:val="0"/>
                      <w:color w:val="auto"/>
                      <w:sz w:val="21"/>
                      <w:szCs w:val="21"/>
                      <w:lang w:val="en-US" w:eastAsia="zh-CN"/>
                    </w:rPr>
                    <w:t>0</w:t>
                  </w:r>
                  <w:r>
                    <w:rPr>
                      <w:rFonts w:hint="default" w:ascii="Times New Roman" w:hAnsi="Times New Roman" w:cs="Times New Roman"/>
                      <w:b w:val="0"/>
                      <w:bCs w:val="0"/>
                      <w:color w:val="auto"/>
                      <w:sz w:val="21"/>
                      <w:szCs w:val="21"/>
                      <w:highlight w:val="none"/>
                      <w:lang w:val="en-US" w:eastAsia="zh-CN"/>
                    </w:rPr>
                    <w:t>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lang w:val="en-US" w:eastAsia="zh-CN"/>
                    </w:rPr>
                    <w:t>，建筑面积为</w:t>
                  </w:r>
                  <w:r>
                    <w:rPr>
                      <w:rFonts w:hint="eastAsia" w:cs="Times New Roman"/>
                      <w:b w:val="0"/>
                      <w:bCs w:val="0"/>
                      <w:color w:val="auto"/>
                      <w:sz w:val="21"/>
                      <w:szCs w:val="21"/>
                      <w:highlight w:val="none"/>
                      <w:lang w:val="en-US" w:eastAsia="zh-CN"/>
                    </w:rPr>
                    <w:t>9</w:t>
                  </w:r>
                  <w:r>
                    <w:rPr>
                      <w:rFonts w:hint="default" w:ascii="Times New Roman" w:hAnsi="Times New Roman" w:cs="Times New Roman"/>
                      <w:b w:val="0"/>
                      <w:bCs w:val="0"/>
                      <w:color w:val="auto"/>
                      <w:sz w:val="21"/>
                      <w:szCs w:val="21"/>
                      <w:highlight w:val="none"/>
                      <w:lang w:val="en-US" w:eastAsia="zh-CN"/>
                    </w:rPr>
                    <w:t>0m</w:t>
                  </w:r>
                  <w:r>
                    <w:rPr>
                      <w:rFonts w:hint="default" w:ascii="Times New Roman" w:hAnsi="Times New Roman" w:cs="Times New Roman"/>
                      <w:b w:val="0"/>
                      <w:bCs w:val="0"/>
                      <w:color w:val="auto"/>
                      <w:sz w:val="21"/>
                      <w:szCs w:val="21"/>
                      <w:highlight w:val="none"/>
                      <w:vertAlign w:val="superscript"/>
                      <w:lang w:val="en-US" w:eastAsia="zh-CN"/>
                    </w:rPr>
                    <w:t>2</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adjustRightInd/>
                    <w:snapToGrid/>
                    <w:spacing w:before="0" w:line="240" w:lineRule="auto"/>
                    <w:ind w:firstLine="0" w:firstLineChars="0"/>
                    <w:jc w:val="center"/>
                    <w:rPr>
                      <w:rFonts w:hint="default" w:ascii="Times New Roman" w:hAnsi="Times New Roman" w:cs="Times New Roman"/>
                      <w:snapToGrid w:val="0"/>
                      <w:color w:val="auto"/>
                      <w:sz w:val="21"/>
                      <w:szCs w:val="21"/>
                      <w:lang w:val="en-US" w:eastAsia="zh-CN"/>
                    </w:rPr>
                  </w:pPr>
                  <w:r>
                    <w:rPr>
                      <w:rFonts w:hint="default" w:ascii="Times New Roman" w:hAnsi="Times New Roman" w:cs="Times New Roman"/>
                      <w:snapToGrid w:val="0"/>
                      <w:color w:val="auto"/>
                      <w:sz w:val="21"/>
                      <w:szCs w:val="21"/>
                      <w:lang w:val="en-US" w:eastAsia="zh-CN"/>
                    </w:rPr>
                    <w:t>危废库</w:t>
                  </w:r>
                </w:p>
              </w:tc>
              <w:tc>
                <w:tcPr>
                  <w:tcW w:w="5555"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1座，钢筋混凝土结构，1F，占地面积80</w:t>
                  </w:r>
                  <w:r>
                    <w:rPr>
                      <w:rFonts w:hint="default" w:ascii="Times New Roman" w:hAnsi="Times New Roman" w:cs="Times New Roman"/>
                      <w:b w:val="0"/>
                      <w:bCs w:val="0"/>
                      <w:color w:val="auto"/>
                      <w:sz w:val="21"/>
                      <w:szCs w:val="21"/>
                      <w:highlight w:val="none"/>
                      <w:lang w:val="en-US" w:eastAsia="zh-CN"/>
                    </w:rPr>
                    <w:t>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lang w:val="en-US" w:eastAsia="zh-CN"/>
                    </w:rPr>
                    <w:t>，建筑面积为</w:t>
                  </w:r>
                  <w:r>
                    <w:rPr>
                      <w:rFonts w:hint="default" w:ascii="Times New Roman" w:hAnsi="Times New Roman" w:cs="Times New Roman"/>
                      <w:b w:val="0"/>
                      <w:bCs w:val="0"/>
                      <w:color w:val="auto"/>
                      <w:sz w:val="21"/>
                      <w:szCs w:val="21"/>
                      <w:highlight w:val="none"/>
                      <w:lang w:val="en-US" w:eastAsia="zh-CN"/>
                    </w:rPr>
                    <w:t>80m</w:t>
                  </w:r>
                  <w:r>
                    <w:rPr>
                      <w:rFonts w:hint="default" w:ascii="Times New Roman" w:hAnsi="Times New Roman" w:cs="Times New Roman"/>
                      <w:b w:val="0"/>
                      <w:bCs w:val="0"/>
                      <w:color w:val="auto"/>
                      <w:sz w:val="21"/>
                      <w:szCs w:val="21"/>
                      <w:highlight w:val="none"/>
                      <w:vertAlign w:val="superscript"/>
                      <w:lang w:val="en-US" w:eastAsia="zh-CN"/>
                    </w:rPr>
                    <w:t>2</w:t>
                  </w:r>
                </w:p>
              </w:tc>
              <w:tc>
                <w:tcPr>
                  <w:tcW w:w="1263"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widowControl/>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消防水罐区</w:t>
                  </w:r>
                </w:p>
              </w:tc>
              <w:tc>
                <w:tcPr>
                  <w:tcW w:w="5555"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eastAsia="zh-CN"/>
                    </w:rPr>
                    <w:t>占地面积</w:t>
                  </w:r>
                  <w:r>
                    <w:rPr>
                      <w:rFonts w:hint="default" w:ascii="Times New Roman" w:hAnsi="Times New Roman" w:cs="Times New Roman"/>
                      <w:b w:val="0"/>
                      <w:bCs w:val="0"/>
                      <w:color w:val="auto"/>
                      <w:sz w:val="21"/>
                      <w:szCs w:val="21"/>
                      <w:lang w:val="en-US" w:eastAsia="zh-CN"/>
                    </w:rPr>
                    <w:t>307.72m</w:t>
                  </w:r>
                  <w:r>
                    <w:rPr>
                      <w:rFonts w:hint="default" w:ascii="Times New Roman" w:hAnsi="Times New Roman" w:cs="Times New Roman"/>
                      <w:b w:val="0"/>
                      <w:bCs w:val="0"/>
                      <w:color w:val="auto"/>
                      <w:sz w:val="21"/>
                      <w:szCs w:val="21"/>
                      <w:vertAlign w:val="superscript"/>
                      <w:lang w:val="en-US" w:eastAsia="zh-CN"/>
                    </w:rPr>
                    <w:t>2</w:t>
                  </w:r>
                  <w:r>
                    <w:rPr>
                      <w:rFonts w:hint="default" w:ascii="Times New Roman" w:hAnsi="Times New Roman" w:cs="Times New Roman"/>
                      <w:b w:val="0"/>
                      <w:bCs w:val="0"/>
                      <w:color w:val="auto"/>
                      <w:sz w:val="21"/>
                      <w:szCs w:val="21"/>
                      <w:vertAlign w:val="baseline"/>
                      <w:lang w:val="en-US" w:eastAsia="zh-CN"/>
                    </w:rPr>
                    <w:t>；</w:t>
                  </w:r>
                  <w:r>
                    <w:rPr>
                      <w:rFonts w:hint="default" w:ascii="Times New Roman" w:hAnsi="Times New Roman" w:cs="Times New Roman"/>
                      <w:b w:val="0"/>
                      <w:bCs w:val="0"/>
                      <w:color w:val="auto"/>
                      <w:sz w:val="21"/>
                      <w:szCs w:val="21"/>
                      <w:lang w:val="en-US" w:eastAsia="zh-CN"/>
                    </w:rPr>
                    <w:t>包括2个</w:t>
                  </w:r>
                  <w:r>
                    <w:rPr>
                      <w:rFonts w:hint="default" w:ascii="Times New Roman" w:hAnsi="Times New Roman" w:cs="Times New Roman"/>
                      <w:i w:val="0"/>
                      <w:iCs w:val="0"/>
                      <w:color w:val="auto"/>
                      <w:sz w:val="21"/>
                      <w:szCs w:val="21"/>
                      <w:highlight w:val="none"/>
                      <w:u w:val="none"/>
                      <w:lang w:val="en-US" w:eastAsia="zh-CN"/>
                    </w:rPr>
                    <w:t>2</w:t>
                  </w:r>
                  <w:r>
                    <w:rPr>
                      <w:rFonts w:hint="default" w:ascii="Times New Roman" w:hAnsi="Times New Roman" w:cs="Times New Roman"/>
                      <w:i w:val="0"/>
                      <w:iCs w:val="0"/>
                      <w:color w:val="auto"/>
                      <w:sz w:val="21"/>
                      <w:szCs w:val="21"/>
                      <w:highlight w:val="none"/>
                      <w:u w:val="none"/>
                      <w:lang w:eastAsia="zh-CN"/>
                    </w:rPr>
                    <w:t>000m</w:t>
                  </w:r>
                  <w:r>
                    <w:rPr>
                      <w:rFonts w:hint="default" w:ascii="Times New Roman" w:hAnsi="Times New Roman" w:cs="Times New Roman"/>
                      <w:i w:val="0"/>
                      <w:iCs w:val="0"/>
                      <w:color w:val="auto"/>
                      <w:sz w:val="21"/>
                      <w:szCs w:val="21"/>
                      <w:highlight w:val="none"/>
                      <w:u w:val="none"/>
                      <w:vertAlign w:val="superscript"/>
                      <w:lang w:eastAsia="zh-CN"/>
                    </w:rPr>
                    <w:t>3</w:t>
                  </w:r>
                  <w:r>
                    <w:rPr>
                      <w:rFonts w:hint="default" w:ascii="Times New Roman" w:hAnsi="Times New Roman" w:cs="Times New Roman"/>
                      <w:b w:val="0"/>
                      <w:bCs w:val="0"/>
                      <w:color w:val="auto"/>
                      <w:sz w:val="21"/>
                      <w:szCs w:val="21"/>
                      <w:lang w:eastAsia="zh-CN"/>
                    </w:rPr>
                    <w:t>消防水储罐</w:t>
                  </w:r>
                </w:p>
              </w:tc>
              <w:tc>
                <w:tcPr>
                  <w:tcW w:w="1263"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restart"/>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公用工程</w:t>
                  </w:r>
                </w:p>
              </w:tc>
              <w:tc>
                <w:tcPr>
                  <w:tcW w:w="960"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供电系统</w:t>
                  </w:r>
                </w:p>
              </w:tc>
              <w:tc>
                <w:tcPr>
                  <w:tcW w:w="5555"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由</w:t>
                  </w:r>
                  <w:r>
                    <w:rPr>
                      <w:rFonts w:hint="default" w:ascii="Times New Roman" w:hAnsi="Times New Roman" w:cs="Times New Roman"/>
                      <w:b w:val="0"/>
                      <w:bCs w:val="0"/>
                      <w:color w:val="auto"/>
                      <w:sz w:val="21"/>
                      <w:szCs w:val="21"/>
                      <w:lang w:eastAsia="zh-CN"/>
                    </w:rPr>
                    <w:t>当地电网</w:t>
                  </w:r>
                  <w:r>
                    <w:rPr>
                      <w:rFonts w:hint="default" w:ascii="Times New Roman" w:hAnsi="Times New Roman" w:cs="Times New Roman"/>
                      <w:b w:val="0"/>
                      <w:bCs w:val="0"/>
                      <w:color w:val="auto"/>
                      <w:sz w:val="21"/>
                      <w:szCs w:val="21"/>
                    </w:rPr>
                    <w:t>统一供给</w:t>
                  </w:r>
                </w:p>
              </w:tc>
              <w:tc>
                <w:tcPr>
                  <w:tcW w:w="1263"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供水系统</w:t>
                  </w:r>
                </w:p>
              </w:tc>
              <w:tc>
                <w:tcPr>
                  <w:tcW w:w="5555"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eastAsia="zh-CN"/>
                    </w:rPr>
                    <w:t>由当地自来水管网统一供给</w:t>
                  </w:r>
                </w:p>
              </w:tc>
              <w:tc>
                <w:tcPr>
                  <w:tcW w:w="1263"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燃气</w:t>
                  </w:r>
                </w:p>
              </w:tc>
              <w:tc>
                <w:tcPr>
                  <w:tcW w:w="5555"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由当地燃气管线接入</w:t>
                  </w:r>
                </w:p>
              </w:tc>
              <w:tc>
                <w:tcPr>
                  <w:tcW w:w="1263"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排水系统</w:t>
                  </w:r>
                </w:p>
              </w:tc>
              <w:tc>
                <w:tcPr>
                  <w:tcW w:w="5555"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清净雨水经雨水沟渠汇集后排入市政雨水管网。项目生活污水经化粪池收集后定期清运；</w:t>
                  </w:r>
                  <w:r>
                    <w:rPr>
                      <w:rFonts w:hint="default" w:ascii="Times New Roman" w:hAnsi="Times New Roman" w:eastAsia="宋体" w:cs="Times New Roman"/>
                      <w:b w:val="0"/>
                      <w:bCs w:val="0"/>
                      <w:color w:val="auto"/>
                      <w:sz w:val="21"/>
                      <w:szCs w:val="21"/>
                      <w:lang w:val="zh-CN" w:eastAsia="zh-CN"/>
                    </w:rPr>
                    <w:t>蒸汽锅炉排污水、软水制备排污水</w:t>
                  </w:r>
                  <w:r>
                    <w:rPr>
                      <w:rFonts w:hint="default" w:ascii="Times New Roman" w:hAnsi="Times New Roman" w:eastAsia="宋体" w:cs="Times New Roman"/>
                      <w:b w:val="0"/>
                      <w:bCs w:val="0"/>
                      <w:color w:val="auto"/>
                      <w:sz w:val="21"/>
                      <w:szCs w:val="21"/>
                      <w:lang w:val="en-US" w:eastAsia="zh-CN"/>
                    </w:rPr>
                    <w:t>、含油污水（</w:t>
                  </w:r>
                  <w:r>
                    <w:rPr>
                      <w:rFonts w:hint="default" w:ascii="Times New Roman" w:hAnsi="Times New Roman" w:eastAsia="宋体" w:cs="Times New Roman"/>
                      <w:b w:val="0"/>
                      <w:bCs w:val="0"/>
                      <w:color w:val="auto"/>
                      <w:sz w:val="21"/>
                      <w:szCs w:val="21"/>
                      <w:lang w:val="zh-CN" w:eastAsia="zh-CN"/>
                    </w:rPr>
                    <w:t>罐区及装卸车区地面清洗废水</w:t>
                  </w:r>
                  <w:r>
                    <w:rPr>
                      <w:rFonts w:hint="default" w:ascii="Times New Roman" w:hAnsi="Times New Roman" w:eastAsia="宋体" w:cs="Times New Roman"/>
                      <w:b w:val="0"/>
                      <w:bCs w:val="0"/>
                      <w:color w:val="auto"/>
                      <w:sz w:val="21"/>
                      <w:szCs w:val="21"/>
                      <w:lang w:val="en-US" w:eastAsia="zh-CN"/>
                    </w:rPr>
                    <w:t>、储罐冲洗废水、初期雨水）进入厂区污水处理站处理达标后回用。</w:t>
                  </w:r>
                </w:p>
              </w:tc>
              <w:tc>
                <w:tcPr>
                  <w:tcW w:w="1263"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供暖系统</w:t>
                  </w:r>
                </w:p>
              </w:tc>
              <w:tc>
                <w:tcPr>
                  <w:tcW w:w="5555"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eastAsia="zh-CN"/>
                    </w:rPr>
                    <w:t>冬季</w:t>
                  </w:r>
                  <w:r>
                    <w:rPr>
                      <w:rFonts w:hint="default" w:ascii="Times New Roman" w:hAnsi="Times New Roman" w:cs="Times New Roman"/>
                      <w:b w:val="0"/>
                      <w:bCs w:val="0"/>
                      <w:color w:val="auto"/>
                      <w:sz w:val="21"/>
                      <w:szCs w:val="21"/>
                    </w:rPr>
                    <w:t>采用空调</w:t>
                  </w:r>
                  <w:r>
                    <w:rPr>
                      <w:rFonts w:hint="default" w:ascii="Times New Roman" w:hAnsi="Times New Roman" w:cs="Times New Roman"/>
                      <w:b w:val="0"/>
                      <w:bCs w:val="0"/>
                      <w:color w:val="auto"/>
                      <w:sz w:val="21"/>
                      <w:szCs w:val="21"/>
                      <w:lang w:eastAsia="zh-CN"/>
                    </w:rPr>
                    <w:t>供暖</w:t>
                  </w:r>
                </w:p>
              </w:tc>
              <w:tc>
                <w:tcPr>
                  <w:tcW w:w="1263"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restart"/>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环保工程</w:t>
                  </w:r>
                </w:p>
              </w:tc>
              <w:tc>
                <w:tcPr>
                  <w:tcW w:w="960" w:type="dxa"/>
                  <w:tcBorders>
                    <w:tl2br w:val="nil"/>
                    <w:tr2bl w:val="nil"/>
                  </w:tcBorders>
                  <w:noWrap w:val="0"/>
                  <w:tcMar>
                    <w:top w:w="0" w:type="dxa"/>
                    <w:left w:w="11" w:type="dxa"/>
                    <w:bottom w:w="0" w:type="dxa"/>
                    <w:right w:w="11" w:type="dxa"/>
                  </w:tcMar>
                  <w:vAlign w:val="center"/>
                </w:tcPr>
                <w:p>
                  <w:pPr>
                    <w:adjustRightInd w:val="0"/>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eastAsia="zh-CN"/>
                    </w:rPr>
                    <w:t>废水</w:t>
                  </w:r>
                </w:p>
              </w:tc>
              <w:tc>
                <w:tcPr>
                  <w:tcW w:w="5555"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项目生活污水经化粪池收集后定期清运；</w:t>
                  </w:r>
                  <w:r>
                    <w:rPr>
                      <w:rFonts w:hint="default" w:ascii="Times New Roman" w:hAnsi="Times New Roman" w:eastAsia="宋体" w:cs="Times New Roman"/>
                      <w:b w:val="0"/>
                      <w:bCs w:val="0"/>
                      <w:color w:val="auto"/>
                      <w:sz w:val="21"/>
                      <w:szCs w:val="21"/>
                      <w:lang w:val="zh-CN" w:eastAsia="zh-CN"/>
                    </w:rPr>
                    <w:t>蒸汽锅炉排污水、软水制备排污水</w:t>
                  </w:r>
                  <w:r>
                    <w:rPr>
                      <w:rFonts w:hint="default" w:ascii="Times New Roman" w:hAnsi="Times New Roman" w:eastAsia="宋体" w:cs="Times New Roman"/>
                      <w:b w:val="0"/>
                      <w:bCs w:val="0"/>
                      <w:color w:val="auto"/>
                      <w:sz w:val="21"/>
                      <w:szCs w:val="21"/>
                      <w:lang w:val="en-US" w:eastAsia="zh-CN"/>
                    </w:rPr>
                    <w:t>、含油污水（</w:t>
                  </w:r>
                  <w:r>
                    <w:rPr>
                      <w:rFonts w:hint="default" w:ascii="Times New Roman" w:hAnsi="Times New Roman" w:eastAsia="宋体" w:cs="Times New Roman"/>
                      <w:b w:val="0"/>
                      <w:bCs w:val="0"/>
                      <w:color w:val="auto"/>
                      <w:sz w:val="21"/>
                      <w:szCs w:val="21"/>
                      <w:lang w:val="zh-CN" w:eastAsia="zh-CN"/>
                    </w:rPr>
                    <w:t>罐区及装卸车区地面清洗废水</w:t>
                  </w:r>
                  <w:r>
                    <w:rPr>
                      <w:rFonts w:hint="default" w:ascii="Times New Roman" w:hAnsi="Times New Roman" w:eastAsia="宋体" w:cs="Times New Roman"/>
                      <w:b w:val="0"/>
                      <w:bCs w:val="0"/>
                      <w:color w:val="auto"/>
                      <w:sz w:val="21"/>
                      <w:szCs w:val="21"/>
                      <w:lang w:val="en-US" w:eastAsia="zh-CN"/>
                    </w:rPr>
                    <w:t>、储罐冲洗废水、初期雨水）进入厂区污水处理站处理达标后回用。</w:t>
                  </w:r>
                </w:p>
              </w:tc>
              <w:tc>
                <w:tcPr>
                  <w:tcW w:w="1263"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废气</w:t>
                  </w:r>
                </w:p>
              </w:tc>
              <w:tc>
                <w:tcPr>
                  <w:tcW w:w="5555" w:type="dxa"/>
                  <w:tcBorders>
                    <w:tl2br w:val="nil"/>
                    <w:tr2bl w:val="nil"/>
                  </w:tcBorders>
                  <w:noWrap w:val="0"/>
                  <w:tcMar>
                    <w:top w:w="0" w:type="dxa"/>
                    <w:left w:w="11" w:type="dxa"/>
                    <w:bottom w:w="0" w:type="dxa"/>
                    <w:right w:w="11" w:type="dxa"/>
                  </w:tcMar>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柴油、汽油、石脑油储罐及装车废气：油气回收装置+RTO废气处理装置</w:t>
                  </w:r>
                  <w:r>
                    <w:rPr>
                      <w:rFonts w:hint="default" w:ascii="Times New Roman" w:hAnsi="Times New Roman" w:cs="Times New Roman"/>
                      <w:color w:val="auto"/>
                      <w:sz w:val="21"/>
                      <w:szCs w:val="21"/>
                      <w:lang w:val="en-US" w:eastAsia="zh-CN"/>
                    </w:rPr>
                    <w:t>+</w:t>
                  </w:r>
                  <w:r>
                    <w:rPr>
                      <w:rFonts w:hint="default" w:ascii="Times New Roman" w:hAnsi="Times New Roman" w:cs="Times New Roman"/>
                      <w:b w:val="0"/>
                      <w:bCs w:val="0"/>
                      <w:color w:val="auto"/>
                      <w:sz w:val="21"/>
                      <w:szCs w:val="21"/>
                      <w:lang w:eastAsia="zh-CN"/>
                    </w:rPr>
                    <w:t>15m</w:t>
                  </w:r>
                  <w:r>
                    <w:rPr>
                      <w:rFonts w:hint="default" w:ascii="Times New Roman" w:hAnsi="Times New Roman" w:cs="Times New Roman"/>
                      <w:b w:val="0"/>
                      <w:bCs w:val="0"/>
                      <w:color w:val="auto"/>
                      <w:sz w:val="21"/>
                      <w:szCs w:val="21"/>
                    </w:rPr>
                    <w:t>排气筒</w:t>
                  </w:r>
                  <w:r>
                    <w:rPr>
                      <w:rFonts w:hint="default" w:ascii="Times New Roman" w:hAnsi="Times New Roman" w:cs="Times New Roman"/>
                      <w:b w:val="0"/>
                      <w:bCs w:val="0"/>
                      <w:color w:val="auto"/>
                      <w:sz w:val="21"/>
                      <w:szCs w:val="21"/>
                      <w:lang w:eastAsia="zh-CN"/>
                    </w:rPr>
                    <w:t>（</w:t>
                  </w:r>
                  <w:r>
                    <w:rPr>
                      <w:rFonts w:hint="default" w:ascii="Times New Roman" w:hAnsi="Times New Roman" w:cs="Times New Roman"/>
                      <w:b w:val="0"/>
                      <w:bCs w:val="0"/>
                      <w:color w:val="auto"/>
                      <w:sz w:val="21"/>
                      <w:szCs w:val="21"/>
                      <w:lang w:val="en-US" w:eastAsia="zh-CN"/>
                    </w:rPr>
                    <w:t>DA001</w:t>
                  </w:r>
                  <w:r>
                    <w:rPr>
                      <w:rFonts w:hint="default" w:ascii="Times New Roman" w:hAnsi="Times New Roman" w:cs="Times New Roman"/>
                      <w:b w:val="0"/>
                      <w:bCs w:val="0"/>
                      <w:color w:val="auto"/>
                      <w:sz w:val="21"/>
                      <w:szCs w:val="21"/>
                      <w:lang w:eastAsia="zh-CN"/>
                    </w:rPr>
                    <w:t>）；</w:t>
                  </w:r>
                </w:p>
                <w:p>
                  <w:pPr>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lang w:val="en-US" w:eastAsia="zh-CN"/>
                    </w:rPr>
                    <w:t>甲醇、沥青、重油、渣油储罐</w:t>
                  </w:r>
                  <w:r>
                    <w:rPr>
                      <w:rFonts w:hint="default" w:ascii="Times New Roman" w:hAnsi="Times New Roman" w:eastAsia="宋体" w:cs="Times New Roman"/>
                      <w:b w:val="0"/>
                      <w:bCs w:val="0"/>
                      <w:color w:val="auto"/>
                      <w:sz w:val="21"/>
                      <w:szCs w:val="21"/>
                      <w:lang w:val="en-US" w:eastAsia="zh-CN"/>
                    </w:rPr>
                    <w:t>及装载废气：RTO废气处理装置</w:t>
                  </w:r>
                  <w:r>
                    <w:rPr>
                      <w:rFonts w:hint="default" w:ascii="Times New Roman" w:hAnsi="Times New Roman"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lang w:val="en-US" w:eastAsia="zh-CN"/>
                    </w:rPr>
                    <w:t>15m排气筒（DA001）；</w:t>
                  </w:r>
                </w:p>
                <w:p>
                  <w:pPr>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沥青存储及装卸车沥青烟：RTO废气处理装置+15m排气筒（DA001）；</w:t>
                  </w:r>
                </w:p>
                <w:p>
                  <w:pPr>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RTO助燃废气：低氮燃烧器+15m排气筒（DA001）；</w:t>
                  </w:r>
                </w:p>
                <w:p>
                  <w:pPr>
                    <w:adjustRightInd w:val="0"/>
                    <w:snapToGrid w:val="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导热油锅炉</w:t>
                  </w:r>
                  <w:r>
                    <w:rPr>
                      <w:rFonts w:hint="default" w:ascii="Times New Roman" w:hAnsi="Times New Roman" w:eastAsia="宋体" w:cs="Times New Roman"/>
                      <w:b w:val="0"/>
                      <w:bCs w:val="0"/>
                      <w:color w:val="auto"/>
                      <w:sz w:val="21"/>
                      <w:szCs w:val="21"/>
                      <w:lang w:val="en-US" w:eastAsia="zh-CN"/>
                    </w:rPr>
                    <w:t>天然气燃烧废气：低氮燃烧器+15m排气筒（DA002）</w:t>
                  </w:r>
                  <w:r>
                    <w:rPr>
                      <w:rFonts w:hint="default" w:ascii="Times New Roman" w:hAnsi="Times New Roman" w:cs="Times New Roman"/>
                      <w:b w:val="0"/>
                      <w:bCs w:val="0"/>
                      <w:color w:val="auto"/>
                      <w:sz w:val="21"/>
                      <w:szCs w:val="21"/>
                      <w:lang w:val="en-US" w:eastAsia="zh-CN"/>
                    </w:rPr>
                    <w:t>；</w:t>
                  </w:r>
                </w:p>
                <w:p>
                  <w:pPr>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蒸汽锅炉</w:t>
                  </w:r>
                  <w:r>
                    <w:rPr>
                      <w:rFonts w:hint="default" w:ascii="Times New Roman" w:hAnsi="Times New Roman" w:eastAsia="宋体" w:cs="Times New Roman"/>
                      <w:b w:val="0"/>
                      <w:bCs w:val="0"/>
                      <w:color w:val="auto"/>
                      <w:sz w:val="21"/>
                      <w:szCs w:val="21"/>
                      <w:lang w:val="en-US" w:eastAsia="zh-CN"/>
                    </w:rPr>
                    <w:t>天然气燃烧废气：低氮燃烧器+15m排气筒（DA003）；</w:t>
                  </w:r>
                </w:p>
                <w:p>
                  <w:pPr>
                    <w:adjustRightInd w:val="0"/>
                    <w:snapToGrid w:val="0"/>
                    <w:jc w:val="center"/>
                    <w:rPr>
                      <w:rFonts w:hint="default" w:ascii="Times New Roman" w:hAnsi="Times New Roman"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污水处理站恶臭气体：生物滤塔+15m排气筒（DA004）。</w:t>
                  </w:r>
                </w:p>
              </w:tc>
              <w:tc>
                <w:tcPr>
                  <w:tcW w:w="1263" w:type="dxa"/>
                  <w:tcBorders>
                    <w:tl2br w:val="nil"/>
                    <w:tr2bl w:val="nil"/>
                  </w:tcBorders>
                  <w:noWrap w:val="0"/>
                  <w:tcMar>
                    <w:top w:w="0" w:type="dxa"/>
                    <w:left w:w="11" w:type="dxa"/>
                    <w:bottom w:w="0" w:type="dxa"/>
                    <w:right w:w="11" w:type="dxa"/>
                  </w:tcMar>
                  <w:vAlign w:val="center"/>
                </w:tcPr>
                <w:p>
                  <w:pPr>
                    <w:adjustRightInd w:val="0"/>
                    <w:snapToGrid w:val="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adjustRightInd w:val="0"/>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eastAsia="zh-CN"/>
                    </w:rPr>
                    <w:t>噪声</w:t>
                  </w:r>
                </w:p>
              </w:tc>
              <w:tc>
                <w:tcPr>
                  <w:tcW w:w="5555" w:type="dxa"/>
                  <w:tcBorders>
                    <w:tl2br w:val="nil"/>
                    <w:tr2bl w:val="nil"/>
                  </w:tcBorders>
                  <w:noWrap w:val="0"/>
                  <w:tcMar>
                    <w:top w:w="0" w:type="dxa"/>
                    <w:left w:w="11" w:type="dxa"/>
                    <w:bottom w:w="0" w:type="dxa"/>
                    <w:right w:w="11" w:type="dxa"/>
                  </w:tcMar>
                  <w:vAlign w:val="center"/>
                </w:tcPr>
                <w:p>
                  <w:pPr>
                    <w:adjustRightInd w:val="0"/>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eastAsia="zh-CN"/>
                    </w:rPr>
                    <w:t>设备减振、消声</w:t>
                  </w:r>
                  <w:r>
                    <w:rPr>
                      <w:rFonts w:hint="default" w:ascii="Times New Roman" w:hAnsi="Times New Roman" w:cs="Times New Roman"/>
                      <w:b w:val="0"/>
                      <w:bCs w:val="0"/>
                      <w:color w:val="auto"/>
                      <w:sz w:val="21"/>
                      <w:szCs w:val="21"/>
                    </w:rPr>
                    <w:t>、距离衰减</w:t>
                  </w:r>
                </w:p>
              </w:tc>
              <w:tc>
                <w:tcPr>
                  <w:tcW w:w="1263" w:type="dxa"/>
                  <w:tcBorders>
                    <w:tl2br w:val="nil"/>
                    <w:tr2bl w:val="nil"/>
                  </w:tcBorders>
                  <w:noWrap w:val="0"/>
                  <w:tcMar>
                    <w:top w:w="0" w:type="dxa"/>
                    <w:left w:w="11" w:type="dxa"/>
                    <w:bottom w:w="0" w:type="dxa"/>
                    <w:right w:w="11" w:type="dxa"/>
                  </w:tcMar>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jc w:val="center"/>
                    <w:textAlignment w:val="auto"/>
                    <w:rPr>
                      <w:rFonts w:hint="default" w:ascii="Times New Roman" w:hAnsi="Times New Roman" w:cs="Times New Roman"/>
                      <w:b w:val="0"/>
                      <w:bCs w:val="0"/>
                      <w:color w:val="auto"/>
                      <w:sz w:val="21"/>
                      <w:szCs w:val="21"/>
                      <w:lang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trPr>
              <w:tc>
                <w:tcPr>
                  <w:tcW w:w="565" w:type="dxa"/>
                  <w:vMerge w:val="continue"/>
                  <w:tcBorders>
                    <w:tl2br w:val="nil"/>
                    <w:tr2bl w:val="nil"/>
                  </w:tcBorders>
                  <w:noWrap w:val="0"/>
                  <w:tcMar>
                    <w:top w:w="0" w:type="dxa"/>
                    <w:left w:w="11" w:type="dxa"/>
                    <w:bottom w:w="0" w:type="dxa"/>
                    <w:right w:w="11" w:type="dxa"/>
                  </w:tcMar>
                  <w:vAlign w:val="center"/>
                </w:tcPr>
                <w:p>
                  <w:pPr>
                    <w:spacing w:line="300" w:lineRule="exact"/>
                    <w:jc w:val="center"/>
                    <w:rPr>
                      <w:rFonts w:hint="default" w:ascii="Times New Roman" w:hAnsi="Times New Roman" w:cs="Times New Roman"/>
                      <w:b w:val="0"/>
                      <w:bCs w:val="0"/>
                      <w:color w:val="auto"/>
                      <w:sz w:val="21"/>
                      <w:szCs w:val="21"/>
                    </w:rPr>
                  </w:pPr>
                </w:p>
              </w:tc>
              <w:tc>
                <w:tcPr>
                  <w:tcW w:w="960" w:type="dxa"/>
                  <w:tcBorders>
                    <w:tl2br w:val="nil"/>
                    <w:tr2bl w:val="nil"/>
                  </w:tcBorders>
                  <w:noWrap w:val="0"/>
                  <w:tcMar>
                    <w:top w:w="0" w:type="dxa"/>
                    <w:left w:w="11" w:type="dxa"/>
                    <w:bottom w:w="0" w:type="dxa"/>
                    <w:right w:w="11" w:type="dxa"/>
                  </w:tcMar>
                  <w:vAlign w:val="center"/>
                </w:tcPr>
                <w:p>
                  <w:pPr>
                    <w:adjustRightInd w:val="0"/>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eastAsia="zh-CN"/>
                    </w:rPr>
                    <w:t>固废</w:t>
                  </w:r>
                </w:p>
              </w:tc>
              <w:tc>
                <w:tcPr>
                  <w:tcW w:w="5555" w:type="dxa"/>
                  <w:tcBorders>
                    <w:tl2br w:val="nil"/>
                    <w:tr2bl w:val="nil"/>
                  </w:tcBorders>
                  <w:noWrap w:val="0"/>
                  <w:tcMar>
                    <w:top w:w="0" w:type="dxa"/>
                    <w:left w:w="11" w:type="dxa"/>
                    <w:bottom w:w="0" w:type="dxa"/>
                    <w:right w:w="11" w:type="dxa"/>
                  </w:tcMar>
                  <w:vAlign w:val="center"/>
                </w:tcPr>
                <w:p>
                  <w:pPr>
                    <w:adjustRightInd w:val="0"/>
                    <w:snapToGrid w:val="0"/>
                    <w:jc w:val="center"/>
                    <w:rPr>
                      <w:rFonts w:hint="default" w:ascii="Times New Roman" w:hAnsi="Times New Roman" w:cs="Times New Roman"/>
                      <w:b w:val="0"/>
                      <w:bCs w:val="0"/>
                      <w:color w:val="auto"/>
                      <w:sz w:val="21"/>
                      <w:szCs w:val="21"/>
                    </w:rPr>
                  </w:pPr>
                  <w:r>
                    <w:rPr>
                      <w:rFonts w:hint="default" w:ascii="Times New Roman" w:hAnsi="Times New Roman" w:eastAsia="宋体" w:cs="Times New Roman"/>
                      <w:color w:val="auto"/>
                      <w:sz w:val="21"/>
                      <w:szCs w:val="21"/>
                      <w:lang w:val="en-US" w:eastAsia="zh-CN"/>
                    </w:rPr>
                    <w:t>一般固废暂存区</w:t>
                  </w:r>
                  <w:r>
                    <w:rPr>
                      <w:rFonts w:hint="default" w:ascii="Times New Roman" w:hAnsi="Times New Roman" w:cs="Times New Roman"/>
                      <w:color w:val="auto"/>
                      <w:sz w:val="21"/>
                      <w:szCs w:val="21"/>
                      <w:lang w:val="en-US" w:eastAsia="zh-CN"/>
                    </w:rPr>
                    <w:t>、</w:t>
                  </w:r>
                  <w:r>
                    <w:rPr>
                      <w:rFonts w:hint="default" w:ascii="Times New Roman" w:hAnsi="Times New Roman" w:cs="Times New Roman"/>
                      <w:b w:val="0"/>
                      <w:bCs w:val="0"/>
                      <w:color w:val="auto"/>
                      <w:sz w:val="21"/>
                      <w:szCs w:val="21"/>
                      <w:lang w:eastAsia="zh-CN"/>
                    </w:rPr>
                    <w:t>危废暂存间、生活垃圾箱</w:t>
                  </w:r>
                </w:p>
              </w:tc>
              <w:tc>
                <w:tcPr>
                  <w:tcW w:w="1263" w:type="dxa"/>
                  <w:tcBorders>
                    <w:tl2br w:val="nil"/>
                    <w:tr2bl w:val="nil"/>
                  </w:tcBorders>
                  <w:noWrap w:val="0"/>
                  <w:tcMar>
                    <w:top w:w="0" w:type="dxa"/>
                    <w:left w:w="11" w:type="dxa"/>
                    <w:bottom w:w="0" w:type="dxa"/>
                    <w:right w:w="11" w:type="dxa"/>
                  </w:tcMar>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jc w:val="center"/>
                    <w:textAlignment w:val="auto"/>
                    <w:rPr>
                      <w:rFonts w:hint="default" w:ascii="Times New Roman" w:hAnsi="Times New Roman" w:cs="Times New Roman"/>
                      <w:b w:val="0"/>
                      <w:bCs w:val="0"/>
                      <w:color w:val="auto"/>
                      <w:sz w:val="21"/>
                      <w:szCs w:val="21"/>
                      <w:lang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w:t>
                  </w:r>
                </w:p>
              </w:tc>
            </w:tr>
          </w:tbl>
          <w:p>
            <w:pPr>
              <w:spacing w:line="360" w:lineRule="auto"/>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3</w:t>
            </w:r>
            <w:r>
              <w:rPr>
                <w:rFonts w:hint="default" w:ascii="Times New Roman" w:hAnsi="Times New Roman" w:eastAsia="黑体" w:cs="Times New Roman"/>
                <w:color w:val="auto"/>
                <w:sz w:val="24"/>
                <w:szCs w:val="24"/>
                <w:highlight w:val="none"/>
                <w:lang w:val="en-US" w:eastAsia="zh-CN"/>
              </w:rPr>
              <w:t>、主要设备</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表2-</w:t>
            </w:r>
            <w:r>
              <w:rPr>
                <w:rFonts w:hint="eastAsia" w:eastAsia="黑体" w:cs="Times New Roman"/>
                <w:b w:val="0"/>
                <w:bCs w:val="0"/>
                <w:color w:val="auto"/>
                <w:kern w:val="0"/>
                <w:sz w:val="24"/>
                <w:szCs w:val="24"/>
                <w:lang w:val="en-US" w:eastAsia="zh-CN"/>
              </w:rPr>
              <w:t>2</w:t>
            </w:r>
            <w:r>
              <w:rPr>
                <w:rFonts w:hint="eastAsia" w:ascii="Times New Roman" w:hAnsi="Times New Roman" w:eastAsia="黑体" w:cs="Times New Roman"/>
                <w:b w:val="0"/>
                <w:bCs w:val="0"/>
                <w:color w:val="auto"/>
                <w:kern w:val="0"/>
                <w:sz w:val="24"/>
                <w:szCs w:val="24"/>
                <w:lang w:val="en-US" w:eastAsia="zh-CN"/>
              </w:rPr>
              <w:t xml:space="preserve"> </w:t>
            </w:r>
            <w:r>
              <w:rPr>
                <w:rFonts w:hint="eastAsia" w:eastAsia="黑体" w:cs="Times New Roman"/>
                <w:b w:val="0"/>
                <w:bCs w:val="0"/>
                <w:color w:val="auto"/>
                <w:kern w:val="0"/>
                <w:sz w:val="24"/>
                <w:szCs w:val="24"/>
                <w:lang w:val="en-US" w:eastAsia="zh-CN"/>
              </w:rPr>
              <w:t>项目主要</w:t>
            </w:r>
            <w:r>
              <w:rPr>
                <w:rFonts w:hint="default" w:ascii="Times New Roman" w:hAnsi="Times New Roman" w:eastAsia="黑体" w:cs="Times New Roman"/>
                <w:b w:val="0"/>
                <w:bCs w:val="0"/>
                <w:color w:val="auto"/>
                <w:kern w:val="0"/>
                <w:sz w:val="24"/>
                <w:szCs w:val="24"/>
                <w:lang w:val="en-US" w:eastAsia="zh-CN"/>
              </w:rPr>
              <w:t>设备一览表</w:t>
            </w:r>
          </w:p>
          <w:tbl>
            <w:tblPr>
              <w:tblStyle w:val="2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28" w:type="dxa"/>
                <w:bottom w:w="0" w:type="dxa"/>
                <w:right w:w="28" w:type="dxa"/>
              </w:tblCellMar>
            </w:tblPr>
            <w:tblGrid>
              <w:gridCol w:w="613"/>
              <w:gridCol w:w="1920"/>
              <w:gridCol w:w="1449"/>
              <w:gridCol w:w="3186"/>
              <w:gridCol w:w="11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PrEx>
              <w:trPr>
                <w:trHeight w:val="340" w:hRule="atLeast"/>
                <w:jc w:val="center"/>
              </w:trPr>
              <w:tc>
                <w:tcPr>
                  <w:tcW w:w="366"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序号</w:t>
                  </w:r>
                </w:p>
              </w:tc>
              <w:tc>
                <w:tcPr>
                  <w:tcW w:w="1147"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设备名称</w:t>
                  </w:r>
                </w:p>
              </w:tc>
              <w:tc>
                <w:tcPr>
                  <w:tcW w:w="866"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kern w:val="0"/>
                      <w:sz w:val="21"/>
                      <w:szCs w:val="21"/>
                      <w:highlight w:val="none"/>
                      <w:u w:val="none"/>
                      <w:lang w:val="en-US" w:eastAsia="zh-CN" w:bidi="ar"/>
                    </w:rPr>
                    <w:t>数量</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（台/套）</w:t>
                  </w:r>
                </w:p>
              </w:tc>
              <w:tc>
                <w:tcPr>
                  <w:tcW w:w="1904"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kern w:val="0"/>
                      <w:sz w:val="21"/>
                      <w:szCs w:val="21"/>
                      <w:highlight w:val="none"/>
                      <w:u w:val="none"/>
                      <w:lang w:val="en-US" w:eastAsia="zh-CN" w:bidi="ar"/>
                    </w:rPr>
                    <w:t>规格型号</w:t>
                  </w:r>
                </w:p>
              </w:tc>
              <w:tc>
                <w:tcPr>
                  <w:tcW w:w="714"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柴油储罐</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4</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φ28×20</w:t>
                  </w:r>
                  <w:r>
                    <w:rPr>
                      <w:rFonts w:hint="default" w:ascii="Times New Roman" w:hAnsi="Times New Roman" w:cs="Times New Roman"/>
                      <w:b w:val="0"/>
                      <w:bCs w:val="0"/>
                      <w:i w:val="0"/>
                      <w:iCs w:val="0"/>
                      <w:color w:val="auto"/>
                      <w:sz w:val="21"/>
                      <w:szCs w:val="21"/>
                      <w:highlight w:val="none"/>
                      <w:u w:val="none"/>
                      <w:lang w:val="en-US" w:eastAsia="zh-CN"/>
                    </w:rPr>
                    <w:t>m</w:t>
                  </w:r>
                  <w:r>
                    <w:rPr>
                      <w:rFonts w:hint="default" w:ascii="Times New Roman" w:hAnsi="Times New Roman" w:cs="Times New Roman"/>
                      <w:b w:val="0"/>
                      <w:bCs w:val="0"/>
                      <w:i w:val="0"/>
                      <w:iCs w:val="0"/>
                      <w:color w:val="auto"/>
                      <w:sz w:val="21"/>
                      <w:szCs w:val="21"/>
                      <w:highlight w:val="none"/>
                      <w:u w:val="none"/>
                      <w:lang w:eastAsia="zh-CN"/>
                    </w:rPr>
                    <w:t>，10000m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汽油储罐</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2</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φ28×20</w:t>
                  </w:r>
                  <w:r>
                    <w:rPr>
                      <w:rFonts w:hint="default" w:ascii="Times New Roman" w:hAnsi="Times New Roman" w:cs="Times New Roman"/>
                      <w:b w:val="0"/>
                      <w:bCs w:val="0"/>
                      <w:i w:val="0"/>
                      <w:iCs w:val="0"/>
                      <w:color w:val="auto"/>
                      <w:sz w:val="21"/>
                      <w:szCs w:val="21"/>
                      <w:highlight w:val="none"/>
                      <w:u w:val="none"/>
                      <w:lang w:val="en-US" w:eastAsia="zh-CN"/>
                    </w:rPr>
                    <w:t>m</w:t>
                  </w:r>
                  <w:r>
                    <w:rPr>
                      <w:rFonts w:hint="default" w:ascii="Times New Roman" w:hAnsi="Times New Roman" w:cs="Times New Roman"/>
                      <w:b w:val="0"/>
                      <w:bCs w:val="0"/>
                      <w:i w:val="0"/>
                      <w:iCs w:val="0"/>
                      <w:color w:val="auto"/>
                      <w:sz w:val="21"/>
                      <w:szCs w:val="21"/>
                      <w:highlight w:val="none"/>
                      <w:u w:val="none"/>
                      <w:lang w:eastAsia="zh-CN"/>
                    </w:rPr>
                    <w:t>，10000m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甲醇储罐</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3</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Φ</w:t>
                  </w:r>
                  <w:r>
                    <w:rPr>
                      <w:rFonts w:hint="default" w:ascii="Times New Roman" w:hAnsi="Times New Roman" w:cs="Times New Roman"/>
                      <w:b w:val="0"/>
                      <w:bCs w:val="0"/>
                      <w:i w:val="0"/>
                      <w:iCs w:val="0"/>
                      <w:color w:val="auto"/>
                      <w:sz w:val="21"/>
                      <w:szCs w:val="21"/>
                      <w:highlight w:val="none"/>
                      <w:u w:val="none"/>
                      <w:lang w:val="en-US" w:eastAsia="zh-CN"/>
                    </w:rPr>
                    <w:t>1</w:t>
                  </w:r>
                  <w:r>
                    <w:rPr>
                      <w:rFonts w:hint="default" w:ascii="Times New Roman" w:hAnsi="Times New Roman" w:cs="Times New Roman"/>
                      <w:b w:val="0"/>
                      <w:bCs w:val="0"/>
                      <w:i w:val="0"/>
                      <w:iCs w:val="0"/>
                      <w:color w:val="auto"/>
                      <w:sz w:val="21"/>
                      <w:szCs w:val="21"/>
                      <w:highlight w:val="none"/>
                      <w:u w:val="none"/>
                      <w:lang w:eastAsia="zh-CN"/>
                    </w:rPr>
                    <w:t>8×</w:t>
                  </w:r>
                  <w:r>
                    <w:rPr>
                      <w:rFonts w:hint="default" w:ascii="Times New Roman" w:hAnsi="Times New Roman" w:cs="Times New Roman"/>
                      <w:b w:val="0"/>
                      <w:bCs w:val="0"/>
                      <w:i w:val="0"/>
                      <w:iCs w:val="0"/>
                      <w:color w:val="auto"/>
                      <w:sz w:val="21"/>
                      <w:szCs w:val="21"/>
                      <w:highlight w:val="none"/>
                      <w:u w:val="none"/>
                      <w:lang w:val="en-US" w:eastAsia="zh-CN"/>
                    </w:rPr>
                    <w:t>18m</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4</w:t>
                  </w:r>
                  <w:r>
                    <w:rPr>
                      <w:rFonts w:hint="default" w:ascii="Times New Roman" w:hAnsi="Times New Roman" w:cs="Times New Roman"/>
                      <w:b w:val="0"/>
                      <w:bCs w:val="0"/>
                      <w:i w:val="0"/>
                      <w:iCs w:val="0"/>
                      <w:color w:val="auto"/>
                      <w:sz w:val="21"/>
                      <w:szCs w:val="21"/>
                      <w:highlight w:val="none"/>
                      <w:u w:val="none"/>
                      <w:lang w:eastAsia="zh-CN"/>
                    </w:rPr>
                    <w:t>000m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eastAsia="zh-CN"/>
                    </w:rPr>
                    <w:t>汽油储罐</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sz w:val="21"/>
                      <w:szCs w:val="21"/>
                      <w:highlight w:val="none"/>
                      <w:u w:val="none"/>
                      <w:lang w:val="en-US" w:eastAsia="zh-CN"/>
                    </w:rPr>
                    <w:t>2</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Φ</w:t>
                  </w:r>
                  <w:r>
                    <w:rPr>
                      <w:rFonts w:hint="default" w:ascii="Times New Roman" w:hAnsi="Times New Roman" w:cs="Times New Roman"/>
                      <w:b w:val="0"/>
                      <w:bCs w:val="0"/>
                      <w:i w:val="0"/>
                      <w:iCs w:val="0"/>
                      <w:color w:val="auto"/>
                      <w:sz w:val="21"/>
                      <w:szCs w:val="21"/>
                      <w:highlight w:val="none"/>
                      <w:u w:val="none"/>
                      <w:lang w:val="en-US" w:eastAsia="zh-CN"/>
                    </w:rPr>
                    <w:t>1</w:t>
                  </w:r>
                  <w:r>
                    <w:rPr>
                      <w:rFonts w:hint="default" w:ascii="Times New Roman" w:hAnsi="Times New Roman" w:cs="Times New Roman"/>
                      <w:b w:val="0"/>
                      <w:bCs w:val="0"/>
                      <w:i w:val="0"/>
                      <w:iCs w:val="0"/>
                      <w:color w:val="auto"/>
                      <w:sz w:val="21"/>
                      <w:szCs w:val="21"/>
                      <w:highlight w:val="none"/>
                      <w:u w:val="none"/>
                      <w:lang w:eastAsia="zh-CN"/>
                    </w:rPr>
                    <w:t>8×</w:t>
                  </w:r>
                  <w:r>
                    <w:rPr>
                      <w:rFonts w:hint="default" w:ascii="Times New Roman" w:hAnsi="Times New Roman" w:cs="Times New Roman"/>
                      <w:b w:val="0"/>
                      <w:bCs w:val="0"/>
                      <w:i w:val="0"/>
                      <w:iCs w:val="0"/>
                      <w:color w:val="auto"/>
                      <w:sz w:val="21"/>
                      <w:szCs w:val="21"/>
                      <w:highlight w:val="none"/>
                      <w:u w:val="none"/>
                      <w:lang w:val="en-US" w:eastAsia="zh-CN"/>
                    </w:rPr>
                    <w:t>18m</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4</w:t>
                  </w:r>
                  <w:r>
                    <w:rPr>
                      <w:rFonts w:hint="default" w:ascii="Times New Roman" w:hAnsi="Times New Roman" w:cs="Times New Roman"/>
                      <w:b w:val="0"/>
                      <w:bCs w:val="0"/>
                      <w:i w:val="0"/>
                      <w:iCs w:val="0"/>
                      <w:color w:val="auto"/>
                      <w:sz w:val="21"/>
                      <w:szCs w:val="21"/>
                      <w:highlight w:val="none"/>
                      <w:u w:val="none"/>
                      <w:lang w:eastAsia="zh-CN"/>
                    </w:rPr>
                    <w:t>000m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汽油储罐</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sz w:val="21"/>
                      <w:szCs w:val="21"/>
                      <w:highlight w:val="none"/>
                      <w:u w:val="none"/>
                      <w:lang w:val="en-US" w:eastAsia="zh-CN"/>
                    </w:rPr>
                    <w:t>1</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Φ</w:t>
                  </w:r>
                  <w:r>
                    <w:rPr>
                      <w:rFonts w:hint="default" w:ascii="Times New Roman" w:hAnsi="Times New Roman" w:cs="Times New Roman"/>
                      <w:b w:val="0"/>
                      <w:bCs w:val="0"/>
                      <w:i w:val="0"/>
                      <w:iCs w:val="0"/>
                      <w:color w:val="auto"/>
                      <w:sz w:val="21"/>
                      <w:szCs w:val="21"/>
                      <w:highlight w:val="none"/>
                      <w:u w:val="none"/>
                      <w:lang w:val="en-US" w:eastAsia="zh-CN"/>
                    </w:rPr>
                    <w:t>1</w:t>
                  </w:r>
                  <w:r>
                    <w:rPr>
                      <w:rFonts w:hint="eastAsia" w:cs="Times New Roman"/>
                      <w:b w:val="0"/>
                      <w:bCs w:val="0"/>
                      <w:i w:val="0"/>
                      <w:iCs w:val="0"/>
                      <w:color w:val="auto"/>
                      <w:sz w:val="21"/>
                      <w:szCs w:val="21"/>
                      <w:highlight w:val="none"/>
                      <w:u w:val="none"/>
                      <w:lang w:val="en-US" w:eastAsia="zh-CN"/>
                    </w:rPr>
                    <w:t>4</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1</w:t>
                  </w:r>
                  <w:r>
                    <w:rPr>
                      <w:rFonts w:hint="eastAsia" w:cs="Times New Roman"/>
                      <w:b w:val="0"/>
                      <w:bCs w:val="0"/>
                      <w:i w:val="0"/>
                      <w:iCs w:val="0"/>
                      <w:color w:val="auto"/>
                      <w:sz w:val="21"/>
                      <w:szCs w:val="21"/>
                      <w:highlight w:val="none"/>
                      <w:u w:val="none"/>
                      <w:lang w:val="en-US" w:eastAsia="zh-CN"/>
                    </w:rPr>
                    <w:t>4.</w:t>
                  </w:r>
                  <w:r>
                    <w:rPr>
                      <w:rFonts w:hint="default" w:ascii="Times New Roman" w:hAnsi="Times New Roman" w:cs="Times New Roman"/>
                      <w:b w:val="0"/>
                      <w:bCs w:val="0"/>
                      <w:i w:val="0"/>
                      <w:iCs w:val="0"/>
                      <w:color w:val="auto"/>
                      <w:sz w:val="21"/>
                      <w:szCs w:val="21"/>
                      <w:highlight w:val="none"/>
                      <w:u w:val="none"/>
                      <w:lang w:val="en-US" w:eastAsia="zh-CN"/>
                    </w:rPr>
                    <w:t>8m</w:t>
                  </w:r>
                  <w:r>
                    <w:rPr>
                      <w:rFonts w:hint="default" w:ascii="Times New Roman" w:hAnsi="Times New Roman" w:cs="Times New Roman"/>
                      <w:b w:val="0"/>
                      <w:bCs w:val="0"/>
                      <w:i w:val="0"/>
                      <w:iCs w:val="0"/>
                      <w:color w:val="auto"/>
                      <w:sz w:val="21"/>
                      <w:szCs w:val="21"/>
                      <w:highlight w:val="none"/>
                      <w:u w:val="none"/>
                      <w:lang w:eastAsia="zh-CN"/>
                    </w:rPr>
                    <w:t>，</w:t>
                  </w:r>
                  <w:r>
                    <w:rPr>
                      <w:rFonts w:hint="eastAsia" w:cs="Times New Roman"/>
                      <w:b w:val="0"/>
                      <w:bCs w:val="0"/>
                      <w:i w:val="0"/>
                      <w:iCs w:val="0"/>
                      <w:color w:val="auto"/>
                      <w:sz w:val="21"/>
                      <w:szCs w:val="21"/>
                      <w:highlight w:val="none"/>
                      <w:u w:val="none"/>
                      <w:lang w:val="en-US" w:eastAsia="zh-CN"/>
                    </w:rPr>
                    <w:t>2</w:t>
                  </w:r>
                  <w:r>
                    <w:rPr>
                      <w:rFonts w:hint="default" w:ascii="Times New Roman" w:hAnsi="Times New Roman" w:cs="Times New Roman"/>
                      <w:b w:val="0"/>
                      <w:bCs w:val="0"/>
                      <w:i w:val="0"/>
                      <w:iCs w:val="0"/>
                      <w:color w:val="auto"/>
                      <w:sz w:val="21"/>
                      <w:szCs w:val="21"/>
                      <w:highlight w:val="none"/>
                      <w:u w:val="none"/>
                      <w:lang w:eastAsia="zh-CN"/>
                    </w:rPr>
                    <w:t>000m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eastAsia="zh-CN"/>
                    </w:rPr>
                    <w:t>汽油储罐</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2</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Φ</w:t>
                  </w:r>
                  <w:r>
                    <w:rPr>
                      <w:rFonts w:hint="default" w:ascii="Times New Roman" w:hAnsi="Times New Roman" w:cs="Times New Roman"/>
                      <w:b w:val="0"/>
                      <w:bCs w:val="0"/>
                      <w:i w:val="0"/>
                      <w:iCs w:val="0"/>
                      <w:color w:val="auto"/>
                      <w:sz w:val="21"/>
                      <w:szCs w:val="21"/>
                      <w:highlight w:val="none"/>
                      <w:u w:val="none"/>
                      <w:lang w:val="en-US" w:eastAsia="zh-CN"/>
                    </w:rPr>
                    <w:t>8</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12m</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5</w:t>
                  </w:r>
                  <w:r>
                    <w:rPr>
                      <w:rFonts w:hint="default" w:ascii="Times New Roman" w:hAnsi="Times New Roman" w:cs="Times New Roman"/>
                      <w:b w:val="0"/>
                      <w:bCs w:val="0"/>
                      <w:i w:val="0"/>
                      <w:iCs w:val="0"/>
                      <w:color w:val="auto"/>
                      <w:sz w:val="21"/>
                      <w:szCs w:val="21"/>
                      <w:highlight w:val="none"/>
                      <w:u w:val="none"/>
                      <w:lang w:eastAsia="zh-CN"/>
                    </w:rPr>
                    <w:t>00m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eastAsia="zh-CN"/>
                    </w:rPr>
                    <w:t>汽油储罐</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3</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Φ</w:t>
                  </w:r>
                  <w:r>
                    <w:rPr>
                      <w:rFonts w:hint="default" w:ascii="Times New Roman" w:hAnsi="Times New Roman" w:cs="Times New Roman"/>
                      <w:b w:val="0"/>
                      <w:bCs w:val="0"/>
                      <w:i w:val="0"/>
                      <w:iCs w:val="0"/>
                      <w:color w:val="auto"/>
                      <w:sz w:val="21"/>
                      <w:szCs w:val="21"/>
                      <w:highlight w:val="none"/>
                      <w:u w:val="none"/>
                      <w:lang w:val="en-US" w:eastAsia="zh-CN"/>
                    </w:rPr>
                    <w:t>14</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14.8m</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20</w:t>
                  </w:r>
                  <w:r>
                    <w:rPr>
                      <w:rFonts w:hint="default" w:ascii="Times New Roman" w:hAnsi="Times New Roman" w:cs="Times New Roman"/>
                      <w:b w:val="0"/>
                      <w:bCs w:val="0"/>
                      <w:i w:val="0"/>
                      <w:iCs w:val="0"/>
                      <w:color w:val="auto"/>
                      <w:sz w:val="21"/>
                      <w:szCs w:val="21"/>
                      <w:highlight w:val="none"/>
                      <w:u w:val="none"/>
                      <w:lang w:eastAsia="zh-CN"/>
                    </w:rPr>
                    <w:t>00m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石脑油储罐</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8</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Φ</w:t>
                  </w:r>
                  <w:r>
                    <w:rPr>
                      <w:rFonts w:hint="default" w:ascii="Times New Roman" w:hAnsi="Times New Roman" w:cs="Times New Roman"/>
                      <w:b w:val="0"/>
                      <w:bCs w:val="0"/>
                      <w:i w:val="0"/>
                      <w:iCs w:val="0"/>
                      <w:color w:val="auto"/>
                      <w:sz w:val="21"/>
                      <w:szCs w:val="21"/>
                      <w:highlight w:val="none"/>
                      <w:u w:val="none"/>
                      <w:lang w:val="en-US" w:eastAsia="zh-CN"/>
                    </w:rPr>
                    <w:t>22</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14.5m</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9</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eastAsia="zh-CN"/>
                    </w:rPr>
                    <w:t>柴油储罐</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Φ</w:t>
                  </w:r>
                  <w:r>
                    <w:rPr>
                      <w:rFonts w:hint="default" w:ascii="Times New Roman" w:hAnsi="Times New Roman" w:cs="Times New Roman"/>
                      <w:b w:val="0"/>
                      <w:bCs w:val="0"/>
                      <w:i w:val="0"/>
                      <w:iCs w:val="0"/>
                      <w:color w:val="auto"/>
                      <w:sz w:val="21"/>
                      <w:szCs w:val="21"/>
                      <w:highlight w:val="none"/>
                      <w:u w:val="none"/>
                      <w:lang w:val="en-US" w:eastAsia="zh-CN"/>
                    </w:rPr>
                    <w:t>38</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20m</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190</w:t>
                  </w:r>
                  <w:r>
                    <w:rPr>
                      <w:rFonts w:hint="default" w:ascii="Times New Roman" w:hAnsi="Times New Roman" w:cs="Times New Roman"/>
                      <w:b w:val="0"/>
                      <w:bCs w:val="0"/>
                      <w:i w:val="0"/>
                      <w:iCs w:val="0"/>
                      <w:color w:val="auto"/>
                      <w:sz w:val="21"/>
                      <w:szCs w:val="21"/>
                      <w:highlight w:val="none"/>
                      <w:u w:val="none"/>
                      <w:lang w:eastAsia="zh-CN"/>
                    </w:rPr>
                    <w:t>00m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10</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eastAsia="zh-CN"/>
                    </w:rPr>
                    <w:t>汽油储罐</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2</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eastAsia="zh-CN"/>
                    </w:rPr>
                    <w:t>Φ</w:t>
                  </w:r>
                  <w:r>
                    <w:rPr>
                      <w:rFonts w:hint="default" w:ascii="Times New Roman" w:hAnsi="Times New Roman" w:cs="Times New Roman"/>
                      <w:b w:val="0"/>
                      <w:bCs w:val="0"/>
                      <w:i w:val="0"/>
                      <w:iCs w:val="0"/>
                      <w:color w:val="auto"/>
                      <w:sz w:val="21"/>
                      <w:szCs w:val="21"/>
                      <w:highlight w:val="none"/>
                      <w:u w:val="none"/>
                      <w:lang w:val="en-US" w:eastAsia="zh-CN"/>
                    </w:rPr>
                    <w:t>8</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12m</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5</w:t>
                  </w:r>
                  <w:r>
                    <w:rPr>
                      <w:rFonts w:hint="default" w:ascii="Times New Roman" w:hAnsi="Times New Roman" w:cs="Times New Roman"/>
                      <w:b w:val="0"/>
                      <w:bCs w:val="0"/>
                      <w:i w:val="0"/>
                      <w:iCs w:val="0"/>
                      <w:color w:val="auto"/>
                      <w:sz w:val="21"/>
                      <w:szCs w:val="21"/>
                      <w:highlight w:val="none"/>
                      <w:u w:val="none"/>
                      <w:lang w:eastAsia="zh-CN"/>
                    </w:rPr>
                    <w:t>00m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11</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沥青储罐</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1</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eastAsia="zh-CN"/>
                    </w:rPr>
                    <w:t>Φ</w:t>
                  </w:r>
                  <w:r>
                    <w:rPr>
                      <w:rFonts w:hint="default" w:ascii="Times New Roman" w:hAnsi="Times New Roman" w:cs="Times New Roman"/>
                      <w:b w:val="0"/>
                      <w:bCs w:val="0"/>
                      <w:i w:val="0"/>
                      <w:iCs w:val="0"/>
                      <w:color w:val="auto"/>
                      <w:sz w:val="21"/>
                      <w:szCs w:val="21"/>
                      <w:highlight w:val="none"/>
                      <w:u w:val="none"/>
                      <w:lang w:val="en-US" w:eastAsia="zh-CN"/>
                    </w:rPr>
                    <w:t>22</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14.5m</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sz w:val="21"/>
                      <w:szCs w:val="21"/>
                      <w:highlight w:val="none"/>
                      <w:u w:val="none"/>
                      <w:lang w:val="en-US" w:eastAsia="zh-CN"/>
                    </w:rPr>
                    <w:t>固定</w:t>
                  </w:r>
                  <w:r>
                    <w:rPr>
                      <w:rFonts w:hint="default" w:ascii="Times New Roman" w:hAnsi="Times New Roman" w:cs="Times New Roman"/>
                      <w:b w:val="0"/>
                      <w:bCs w:val="0"/>
                      <w:i w:val="0"/>
                      <w:iCs w:val="0"/>
                      <w:color w:val="auto"/>
                      <w:sz w:val="21"/>
                      <w:szCs w:val="21"/>
                      <w:highlight w:val="none"/>
                      <w:u w:val="none"/>
                      <w:lang w:val="en-US" w:eastAsia="zh-CN"/>
                    </w:rPr>
                    <w:t>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12</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重油储罐</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4</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eastAsia="zh-CN"/>
                    </w:rPr>
                    <w:t>Φ</w:t>
                  </w:r>
                  <w:r>
                    <w:rPr>
                      <w:rFonts w:hint="default" w:ascii="Times New Roman" w:hAnsi="Times New Roman" w:cs="Times New Roman"/>
                      <w:b w:val="0"/>
                      <w:bCs w:val="0"/>
                      <w:i w:val="0"/>
                      <w:iCs w:val="0"/>
                      <w:color w:val="auto"/>
                      <w:sz w:val="21"/>
                      <w:szCs w:val="21"/>
                      <w:highlight w:val="none"/>
                      <w:u w:val="none"/>
                      <w:lang w:val="en-US" w:eastAsia="zh-CN"/>
                    </w:rPr>
                    <w:t>22</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14.5m</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sz w:val="21"/>
                      <w:szCs w:val="21"/>
                      <w:highlight w:val="none"/>
                      <w:u w:val="none"/>
                      <w:lang w:val="en-US" w:eastAsia="zh-CN"/>
                    </w:rPr>
                    <w:t>固定</w:t>
                  </w:r>
                  <w:r>
                    <w:rPr>
                      <w:rFonts w:hint="default" w:ascii="Times New Roman" w:hAnsi="Times New Roman" w:cs="Times New Roman"/>
                      <w:b w:val="0"/>
                      <w:bCs w:val="0"/>
                      <w:i w:val="0"/>
                      <w:iCs w:val="0"/>
                      <w:color w:val="auto"/>
                      <w:sz w:val="21"/>
                      <w:szCs w:val="21"/>
                      <w:highlight w:val="none"/>
                      <w:u w:val="none"/>
                      <w:lang w:val="en-US" w:eastAsia="zh-CN"/>
                    </w:rPr>
                    <w:t>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13</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渣油储罐</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4</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eastAsia="zh-CN"/>
                    </w:rPr>
                    <w:t>Φ</w:t>
                  </w:r>
                  <w:r>
                    <w:rPr>
                      <w:rFonts w:hint="default" w:ascii="Times New Roman" w:hAnsi="Times New Roman" w:cs="Times New Roman"/>
                      <w:b w:val="0"/>
                      <w:bCs w:val="0"/>
                      <w:i w:val="0"/>
                      <w:iCs w:val="0"/>
                      <w:color w:val="auto"/>
                      <w:sz w:val="21"/>
                      <w:szCs w:val="21"/>
                      <w:highlight w:val="none"/>
                      <w:u w:val="none"/>
                      <w:lang w:val="en-US" w:eastAsia="zh-CN"/>
                    </w:rPr>
                    <w:t>22</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14.5m</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sz w:val="21"/>
                      <w:szCs w:val="21"/>
                      <w:highlight w:val="none"/>
                      <w:u w:val="none"/>
                      <w:lang w:val="en-US" w:eastAsia="zh-CN"/>
                    </w:rPr>
                    <w:t>固定</w:t>
                  </w:r>
                  <w:r>
                    <w:rPr>
                      <w:rFonts w:hint="default" w:ascii="Times New Roman" w:hAnsi="Times New Roman" w:cs="Times New Roman"/>
                      <w:b w:val="0"/>
                      <w:bCs w:val="0"/>
                      <w:i w:val="0"/>
                      <w:iCs w:val="0"/>
                      <w:color w:val="auto"/>
                      <w:sz w:val="21"/>
                      <w:szCs w:val="21"/>
                      <w:highlight w:val="none"/>
                      <w:u w:val="none"/>
                      <w:lang w:val="en-US" w:eastAsia="zh-CN"/>
                    </w:rPr>
                    <w:t>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14</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柴油卸车泵</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5</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组合件，离心泵</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15</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柴油装车泵</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5</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组合件，离心泵</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16</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汽油卸车泵</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10</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组合件，离心泵</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17</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汽油装车泵</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10</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组合件，离心泵</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18</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甲醇卸车泵</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5</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组合件，屏蔽泵</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19</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甲醇装车泵</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5</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组合件，屏蔽泵</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20</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沥青卸车泵</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1</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组合件，齿轮泵</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21</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沥青卸车槽</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2</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碳钢</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卧式储槽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22</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沥青装车泵</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组合件，齿轮泵</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23</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渣油卸车泵</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4</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组合件，齿轮泵</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24</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渣油装车泵</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4</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组合件，齿轮泵</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25</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重油卸车泵</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4</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组合件，齿轮泵</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26</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重油装车泵</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4</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组合件，齿轮泵</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27</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石脑油卸车泵</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8</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组合件，离心泵</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28</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石脑油装车泵</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8</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组合件，离心泵</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29</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装卸车鹤管</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27</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组合件，底部装卸（带气相管）</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30</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导热油锅炉</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1</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组合件，YQW-1400Q</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31</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锅炉系统</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1</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lang w:val="en-US" w:eastAsia="zh-CN" w:bidi="ar-SA"/>
                    </w:rPr>
                    <w:t>组合件，供汽压力为1.25MPa，温度180℃，供汽量为4t/h</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32</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空压机组</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1</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lang w:val="en-US" w:eastAsia="zh-CN" w:bidi="ar-SA"/>
                    </w:rPr>
                    <w:t>组合件，10Nm³/min</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33</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制氮机组</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1</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组合件，12000Nm³/h</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34</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尾气处理环保设施</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1</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组合件，RTO</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35</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油气回收装置</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组合件，成套装备</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36</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污水处理设施</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1</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50m</w:t>
                  </w:r>
                  <w:r>
                    <w:rPr>
                      <w:rFonts w:hint="default" w:ascii="Times New Roman" w:hAnsi="Times New Roman" w:eastAsia="宋体" w:cs="Times New Roman"/>
                      <w:b w:val="0"/>
                      <w:bCs w:val="0"/>
                      <w:color w:val="auto"/>
                      <w:vertAlign w:val="superscript"/>
                      <w:lang w:val="en-US" w:eastAsia="zh-CN"/>
                    </w:rPr>
                    <w:t>3</w:t>
                  </w:r>
                  <w:r>
                    <w:rPr>
                      <w:rFonts w:hint="default" w:ascii="Times New Roman" w:hAnsi="Times New Roman" w:eastAsia="宋体" w:cs="Times New Roman"/>
                      <w:b w:val="0"/>
                      <w:bCs w:val="0"/>
                      <w:color w:val="auto"/>
                      <w:lang w:val="en-US" w:eastAsia="zh-CN"/>
                    </w:rPr>
                    <w:t>/d</w:t>
                  </w:r>
                  <w:r>
                    <w:rPr>
                      <w:rFonts w:hint="eastAsia" w:ascii="Times New Roman" w:hAnsi="Times New Roman" w:eastAsia="宋体" w:cs="Times New Roman"/>
                      <w:b w:val="0"/>
                      <w:bCs w:val="0"/>
                      <w:color w:val="auto"/>
                      <w:lang w:val="en-US" w:eastAsia="zh-CN"/>
                    </w:rPr>
                    <w:t>，含恶臭处理</w:t>
                  </w:r>
                  <w:r>
                    <w:rPr>
                      <w:rFonts w:hint="default" w:ascii="Times New Roman" w:hAnsi="Times New Roman" w:eastAsia="宋体" w:cs="Times New Roman"/>
                      <w:b w:val="0"/>
                      <w:bCs w:val="0"/>
                      <w:color w:val="auto"/>
                      <w:lang w:val="en-US" w:eastAsia="zh-CN"/>
                    </w:rPr>
                    <w:t>生物滤塔</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3</w:t>
                  </w:r>
                  <w:r>
                    <w:rPr>
                      <w:rFonts w:hint="eastAsia" w:cs="Times New Roman"/>
                      <w:b w:val="0"/>
                      <w:bCs w:val="0"/>
                      <w:i w:val="0"/>
                      <w:iCs w:val="0"/>
                      <w:color w:val="auto"/>
                      <w:kern w:val="0"/>
                      <w:sz w:val="21"/>
                      <w:szCs w:val="21"/>
                      <w:highlight w:val="none"/>
                      <w:u w:val="none"/>
                      <w:lang w:val="en-US" w:eastAsia="zh-CN" w:bidi="ar"/>
                    </w:rPr>
                    <w:t>7</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转水制备设施</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1</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lang w:val="en-US" w:eastAsia="zh-CN"/>
                    </w:rPr>
                  </w:pPr>
                  <w:r>
                    <w:rPr>
                      <w:rFonts w:hint="default" w:ascii="Times New Roman" w:hAnsi="Times New Roman" w:cs="Times New Roman"/>
                      <w:b w:val="0"/>
                      <w:bCs w:val="0"/>
                      <w:color w:val="auto"/>
                      <w:kern w:val="2"/>
                      <w:sz w:val="21"/>
                      <w:szCs w:val="21"/>
                      <w:lang w:val="en-US" w:eastAsia="zh-CN" w:bidi="ar-SA"/>
                    </w:rPr>
                    <w:t>组合件，成套装备</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kern w:val="0"/>
                      <w:sz w:val="21"/>
                      <w:szCs w:val="21"/>
                      <w:highlight w:val="none"/>
                      <w:u w:val="none"/>
                      <w:lang w:val="en-US" w:eastAsia="zh-CN" w:bidi="ar"/>
                    </w:rPr>
                    <w:t>3</w:t>
                  </w:r>
                  <w:r>
                    <w:rPr>
                      <w:rFonts w:hint="eastAsia" w:cs="Times New Roman"/>
                      <w:b w:val="0"/>
                      <w:bCs w:val="0"/>
                      <w:i w:val="0"/>
                      <w:iCs w:val="0"/>
                      <w:color w:val="auto"/>
                      <w:kern w:val="0"/>
                      <w:sz w:val="21"/>
                      <w:szCs w:val="21"/>
                      <w:highlight w:val="none"/>
                      <w:u w:val="none"/>
                      <w:lang w:val="en-US" w:eastAsia="zh-CN" w:bidi="ar"/>
                    </w:rPr>
                    <w:t>8</w:t>
                  </w:r>
                </w:p>
              </w:tc>
              <w:tc>
                <w:tcPr>
                  <w:tcW w:w="114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输送管线阀门等配套设备</w:t>
                  </w:r>
                </w:p>
              </w:tc>
              <w:tc>
                <w:tcPr>
                  <w:tcW w:w="86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18</w:t>
                  </w:r>
                  <w:r>
                    <w:rPr>
                      <w:rFonts w:hint="eastAsia" w:cs="Times New Roman"/>
                      <w:b w:val="0"/>
                      <w:bCs w:val="0"/>
                      <w:i w:val="0"/>
                      <w:iCs w:val="0"/>
                      <w:color w:val="auto"/>
                      <w:sz w:val="21"/>
                      <w:szCs w:val="21"/>
                      <w:highlight w:val="none"/>
                      <w:u w:val="none"/>
                      <w:lang w:val="en-US" w:eastAsia="zh-CN"/>
                    </w:rPr>
                    <w:t>12</w:t>
                  </w:r>
                </w:p>
              </w:tc>
              <w:tc>
                <w:tcPr>
                  <w:tcW w:w="190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color w:val="auto"/>
                    </w:rPr>
                  </w:pPr>
                  <w:r>
                    <w:rPr>
                      <w:rFonts w:hint="default" w:ascii="Times New Roman" w:hAnsi="Times New Roman" w:cs="Times New Roman"/>
                      <w:b w:val="0"/>
                      <w:bCs w:val="0"/>
                      <w:i w:val="0"/>
                      <w:iCs w:val="0"/>
                      <w:color w:val="auto"/>
                      <w:sz w:val="21"/>
                      <w:szCs w:val="21"/>
                      <w:highlight w:val="none"/>
                      <w:u w:val="none"/>
                      <w:lang w:val="en-US" w:eastAsia="zh-CN"/>
                    </w:rPr>
                    <w:t>——</w:t>
                  </w:r>
                </w:p>
              </w:tc>
              <w:tc>
                <w:tcPr>
                  <w:tcW w:w="7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配套设施</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4</w:t>
            </w:r>
            <w:r>
              <w:rPr>
                <w:rFonts w:hint="default" w:ascii="Times New Roman" w:hAnsi="Times New Roman" w:eastAsia="黑体" w:cs="Times New Roman"/>
                <w:color w:val="auto"/>
                <w:sz w:val="24"/>
                <w:szCs w:val="24"/>
                <w:highlight w:val="none"/>
                <w:lang w:val="en-US" w:eastAsia="zh-CN"/>
              </w:rPr>
              <w:t>、主要</w:t>
            </w:r>
            <w:r>
              <w:rPr>
                <w:rFonts w:hint="eastAsia" w:eastAsia="黑体" w:cs="Times New Roman"/>
                <w:color w:val="auto"/>
                <w:sz w:val="24"/>
                <w:szCs w:val="24"/>
                <w:highlight w:val="none"/>
                <w:lang w:val="en-US" w:eastAsia="zh-CN"/>
              </w:rPr>
              <w:t>存储物料情况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项目</w:t>
            </w:r>
            <w:r>
              <w:rPr>
                <w:rFonts w:hint="eastAsia" w:cs="Times New Roman"/>
                <w:bCs/>
                <w:color w:val="auto"/>
                <w:sz w:val="24"/>
                <w:szCs w:val="24"/>
                <w:highlight w:val="none"/>
                <w:lang w:eastAsia="zh-CN"/>
              </w:rPr>
              <w:t>存储方案</w:t>
            </w:r>
            <w:r>
              <w:rPr>
                <w:rFonts w:hint="default" w:ascii="Times New Roman" w:hAnsi="Times New Roman" w:cs="Times New Roman"/>
                <w:bCs/>
                <w:color w:val="auto"/>
                <w:sz w:val="24"/>
                <w:szCs w:val="24"/>
                <w:highlight w:val="none"/>
              </w:rPr>
              <w:t>见</w:t>
            </w:r>
            <w:r>
              <w:rPr>
                <w:rFonts w:hint="eastAsia" w:cs="Times New Roman"/>
                <w:bCs/>
                <w:color w:val="auto"/>
                <w:sz w:val="24"/>
                <w:szCs w:val="24"/>
                <w:highlight w:val="none"/>
                <w:lang w:eastAsia="zh-CN"/>
              </w:rPr>
              <w:t>下</w:t>
            </w:r>
            <w:r>
              <w:rPr>
                <w:rFonts w:hint="default" w:ascii="Times New Roman" w:hAnsi="Times New Roman" w:cs="Times New Roman"/>
                <w:bCs/>
                <w:color w:val="auto"/>
                <w:sz w:val="24"/>
                <w:szCs w:val="24"/>
                <w:highlight w:val="none"/>
              </w:rPr>
              <w:t>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表2-</w:t>
            </w:r>
            <w:r>
              <w:rPr>
                <w:rFonts w:hint="eastAsia" w:eastAsia="黑体" w:cs="Times New Roman"/>
                <w:b w:val="0"/>
                <w:bCs w:val="0"/>
                <w:color w:val="auto"/>
                <w:kern w:val="0"/>
                <w:sz w:val="24"/>
                <w:szCs w:val="24"/>
                <w:lang w:val="en-US" w:eastAsia="zh-CN"/>
              </w:rPr>
              <w:t>3</w:t>
            </w:r>
            <w:r>
              <w:rPr>
                <w:rFonts w:hint="default" w:ascii="Times New Roman" w:hAnsi="Times New Roman" w:eastAsia="黑体" w:cs="Times New Roman"/>
                <w:b w:val="0"/>
                <w:bCs w:val="0"/>
                <w:color w:val="auto"/>
                <w:kern w:val="0"/>
                <w:sz w:val="24"/>
                <w:szCs w:val="24"/>
                <w:lang w:val="en-US" w:eastAsia="zh-CN"/>
              </w:rPr>
              <w:t xml:space="preserve"> </w:t>
            </w:r>
            <w:r>
              <w:rPr>
                <w:rFonts w:hint="eastAsia" w:eastAsia="黑体" w:cs="Times New Roman"/>
                <w:b w:val="0"/>
                <w:bCs w:val="0"/>
                <w:color w:val="auto"/>
                <w:kern w:val="0"/>
                <w:sz w:val="24"/>
                <w:szCs w:val="24"/>
                <w:lang w:val="en-US" w:eastAsia="zh-CN"/>
              </w:rPr>
              <w:t>项目存储方案</w:t>
            </w:r>
            <w:r>
              <w:rPr>
                <w:rFonts w:hint="default" w:ascii="Times New Roman" w:hAnsi="Times New Roman" w:eastAsia="黑体" w:cs="Times New Roman"/>
                <w:b w:val="0"/>
                <w:bCs w:val="0"/>
                <w:color w:val="auto"/>
                <w:kern w:val="0"/>
                <w:sz w:val="24"/>
                <w:szCs w:val="24"/>
                <w:lang w:val="en-US" w:eastAsia="zh-CN"/>
              </w:rPr>
              <w:t>一览表</w:t>
            </w:r>
          </w:p>
          <w:tbl>
            <w:tblPr>
              <w:tblStyle w:val="26"/>
              <w:tblW w:w="8333"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29"/>
              <w:gridCol w:w="1018"/>
              <w:gridCol w:w="900"/>
              <w:gridCol w:w="1260"/>
              <w:gridCol w:w="1772"/>
              <w:gridCol w:w="1365"/>
              <w:gridCol w:w="12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729"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101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名称</w:t>
                  </w:r>
                </w:p>
              </w:tc>
              <w:tc>
                <w:tcPr>
                  <w:tcW w:w="900"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单位</w:t>
                  </w:r>
                </w:p>
              </w:tc>
              <w:tc>
                <w:tcPr>
                  <w:tcW w:w="1260"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储存量</w:t>
                  </w:r>
                </w:p>
              </w:tc>
              <w:tc>
                <w:tcPr>
                  <w:tcW w:w="1772"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储存天数（d）</w:t>
                  </w:r>
                </w:p>
              </w:tc>
              <w:tc>
                <w:tcPr>
                  <w:tcW w:w="136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周转次数</w:t>
                  </w:r>
                </w:p>
              </w:tc>
              <w:tc>
                <w:tcPr>
                  <w:tcW w:w="1289"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填装系数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01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柴油</w:t>
                  </w:r>
                </w:p>
              </w:tc>
              <w:tc>
                <w:tcPr>
                  <w:tcW w:w="900"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万m</w:t>
                  </w:r>
                  <w:r>
                    <w:rPr>
                      <w:rFonts w:hint="default" w:ascii="Times New Roman" w:hAnsi="Times New Roman" w:eastAsia="宋体" w:cs="Times New Roman"/>
                      <w:color w:val="auto"/>
                      <w:sz w:val="21"/>
                      <w:szCs w:val="21"/>
                      <w:vertAlign w:val="superscript"/>
                      <w:lang w:val="en-US" w:eastAsia="zh-CN"/>
                    </w:rPr>
                    <w:t>3</w:t>
                  </w:r>
                </w:p>
              </w:tc>
              <w:tc>
                <w:tcPr>
                  <w:tcW w:w="126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5.9</w:t>
                  </w:r>
                </w:p>
              </w:tc>
              <w:tc>
                <w:tcPr>
                  <w:tcW w:w="177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90</w:t>
                  </w:r>
                </w:p>
              </w:tc>
              <w:tc>
                <w:tcPr>
                  <w:tcW w:w="136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w:t>
                  </w:r>
                </w:p>
              </w:tc>
              <w:tc>
                <w:tcPr>
                  <w:tcW w:w="128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729"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101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汽油</w:t>
                  </w:r>
                </w:p>
              </w:tc>
              <w:tc>
                <w:tcPr>
                  <w:tcW w:w="900"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万m</w:t>
                  </w:r>
                  <w:r>
                    <w:rPr>
                      <w:rFonts w:hint="default" w:ascii="Times New Roman" w:hAnsi="Times New Roman" w:eastAsia="宋体" w:cs="Times New Roman"/>
                      <w:color w:val="auto"/>
                      <w:sz w:val="21"/>
                      <w:szCs w:val="21"/>
                      <w:vertAlign w:val="superscript"/>
                      <w:lang w:val="en-US" w:eastAsia="zh-CN"/>
                    </w:rPr>
                    <w:t>3</w:t>
                  </w:r>
                </w:p>
              </w:tc>
              <w:tc>
                <w:tcPr>
                  <w:tcW w:w="126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3.8</w:t>
                  </w:r>
                </w:p>
              </w:tc>
              <w:tc>
                <w:tcPr>
                  <w:tcW w:w="177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90</w:t>
                  </w:r>
                </w:p>
              </w:tc>
              <w:tc>
                <w:tcPr>
                  <w:tcW w:w="136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w:t>
                  </w:r>
                </w:p>
              </w:tc>
              <w:tc>
                <w:tcPr>
                  <w:tcW w:w="128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729"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01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甲醇</w:t>
                  </w:r>
                </w:p>
              </w:tc>
              <w:tc>
                <w:tcPr>
                  <w:tcW w:w="900"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万m</w:t>
                  </w:r>
                  <w:r>
                    <w:rPr>
                      <w:rFonts w:hint="default" w:ascii="Times New Roman" w:hAnsi="Times New Roman" w:eastAsia="宋体" w:cs="Times New Roman"/>
                      <w:color w:val="auto"/>
                      <w:sz w:val="21"/>
                      <w:szCs w:val="21"/>
                      <w:vertAlign w:val="superscript"/>
                      <w:lang w:val="en-US" w:eastAsia="zh-CN"/>
                    </w:rPr>
                    <w:t>3</w:t>
                  </w:r>
                </w:p>
              </w:tc>
              <w:tc>
                <w:tcPr>
                  <w:tcW w:w="126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1.2</w:t>
                  </w:r>
                </w:p>
              </w:tc>
              <w:tc>
                <w:tcPr>
                  <w:tcW w:w="177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90</w:t>
                  </w:r>
                </w:p>
              </w:tc>
              <w:tc>
                <w:tcPr>
                  <w:tcW w:w="136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w:t>
                  </w:r>
                </w:p>
              </w:tc>
              <w:tc>
                <w:tcPr>
                  <w:tcW w:w="128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729"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01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石脑油</w:t>
                  </w:r>
                </w:p>
              </w:tc>
              <w:tc>
                <w:tcPr>
                  <w:tcW w:w="900"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万m</w:t>
                  </w:r>
                  <w:r>
                    <w:rPr>
                      <w:rFonts w:hint="default" w:ascii="Times New Roman" w:hAnsi="Times New Roman" w:eastAsia="宋体" w:cs="Times New Roman"/>
                      <w:color w:val="auto"/>
                      <w:sz w:val="21"/>
                      <w:szCs w:val="21"/>
                      <w:vertAlign w:val="superscript"/>
                      <w:lang w:val="en-US" w:eastAsia="zh-CN"/>
                    </w:rPr>
                    <w:t>3</w:t>
                  </w:r>
                </w:p>
              </w:tc>
              <w:tc>
                <w:tcPr>
                  <w:tcW w:w="126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w:t>
                  </w:r>
                </w:p>
              </w:tc>
              <w:tc>
                <w:tcPr>
                  <w:tcW w:w="177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90</w:t>
                  </w:r>
                </w:p>
              </w:tc>
              <w:tc>
                <w:tcPr>
                  <w:tcW w:w="136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w:t>
                  </w:r>
                </w:p>
              </w:tc>
              <w:tc>
                <w:tcPr>
                  <w:tcW w:w="128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729"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101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沥青</w:t>
                  </w:r>
                </w:p>
              </w:tc>
              <w:tc>
                <w:tcPr>
                  <w:tcW w:w="900"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万m</w:t>
                  </w:r>
                  <w:r>
                    <w:rPr>
                      <w:rFonts w:hint="default" w:ascii="Times New Roman" w:hAnsi="Times New Roman" w:eastAsia="宋体" w:cs="Times New Roman"/>
                      <w:color w:val="auto"/>
                      <w:sz w:val="21"/>
                      <w:szCs w:val="21"/>
                      <w:vertAlign w:val="superscript"/>
                      <w:lang w:val="en-US" w:eastAsia="zh-CN"/>
                    </w:rPr>
                    <w:t>3</w:t>
                  </w:r>
                </w:p>
              </w:tc>
              <w:tc>
                <w:tcPr>
                  <w:tcW w:w="126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0.5</w:t>
                  </w:r>
                </w:p>
              </w:tc>
              <w:tc>
                <w:tcPr>
                  <w:tcW w:w="177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90</w:t>
                  </w:r>
                </w:p>
              </w:tc>
              <w:tc>
                <w:tcPr>
                  <w:tcW w:w="136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w:t>
                  </w:r>
                </w:p>
              </w:tc>
              <w:tc>
                <w:tcPr>
                  <w:tcW w:w="128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729"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101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重油</w:t>
                  </w:r>
                </w:p>
              </w:tc>
              <w:tc>
                <w:tcPr>
                  <w:tcW w:w="900"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万m</w:t>
                  </w:r>
                  <w:r>
                    <w:rPr>
                      <w:rFonts w:hint="default" w:ascii="Times New Roman" w:hAnsi="Times New Roman" w:eastAsia="宋体" w:cs="Times New Roman"/>
                      <w:color w:val="auto"/>
                      <w:sz w:val="21"/>
                      <w:szCs w:val="21"/>
                      <w:vertAlign w:val="superscript"/>
                      <w:lang w:val="en-US" w:eastAsia="zh-CN"/>
                    </w:rPr>
                    <w:t>3</w:t>
                  </w:r>
                </w:p>
              </w:tc>
              <w:tc>
                <w:tcPr>
                  <w:tcW w:w="126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2</w:t>
                  </w:r>
                </w:p>
              </w:tc>
              <w:tc>
                <w:tcPr>
                  <w:tcW w:w="177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90</w:t>
                  </w:r>
                </w:p>
              </w:tc>
              <w:tc>
                <w:tcPr>
                  <w:tcW w:w="136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w:t>
                  </w:r>
                </w:p>
              </w:tc>
              <w:tc>
                <w:tcPr>
                  <w:tcW w:w="128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729"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1018"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渣油</w:t>
                  </w:r>
                </w:p>
              </w:tc>
              <w:tc>
                <w:tcPr>
                  <w:tcW w:w="900"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万m</w:t>
                  </w:r>
                  <w:r>
                    <w:rPr>
                      <w:rFonts w:hint="default" w:ascii="Times New Roman" w:hAnsi="Times New Roman" w:eastAsia="宋体" w:cs="Times New Roman"/>
                      <w:color w:val="auto"/>
                      <w:sz w:val="21"/>
                      <w:szCs w:val="21"/>
                      <w:vertAlign w:val="superscript"/>
                      <w:lang w:val="en-US" w:eastAsia="zh-CN"/>
                    </w:rPr>
                    <w:t>3</w:t>
                  </w:r>
                </w:p>
              </w:tc>
              <w:tc>
                <w:tcPr>
                  <w:tcW w:w="126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2</w:t>
                  </w:r>
                </w:p>
              </w:tc>
              <w:tc>
                <w:tcPr>
                  <w:tcW w:w="177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90</w:t>
                  </w:r>
                </w:p>
              </w:tc>
              <w:tc>
                <w:tcPr>
                  <w:tcW w:w="136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w:t>
                  </w:r>
                </w:p>
              </w:tc>
              <w:tc>
                <w:tcPr>
                  <w:tcW w:w="128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1747" w:type="dxa"/>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合计</w:t>
                  </w:r>
                </w:p>
              </w:tc>
              <w:tc>
                <w:tcPr>
                  <w:tcW w:w="900"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万m</w:t>
                  </w:r>
                  <w:r>
                    <w:rPr>
                      <w:rFonts w:hint="default" w:ascii="Times New Roman" w:hAnsi="Times New Roman" w:eastAsia="宋体" w:cs="Times New Roman"/>
                      <w:color w:val="auto"/>
                      <w:sz w:val="21"/>
                      <w:szCs w:val="21"/>
                      <w:vertAlign w:val="superscript"/>
                      <w:lang w:val="en-US" w:eastAsia="zh-CN"/>
                    </w:rPr>
                    <w:t>3</w:t>
                  </w:r>
                </w:p>
              </w:tc>
              <w:tc>
                <w:tcPr>
                  <w:tcW w:w="1260"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19.4</w:t>
                  </w:r>
                </w:p>
              </w:tc>
              <w:tc>
                <w:tcPr>
                  <w:tcW w:w="1772" w:type="dxa"/>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365" w:type="dxa"/>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89" w:type="dxa"/>
                  <w:tcBorders>
                    <w:tl2br w:val="nil"/>
                    <w:tr2bl w:val="nil"/>
                  </w:tcBorders>
                  <w:noWrap w:val="0"/>
                  <w:vAlign w:val="center"/>
                </w:tcPr>
                <w:p>
                  <w:pPr>
                    <w:spacing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bCs/>
                <w:color w:val="auto"/>
                <w:sz w:val="24"/>
                <w:szCs w:val="24"/>
                <w:highlight w:val="none"/>
                <w:lang w:eastAsia="zh-CN"/>
              </w:rPr>
            </w:pPr>
            <w:r>
              <w:rPr>
                <w:rFonts w:hint="eastAsia" w:cs="Times New Roman"/>
                <w:bCs/>
                <w:color w:val="auto"/>
                <w:sz w:val="24"/>
                <w:szCs w:val="24"/>
                <w:highlight w:val="none"/>
                <w:lang w:eastAsia="zh-CN"/>
              </w:rPr>
              <w:t>本</w:t>
            </w:r>
            <w:r>
              <w:rPr>
                <w:rFonts w:hint="eastAsia" w:cs="Times New Roman"/>
                <w:bCs/>
                <w:color w:val="auto"/>
                <w:sz w:val="21"/>
                <w:szCs w:val="21"/>
                <w:highlight w:val="none"/>
                <w:lang w:eastAsia="zh-CN"/>
              </w:rPr>
              <w:t>项目主要原辅材料理化性质见下表。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eastAsia" w:eastAsia="黑体" w:cs="Times New Roman"/>
                <w:b w:val="0"/>
                <w:bCs w:val="0"/>
                <w:color w:val="auto"/>
                <w:kern w:val="0"/>
                <w:sz w:val="24"/>
                <w:szCs w:val="24"/>
                <w:lang w:val="en-US" w:eastAsia="zh-CN"/>
              </w:rPr>
              <w:t>表2-4 本项目主要原辅材料理化性质信息表</w:t>
            </w:r>
          </w:p>
          <w:tbl>
            <w:tblPr>
              <w:tblStyle w:val="26"/>
              <w:tblW w:w="8333"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74"/>
              <w:gridCol w:w="1114"/>
              <w:gridCol w:w="644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7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11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名称</w:t>
                  </w:r>
                </w:p>
              </w:tc>
              <w:tc>
                <w:tcPr>
                  <w:tcW w:w="644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主要</w:t>
                  </w:r>
                  <w:r>
                    <w:rPr>
                      <w:rFonts w:hint="default" w:ascii="Times New Roman" w:hAnsi="Times New Roman" w:eastAsia="宋体" w:cs="Times New Roman"/>
                      <w:color w:val="auto"/>
                      <w:sz w:val="21"/>
                      <w:szCs w:val="21"/>
                      <w:lang w:val="en-US" w:eastAsia="zh-CN"/>
                    </w:rPr>
                    <w:t>理化性质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7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11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柴油</w:t>
                  </w:r>
                </w:p>
              </w:tc>
              <w:tc>
                <w:tcPr>
                  <w:tcW w:w="644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left"/>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柴油，是轻质石油产品，复杂</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"https://baike.baidu.com/item/%E7%83%83%E7%B1%BB/2742788?fromModule=lemma_inlink" \t "_blank"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烃类</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（碳原子数约10～22）混合物，为柴油机燃料，分为</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"https://baike.baidu.com/item/%E8%BD%BB%E6%9F%B4%E6%B2%B9/7446272?fromModule=lemma_inlink" \t "_blank"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轻柴油</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（沸点范围约180～370℃）和</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"https://baike.baidu.com/item/%E9%87%8D%E6%9F%B4%E6%B2%B9/7446298?fromModule=lemma_inlink" \t "_blank"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重柴油</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（沸点范围约350～410℃）两大类。热值为3.3×10</w:t>
                  </w:r>
                  <w:r>
                    <w:rPr>
                      <w:rFonts w:hint="default" w:ascii="Times New Roman" w:hAnsi="Times New Roman" w:eastAsia="宋体" w:cs="Times New Roman"/>
                      <w:color w:val="auto"/>
                      <w:kern w:val="2"/>
                      <w:sz w:val="21"/>
                      <w:szCs w:val="21"/>
                      <w:vertAlign w:val="superscript"/>
                      <w:lang w:val="en-US" w:eastAsia="zh-CN" w:bidi="ar-SA"/>
                    </w:rPr>
                    <w:t>7</w:t>
                  </w:r>
                  <w:r>
                    <w:rPr>
                      <w:rFonts w:hint="default" w:ascii="Times New Roman" w:hAnsi="Times New Roman" w:eastAsia="宋体" w:cs="Times New Roman"/>
                      <w:color w:val="auto"/>
                      <w:kern w:val="2"/>
                      <w:sz w:val="21"/>
                      <w:szCs w:val="21"/>
                      <w:lang w:val="en-US" w:eastAsia="zh-CN" w:bidi="ar-SA"/>
                    </w:rPr>
                    <w:t>J/L。沸点范围和黏度介于煤油与润滑油之间的液态石油馏分。易燃易挥发，不溶于水，易溶于醇和其他有机溶剂。是组分复杂的混合物，沸点范围有180℃～370℃和350℃～410℃两类。柴油的毒性类似于煤油，但由于添加剂（如硫化酯类）的影响，毒性可能比煤油略大。广泛用于大型车辆、铁路机车、船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7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11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汽油</w:t>
                  </w:r>
                </w:p>
              </w:tc>
              <w:tc>
                <w:tcPr>
                  <w:tcW w:w="644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left"/>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性状：无色或淡黄色易挥发液体，具有特殊臭味。溶解性：不溶于水，易溶于苯、二硫化碳、醇、脂肪。熔点（℃）：&lt;-60。相对密度（空气＝1）：3.5。毒性：属低毒类。</w:t>
                  </w:r>
                </w:p>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left"/>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急性毒性：LD5067000mg/kg(小鼠经口)；LC</w:t>
                  </w:r>
                  <w:r>
                    <w:rPr>
                      <w:rFonts w:hint="default" w:ascii="Times New Roman" w:hAnsi="Times New Roman" w:eastAsia="宋体" w:cs="Times New Roman"/>
                      <w:color w:val="auto"/>
                      <w:kern w:val="2"/>
                      <w:sz w:val="21"/>
                      <w:szCs w:val="21"/>
                      <w:vertAlign w:val="subscript"/>
                      <w:lang w:val="en-US" w:eastAsia="zh-CN" w:bidi="ar-SA"/>
                    </w:rPr>
                    <w:t>50</w:t>
                  </w:r>
                  <w:r>
                    <w:rPr>
                      <w:rFonts w:hint="default" w:ascii="Times New Roman" w:hAnsi="Times New Roman" w:eastAsia="宋体" w:cs="Times New Roman"/>
                      <w:color w:val="auto"/>
                      <w:kern w:val="2"/>
                      <w:sz w:val="21"/>
                      <w:szCs w:val="21"/>
                      <w:lang w:val="en-US" w:eastAsia="zh-CN" w:bidi="ar-SA"/>
                    </w:rPr>
                    <w:t>103000mg/m</w:t>
                  </w:r>
                  <w:r>
                    <w:rPr>
                      <w:rFonts w:hint="default" w:ascii="Times New Roman" w:hAnsi="Times New Roman" w:eastAsia="宋体" w:cs="Times New Roman"/>
                      <w:color w:val="auto"/>
                      <w:kern w:val="2"/>
                      <w:sz w:val="21"/>
                      <w:szCs w:val="21"/>
                      <w:vertAlign w:val="superscript"/>
                      <w:lang w:val="en-US" w:eastAsia="zh-CN" w:bidi="ar-SA"/>
                    </w:rPr>
                    <w:t>3</w:t>
                  </w:r>
                  <w:r>
                    <w:rPr>
                      <w:rFonts w:hint="default" w:ascii="Times New Roman" w:hAnsi="Times New Roman" w:eastAsia="宋体" w:cs="Times New Roman"/>
                      <w:color w:val="auto"/>
                      <w:kern w:val="2"/>
                      <w:sz w:val="21"/>
                      <w:szCs w:val="21"/>
                      <w:lang w:val="en-US" w:eastAsia="zh-CN" w:bidi="ar-SA"/>
                    </w:rPr>
                    <w:t>，2小时(小鼠吸入)</w:t>
                  </w:r>
                </w:p>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left"/>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刺激性：人经眼：140ppm(8小时)，轻度刺激。</w:t>
                  </w:r>
                </w:p>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left"/>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亚急性和慢性毒性：大鼠吸入3g/m</w:t>
                  </w:r>
                  <w:r>
                    <w:rPr>
                      <w:rFonts w:hint="default" w:ascii="Times New Roman" w:hAnsi="Times New Roman" w:eastAsia="宋体" w:cs="Times New Roman"/>
                      <w:color w:val="auto"/>
                      <w:kern w:val="2"/>
                      <w:sz w:val="21"/>
                      <w:szCs w:val="21"/>
                      <w:vertAlign w:val="superscript"/>
                      <w:lang w:val="en-US" w:eastAsia="zh-CN" w:bidi="ar-SA"/>
                    </w:rPr>
                    <w:t>3</w:t>
                  </w:r>
                  <w:r>
                    <w:rPr>
                      <w:rFonts w:hint="default" w:ascii="Times New Roman" w:hAnsi="Times New Roman"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12-24小时/天</w:t>
                  </w:r>
                  <w:r>
                    <w:rPr>
                      <w:rFonts w:hint="default" w:ascii="Times New Roman" w:hAnsi="Times New Roman"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78天(120号溶剂汽油)</w:t>
                  </w:r>
                  <w:r>
                    <w:rPr>
                      <w:rFonts w:hint="default" w:ascii="Times New Roman" w:hAnsi="Times New Roman"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未见中毒症状。大鼠吸入2500mg/m</w:t>
                  </w:r>
                  <w:r>
                    <w:rPr>
                      <w:rFonts w:hint="default" w:ascii="Times New Roman" w:hAnsi="Times New Roman" w:eastAsia="宋体" w:cs="Times New Roman"/>
                      <w:color w:val="auto"/>
                      <w:kern w:val="2"/>
                      <w:sz w:val="21"/>
                      <w:szCs w:val="21"/>
                      <w:vertAlign w:val="superscript"/>
                      <w:lang w:val="en-US" w:eastAsia="zh-CN" w:bidi="ar-SA"/>
                    </w:rPr>
                    <w:t>3</w:t>
                  </w:r>
                  <w:r>
                    <w:rPr>
                      <w:rFonts w:hint="default" w:ascii="Times New Roman" w:hAnsi="Times New Roman"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130号催化裂解汽油，4小时/天，6天/周，8周，体力活动能力降低，神经系统发生机能性改变。</w:t>
                  </w:r>
                </w:p>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left"/>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危险特性：极易燃烧。其蒸气与空气可形成爆炸性混合物。遇明火、高热极易燃烧爆炸。与氧化剂能发生强烈反应。其蒸气比空气重，能在较低处扩散到相当远的地方，遇明火会引着回燃。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7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w:t>
                  </w:r>
                </w:p>
              </w:tc>
              <w:tc>
                <w:tcPr>
                  <w:tcW w:w="11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甲醇</w:t>
                  </w:r>
                </w:p>
              </w:tc>
              <w:tc>
                <w:tcPr>
                  <w:tcW w:w="644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left"/>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甲醇（Methanol）又称羟基甲烷，是一种有机化合物，是结构最为简单的饱和一元醇，其化学式为CH</w:t>
                  </w:r>
                  <w:r>
                    <w:rPr>
                      <w:rFonts w:hint="default" w:ascii="Times New Roman" w:hAnsi="Times New Roman" w:eastAsia="宋体" w:cs="Times New Roman"/>
                      <w:color w:val="auto"/>
                      <w:kern w:val="2"/>
                      <w:sz w:val="21"/>
                      <w:szCs w:val="21"/>
                      <w:vertAlign w:val="subscript"/>
                      <w:lang w:val="en-US" w:eastAsia="zh-CN" w:bidi="ar-SA"/>
                    </w:rPr>
                    <w:t>3</w:t>
                  </w:r>
                  <w:r>
                    <w:rPr>
                      <w:rFonts w:hint="default" w:ascii="Times New Roman" w:hAnsi="Times New Roman" w:eastAsia="宋体" w:cs="Times New Roman"/>
                      <w:color w:val="auto"/>
                      <w:kern w:val="2"/>
                      <w:sz w:val="21"/>
                      <w:szCs w:val="21"/>
                      <w:lang w:val="en-US" w:eastAsia="zh-CN" w:bidi="ar-SA"/>
                    </w:rPr>
                    <w:t>OH/CH</w:t>
                  </w:r>
                  <w:r>
                    <w:rPr>
                      <w:rFonts w:hint="default" w:ascii="Times New Roman" w:hAnsi="Times New Roman" w:eastAsia="宋体" w:cs="Times New Roman"/>
                      <w:color w:val="auto"/>
                      <w:kern w:val="2"/>
                      <w:sz w:val="21"/>
                      <w:szCs w:val="21"/>
                      <w:vertAlign w:val="subscript"/>
                      <w:lang w:val="en-US" w:eastAsia="zh-CN" w:bidi="ar-SA"/>
                    </w:rPr>
                    <w:t>4</w:t>
                  </w:r>
                  <w:r>
                    <w:rPr>
                      <w:rFonts w:hint="default" w:ascii="Times New Roman" w:hAnsi="Times New Roman" w:eastAsia="宋体" w:cs="Times New Roman"/>
                      <w:color w:val="auto"/>
                      <w:kern w:val="2"/>
                      <w:sz w:val="21"/>
                      <w:szCs w:val="21"/>
                      <w:lang w:val="en-US" w:eastAsia="zh-CN" w:bidi="ar-SA"/>
                    </w:rPr>
                    <w:t>O，其中CH</w:t>
                  </w:r>
                  <w:r>
                    <w:rPr>
                      <w:rFonts w:hint="default" w:ascii="Times New Roman" w:hAnsi="Times New Roman" w:eastAsia="宋体" w:cs="Times New Roman"/>
                      <w:color w:val="auto"/>
                      <w:kern w:val="2"/>
                      <w:sz w:val="21"/>
                      <w:szCs w:val="21"/>
                      <w:vertAlign w:val="subscript"/>
                      <w:lang w:val="en-US" w:eastAsia="zh-CN" w:bidi="ar-SA"/>
                    </w:rPr>
                    <w:t>3</w:t>
                  </w:r>
                  <w:r>
                    <w:rPr>
                      <w:rFonts w:hint="default" w:ascii="Times New Roman" w:hAnsi="Times New Roman" w:eastAsia="宋体" w:cs="Times New Roman"/>
                      <w:color w:val="auto"/>
                      <w:kern w:val="2"/>
                      <w:sz w:val="21"/>
                      <w:szCs w:val="21"/>
                      <w:lang w:val="en-US" w:eastAsia="zh-CN" w:bidi="ar-SA"/>
                    </w:rPr>
                    <w:t>OH是结构简式，能突出甲醇的羟基，CAS号为67-56-1，分子量为32.04，沸点为64.7℃。因在干馏木材中首次发现，故又称“木醇”或“木精”。人口服中毒最低剂量约为100mg/kg体重，经口摄入0.3～1g/kg可致死。用于制造甲醛和农药等，并用作有机物的萃取剂和酒精的变性剂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7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w:t>
                  </w:r>
                </w:p>
              </w:tc>
              <w:tc>
                <w:tcPr>
                  <w:tcW w:w="11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石脑油</w:t>
                  </w:r>
                </w:p>
              </w:tc>
              <w:tc>
                <w:tcPr>
                  <w:tcW w:w="644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left"/>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沸点40-200℃，相对密度</w:t>
                  </w:r>
                  <w:r>
                    <w:rPr>
                      <w:rFonts w:hint="default" w:ascii="Times New Roman" w:hAnsi="Times New Roman" w:eastAsia="宋体" w:cs="Times New Roman"/>
                      <w:color w:val="auto"/>
                      <w:kern w:val="2"/>
                      <w:sz w:val="21"/>
                      <w:szCs w:val="21"/>
                      <w:lang w:val="en-US" w:eastAsia="zh-CN" w:bidi="ar-SA"/>
                    </w:rPr>
                    <w:tab/>
                  </w:r>
                  <w:r>
                    <w:rPr>
                      <w:rFonts w:hint="default" w:ascii="Times New Roman" w:hAnsi="Times New Roman" w:eastAsia="宋体" w:cs="Times New Roman"/>
                      <w:color w:val="auto"/>
                      <w:kern w:val="2"/>
                      <w:sz w:val="21"/>
                      <w:szCs w:val="21"/>
                      <w:lang w:val="en-US" w:eastAsia="zh-CN" w:bidi="ar-SA"/>
                    </w:rPr>
                    <w:t>(水=1)0.70-0.79，易燃，引燃温度415-530，爆炸极限：下限1.3%，上限6.0%。无色或浅黄色液体</w:t>
                  </w:r>
                  <w:r>
                    <w:rPr>
                      <w:rFonts w:hint="eastAsia"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具有特殊臭味。不溶于水，溶于多数有机溶剂。极易燃烧。其蒸气与空气可形成爆炸性混合物。遇明火、高热极易燃烧爆炸。与氧化剂能发生强烈反应，其蒸气比空气重，能在较低处扩散到相当远的地方，遇明火会引起回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7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w:t>
                  </w:r>
                </w:p>
              </w:tc>
              <w:tc>
                <w:tcPr>
                  <w:tcW w:w="11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沥青</w:t>
                  </w:r>
                </w:p>
              </w:tc>
              <w:tc>
                <w:tcPr>
                  <w:tcW w:w="644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left"/>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沥青是由不同分子量的</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"https://baike.baidu.com/item/%E7%A2%B3%E6%B0%A2%E5%8C%96%E5%90%88%E7%89%A9/256902?fromModule=lemma_inlink"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碳氢化合物</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及其</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"https://baike.baidu.com/item/%E9%9D%9E%E9%87%91%E5%B1%9E/8585052?fromModule=lemma_inlink"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非金属</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"https://baike.baidu.com/item/%E8%A1%8D%E7%94%9F%E7%89%A9/3756240?fromModule=lemma_inlink"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衍生物</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组成的黑褐色复杂混合物，是高黏度有机液体的一种，多会以液体或</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"https://baike.baidu.com/item/%E5%8D%8A%E5%9B%BA%E4%BD%93/8103928?fromModule=lemma_inlink"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半固体</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的石油形态存在，表面呈黑色，可溶于</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"https://baike.baidu.com/item/%E4%BA%8C%E7%A1%AB%E5%8C%96%E7%A2%B3/6032457?fromModule=lemma_inlink"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二硫化碳</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"https://baike.baidu.com/item/%E5%9B%9B%E6%B0%AF%E5%8C%96%E7%A2%B3/170601?fromModule=lemma_inlink"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四氯化碳</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。沥青是一种防水防潮和防腐的</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"https://baike.baidu.com/item/%E6%9C%89%E6%9C%BA%E8%83%B6%E5%87%9D%E6%9D%90%E6%96%99/7802115?fromModule=lemma_inlink"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有机胶凝材料</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。沥青主要可以分为煤焦沥青、</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"https://baike.baidu.com/item/%E7%9F%B3%E6%B2%B9%E6%B2%A5%E9%9D%92/6464730?fromModule=lemma_inlink"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石油沥青</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和</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"https://baike.baidu.com/item/%E5%A4%A9%E7%84%B6%E6%B2%A5%E9%9D%92/7532189?fromModule=lemma_inlink"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天然沥青</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三种：其中，煤焦沥青是</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"https://baike.baidu.com/item/%E7%82%BC%E7%84%A6/7410365?fromModule=lemma_inlink"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炼焦</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的副产品。石油沥青是</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"https://baike.baidu.com/item/%E5%8E%9F%E6%B2%B9%E8%92%B8%E9%A6%8F/4235661?fromModule=lemma_inlink"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原油蒸馏</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后的残渣。天然沥青则是储藏在地下，有的形成</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"https://baike.baidu.com/item/%E7%9F%BF%E5%B1%82/2691077?fromModule=lemma_inlink"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矿层</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或在地壳表面堆积。沥青主要用于</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"https://baike.baidu.com/item/%E6%B6%82%E6%96%99/2503539?fromModule=lemma_inlink"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涂料</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"https://baike.baidu.com/item/%E5%A1%91%E6%96%99/573005?fromModule=lemma_inlink"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塑料</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"https://baike.baidu.com/item/%E6%A9%A1%E8%83%B6/837156?fromModule=lemma_inlink"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橡胶</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等工业以及铺筑路面等。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7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w:t>
                  </w:r>
                </w:p>
              </w:tc>
              <w:tc>
                <w:tcPr>
                  <w:tcW w:w="11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重油</w:t>
                  </w:r>
                </w:p>
              </w:tc>
              <w:tc>
                <w:tcPr>
                  <w:tcW w:w="644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left"/>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重油是</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"https://baike.baidu.com/item/%E5%8E%9F%E6%B2%B9/789512?fromModule=lemma_inlink"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原油</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提取</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"https://baike.baidu.com/item/%E6%B1%BD%E6%B2%B9/26855?fromModule=lemma_inlink"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汽油</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"https://baike.baidu.com/item/%E6%9F%B4%E6%B2%B9/1274206?fromModule=lemma_inlink"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柴油</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后的剩余重质油，其特点是</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"https://baike.baidu.com/item/%E5%88%86%E5%AD%90%E9%87%8F/6281359?fromModule=lemma_inlink"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分子量</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大、</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"https://baike.baidu.com/item/%E9%BB%8F%E5%BA%A6/1929866?fromModule=lemma_inlink"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黏度</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高。重油的比重一般在0.82～0.95，</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"https://baike.baidu.com/item/%E7%83%AD%E5%80%BC/7412512?fromModule=lemma_inlink"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热值</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在10000～11000kcal/kg。其成分主要是</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"https://baike.baidu.com/item/%E7%A2%B3%E6%B0%A2%E5%8C%96%E5%90%88%E7%89%A9/256902?fromModule=lemma_inlink"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碳氢化合物</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，另外含有部分的硫磺及微量的</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"https://baike.baidu.com/item/%E6%97%A0%E6%9C%BA%E5%8C%96%E5%90%88%E7%89%A9/10716655?fromModule=lemma_inlink"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无机化合物</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7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7</w:t>
                  </w:r>
                </w:p>
              </w:tc>
              <w:tc>
                <w:tcPr>
                  <w:tcW w:w="1114"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渣油</w:t>
                  </w:r>
                </w:p>
              </w:tc>
              <w:tc>
                <w:tcPr>
                  <w:tcW w:w="6445" w:type="dxa"/>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left"/>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又称减压渣油。有时将从</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"https://baike.baidu.com/item/%E5%B8%B8%E5%8E%8B?fromModule=lemma_inlink"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常压</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蒸馏塔底所得的</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"https://baike.baidu.com/item/%E9%87%8D%E6%B2%B9?fromModule=lemma_inlink"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重油</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称为常压渣油。色黑粘稠，常温下呈半固体状。其性质与原油性质有关。在</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"https://baike.baidu.com/item/%E7%9F%B3%E6%B2%B9%E7%82%BC%E5%8E%82?fromModule=lemma_inlink"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石油炼厂</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中，渣油常用于加工制取</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"https://baike.baidu.com/item/%E7%9F%B3%E6%B2%B9%E7%84%A6?fromModule=lemma_inlink"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石油焦</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、残渣润滑油、</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"https://baike.baidu.com/item/%E7%9F%B3%E6%B2%B9%E6%B2%A5%E9%9D%92?fromModule=lemma_inlink"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石油沥青</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等产品，或作为裂化原料。在石油化工生产中，渣油可通过部分氧化法生产合成气或氢气，或作为蓄热炉裂解制乙烯的原料。渣油另一重要用途是用作</w:t>
                  </w:r>
                  <w:r>
                    <w:rPr>
                      <w:rFonts w:hint="default" w:ascii="Times New Roman" w:hAnsi="Times New Roman" w:eastAsia="宋体" w:cs="Times New Roman"/>
                      <w:color w:val="auto"/>
                      <w:kern w:val="2"/>
                      <w:sz w:val="21"/>
                      <w:szCs w:val="21"/>
                      <w:lang w:val="en-US" w:eastAsia="zh-CN" w:bidi="ar-SA"/>
                    </w:rPr>
                    <w:fldChar w:fldCharType="begin"/>
                  </w:r>
                  <w:r>
                    <w:rPr>
                      <w:rFonts w:hint="default" w:ascii="Times New Roman" w:hAnsi="Times New Roman" w:eastAsia="宋体" w:cs="Times New Roman"/>
                      <w:color w:val="auto"/>
                      <w:kern w:val="2"/>
                      <w:sz w:val="21"/>
                      <w:szCs w:val="21"/>
                      <w:lang w:val="en-US" w:eastAsia="zh-CN" w:bidi="ar-SA"/>
                    </w:rPr>
                    <w:instrText xml:space="preserve"> HYPERLINK "https://baike.baidu.com/item/%E7%87%83%E6%96%99%E6%B2%B9?fromModule=lemma_inlink" \t "https://baike.baidu.com/item/_blank" </w:instrText>
                  </w:r>
                  <w:r>
                    <w:rPr>
                      <w:rFonts w:hint="default" w:ascii="Times New Roman" w:hAnsi="Times New Roman" w:eastAsia="宋体" w:cs="Times New Roman"/>
                      <w:color w:val="auto"/>
                      <w:kern w:val="2"/>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燃料油</w:t>
                  </w:r>
                  <w:r>
                    <w:rPr>
                      <w:rFonts w:hint="default" w:ascii="Times New Roman" w:hAnsi="Times New Roman" w:eastAsia="宋体" w:cs="Times New Roman"/>
                      <w:color w:val="auto"/>
                      <w:kern w:val="2"/>
                      <w:sz w:val="21"/>
                      <w:szCs w:val="21"/>
                      <w:lang w:val="en-US" w:eastAsia="zh-CN" w:bidi="ar-SA"/>
                    </w:rPr>
                    <w:fldChar w:fldCharType="end"/>
                  </w:r>
                  <w:r>
                    <w:rPr>
                      <w:rFonts w:hint="default" w:ascii="Times New Roman" w:hAnsi="Times New Roman" w:eastAsia="宋体" w:cs="Times New Roman"/>
                      <w:color w:val="auto"/>
                      <w:kern w:val="2"/>
                      <w:sz w:val="21"/>
                      <w:szCs w:val="21"/>
                      <w:lang w:val="en-US" w:eastAsia="zh-CN" w:bidi="ar-SA"/>
                    </w:rPr>
                    <w:t>。</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5</w:t>
            </w:r>
            <w:r>
              <w:rPr>
                <w:rFonts w:hint="default" w:ascii="Times New Roman" w:hAnsi="Times New Roman" w:eastAsia="黑体" w:cs="Times New Roman"/>
                <w:color w:val="auto"/>
                <w:sz w:val="24"/>
                <w:szCs w:val="24"/>
                <w:highlight w:val="none"/>
                <w:lang w:val="en-US" w:eastAsia="zh-CN"/>
              </w:rPr>
              <w:t>、公用工程及辅助工程</w:t>
            </w:r>
          </w:p>
          <w:p>
            <w:pPr>
              <w:spacing w:line="360" w:lineRule="auto"/>
              <w:ind w:firstLine="480"/>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给水</w:t>
            </w:r>
          </w:p>
          <w:p>
            <w:pPr>
              <w:spacing w:line="360" w:lineRule="auto"/>
              <w:ind w:firstLine="482"/>
              <w:rPr>
                <w:rFonts w:hint="default" w:ascii="Times New Roman" w:hAnsi="Times New Roman" w:cs="Times New Roman"/>
                <w:color w:val="auto"/>
                <w:sz w:val="24"/>
                <w:szCs w:val="24"/>
                <w:lang w:eastAsia="zh-CN"/>
              </w:rPr>
            </w:pPr>
            <w:r>
              <w:rPr>
                <w:rFonts w:hint="eastAsia" w:ascii="Times New Roman" w:hAnsi="Times New Roman" w:cs="Times New Roman"/>
                <w:color w:val="auto"/>
                <w:sz w:val="24"/>
                <w:szCs w:val="24"/>
                <w:lang w:val="zh-CN" w:eastAsia="zh-CN"/>
              </w:rPr>
              <w:t>项目用水包括职工生活用水</w:t>
            </w:r>
            <w:r>
              <w:rPr>
                <w:rFonts w:hint="eastAsia" w:cs="Times New Roman"/>
                <w:color w:val="auto"/>
                <w:sz w:val="24"/>
                <w:szCs w:val="24"/>
                <w:lang w:val="zh-CN" w:eastAsia="zh-CN"/>
              </w:rPr>
              <w:t>、蒸汽锅炉用水、软水制备用水、罐区及装卸车区</w:t>
            </w:r>
            <w:r>
              <w:rPr>
                <w:rFonts w:hint="eastAsia" w:ascii="Times New Roman" w:hAnsi="Times New Roman" w:cs="Times New Roman"/>
                <w:color w:val="auto"/>
                <w:sz w:val="24"/>
                <w:szCs w:val="24"/>
                <w:lang w:val="zh-CN" w:eastAsia="zh-CN"/>
              </w:rPr>
              <w:t>地面清洗</w:t>
            </w:r>
            <w:r>
              <w:rPr>
                <w:rFonts w:hint="eastAsia" w:cs="Times New Roman"/>
                <w:color w:val="auto"/>
                <w:sz w:val="24"/>
                <w:szCs w:val="24"/>
                <w:lang w:val="zh-CN" w:eastAsia="zh-CN"/>
              </w:rPr>
              <w:t>用</w:t>
            </w:r>
            <w:r>
              <w:rPr>
                <w:rFonts w:hint="eastAsia" w:ascii="Times New Roman" w:hAnsi="Times New Roman" w:cs="Times New Roman"/>
                <w:color w:val="auto"/>
                <w:sz w:val="24"/>
                <w:szCs w:val="24"/>
                <w:lang w:val="zh-CN" w:eastAsia="zh-CN"/>
              </w:rPr>
              <w:t>水</w:t>
            </w:r>
            <w:r>
              <w:rPr>
                <w:rFonts w:hint="eastAsia" w:cs="Times New Roman"/>
                <w:color w:val="auto"/>
                <w:sz w:val="24"/>
                <w:szCs w:val="24"/>
                <w:lang w:val="zh-CN" w:eastAsia="zh-CN"/>
              </w:rPr>
              <w:t>、储</w:t>
            </w:r>
            <w:r>
              <w:rPr>
                <w:rFonts w:hint="eastAsia" w:ascii="Times New Roman" w:hAnsi="Times New Roman" w:eastAsia="宋体" w:cs="Times New Roman"/>
                <w:color w:val="auto"/>
                <w:sz w:val="24"/>
                <w:szCs w:val="24"/>
                <w:lang w:val="zh-CN" w:eastAsia="zh-CN"/>
              </w:rPr>
              <w:t>罐冲洗用水</w:t>
            </w:r>
            <w:r>
              <w:rPr>
                <w:rFonts w:hint="eastAsia" w:ascii="Times New Roman" w:hAnsi="Times New Roman" w:cs="Times New Roman"/>
                <w:color w:val="auto"/>
                <w:sz w:val="24"/>
                <w:szCs w:val="24"/>
                <w:lang w:val="zh-CN" w:eastAsia="zh-CN"/>
              </w:rPr>
              <w:t>、</w:t>
            </w:r>
            <w:r>
              <w:rPr>
                <w:rFonts w:hint="eastAsia" w:cs="Times New Roman"/>
                <w:color w:val="auto"/>
                <w:sz w:val="24"/>
                <w:szCs w:val="24"/>
                <w:lang w:val="zh-CN" w:eastAsia="zh-CN"/>
              </w:rPr>
              <w:t>绿化及道路喷洒用水</w:t>
            </w:r>
            <w:r>
              <w:rPr>
                <w:rFonts w:hint="eastAsia" w:ascii="Times New Roman" w:hAnsi="Times New Roman" w:eastAsia="宋体" w:cs="Times New Roman"/>
                <w:color w:val="auto"/>
                <w:sz w:val="24"/>
                <w:szCs w:val="24"/>
                <w:lang w:val="zh-CN" w:eastAsia="zh-CN"/>
              </w:rPr>
              <w:t>。项目用水由市政自来水管网供给，水质和水量均能满足项目需求。</w:t>
            </w:r>
          </w:p>
          <w:p>
            <w:pPr>
              <w:spacing w:line="360" w:lineRule="auto"/>
              <w:ind w:firstLine="482"/>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（1）生活用水</w:t>
            </w:r>
          </w:p>
          <w:p>
            <w:pPr>
              <w:spacing w:line="360" w:lineRule="auto"/>
              <w:ind w:firstLine="482"/>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zh-CN" w:eastAsia="zh-CN"/>
              </w:rPr>
              <w:t>项目劳动定员</w:t>
            </w:r>
            <w:r>
              <w:rPr>
                <w:rFonts w:hint="eastAsia" w:ascii="Times New Roman" w:hAnsi="Times New Roman" w:cs="Times New Roman"/>
                <w:color w:val="auto"/>
                <w:sz w:val="24"/>
                <w:szCs w:val="24"/>
                <w:lang w:val="en-US" w:eastAsia="zh-CN"/>
              </w:rPr>
              <w:t>100</w:t>
            </w:r>
            <w:r>
              <w:rPr>
                <w:rFonts w:hint="eastAsia" w:ascii="Times New Roman" w:hAnsi="Times New Roman" w:cs="Times New Roman"/>
                <w:color w:val="auto"/>
                <w:sz w:val="24"/>
                <w:szCs w:val="24"/>
                <w:lang w:val="zh-CN" w:eastAsia="zh-CN"/>
              </w:rPr>
              <w:t>人，</w:t>
            </w:r>
            <w:r>
              <w:rPr>
                <w:rFonts w:hint="eastAsia" w:ascii="Times New Roman" w:hAnsi="Times New Roman" w:cs="Times New Roman"/>
                <w:color w:val="auto"/>
                <w:sz w:val="24"/>
                <w:szCs w:val="24"/>
                <w:lang w:eastAsia="zh-CN"/>
              </w:rPr>
              <w:t>根据《</w:t>
            </w:r>
            <w:bookmarkStart w:id="2" w:name="_Hlk120893915"/>
            <w:r>
              <w:rPr>
                <w:rFonts w:hint="eastAsia" w:ascii="Times New Roman" w:hAnsi="Times New Roman" w:cs="Times New Roman"/>
                <w:color w:val="auto"/>
                <w:sz w:val="24"/>
                <w:szCs w:val="24"/>
                <w:lang w:eastAsia="zh-CN"/>
              </w:rPr>
              <w:t>建筑给水排水设计</w:t>
            </w:r>
            <w:bookmarkEnd w:id="2"/>
            <w:r>
              <w:rPr>
                <w:rFonts w:hint="eastAsia" w:ascii="Times New Roman" w:hAnsi="Times New Roman" w:cs="Times New Roman"/>
                <w:color w:val="auto"/>
                <w:sz w:val="24"/>
                <w:szCs w:val="24"/>
                <w:lang w:eastAsia="zh-CN"/>
              </w:rPr>
              <w:t>标准》（GB50015-2019）同时参考其他同类项目，本生活用水量按照50L/d·人计，则项目生活用水量</w:t>
            </w:r>
            <w:r>
              <w:rPr>
                <w:rFonts w:hint="eastAsia" w:cs="Times New Roman"/>
                <w:color w:val="auto"/>
                <w:sz w:val="24"/>
                <w:szCs w:val="24"/>
                <w:lang w:val="en-US" w:eastAsia="zh-CN"/>
              </w:rPr>
              <w:t>5</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/d，</w:t>
            </w:r>
            <w:r>
              <w:rPr>
                <w:rFonts w:hint="eastAsia" w:cs="Times New Roman"/>
                <w:color w:val="auto"/>
                <w:sz w:val="24"/>
                <w:szCs w:val="24"/>
                <w:lang w:val="en-US" w:eastAsia="zh-CN"/>
              </w:rPr>
              <w:t>1665</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/a</w:t>
            </w:r>
            <w:bookmarkStart w:id="3" w:name="OLE_LINK2"/>
            <w:bookmarkStart w:id="4" w:name="OLE_LINK1"/>
            <w:r>
              <w:rPr>
                <w:rFonts w:hint="eastAsia" w:ascii="Times New Roman" w:hAnsi="Times New Roman" w:cs="Times New Roman"/>
                <w:color w:val="auto"/>
                <w:sz w:val="24"/>
                <w:szCs w:val="24"/>
                <w:lang w:eastAsia="zh-CN"/>
              </w:rPr>
              <w:t>。</w:t>
            </w:r>
            <w:bookmarkEnd w:id="3"/>
            <w:bookmarkEnd w:id="4"/>
            <w:r>
              <w:rPr>
                <w:rFonts w:hint="eastAsia" w:cs="Times New Roman"/>
                <w:color w:val="auto"/>
                <w:sz w:val="24"/>
                <w:szCs w:val="24"/>
                <w:lang w:eastAsia="zh-CN"/>
              </w:rPr>
              <w:t>生活用水中</w:t>
            </w:r>
            <w:r>
              <w:rPr>
                <w:rFonts w:hint="eastAsia" w:cs="Times New Roman"/>
                <w:color w:val="auto"/>
                <w:sz w:val="24"/>
                <w:szCs w:val="24"/>
                <w:lang w:val="en-US" w:eastAsia="zh-CN"/>
              </w:rPr>
              <w:t>1110.94</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/a</w:t>
            </w:r>
            <w:r>
              <w:rPr>
                <w:rFonts w:hint="eastAsia" w:cs="Times New Roman"/>
                <w:color w:val="auto"/>
                <w:sz w:val="24"/>
                <w:szCs w:val="24"/>
                <w:lang w:val="en-US" w:eastAsia="zh-CN"/>
              </w:rPr>
              <w:t>由中水回用设施提供（主要用于冲厕及地面清洁）；554.06</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/a</w:t>
            </w:r>
            <w:r>
              <w:rPr>
                <w:rFonts w:hint="eastAsia" w:cs="Times New Roman"/>
                <w:color w:val="auto"/>
                <w:sz w:val="24"/>
                <w:szCs w:val="24"/>
                <w:lang w:val="en-US" w:eastAsia="zh-CN"/>
              </w:rPr>
              <w:t>由</w:t>
            </w:r>
            <w:r>
              <w:rPr>
                <w:rFonts w:hint="eastAsia" w:ascii="Times New Roman" w:hAnsi="Times New Roman" w:eastAsia="宋体" w:cs="Times New Roman"/>
                <w:color w:val="auto"/>
                <w:sz w:val="24"/>
                <w:szCs w:val="24"/>
                <w:lang w:val="zh-CN" w:eastAsia="zh-CN"/>
              </w:rPr>
              <w:t>市政自来水管网供给</w:t>
            </w:r>
            <w:r>
              <w:rPr>
                <w:rFonts w:hint="eastAsia" w:cs="Times New Roman"/>
                <w:color w:val="auto"/>
                <w:sz w:val="24"/>
                <w:szCs w:val="24"/>
                <w:lang w:val="en-US" w:eastAsia="zh-CN"/>
              </w:rPr>
              <w:t>。</w:t>
            </w:r>
          </w:p>
          <w:p>
            <w:pPr>
              <w:spacing w:line="360" w:lineRule="auto"/>
              <w:ind w:firstLine="482"/>
              <w:rPr>
                <w:rFonts w:hint="eastAsia" w:ascii="Times New Roman" w:hAnsi="Times New Roman" w:cs="Times New Roman"/>
                <w:color w:val="auto"/>
                <w:sz w:val="24"/>
                <w:szCs w:val="24"/>
                <w:lang w:eastAsia="zh-CN"/>
              </w:rPr>
            </w:pPr>
            <w:r>
              <w:rPr>
                <w:rFonts w:hint="eastAsia" w:cs="Times New Roman"/>
                <w:color w:val="auto"/>
                <w:sz w:val="24"/>
                <w:szCs w:val="24"/>
                <w:lang w:eastAsia="zh-CN"/>
              </w:rPr>
              <w:t>（</w:t>
            </w:r>
            <w:r>
              <w:rPr>
                <w:rFonts w:hint="eastAsia" w:cs="Times New Roman"/>
                <w:color w:val="auto"/>
                <w:sz w:val="24"/>
                <w:szCs w:val="24"/>
                <w:lang w:val="en-US" w:eastAsia="zh-CN"/>
              </w:rPr>
              <w:t>2</w:t>
            </w:r>
            <w:r>
              <w:rPr>
                <w:rFonts w:hint="eastAsia" w:cs="Times New Roman"/>
                <w:color w:val="auto"/>
                <w:sz w:val="24"/>
                <w:szCs w:val="24"/>
                <w:lang w:eastAsia="zh-CN"/>
              </w:rPr>
              <w:t>）</w:t>
            </w:r>
            <w:r>
              <w:rPr>
                <w:rFonts w:hint="eastAsia" w:cs="Times New Roman"/>
                <w:color w:val="auto"/>
                <w:sz w:val="24"/>
                <w:szCs w:val="24"/>
                <w:lang w:val="zh-CN" w:eastAsia="zh-CN"/>
              </w:rPr>
              <w:t>蒸汽锅炉用水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11"/>
                <w:sz w:val="24"/>
                <w:szCs w:val="24"/>
                <w:lang w:eastAsia="zh-CN"/>
              </w:rPr>
            </w:pPr>
            <w:r>
              <w:rPr>
                <w:rFonts w:hint="default" w:ascii="Times New Roman" w:hAnsi="Times New Roman" w:eastAsia="宋体" w:cs="Times New Roman"/>
                <w:color w:val="auto"/>
                <w:kern w:val="11"/>
                <w:sz w:val="24"/>
                <w:szCs w:val="24"/>
              </w:rPr>
              <w:t>该项目建设</w:t>
            </w:r>
            <w:r>
              <w:rPr>
                <w:rFonts w:hint="default" w:ascii="Times New Roman" w:hAnsi="Times New Roman" w:eastAsia="宋体" w:cs="Times New Roman"/>
                <w:color w:val="auto"/>
                <w:kern w:val="11"/>
                <w:sz w:val="24"/>
                <w:szCs w:val="24"/>
                <w:lang w:val="en-US" w:eastAsia="zh-CN"/>
              </w:rPr>
              <w:t>1台</w:t>
            </w:r>
            <w:r>
              <w:rPr>
                <w:rFonts w:hint="eastAsia" w:ascii="Times New Roman" w:hAnsi="Times New Roman" w:cs="Times New Roman"/>
                <w:color w:val="auto"/>
                <w:kern w:val="11"/>
                <w:sz w:val="24"/>
                <w:szCs w:val="24"/>
                <w:lang w:val="en-US" w:eastAsia="zh-CN"/>
              </w:rPr>
              <w:t>4</w:t>
            </w:r>
            <w:r>
              <w:rPr>
                <w:rFonts w:hint="default" w:ascii="Times New Roman" w:hAnsi="Times New Roman" w:eastAsia="宋体" w:cs="Times New Roman"/>
                <w:color w:val="auto"/>
                <w:kern w:val="11"/>
                <w:sz w:val="24"/>
                <w:szCs w:val="24"/>
              </w:rPr>
              <w:t>t/h的蒸汽锅炉，采用软水制备系统制备软水</w:t>
            </w:r>
            <w:r>
              <w:rPr>
                <w:rFonts w:hint="default" w:ascii="Times New Roman" w:hAnsi="Times New Roman" w:cs="Times New Roman"/>
                <w:color w:val="auto"/>
                <w:kern w:val="11"/>
                <w:sz w:val="24"/>
                <w:szCs w:val="24"/>
                <w:lang w:val="en-US" w:eastAsia="zh-CN"/>
              </w:rPr>
              <w:t>，蒸汽部分蒸发损耗，剩余冷凝水回用</w:t>
            </w:r>
            <w:r>
              <w:rPr>
                <w:rFonts w:hint="default" w:ascii="Times New Roman" w:hAnsi="Times New Roman" w:eastAsia="宋体" w:cs="Times New Roman"/>
                <w:color w:val="auto"/>
                <w:kern w:val="11"/>
                <w:sz w:val="24"/>
                <w:szCs w:val="24"/>
              </w:rPr>
              <w:t>。</w:t>
            </w:r>
            <w:r>
              <w:rPr>
                <w:rFonts w:hint="default" w:ascii="Times New Roman" w:hAnsi="Times New Roman" w:eastAsia="宋体" w:cs="Times New Roman"/>
                <w:bCs/>
                <w:color w:val="auto"/>
                <w:sz w:val="24"/>
                <w:szCs w:val="24"/>
                <w:lang w:val="en-US" w:eastAsia="zh-CN"/>
              </w:rPr>
              <w:t>为了保持</w:t>
            </w:r>
            <w:r>
              <w:rPr>
                <w:rFonts w:hint="default" w:ascii="Times New Roman" w:hAnsi="Times New Roman" w:cs="Times New Roman"/>
                <w:color w:val="auto"/>
                <w:kern w:val="11"/>
                <w:sz w:val="24"/>
                <w:szCs w:val="24"/>
                <w:lang w:val="en-US" w:eastAsia="zh-CN"/>
              </w:rPr>
              <w:t>蒸汽锅炉内</w:t>
            </w:r>
            <w:r>
              <w:rPr>
                <w:rFonts w:hint="default" w:ascii="Times New Roman" w:hAnsi="Times New Roman" w:eastAsia="宋体" w:cs="Times New Roman"/>
                <w:bCs/>
                <w:color w:val="auto"/>
                <w:sz w:val="24"/>
                <w:szCs w:val="24"/>
                <w:lang w:val="en-US" w:eastAsia="zh-CN"/>
              </w:rPr>
              <w:t>水中盐分平衡</w:t>
            </w:r>
            <w:r>
              <w:rPr>
                <w:rFonts w:hint="default" w:ascii="Times New Roman" w:hAnsi="Times New Roman" w:cs="Times New Roman"/>
                <w:bCs/>
                <w:color w:val="auto"/>
                <w:sz w:val="24"/>
                <w:szCs w:val="24"/>
                <w:lang w:val="en-US" w:eastAsia="zh-CN"/>
              </w:rPr>
              <w:t>，</w:t>
            </w:r>
            <w:r>
              <w:rPr>
                <w:rFonts w:hint="default" w:ascii="Times New Roman" w:hAnsi="Times New Roman" w:cs="Times New Roman"/>
                <w:color w:val="auto"/>
                <w:kern w:val="11"/>
                <w:sz w:val="24"/>
                <w:szCs w:val="24"/>
                <w:lang w:val="en-US" w:eastAsia="zh-CN"/>
              </w:rPr>
              <w:t>需要定期排放。</w:t>
            </w:r>
            <w:r>
              <w:rPr>
                <w:rFonts w:hint="default" w:ascii="Times New Roman" w:hAnsi="Times New Roman" w:eastAsia="宋体" w:cs="Times New Roman"/>
                <w:color w:val="auto"/>
                <w:kern w:val="11"/>
                <w:sz w:val="24"/>
                <w:szCs w:val="24"/>
              </w:rPr>
              <w:t>锅炉补水量</w:t>
            </w:r>
            <w:r>
              <w:rPr>
                <w:rFonts w:hint="default" w:ascii="Times New Roman" w:hAnsi="Times New Roman" w:cs="Times New Roman"/>
                <w:color w:val="auto"/>
                <w:kern w:val="11"/>
                <w:sz w:val="24"/>
                <w:szCs w:val="24"/>
                <w:lang w:val="en-US" w:eastAsia="zh-CN"/>
              </w:rPr>
              <w:t>=锅炉定期排浓水量+蒸汽损失量</w:t>
            </w:r>
            <w:r>
              <w:rPr>
                <w:rFonts w:hint="default" w:ascii="Times New Roman" w:hAnsi="Times New Roman" w:cs="Times New Roman"/>
                <w:color w:val="auto"/>
                <w:kern w:val="11"/>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11"/>
                <w:sz w:val="24"/>
                <w:szCs w:val="24"/>
              </w:rPr>
              <w:t>锅炉</w:t>
            </w:r>
            <w:r>
              <w:rPr>
                <w:rFonts w:hint="default" w:ascii="Times New Roman" w:hAnsi="Times New Roman" w:cs="Times New Roman"/>
                <w:color w:val="auto"/>
                <w:kern w:val="11"/>
                <w:sz w:val="24"/>
                <w:szCs w:val="24"/>
                <w:lang w:val="en-US" w:eastAsia="zh-CN"/>
              </w:rPr>
              <w:t>排浓水</w:t>
            </w:r>
            <w:r>
              <w:rPr>
                <w:rFonts w:hint="default" w:ascii="Times New Roman" w:hAnsi="Times New Roman" w:eastAsia="宋体" w:cs="Times New Roman"/>
                <w:color w:val="auto"/>
                <w:kern w:val="11"/>
                <w:sz w:val="24"/>
                <w:szCs w:val="24"/>
              </w:rPr>
              <w:t>量</w:t>
            </w:r>
            <w:r>
              <w:rPr>
                <w:rFonts w:hint="default" w:ascii="Times New Roman" w:hAnsi="Times New Roman" w:cs="Times New Roman"/>
                <w:color w:val="auto"/>
                <w:kern w:val="11"/>
                <w:sz w:val="24"/>
                <w:szCs w:val="24"/>
                <w:lang w:eastAsia="zh-CN"/>
              </w:rPr>
              <w:t>：</w:t>
            </w:r>
            <w:r>
              <w:rPr>
                <w:rFonts w:hint="default" w:ascii="Times New Roman" w:hAnsi="Times New Roman" w:eastAsia="宋体" w:cs="Times New Roman"/>
                <w:color w:val="auto"/>
                <w:kern w:val="11"/>
                <w:sz w:val="24"/>
                <w:szCs w:val="24"/>
              </w:rPr>
              <w:t>参考《</w:t>
            </w:r>
            <w:r>
              <w:rPr>
                <w:rFonts w:hint="default" w:ascii="Times New Roman" w:hAnsi="Times New Roman" w:eastAsia="宋体" w:cs="Times New Roman"/>
                <w:color w:val="auto"/>
                <w:kern w:val="11"/>
                <w:sz w:val="24"/>
                <w:szCs w:val="24"/>
                <w:lang w:val="en-US" w:eastAsia="zh-CN"/>
              </w:rPr>
              <w:t>排放源统计调查产排污核算方法和系数手册</w:t>
            </w:r>
            <w:r>
              <w:rPr>
                <w:rFonts w:hint="default" w:ascii="Times New Roman" w:hAnsi="Times New Roman" w:eastAsia="宋体" w:cs="Times New Roman"/>
                <w:color w:val="auto"/>
                <w:kern w:val="11"/>
                <w:sz w:val="24"/>
                <w:szCs w:val="24"/>
              </w:rPr>
              <w:t>》</w:t>
            </w:r>
            <w:r>
              <w:rPr>
                <w:rFonts w:hint="default" w:ascii="Times New Roman" w:hAnsi="Times New Roman" w:cs="Times New Roman"/>
                <w:color w:val="auto"/>
                <w:kern w:val="11"/>
                <w:sz w:val="24"/>
                <w:szCs w:val="24"/>
                <w:lang w:val="en-US" w:eastAsia="zh-CN"/>
              </w:rPr>
              <w:t>中对应的4430</w:t>
            </w:r>
            <w:r>
              <w:rPr>
                <w:rFonts w:hint="default" w:ascii="Times New Roman" w:hAnsi="Times New Roman" w:eastAsia="宋体" w:cs="Times New Roman"/>
                <w:color w:val="auto"/>
                <w:kern w:val="11"/>
                <w:sz w:val="24"/>
                <w:szCs w:val="24"/>
              </w:rPr>
              <w:t>工业</w:t>
            </w:r>
            <w:r>
              <w:rPr>
                <w:rFonts w:hint="default" w:ascii="Times New Roman" w:hAnsi="Times New Roman" w:eastAsia="宋体" w:cs="Times New Roman"/>
                <w:color w:val="auto"/>
                <w:kern w:val="11"/>
                <w:sz w:val="24"/>
                <w:szCs w:val="24"/>
                <w:lang w:val="en-US" w:eastAsia="zh-CN"/>
              </w:rPr>
              <w:t>锅炉产排污量核算系数</w:t>
            </w:r>
            <w:r>
              <w:rPr>
                <w:rFonts w:hint="default" w:ascii="Times New Roman" w:hAnsi="Times New Roman" w:eastAsia="宋体" w:cs="Times New Roman"/>
                <w:color w:val="auto"/>
                <w:kern w:val="11"/>
                <w:sz w:val="24"/>
                <w:szCs w:val="24"/>
              </w:rPr>
              <w:t>，产生系数为</w:t>
            </w:r>
            <w:r>
              <w:rPr>
                <w:rFonts w:hint="default" w:ascii="Times New Roman" w:hAnsi="Times New Roman" w:cs="Times New Roman"/>
                <w:color w:val="auto"/>
                <w:kern w:val="11"/>
                <w:sz w:val="24"/>
                <w:szCs w:val="24"/>
                <w:lang w:val="en-US" w:eastAsia="zh-CN"/>
              </w:rPr>
              <w:t>1.97m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color w:val="auto"/>
                <w:kern w:val="11"/>
                <w:sz w:val="24"/>
                <w:szCs w:val="24"/>
              </w:rPr>
              <w:t>/万Nm</w:t>
            </w:r>
            <w:r>
              <w:rPr>
                <w:rFonts w:hint="default" w:ascii="Times New Roman" w:hAnsi="Times New Roman" w:eastAsia="宋体" w:cs="Times New Roman"/>
                <w:color w:val="auto"/>
                <w:kern w:val="11"/>
                <w:sz w:val="24"/>
                <w:szCs w:val="24"/>
                <w:vertAlign w:val="superscript"/>
              </w:rPr>
              <w:t>3</w:t>
            </w:r>
            <w:r>
              <w:rPr>
                <w:rFonts w:hint="default" w:ascii="Times New Roman" w:hAnsi="Times New Roman" w:eastAsia="宋体" w:cs="Times New Roman"/>
                <w:color w:val="auto"/>
                <w:kern w:val="11"/>
                <w:sz w:val="24"/>
                <w:szCs w:val="24"/>
              </w:rPr>
              <w:t>天然气。蒸汽锅炉年</w:t>
            </w:r>
            <w:r>
              <w:rPr>
                <w:rFonts w:hint="default" w:ascii="Times New Roman" w:hAnsi="Times New Roman" w:cs="Times New Roman"/>
                <w:color w:val="auto"/>
                <w:kern w:val="11"/>
                <w:sz w:val="24"/>
                <w:szCs w:val="24"/>
                <w:lang w:val="en-US" w:eastAsia="zh-CN"/>
              </w:rPr>
              <w:t>天然气用</w:t>
            </w:r>
            <w:r>
              <w:rPr>
                <w:rFonts w:hint="default" w:ascii="Times New Roman" w:hAnsi="Times New Roman" w:eastAsia="宋体" w:cs="Times New Roman"/>
                <w:color w:val="auto"/>
                <w:kern w:val="11"/>
                <w:sz w:val="24"/>
                <w:szCs w:val="24"/>
              </w:rPr>
              <w:t>量约</w:t>
            </w:r>
            <w:r>
              <w:rPr>
                <w:rFonts w:hint="default" w:ascii="Times New Roman" w:hAnsi="Times New Roman" w:eastAsia="宋体" w:cs="Times New Roman"/>
                <w:color w:val="auto"/>
                <w:kern w:val="11"/>
                <w:sz w:val="24"/>
                <w:szCs w:val="24"/>
                <w:lang w:val="en-US" w:eastAsia="zh-CN"/>
              </w:rPr>
              <w:t>为</w:t>
            </w:r>
            <w:r>
              <w:rPr>
                <w:rFonts w:hint="eastAsia" w:ascii="Times New Roman" w:hAnsi="Times New Roman" w:eastAsia="宋体" w:cs="Times New Roman"/>
                <w:color w:val="auto"/>
                <w:kern w:val="11"/>
                <w:sz w:val="24"/>
                <w:szCs w:val="24"/>
                <w:lang w:val="en-US" w:eastAsia="zh-CN"/>
              </w:rPr>
              <w:t>313.6</w:t>
            </w:r>
            <w:r>
              <w:rPr>
                <w:rFonts w:hint="default" w:ascii="Times New Roman" w:hAnsi="Times New Roman" w:eastAsia="宋体" w:cs="Times New Roman"/>
                <w:color w:val="auto"/>
                <w:kern w:val="11"/>
                <w:sz w:val="24"/>
                <w:szCs w:val="24"/>
              </w:rPr>
              <w:t>万Nm</w:t>
            </w:r>
            <w:r>
              <w:rPr>
                <w:rFonts w:hint="default" w:ascii="Times New Roman" w:hAnsi="Times New Roman" w:eastAsia="宋体" w:cs="Times New Roman"/>
                <w:color w:val="auto"/>
                <w:kern w:val="11"/>
                <w:sz w:val="24"/>
                <w:szCs w:val="24"/>
                <w:vertAlign w:val="superscript"/>
              </w:rPr>
              <w:t>3</w:t>
            </w:r>
            <w:r>
              <w:rPr>
                <w:rFonts w:hint="default" w:ascii="Times New Roman" w:hAnsi="Times New Roman" w:cs="Times New Roman"/>
                <w:color w:val="auto"/>
                <w:kern w:val="11"/>
                <w:sz w:val="24"/>
                <w:szCs w:val="24"/>
                <w:vertAlign w:val="baseline"/>
                <w:lang w:val="en-US" w:eastAsia="zh-CN"/>
              </w:rPr>
              <w:t>/a</w:t>
            </w:r>
            <w:r>
              <w:rPr>
                <w:rFonts w:hint="default" w:ascii="Times New Roman" w:hAnsi="Times New Roman" w:cs="Times New Roman"/>
                <w:color w:val="auto"/>
                <w:kern w:val="11"/>
                <w:sz w:val="24"/>
                <w:szCs w:val="24"/>
                <w:lang w:eastAsia="zh-CN"/>
              </w:rPr>
              <w:t>，</w:t>
            </w:r>
            <w:r>
              <w:rPr>
                <w:rFonts w:hint="default" w:ascii="Times New Roman" w:hAnsi="Times New Roman" w:eastAsia="宋体" w:cs="Times New Roman"/>
                <w:color w:val="auto"/>
                <w:kern w:val="11"/>
                <w:sz w:val="24"/>
                <w:szCs w:val="24"/>
                <w:lang w:val="en-US" w:eastAsia="zh-CN"/>
              </w:rPr>
              <w:t>则</w:t>
            </w:r>
            <w:r>
              <w:rPr>
                <w:rFonts w:hint="default" w:ascii="Times New Roman" w:hAnsi="Times New Roman" w:cs="Times New Roman"/>
                <w:color w:val="auto"/>
                <w:kern w:val="11"/>
                <w:sz w:val="24"/>
                <w:szCs w:val="24"/>
                <w:lang w:val="en-US" w:eastAsia="zh-CN"/>
              </w:rPr>
              <w:t>锅炉排浓水量</w:t>
            </w:r>
            <w:r>
              <w:rPr>
                <w:rFonts w:hint="default" w:ascii="Times New Roman" w:hAnsi="Times New Roman" w:eastAsia="宋体" w:cs="Times New Roman"/>
                <w:color w:val="auto"/>
                <w:kern w:val="11"/>
                <w:sz w:val="24"/>
                <w:szCs w:val="24"/>
              </w:rPr>
              <w:t>为</w:t>
            </w:r>
            <w:r>
              <w:rPr>
                <w:rFonts w:hint="eastAsia" w:ascii="Times New Roman" w:hAnsi="Times New Roman" w:cs="Times New Roman"/>
                <w:color w:val="auto"/>
                <w:kern w:val="11"/>
                <w:sz w:val="24"/>
                <w:szCs w:val="24"/>
                <w:lang w:val="en-US" w:eastAsia="zh-CN"/>
              </w:rPr>
              <w:t>617.79</w:t>
            </w:r>
            <w:r>
              <w:rPr>
                <w:rFonts w:hint="default" w:ascii="Times New Roman" w:hAnsi="Times New Roman" w:cs="Times New Roman"/>
                <w:color w:val="auto"/>
                <w:kern w:val="11"/>
                <w:sz w:val="24"/>
                <w:szCs w:val="24"/>
                <w:lang w:val="en-US" w:eastAsia="zh-CN"/>
              </w:rPr>
              <w:t>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color w:val="auto"/>
                <w:kern w:val="11"/>
                <w:sz w:val="24"/>
                <w:szCs w:val="24"/>
              </w:rPr>
              <w:t>/a</w:t>
            </w:r>
            <w:r>
              <w:rPr>
                <w:rFonts w:hint="default" w:ascii="Times New Roman" w:hAnsi="Times New Roman" w:eastAsia="宋体" w:cs="Times New Roman"/>
                <w:color w:val="auto"/>
                <w:sz w:val="24"/>
                <w:szCs w:val="24"/>
              </w:rPr>
              <w:t>。</w:t>
            </w:r>
          </w:p>
          <w:p>
            <w:pPr>
              <w:pStyle w:val="9"/>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szCs w:val="24"/>
                <w:highlight w:val="none"/>
                <w:lang w:val="en-US" w:eastAsia="zh-CN"/>
              </w:rPr>
              <w:t>蒸汽损失量：约25%的蒸汽冷凝水蒸发损失，75%蒸汽冷凝水回用。蒸汽损失量约为</w:t>
            </w:r>
            <w:r>
              <w:rPr>
                <w:rFonts w:hint="eastAsia" w:ascii="Times New Roman" w:hAnsi="Times New Roman" w:eastAsia="宋体" w:cs="Times New Roman"/>
                <w:color w:val="auto"/>
                <w:sz w:val="24"/>
                <w:szCs w:val="24"/>
                <w:highlight w:val="none"/>
                <w:lang w:val="en-US" w:eastAsia="zh-CN"/>
              </w:rPr>
              <w:t>1800</w:t>
            </w:r>
            <w:r>
              <w:rPr>
                <w:rFonts w:hint="default" w:ascii="Times New Roman" w:hAnsi="Times New Roman" w:cs="Times New Roman"/>
                <w:color w:val="auto"/>
                <w:kern w:val="11"/>
                <w:sz w:val="24"/>
                <w:szCs w:val="24"/>
                <w:highlight w:val="none"/>
                <w:lang w:val="en-US" w:eastAsia="zh-CN"/>
              </w:rPr>
              <w:t>m</w:t>
            </w:r>
            <w:r>
              <w:rPr>
                <w:rFonts w:hint="default" w:ascii="Times New Roman" w:hAnsi="Times New Roman" w:cs="Times New Roman"/>
                <w:color w:val="auto"/>
                <w:kern w:val="11"/>
                <w:sz w:val="24"/>
                <w:szCs w:val="24"/>
                <w:highlight w:val="none"/>
                <w:vertAlign w:val="superscript"/>
                <w:lang w:val="en-US" w:eastAsia="zh-CN"/>
              </w:rPr>
              <w:t>3</w:t>
            </w:r>
            <w:r>
              <w:rPr>
                <w:rFonts w:hint="default" w:ascii="Times New Roman" w:hAnsi="Times New Roman" w:eastAsia="宋体" w:cs="Times New Roman"/>
                <w:color w:val="auto"/>
                <w:kern w:val="11"/>
                <w:sz w:val="24"/>
                <w:szCs w:val="24"/>
                <w:highlight w:val="none"/>
              </w:rPr>
              <w:t>/a</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lang w:val="en-US" w:eastAsia="zh-CN"/>
              </w:rPr>
            </w:pPr>
            <w:r>
              <w:rPr>
                <w:rFonts w:hint="eastAsia" w:ascii="Times New Roman" w:hAnsi="Times New Roman" w:eastAsia="宋体" w:cs="Times New Roman"/>
                <w:i w:val="0"/>
                <w:iCs w:val="0"/>
                <w:caps w:val="0"/>
                <w:color w:val="auto"/>
                <w:spacing w:val="0"/>
                <w:sz w:val="24"/>
                <w:szCs w:val="24"/>
                <w:shd w:val="clear" w:fill="FFFFFF"/>
                <w:lang w:val="en-US" w:eastAsia="zh-CN"/>
              </w:rPr>
              <w:t>综上所述，</w:t>
            </w:r>
            <w:r>
              <w:rPr>
                <w:rFonts w:hint="default" w:ascii="Times New Roman" w:hAnsi="Times New Roman" w:eastAsia="宋体" w:cs="Times New Roman"/>
                <w:i w:val="0"/>
                <w:iCs w:val="0"/>
                <w:caps w:val="0"/>
                <w:color w:val="auto"/>
                <w:spacing w:val="0"/>
                <w:sz w:val="24"/>
                <w:szCs w:val="24"/>
                <w:shd w:val="clear" w:fill="FFFFFF"/>
                <w:lang w:val="en-US" w:eastAsia="zh-CN"/>
              </w:rPr>
              <w:t>锅炉所需软水量为</w:t>
            </w:r>
            <w:r>
              <w:rPr>
                <w:rFonts w:hint="eastAsia" w:ascii="Times New Roman" w:hAnsi="Times New Roman" w:eastAsia="宋体" w:cs="Times New Roman"/>
                <w:i w:val="0"/>
                <w:iCs w:val="0"/>
                <w:caps w:val="0"/>
                <w:color w:val="auto"/>
                <w:spacing w:val="0"/>
                <w:sz w:val="24"/>
                <w:szCs w:val="24"/>
                <w:shd w:val="clear" w:fill="FFFFFF"/>
                <w:lang w:val="en-US" w:eastAsia="zh-CN"/>
              </w:rPr>
              <w:t>2417.79</w:t>
            </w:r>
            <w:r>
              <w:rPr>
                <w:rFonts w:hint="default" w:ascii="Times New Roman" w:hAnsi="Times New Roman" w:cs="Times New Roman"/>
                <w:color w:val="auto"/>
                <w:kern w:val="11"/>
                <w:sz w:val="24"/>
                <w:szCs w:val="24"/>
                <w:lang w:val="en-US" w:eastAsia="zh-CN"/>
              </w:rPr>
              <w:t>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color w:val="auto"/>
                <w:kern w:val="11"/>
                <w:sz w:val="24"/>
                <w:szCs w:val="24"/>
              </w:rPr>
              <w:t>/a</w:t>
            </w:r>
            <w:r>
              <w:rPr>
                <w:rFonts w:hint="default" w:ascii="Times New Roman" w:hAnsi="Times New Roman" w:eastAsia="宋体" w:cs="Times New Roman"/>
                <w:color w:val="auto"/>
                <w:kern w:val="11"/>
                <w:sz w:val="24"/>
                <w:szCs w:val="24"/>
                <w:lang w:eastAsia="zh-CN"/>
              </w:rPr>
              <w:t>，</w:t>
            </w:r>
            <w:r>
              <w:rPr>
                <w:rFonts w:hint="eastAsia" w:ascii="Times New Roman" w:hAnsi="Times New Roman" w:eastAsia="宋体" w:cs="Times New Roman"/>
                <w:color w:val="auto"/>
                <w:kern w:val="11"/>
                <w:sz w:val="24"/>
                <w:szCs w:val="24"/>
                <w:lang w:eastAsia="zh-CN"/>
              </w:rPr>
              <w:t>由厂区软水制备装置提供。</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rPr>
            </w:pPr>
            <w:r>
              <w:rPr>
                <w:rFonts w:hint="eastAsia"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lang w:val="en-US" w:eastAsia="zh-CN"/>
              </w:rPr>
              <w:t>软水制备用水</w:t>
            </w:r>
          </w:p>
          <w:p>
            <w:pPr>
              <w:pStyle w:val="9"/>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cs="Times New Roman"/>
                <w:color w:val="auto"/>
                <w:sz w:val="24"/>
                <w:szCs w:val="24"/>
                <w:lang w:eastAsia="zh-CN"/>
              </w:rPr>
            </w:pPr>
            <w:r>
              <w:rPr>
                <w:rFonts w:hint="default" w:ascii="Times New Roman" w:hAnsi="Times New Roman" w:cs="Times New Roman"/>
                <w:color w:val="auto"/>
                <w:sz w:val="24"/>
                <w:szCs w:val="24"/>
                <w:lang w:val="en-US" w:eastAsia="zh-CN"/>
              </w:rPr>
              <w:t>软水制备</w:t>
            </w:r>
            <w:r>
              <w:rPr>
                <w:rFonts w:hint="default" w:ascii="Times New Roman" w:hAnsi="Times New Roman" w:eastAsia="宋体" w:cs="Times New Roman"/>
                <w:i w:val="0"/>
                <w:iCs w:val="0"/>
                <w:caps w:val="0"/>
                <w:color w:val="auto"/>
                <w:spacing w:val="0"/>
                <w:sz w:val="24"/>
                <w:szCs w:val="24"/>
                <w:shd w:val="clear" w:fill="FFFFFF"/>
                <w:lang w:val="en-US" w:eastAsia="zh-CN"/>
              </w:rPr>
              <w:t>反冲洗用水量约为软水制备量的5</w:t>
            </w:r>
            <w:r>
              <w:rPr>
                <w:rFonts w:hint="default" w:ascii="Times New Roman" w:hAnsi="Times New Roman" w:eastAsia="宋体" w:cs="Times New Roman"/>
                <w:i w:val="0"/>
                <w:iCs w:val="0"/>
                <w:caps w:val="0"/>
                <w:color w:val="auto"/>
                <w:spacing w:val="0"/>
                <w:sz w:val="24"/>
                <w:szCs w:val="24"/>
                <w:shd w:val="clear" w:fill="FFFFFF"/>
              </w:rPr>
              <w:t>%。</w:t>
            </w:r>
            <w:r>
              <w:rPr>
                <w:rFonts w:hint="default" w:ascii="Times New Roman" w:hAnsi="Times New Roman" w:eastAsia="宋体" w:cs="Times New Roman"/>
                <w:i w:val="0"/>
                <w:iCs w:val="0"/>
                <w:caps w:val="0"/>
                <w:color w:val="auto"/>
                <w:spacing w:val="0"/>
                <w:sz w:val="24"/>
                <w:szCs w:val="24"/>
                <w:shd w:val="clear" w:fill="FFFFFF"/>
                <w:lang w:val="en-US" w:eastAsia="zh-CN"/>
              </w:rPr>
              <w:t>锅炉所需软水量为</w:t>
            </w:r>
            <w:r>
              <w:rPr>
                <w:rFonts w:hint="eastAsia" w:ascii="Times New Roman" w:hAnsi="Times New Roman" w:eastAsia="宋体" w:cs="Times New Roman"/>
                <w:i w:val="0"/>
                <w:iCs w:val="0"/>
                <w:caps w:val="0"/>
                <w:color w:val="auto"/>
                <w:spacing w:val="0"/>
                <w:sz w:val="24"/>
                <w:szCs w:val="24"/>
                <w:shd w:val="clear" w:fill="FFFFFF"/>
                <w:lang w:val="en-US" w:eastAsia="zh-CN"/>
              </w:rPr>
              <w:t>2417.79</w:t>
            </w:r>
            <w:r>
              <w:rPr>
                <w:rFonts w:hint="default" w:ascii="Times New Roman" w:hAnsi="Times New Roman" w:cs="Times New Roman"/>
                <w:color w:val="auto"/>
                <w:kern w:val="11"/>
                <w:sz w:val="24"/>
                <w:szCs w:val="24"/>
                <w:lang w:val="en-US" w:eastAsia="zh-CN"/>
              </w:rPr>
              <w:t>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color w:val="auto"/>
                <w:kern w:val="11"/>
                <w:sz w:val="24"/>
                <w:szCs w:val="24"/>
              </w:rPr>
              <w:t>/a</w:t>
            </w:r>
            <w:r>
              <w:rPr>
                <w:rFonts w:hint="default" w:ascii="Times New Roman" w:hAnsi="Times New Roman" w:eastAsia="宋体" w:cs="Times New Roman"/>
                <w:color w:val="auto"/>
                <w:kern w:val="11"/>
                <w:sz w:val="24"/>
                <w:szCs w:val="24"/>
                <w:lang w:eastAsia="zh-CN"/>
              </w:rPr>
              <w:t>，</w:t>
            </w:r>
            <w:r>
              <w:rPr>
                <w:rFonts w:hint="default" w:ascii="Times New Roman" w:hAnsi="Times New Roman" w:eastAsia="宋体" w:cs="Times New Roman"/>
                <w:color w:val="auto"/>
                <w:kern w:val="11"/>
                <w:sz w:val="24"/>
                <w:szCs w:val="24"/>
                <w:lang w:val="en-US" w:eastAsia="zh-CN"/>
              </w:rPr>
              <w:t>则反冲洗用水约为</w:t>
            </w:r>
            <w:r>
              <w:rPr>
                <w:rFonts w:hint="eastAsia" w:ascii="Times New Roman" w:hAnsi="Times New Roman" w:eastAsia="宋体" w:cs="Times New Roman"/>
                <w:i w:val="0"/>
                <w:iCs w:val="0"/>
                <w:caps w:val="0"/>
                <w:color w:val="auto"/>
                <w:spacing w:val="0"/>
                <w:sz w:val="24"/>
                <w:szCs w:val="24"/>
                <w:shd w:val="clear" w:fill="FFFFFF"/>
                <w:lang w:val="en-US" w:eastAsia="zh-CN"/>
              </w:rPr>
              <w:t>120.89</w:t>
            </w:r>
            <w:r>
              <w:rPr>
                <w:rFonts w:hint="default" w:ascii="Times New Roman" w:hAnsi="Times New Roman" w:cs="Times New Roman"/>
                <w:color w:val="auto"/>
                <w:kern w:val="11"/>
                <w:sz w:val="24"/>
                <w:szCs w:val="24"/>
                <w:lang w:val="en-US" w:eastAsia="zh-CN"/>
              </w:rPr>
              <w:t>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color w:val="auto"/>
                <w:kern w:val="11"/>
                <w:sz w:val="24"/>
                <w:szCs w:val="24"/>
              </w:rPr>
              <w:t>/a</w:t>
            </w:r>
            <w:r>
              <w:rPr>
                <w:rFonts w:hint="default" w:ascii="Times New Roman" w:hAnsi="Times New Roman" w:eastAsia="宋体" w:cs="Times New Roman"/>
                <w:color w:val="auto"/>
                <w:kern w:val="11"/>
                <w:sz w:val="24"/>
                <w:szCs w:val="24"/>
                <w:lang w:eastAsia="zh-CN"/>
              </w:rPr>
              <w:t>。</w:t>
            </w:r>
            <w:r>
              <w:rPr>
                <w:rFonts w:hint="default" w:ascii="Times New Roman" w:hAnsi="Times New Roman" w:cs="Times New Roman"/>
                <w:color w:val="auto"/>
                <w:sz w:val="24"/>
                <w:szCs w:val="24"/>
                <w:lang w:val="en-US" w:eastAsia="zh-CN"/>
              </w:rPr>
              <w:t>本</w:t>
            </w:r>
            <w:r>
              <w:rPr>
                <w:rFonts w:hint="default" w:ascii="Times New Roman" w:hAnsi="Times New Roman" w:eastAsia="宋体" w:cs="Times New Roman"/>
                <w:color w:val="auto"/>
                <w:sz w:val="24"/>
                <w:szCs w:val="24"/>
              </w:rPr>
              <w:t>项目需要软水量为</w:t>
            </w:r>
            <w:r>
              <w:rPr>
                <w:rFonts w:hint="eastAsia" w:ascii="Times New Roman" w:hAnsi="Times New Roman" w:cs="Times New Roman"/>
                <w:color w:val="auto"/>
                <w:sz w:val="24"/>
                <w:szCs w:val="24"/>
                <w:lang w:val="en-US" w:eastAsia="zh-CN"/>
              </w:rPr>
              <w:t>2538.68</w:t>
            </w:r>
            <w:r>
              <w:rPr>
                <w:rFonts w:hint="default" w:ascii="Times New Roman" w:hAnsi="Times New Roman" w:cs="Times New Roman"/>
                <w:color w:val="auto"/>
                <w:kern w:val="11"/>
                <w:sz w:val="24"/>
                <w:szCs w:val="24"/>
                <w:lang w:val="en-US" w:eastAsia="zh-CN"/>
              </w:rPr>
              <w:t>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color w:val="auto"/>
                <w:kern w:val="11"/>
                <w:sz w:val="24"/>
                <w:szCs w:val="24"/>
              </w:rPr>
              <w:t>/a</w:t>
            </w:r>
            <w:r>
              <w:rPr>
                <w:rFonts w:hint="default" w:ascii="Times New Roman" w:hAnsi="Times New Roman" w:cs="Times New Roman"/>
                <w:color w:val="auto"/>
                <w:sz w:val="24"/>
                <w:szCs w:val="24"/>
                <w:lang w:val="en-US" w:eastAsia="zh-CN"/>
              </w:rPr>
              <w:t>，本项目采用软水制备设备制取软水，软水制备</w:t>
            </w:r>
            <w:r>
              <w:rPr>
                <w:rFonts w:hint="default" w:ascii="Times New Roman" w:hAnsi="Times New Roman" w:eastAsia="宋体" w:cs="Times New Roman"/>
                <w:color w:val="auto"/>
                <w:sz w:val="24"/>
                <w:szCs w:val="24"/>
              </w:rPr>
              <w:t>产水量</w:t>
            </w:r>
            <w:r>
              <w:rPr>
                <w:rFonts w:hint="default" w:ascii="Times New Roman" w:hAnsi="Times New Roman" w:cs="Times New Roman"/>
                <w:color w:val="auto"/>
                <w:sz w:val="24"/>
                <w:szCs w:val="24"/>
                <w:lang w:val="en-US" w:eastAsia="zh-CN"/>
              </w:rPr>
              <w:t>以</w:t>
            </w:r>
            <w:r>
              <w:rPr>
                <w:rFonts w:hint="default" w:ascii="Times New Roman" w:hAnsi="Times New Roman" w:eastAsia="宋体" w:cs="Times New Roman"/>
                <w:color w:val="auto"/>
                <w:sz w:val="24"/>
                <w:szCs w:val="24"/>
              </w:rPr>
              <w:t>80%</w:t>
            </w:r>
            <w:r>
              <w:rPr>
                <w:rFonts w:hint="default" w:ascii="Times New Roman" w:hAnsi="Times New Roman" w:cs="Times New Roman"/>
                <w:color w:val="auto"/>
                <w:sz w:val="24"/>
                <w:szCs w:val="24"/>
                <w:lang w:val="en-US" w:eastAsia="zh-CN"/>
              </w:rPr>
              <w:t>计</w:t>
            </w:r>
            <w:r>
              <w:rPr>
                <w:rFonts w:hint="default" w:ascii="Times New Roman" w:hAnsi="Times New Roman" w:eastAsia="宋体" w:cs="Times New Roman"/>
                <w:color w:val="auto"/>
                <w:sz w:val="24"/>
                <w:szCs w:val="24"/>
              </w:rPr>
              <w:t>，则</w:t>
            </w:r>
            <w:r>
              <w:rPr>
                <w:rFonts w:hint="default" w:ascii="Times New Roman" w:hAnsi="Times New Roman" w:cs="Times New Roman"/>
                <w:color w:val="auto"/>
                <w:sz w:val="24"/>
                <w:szCs w:val="24"/>
                <w:lang w:val="en-US" w:eastAsia="zh-CN"/>
              </w:rPr>
              <w:t>软水制备</w:t>
            </w:r>
            <w:r>
              <w:rPr>
                <w:rFonts w:hint="default" w:ascii="Times New Roman" w:hAnsi="Times New Roman" w:eastAsia="宋体" w:cs="Times New Roman"/>
                <w:color w:val="auto"/>
                <w:sz w:val="24"/>
                <w:szCs w:val="24"/>
              </w:rPr>
              <w:t>用量为</w:t>
            </w:r>
            <w:r>
              <w:rPr>
                <w:rFonts w:hint="eastAsia" w:ascii="Times New Roman" w:hAnsi="Times New Roman" w:cs="Times New Roman"/>
                <w:color w:val="auto"/>
                <w:sz w:val="24"/>
                <w:szCs w:val="24"/>
                <w:lang w:val="en-US" w:eastAsia="zh-CN"/>
              </w:rPr>
              <w:t>3173.35</w:t>
            </w:r>
            <w:r>
              <w:rPr>
                <w:rFonts w:hint="default" w:ascii="Times New Roman" w:hAnsi="Times New Roman" w:cs="Times New Roman"/>
                <w:color w:val="auto"/>
                <w:kern w:val="11"/>
                <w:sz w:val="24"/>
                <w:szCs w:val="24"/>
                <w:lang w:val="en-US" w:eastAsia="zh-CN"/>
              </w:rPr>
              <w:t>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color w:val="auto"/>
                <w:sz w:val="24"/>
                <w:szCs w:val="24"/>
                <w:lang w:val="en-US" w:eastAsia="zh-CN"/>
              </w:rPr>
              <w:t>/a。</w:t>
            </w:r>
            <w:r>
              <w:rPr>
                <w:rFonts w:hint="eastAsia" w:ascii="Times New Roman" w:hAnsi="Times New Roman" w:eastAsia="宋体" w:cs="Times New Roman"/>
                <w:color w:val="auto"/>
                <w:kern w:val="11"/>
                <w:sz w:val="24"/>
                <w:szCs w:val="24"/>
                <w:lang w:eastAsia="zh-CN"/>
              </w:rPr>
              <w:t>由厂区中水回用装置提供。</w:t>
            </w:r>
          </w:p>
          <w:p>
            <w:pPr>
              <w:spacing w:line="360" w:lineRule="auto"/>
              <w:ind w:firstLine="482"/>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4</w:t>
            </w:r>
            <w:r>
              <w:rPr>
                <w:rFonts w:hint="eastAsia" w:ascii="Times New Roman" w:hAnsi="Times New Roman" w:cs="Times New Roman"/>
                <w:color w:val="auto"/>
                <w:sz w:val="24"/>
                <w:szCs w:val="24"/>
                <w:lang w:eastAsia="zh-CN"/>
              </w:rPr>
              <w:t>）</w:t>
            </w:r>
            <w:r>
              <w:rPr>
                <w:rFonts w:hint="eastAsia" w:cs="Times New Roman"/>
                <w:color w:val="auto"/>
                <w:sz w:val="24"/>
                <w:szCs w:val="24"/>
                <w:lang w:val="zh-CN" w:eastAsia="zh-CN"/>
              </w:rPr>
              <w:t>罐区及装卸车区</w:t>
            </w:r>
            <w:r>
              <w:rPr>
                <w:rFonts w:hint="eastAsia" w:ascii="Times New Roman" w:hAnsi="Times New Roman" w:cs="Times New Roman"/>
                <w:color w:val="auto"/>
                <w:sz w:val="24"/>
                <w:szCs w:val="24"/>
                <w:lang w:val="zh-CN" w:eastAsia="zh-CN"/>
              </w:rPr>
              <w:t>地面清洗用水</w:t>
            </w:r>
          </w:p>
          <w:p>
            <w:pPr>
              <w:spacing w:line="360" w:lineRule="auto"/>
              <w:ind w:firstLine="482"/>
              <w:rPr>
                <w:rFonts w:hint="eastAsia" w:ascii="Times New Roman" w:hAnsi="Times New Roman" w:cs="Times New Roman"/>
                <w:color w:val="auto"/>
                <w:sz w:val="24"/>
                <w:szCs w:val="24"/>
                <w:lang w:val="zh-CN" w:eastAsia="zh-CN"/>
              </w:rPr>
            </w:pPr>
            <w:r>
              <w:rPr>
                <w:rFonts w:hint="eastAsia" w:cs="Times New Roman"/>
                <w:color w:val="auto"/>
                <w:sz w:val="24"/>
                <w:szCs w:val="24"/>
                <w:lang w:val="zh-CN" w:eastAsia="zh-CN"/>
              </w:rPr>
              <w:t>罐区及装卸车区</w:t>
            </w:r>
            <w:r>
              <w:rPr>
                <w:rFonts w:hint="eastAsia" w:ascii="Times New Roman" w:hAnsi="Times New Roman" w:cs="Times New Roman"/>
                <w:color w:val="auto"/>
                <w:sz w:val="24"/>
                <w:szCs w:val="24"/>
                <w:lang w:val="zh-CN" w:eastAsia="zh-CN"/>
              </w:rPr>
              <w:t>地面清洗用水为间歇用水，</w:t>
            </w:r>
            <w:r>
              <w:rPr>
                <w:rFonts w:hint="eastAsia" w:cs="Times New Roman"/>
                <w:color w:val="auto"/>
                <w:sz w:val="24"/>
                <w:szCs w:val="24"/>
                <w:lang w:val="zh-CN" w:eastAsia="zh-CN"/>
              </w:rPr>
              <w:t>罐区及装卸车区面积总计</w:t>
            </w:r>
            <w:r>
              <w:rPr>
                <w:rFonts w:hint="eastAsia" w:cs="Times New Roman"/>
                <w:color w:val="auto"/>
                <w:sz w:val="24"/>
                <w:szCs w:val="24"/>
                <w:lang w:val="en-US" w:eastAsia="zh-CN"/>
              </w:rPr>
              <w:t>51070.7</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2</w:t>
            </w:r>
            <w:r>
              <w:rPr>
                <w:rFonts w:hint="eastAsia" w:ascii="Times New Roman" w:hAnsi="Times New Roman" w:cs="Times New Roman"/>
                <w:color w:val="auto"/>
                <w:sz w:val="24"/>
                <w:szCs w:val="24"/>
                <w:lang w:eastAsia="zh-CN"/>
              </w:rPr>
              <w:t>，本项目区地面冲洗频次为4次/月，用水量参照《建筑给水排水设计标准》（GB50015-2019）的用水参数取2L/m</w:t>
            </w:r>
            <w:r>
              <w:rPr>
                <w:rFonts w:hint="eastAsia" w:ascii="Times New Roman" w:hAnsi="Times New Roman" w:cs="Times New Roman"/>
                <w:color w:val="auto"/>
                <w:sz w:val="24"/>
                <w:szCs w:val="24"/>
                <w:vertAlign w:val="superscript"/>
                <w:lang w:eastAsia="zh-CN"/>
              </w:rPr>
              <w:t>2</w:t>
            </w:r>
            <w:r>
              <w:rPr>
                <w:rFonts w:hint="eastAsia" w:ascii="Times New Roman" w:hAnsi="Times New Roman" w:cs="Times New Roman"/>
                <w:color w:val="auto"/>
                <w:sz w:val="24"/>
                <w:szCs w:val="24"/>
                <w:lang w:eastAsia="zh-CN"/>
              </w:rPr>
              <w:t>，洒水面积约</w:t>
            </w:r>
            <w:r>
              <w:rPr>
                <w:rFonts w:hint="eastAsia" w:cs="Times New Roman"/>
                <w:color w:val="auto"/>
                <w:sz w:val="24"/>
                <w:szCs w:val="24"/>
                <w:lang w:val="en-US" w:eastAsia="zh-CN"/>
              </w:rPr>
              <w:t>51070.7</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2</w:t>
            </w:r>
            <w:r>
              <w:rPr>
                <w:rFonts w:hint="eastAsia" w:ascii="Times New Roman" w:hAnsi="Times New Roman" w:cs="Times New Roman"/>
                <w:color w:val="auto"/>
                <w:sz w:val="24"/>
                <w:szCs w:val="24"/>
                <w:lang w:eastAsia="zh-CN"/>
              </w:rPr>
              <w:t>，则项目</w:t>
            </w:r>
            <w:r>
              <w:rPr>
                <w:rFonts w:hint="eastAsia" w:cs="Times New Roman"/>
                <w:color w:val="auto"/>
                <w:sz w:val="24"/>
                <w:szCs w:val="24"/>
                <w:lang w:val="zh-CN" w:eastAsia="zh-CN"/>
              </w:rPr>
              <w:t>罐区及装卸车区</w:t>
            </w:r>
            <w:r>
              <w:rPr>
                <w:rFonts w:hint="eastAsia" w:ascii="Times New Roman" w:hAnsi="Times New Roman" w:cs="Times New Roman"/>
                <w:color w:val="auto"/>
                <w:sz w:val="24"/>
                <w:szCs w:val="24"/>
                <w:lang w:val="zh-CN" w:eastAsia="zh-CN"/>
              </w:rPr>
              <w:t>地面清洗用水</w:t>
            </w:r>
            <w:r>
              <w:rPr>
                <w:rFonts w:hint="eastAsia" w:ascii="Times New Roman" w:hAnsi="Times New Roman" w:cs="Times New Roman"/>
                <w:color w:val="auto"/>
                <w:sz w:val="24"/>
                <w:szCs w:val="24"/>
                <w:lang w:eastAsia="zh-CN"/>
              </w:rPr>
              <w:t>为</w:t>
            </w:r>
            <w:r>
              <w:rPr>
                <w:rFonts w:hint="eastAsia" w:cs="Times New Roman"/>
                <w:color w:val="auto"/>
                <w:sz w:val="24"/>
                <w:szCs w:val="24"/>
                <w:lang w:val="en-US" w:eastAsia="zh-CN"/>
              </w:rPr>
              <w:t>408.57</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/月，约为</w:t>
            </w:r>
            <w:r>
              <w:rPr>
                <w:rFonts w:hint="eastAsia" w:cs="Times New Roman"/>
                <w:color w:val="auto"/>
                <w:sz w:val="24"/>
                <w:szCs w:val="24"/>
                <w:lang w:val="en-US" w:eastAsia="zh-CN"/>
              </w:rPr>
              <w:t>4902.79</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a</w:t>
            </w:r>
            <w:r>
              <w:rPr>
                <w:rFonts w:hint="eastAsia" w:ascii="Times New Roman" w:hAnsi="Times New Roman" w:cs="Times New Roman"/>
                <w:color w:val="auto"/>
                <w:sz w:val="24"/>
                <w:szCs w:val="24"/>
                <w:lang w:eastAsia="zh-CN"/>
              </w:rPr>
              <w:t>。</w:t>
            </w:r>
            <w:r>
              <w:rPr>
                <w:rFonts w:hint="eastAsia" w:ascii="Times New Roman" w:hAnsi="Times New Roman" w:eastAsia="宋体" w:cs="Times New Roman"/>
                <w:color w:val="auto"/>
                <w:kern w:val="11"/>
                <w:sz w:val="24"/>
                <w:szCs w:val="24"/>
                <w:lang w:eastAsia="zh-CN"/>
              </w:rPr>
              <w:t>由厂区中水回用装置提供。</w:t>
            </w:r>
          </w:p>
          <w:p>
            <w:pPr>
              <w:spacing w:line="360" w:lineRule="auto"/>
              <w:ind w:firstLine="482"/>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5</w:t>
            </w:r>
            <w:r>
              <w:rPr>
                <w:rFonts w:hint="eastAsia" w:ascii="Times New Roman" w:hAnsi="Times New Roman" w:cs="Times New Roman"/>
                <w:color w:val="auto"/>
                <w:sz w:val="24"/>
                <w:szCs w:val="24"/>
                <w:lang w:eastAsia="zh-CN"/>
              </w:rPr>
              <w:t>）</w:t>
            </w:r>
            <w:r>
              <w:rPr>
                <w:rFonts w:hint="eastAsia" w:cs="Times New Roman"/>
                <w:color w:val="auto"/>
                <w:sz w:val="24"/>
                <w:szCs w:val="24"/>
                <w:lang w:eastAsia="zh-CN"/>
              </w:rPr>
              <w:t>储罐</w:t>
            </w:r>
            <w:r>
              <w:rPr>
                <w:rFonts w:hint="eastAsia" w:ascii="Times New Roman" w:hAnsi="Times New Roman" w:cs="Times New Roman"/>
                <w:color w:val="auto"/>
                <w:sz w:val="24"/>
                <w:szCs w:val="24"/>
                <w:lang w:eastAsia="zh-CN"/>
              </w:rPr>
              <w:t>冲洗</w:t>
            </w:r>
            <w:r>
              <w:rPr>
                <w:rFonts w:hint="eastAsia" w:cs="Times New Roman"/>
                <w:color w:val="auto"/>
                <w:sz w:val="24"/>
                <w:szCs w:val="24"/>
                <w:lang w:eastAsia="zh-CN"/>
              </w:rPr>
              <w:t>用</w:t>
            </w:r>
            <w:r>
              <w:rPr>
                <w:rFonts w:hint="eastAsia" w:ascii="Times New Roman" w:hAnsi="Times New Roman" w:cs="Times New Roman"/>
                <w:color w:val="auto"/>
                <w:sz w:val="24"/>
                <w:szCs w:val="24"/>
                <w:lang w:eastAsia="zh-CN"/>
              </w:rPr>
              <w:t>水</w:t>
            </w:r>
          </w:p>
          <w:p>
            <w:pPr>
              <w:spacing w:line="360" w:lineRule="auto"/>
              <w:ind w:firstLine="482"/>
              <w:rPr>
                <w:rFonts w:hint="eastAsia" w:cs="Times New Roman"/>
                <w:color w:val="auto"/>
                <w:sz w:val="24"/>
                <w:szCs w:val="24"/>
                <w:lang w:eastAsia="zh-CN"/>
              </w:rPr>
            </w:pPr>
            <w:r>
              <w:rPr>
                <w:rFonts w:hint="eastAsia" w:ascii="Times New Roman" w:hAnsi="Times New Roman" w:cs="Times New Roman"/>
                <w:color w:val="auto"/>
                <w:sz w:val="24"/>
                <w:szCs w:val="24"/>
                <w:lang w:eastAsia="zh-CN"/>
              </w:rPr>
              <w:t>为保证成品油品质，防止罐体生锈，</w:t>
            </w:r>
            <w:r>
              <w:rPr>
                <w:rFonts w:hint="eastAsia" w:cs="Times New Roman"/>
                <w:color w:val="auto"/>
                <w:sz w:val="24"/>
                <w:szCs w:val="24"/>
                <w:lang w:eastAsia="zh-CN"/>
              </w:rPr>
              <w:t>需根据储罐使用情况进行分批次清洗，平均</w:t>
            </w:r>
            <w:r>
              <w:rPr>
                <w:rFonts w:hint="eastAsia" w:ascii="Times New Roman" w:hAnsi="Times New Roman" w:cs="Times New Roman"/>
                <w:color w:val="auto"/>
                <w:sz w:val="24"/>
                <w:szCs w:val="24"/>
                <w:lang w:eastAsia="zh-CN"/>
              </w:rPr>
              <w:t>3年左右冲洗一次</w:t>
            </w:r>
            <w:r>
              <w:rPr>
                <w:rFonts w:hint="eastAsia" w:cs="Times New Roman"/>
                <w:color w:val="auto"/>
                <w:sz w:val="24"/>
                <w:szCs w:val="24"/>
                <w:lang w:eastAsia="zh-CN"/>
              </w:rPr>
              <w:t>。</w:t>
            </w:r>
          </w:p>
          <w:p>
            <w:pPr>
              <w:spacing w:line="360" w:lineRule="auto"/>
              <w:ind w:firstLine="482"/>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eastAsia="zh-CN"/>
              </w:rPr>
              <w:t>本项目</w:t>
            </w:r>
            <w:r>
              <w:rPr>
                <w:rFonts w:hint="eastAsia" w:cs="Times New Roman"/>
                <w:color w:val="auto"/>
                <w:sz w:val="24"/>
                <w:szCs w:val="24"/>
                <w:lang w:eastAsia="zh-CN"/>
              </w:rPr>
              <w:t>共设置</w:t>
            </w:r>
            <w:r>
              <w:rPr>
                <w:rFonts w:hint="eastAsia" w:cs="Times New Roman"/>
                <w:color w:val="auto"/>
                <w:sz w:val="24"/>
                <w:szCs w:val="24"/>
                <w:lang w:val="en-US" w:eastAsia="zh-CN"/>
              </w:rPr>
              <w:t>500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储罐</w:t>
            </w:r>
            <w:r>
              <w:rPr>
                <w:rFonts w:hint="eastAsia" w:cs="Times New Roman"/>
                <w:color w:val="auto"/>
                <w:sz w:val="24"/>
                <w:szCs w:val="24"/>
                <w:lang w:val="en-US" w:eastAsia="zh-CN"/>
              </w:rPr>
              <w:t>4个、2000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储罐</w:t>
            </w:r>
            <w:r>
              <w:rPr>
                <w:rFonts w:hint="eastAsia" w:cs="Times New Roman"/>
                <w:color w:val="auto"/>
                <w:sz w:val="24"/>
                <w:szCs w:val="24"/>
                <w:lang w:val="en-US" w:eastAsia="zh-CN"/>
              </w:rPr>
              <w:t>4个、4000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储罐</w:t>
            </w:r>
            <w:r>
              <w:rPr>
                <w:rFonts w:hint="eastAsia" w:cs="Times New Roman"/>
                <w:color w:val="auto"/>
                <w:sz w:val="24"/>
                <w:szCs w:val="24"/>
                <w:lang w:val="en-US" w:eastAsia="zh-CN"/>
              </w:rPr>
              <w:t>5个、5000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储罐</w:t>
            </w:r>
            <w:r>
              <w:rPr>
                <w:rFonts w:hint="eastAsia" w:cs="Times New Roman"/>
                <w:color w:val="auto"/>
                <w:sz w:val="24"/>
                <w:szCs w:val="24"/>
                <w:lang w:val="en-US" w:eastAsia="zh-CN"/>
              </w:rPr>
              <w:t>17个、10000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储罐</w:t>
            </w:r>
            <w:r>
              <w:rPr>
                <w:rFonts w:hint="eastAsia" w:cs="Times New Roman"/>
                <w:color w:val="auto"/>
                <w:sz w:val="24"/>
                <w:szCs w:val="24"/>
                <w:lang w:val="en-US" w:eastAsia="zh-CN"/>
              </w:rPr>
              <w:t>6个、19000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储罐</w:t>
            </w:r>
            <w:r>
              <w:rPr>
                <w:rFonts w:hint="eastAsia" w:cs="Times New Roman"/>
                <w:color w:val="auto"/>
                <w:sz w:val="24"/>
                <w:szCs w:val="24"/>
                <w:lang w:val="en-US" w:eastAsia="zh-CN"/>
              </w:rPr>
              <w:t>1个。</w:t>
            </w:r>
            <w:r>
              <w:rPr>
                <w:rFonts w:hint="eastAsia" w:ascii="Times New Roman" w:hAnsi="Times New Roman" w:cs="Times New Roman"/>
                <w:color w:val="auto"/>
                <w:sz w:val="24"/>
                <w:szCs w:val="24"/>
                <w:lang w:eastAsia="zh-CN"/>
              </w:rPr>
              <w:t>参照</w:t>
            </w:r>
            <w:bookmarkStart w:id="5" w:name="_Hlk120957022"/>
            <w:r>
              <w:rPr>
                <w:rFonts w:hint="eastAsia" w:ascii="Times New Roman" w:hAnsi="Times New Roman" w:cs="Times New Roman"/>
                <w:color w:val="auto"/>
                <w:sz w:val="24"/>
                <w:szCs w:val="24"/>
                <w:lang w:eastAsia="zh-CN"/>
              </w:rPr>
              <w:t>《油气厂、站、库给水排水设计规范》（SY/T 0089-2019）</w:t>
            </w:r>
            <w:bookmarkEnd w:id="5"/>
            <w:r>
              <w:rPr>
                <w:rFonts w:hint="eastAsia" w:ascii="Times New Roman" w:hAnsi="Times New Roman" w:cs="Times New Roman"/>
                <w:color w:val="auto"/>
                <w:sz w:val="24"/>
                <w:szCs w:val="24"/>
                <w:lang w:eastAsia="zh-CN"/>
              </w:rPr>
              <w:t>中冲洗储罐用水定额参数</w:t>
            </w:r>
            <w:r>
              <w:rPr>
                <w:rFonts w:hint="eastAsia" w:cs="Times New Roman"/>
                <w:color w:val="auto"/>
                <w:sz w:val="24"/>
                <w:szCs w:val="24"/>
                <w:lang w:eastAsia="zh-CN"/>
              </w:rPr>
              <w:t>，</w:t>
            </w:r>
            <w:r>
              <w:rPr>
                <w:rFonts w:hint="eastAsia" w:cs="Times New Roman"/>
                <w:color w:val="auto"/>
                <w:sz w:val="24"/>
                <w:szCs w:val="24"/>
                <w:lang w:val="en-US" w:eastAsia="zh-CN"/>
              </w:rPr>
              <w:t>500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储罐</w:t>
            </w:r>
            <w:r>
              <w:rPr>
                <w:rFonts w:hint="eastAsia" w:cs="Times New Roman"/>
                <w:color w:val="auto"/>
                <w:sz w:val="24"/>
                <w:szCs w:val="24"/>
                <w:lang w:val="en-US" w:eastAsia="zh-CN"/>
              </w:rPr>
              <w:t>一次用水量约25</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cs="Times New Roman"/>
                <w:color w:val="auto"/>
                <w:sz w:val="24"/>
                <w:szCs w:val="24"/>
                <w:lang w:val="en-US" w:eastAsia="zh-CN"/>
              </w:rPr>
              <w:t>、2000</w:t>
            </w:r>
            <w:r>
              <w:rPr>
                <w:rFonts w:hint="eastAsia" w:ascii="Times New Roman" w:hAnsi="Times New Roman" w:cs="Times New Roman"/>
                <w:color w:val="auto"/>
                <w:sz w:val="24"/>
                <w:szCs w:val="24"/>
                <w:lang w:eastAsia="zh-CN"/>
              </w:rPr>
              <w:t>m储罐</w:t>
            </w:r>
            <w:r>
              <w:rPr>
                <w:rFonts w:hint="eastAsia" w:cs="Times New Roman"/>
                <w:color w:val="auto"/>
                <w:sz w:val="24"/>
                <w:szCs w:val="24"/>
                <w:lang w:val="en-US" w:eastAsia="zh-CN"/>
              </w:rPr>
              <w:t>一次用水量约70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cs="Times New Roman"/>
                <w:color w:val="auto"/>
                <w:sz w:val="24"/>
                <w:szCs w:val="24"/>
                <w:lang w:val="en-US" w:eastAsia="zh-CN"/>
              </w:rPr>
              <w:t>、4000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储罐</w:t>
            </w:r>
            <w:r>
              <w:rPr>
                <w:rFonts w:hint="eastAsia" w:cs="Times New Roman"/>
                <w:color w:val="auto"/>
                <w:sz w:val="24"/>
                <w:szCs w:val="24"/>
                <w:lang w:val="en-US" w:eastAsia="zh-CN"/>
              </w:rPr>
              <w:t>一次用水量约130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cs="Times New Roman"/>
                <w:color w:val="auto"/>
                <w:sz w:val="24"/>
                <w:szCs w:val="24"/>
                <w:lang w:val="en-US" w:eastAsia="zh-CN"/>
              </w:rPr>
              <w:t>、5000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储罐</w:t>
            </w:r>
            <w:r>
              <w:rPr>
                <w:rFonts w:hint="eastAsia" w:cs="Times New Roman"/>
                <w:color w:val="auto"/>
                <w:sz w:val="24"/>
                <w:szCs w:val="24"/>
                <w:lang w:val="en-US" w:eastAsia="zh-CN"/>
              </w:rPr>
              <w:t>一次用水量约160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cs="Times New Roman"/>
                <w:color w:val="auto"/>
                <w:sz w:val="24"/>
                <w:szCs w:val="24"/>
                <w:lang w:val="en-US" w:eastAsia="zh-CN"/>
              </w:rPr>
              <w:t>、10000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储罐</w:t>
            </w:r>
            <w:r>
              <w:rPr>
                <w:rFonts w:hint="eastAsia" w:cs="Times New Roman"/>
                <w:color w:val="auto"/>
                <w:sz w:val="24"/>
                <w:szCs w:val="24"/>
                <w:lang w:val="en-US" w:eastAsia="zh-CN"/>
              </w:rPr>
              <w:t>一次用水量约300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cs="Times New Roman"/>
                <w:color w:val="auto"/>
                <w:sz w:val="24"/>
                <w:szCs w:val="24"/>
                <w:lang w:val="en-US" w:eastAsia="zh-CN"/>
              </w:rPr>
              <w:t>、19000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储罐</w:t>
            </w:r>
            <w:r>
              <w:rPr>
                <w:rFonts w:hint="eastAsia" w:cs="Times New Roman"/>
                <w:color w:val="auto"/>
                <w:sz w:val="24"/>
                <w:szCs w:val="24"/>
                <w:lang w:val="en-US" w:eastAsia="zh-CN"/>
              </w:rPr>
              <w:t>一次用水量约540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w:t>
            </w:r>
            <w:r>
              <w:rPr>
                <w:rFonts w:hint="eastAsia" w:cs="Times New Roman"/>
                <w:color w:val="auto"/>
                <w:sz w:val="24"/>
                <w:szCs w:val="24"/>
                <w:lang w:eastAsia="zh-CN"/>
              </w:rPr>
              <w:t>则</w:t>
            </w:r>
            <w:r>
              <w:rPr>
                <w:rFonts w:hint="eastAsia" w:ascii="Times New Roman" w:hAnsi="Times New Roman" w:cs="Times New Roman"/>
                <w:color w:val="auto"/>
                <w:sz w:val="24"/>
                <w:szCs w:val="24"/>
                <w:lang w:eastAsia="zh-CN"/>
              </w:rPr>
              <w:t>罐区冲洗用水量为</w:t>
            </w:r>
            <w:r>
              <w:rPr>
                <w:rFonts w:hint="eastAsia" w:cs="Times New Roman"/>
                <w:color w:val="auto"/>
                <w:sz w:val="24"/>
                <w:szCs w:val="24"/>
                <w:lang w:val="en-US" w:eastAsia="zh-CN"/>
              </w:rPr>
              <w:t>25</w:t>
            </w: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4</w:t>
            </w: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70</w:t>
            </w: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4</w:t>
            </w:r>
            <w:r>
              <w:rPr>
                <w:rFonts w:hint="eastAsia" w:ascii="Times New Roman" w:hAnsi="Times New Roman" w:cs="Times New Roman"/>
                <w:color w:val="auto"/>
                <w:sz w:val="24"/>
                <w:szCs w:val="24"/>
                <w:lang w:eastAsia="zh-CN"/>
              </w:rPr>
              <w:t>+1</w:t>
            </w:r>
            <w:r>
              <w:rPr>
                <w:rFonts w:hint="eastAsia" w:cs="Times New Roman"/>
                <w:color w:val="auto"/>
                <w:sz w:val="24"/>
                <w:szCs w:val="24"/>
                <w:lang w:val="en-US" w:eastAsia="zh-CN"/>
              </w:rPr>
              <w:t>30</w:t>
            </w: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5</w:t>
            </w:r>
            <w:r>
              <w:rPr>
                <w:rFonts w:hint="eastAsia" w:ascii="Times New Roman" w:hAnsi="Times New Roman" w:cs="Times New Roman"/>
                <w:color w:val="auto"/>
                <w:sz w:val="24"/>
                <w:szCs w:val="24"/>
                <w:lang w:eastAsia="zh-CN"/>
              </w:rPr>
              <w:t>+1</w:t>
            </w:r>
            <w:r>
              <w:rPr>
                <w:rFonts w:hint="eastAsia" w:cs="Times New Roman"/>
                <w:color w:val="auto"/>
                <w:sz w:val="24"/>
                <w:szCs w:val="24"/>
                <w:lang w:val="en-US" w:eastAsia="zh-CN"/>
              </w:rPr>
              <w:t>60</w:t>
            </w: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17</w:t>
            </w: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300</w:t>
            </w: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6</w:t>
            </w: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540</w:t>
            </w: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1</w:t>
            </w: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6090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cs="Times New Roman"/>
                <w:color w:val="auto"/>
                <w:sz w:val="24"/>
                <w:szCs w:val="24"/>
                <w:lang w:val="en-US" w:eastAsia="zh-CN"/>
              </w:rPr>
              <w:t>。平均用水量为2030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a</w:t>
            </w:r>
            <w:r>
              <w:rPr>
                <w:rFonts w:hint="eastAsia" w:ascii="Times New Roman" w:hAnsi="Times New Roman" w:cs="Times New Roman"/>
                <w:color w:val="auto"/>
                <w:sz w:val="24"/>
                <w:szCs w:val="24"/>
                <w:lang w:eastAsia="zh-CN"/>
              </w:rPr>
              <w:t>。</w:t>
            </w:r>
            <w:r>
              <w:rPr>
                <w:rFonts w:hint="eastAsia" w:ascii="Times New Roman" w:hAnsi="Times New Roman" w:eastAsia="宋体" w:cs="Times New Roman"/>
                <w:color w:val="auto"/>
                <w:kern w:val="11"/>
                <w:sz w:val="24"/>
                <w:szCs w:val="24"/>
                <w:lang w:eastAsia="zh-CN"/>
              </w:rPr>
              <w:t>由</w:t>
            </w:r>
            <w:r>
              <w:rPr>
                <w:rFonts w:hint="eastAsia" w:ascii="Times New Roman" w:hAnsi="Times New Roman" w:eastAsia="宋体" w:cs="Times New Roman"/>
                <w:color w:val="auto"/>
                <w:kern w:val="11"/>
                <w:sz w:val="24"/>
                <w:szCs w:val="24"/>
                <w:lang w:eastAsia="zh-CN"/>
              </w:rPr>
              <w:t>厂区中水回用装置提供。</w:t>
            </w:r>
          </w:p>
          <w:p>
            <w:pPr>
              <w:spacing w:line="360" w:lineRule="auto"/>
              <w:ind w:firstLine="482"/>
              <w:rPr>
                <w:rFonts w:hint="default" w:ascii="Times New Roman" w:hAnsi="Times New Roman" w:cs="Times New Roman"/>
                <w:color w:val="auto"/>
                <w:sz w:val="24"/>
                <w:szCs w:val="24"/>
              </w:rPr>
            </w:pPr>
            <w:r>
              <w:rPr>
                <w:rFonts w:hint="eastAsia" w:cs="Times New Roman"/>
                <w:color w:val="auto"/>
                <w:sz w:val="24"/>
                <w:szCs w:val="24"/>
                <w:lang w:val="zh-CN" w:eastAsia="zh-CN"/>
              </w:rPr>
              <w:t>（</w:t>
            </w:r>
            <w:r>
              <w:rPr>
                <w:rFonts w:hint="eastAsia" w:cs="Times New Roman"/>
                <w:color w:val="auto"/>
                <w:sz w:val="24"/>
                <w:szCs w:val="24"/>
                <w:lang w:val="en-US" w:eastAsia="zh-CN"/>
              </w:rPr>
              <w:t>6</w:t>
            </w:r>
            <w:r>
              <w:rPr>
                <w:rFonts w:hint="eastAsia" w:cs="Times New Roman"/>
                <w:color w:val="auto"/>
                <w:sz w:val="24"/>
                <w:szCs w:val="24"/>
                <w:lang w:val="zh-CN" w:eastAsia="zh-CN"/>
              </w:rPr>
              <w:t>）绿化及道路喷洒用水</w:t>
            </w:r>
          </w:p>
          <w:p>
            <w:pPr>
              <w:spacing w:line="360" w:lineRule="auto"/>
              <w:ind w:firstLine="482"/>
              <w:rPr>
                <w:rFonts w:hint="default" w:ascii="Times New Roman" w:hAnsi="Times New Roman" w:cs="Times New Roman"/>
                <w:color w:val="auto"/>
                <w:sz w:val="24"/>
                <w:szCs w:val="24"/>
              </w:rPr>
            </w:pPr>
            <w:r>
              <w:rPr>
                <w:rFonts w:hint="eastAsia" w:cs="Times New Roman"/>
                <w:color w:val="auto"/>
                <w:sz w:val="24"/>
                <w:szCs w:val="24"/>
                <w:lang w:val="zh-CN" w:eastAsia="zh-CN"/>
              </w:rPr>
              <w:t>项目绿化及道路面积总计</w:t>
            </w:r>
            <w:r>
              <w:rPr>
                <w:rFonts w:hint="eastAsia" w:cs="Times New Roman"/>
                <w:color w:val="auto"/>
                <w:sz w:val="24"/>
                <w:szCs w:val="24"/>
                <w:lang w:val="en-US" w:eastAsia="zh-CN"/>
              </w:rPr>
              <w:t>约7000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2</w:t>
            </w:r>
            <w:r>
              <w:rPr>
                <w:rFonts w:hint="eastAsia" w:ascii="Times New Roman" w:hAnsi="Times New Roman" w:cs="Times New Roman"/>
                <w:color w:val="auto"/>
                <w:sz w:val="24"/>
                <w:szCs w:val="24"/>
                <w:lang w:eastAsia="zh-CN"/>
              </w:rPr>
              <w:t>，用水量为2L/m</w:t>
            </w:r>
            <w:r>
              <w:rPr>
                <w:rFonts w:hint="eastAsia" w:ascii="Times New Roman" w:hAnsi="Times New Roman" w:cs="Times New Roman"/>
                <w:color w:val="auto"/>
                <w:sz w:val="24"/>
                <w:szCs w:val="24"/>
                <w:vertAlign w:val="superscript"/>
                <w:lang w:eastAsia="zh-CN"/>
              </w:rPr>
              <w:t>2</w:t>
            </w:r>
            <w:r>
              <w:rPr>
                <w:rFonts w:hint="eastAsia" w:ascii="Times New Roman" w:hAnsi="Times New Roman" w:cs="Times New Roman"/>
                <w:color w:val="auto"/>
                <w:sz w:val="24"/>
                <w:szCs w:val="24"/>
                <w:vertAlign w:val="baseline"/>
                <w:lang w:val="en-US" w:eastAsia="zh-CN"/>
              </w:rPr>
              <w:t>·次</w:t>
            </w:r>
            <w:r>
              <w:rPr>
                <w:rFonts w:hint="eastAsia" w:ascii="Times New Roman" w:hAnsi="Times New Roman" w:cs="Times New Roman"/>
                <w:color w:val="auto"/>
                <w:sz w:val="24"/>
                <w:szCs w:val="24"/>
                <w:lang w:eastAsia="zh-CN"/>
              </w:rPr>
              <w:t>，绿化及道路喷洒预计用水量为</w:t>
            </w:r>
            <w:r>
              <w:rPr>
                <w:rFonts w:hint="eastAsia" w:cs="Times New Roman"/>
                <w:color w:val="auto"/>
                <w:sz w:val="24"/>
                <w:szCs w:val="24"/>
                <w:lang w:val="en-US" w:eastAsia="zh-CN"/>
              </w:rPr>
              <w:t>2800</w:t>
            </w:r>
            <w:r>
              <w:rPr>
                <w:rFonts w:hint="eastAsia" w:ascii="Times New Roman" w:hAnsi="Times New Roman" w:cs="Times New Roman"/>
                <w:color w:val="auto"/>
                <w:sz w:val="24"/>
                <w:szCs w:val="24"/>
                <w:lang w:eastAsia="zh-CN"/>
              </w:rPr>
              <w:t>m</w:t>
            </w:r>
            <w:r>
              <w:rPr>
                <w:rFonts w:hint="eastAsia" w:ascii="Times New Roman" w:hAnsi="Times New Roman" w:cs="Times New Roman"/>
                <w:color w:val="auto"/>
                <w:sz w:val="24"/>
                <w:szCs w:val="24"/>
                <w:vertAlign w:val="superscript"/>
                <w:lang w:eastAsia="zh-CN"/>
              </w:rPr>
              <w:t>3</w:t>
            </w:r>
            <w:r>
              <w:rPr>
                <w:rFonts w:hint="eastAsia" w:ascii="Times New Roman" w:hAnsi="Times New Roman" w:cs="Times New Roman"/>
                <w:color w:val="auto"/>
                <w:sz w:val="24"/>
                <w:szCs w:val="24"/>
                <w:lang w:eastAsia="zh-CN"/>
              </w:rPr>
              <w:t>/</w:t>
            </w:r>
            <w:r>
              <w:rPr>
                <w:rFonts w:hint="eastAsia" w:cs="Times New Roman"/>
                <w:color w:val="auto"/>
                <w:sz w:val="24"/>
                <w:szCs w:val="24"/>
                <w:lang w:val="en-US" w:eastAsia="zh-CN"/>
              </w:rPr>
              <w:t>a</w:t>
            </w:r>
            <w:r>
              <w:rPr>
                <w:rFonts w:hint="eastAsia" w:ascii="Times New Roman" w:hAnsi="Times New Roman" w:cs="Times New Roman"/>
                <w:color w:val="auto"/>
                <w:sz w:val="24"/>
                <w:szCs w:val="24"/>
                <w:lang w:eastAsia="zh-CN"/>
              </w:rPr>
              <w:t>。</w:t>
            </w:r>
            <w:r>
              <w:rPr>
                <w:rFonts w:hint="eastAsia" w:ascii="Times New Roman" w:hAnsi="Times New Roman" w:eastAsia="宋体" w:cs="Times New Roman"/>
                <w:color w:val="auto"/>
                <w:kern w:val="11"/>
                <w:sz w:val="24"/>
                <w:szCs w:val="24"/>
                <w:lang w:eastAsia="zh-CN"/>
              </w:rPr>
              <w:t>由厂区中水回用装置提供。</w:t>
            </w:r>
          </w:p>
          <w:p>
            <w:pPr>
              <w:spacing w:line="360" w:lineRule="auto"/>
              <w:ind w:firstLine="482"/>
              <w:rPr>
                <w:rFonts w:hint="eastAsia" w:eastAsia="仿宋_GB2312"/>
                <w:color w:val="auto"/>
                <w:lang w:eastAsia="zh-CN"/>
              </w:rPr>
            </w:pPr>
            <w:r>
              <w:rPr>
                <w:rFonts w:hint="default" w:ascii="Times New Roman" w:hAnsi="Times New Roman" w:cs="Times New Roman"/>
                <w:color w:val="auto"/>
                <w:sz w:val="24"/>
                <w:szCs w:val="24"/>
              </w:rPr>
              <w:t>综上，项目新鲜</w:t>
            </w:r>
            <w:r>
              <w:rPr>
                <w:rFonts w:hint="default" w:ascii="Times New Roman" w:hAnsi="Times New Roman" w:eastAsia="宋体" w:cs="Times New Roman"/>
                <w:color w:val="auto"/>
                <w:sz w:val="24"/>
                <w:szCs w:val="24"/>
                <w:lang w:eastAsia="zh-CN"/>
              </w:rPr>
              <w:t>用水</w:t>
            </w:r>
            <w:r>
              <w:rPr>
                <w:rFonts w:hint="default" w:ascii="Times New Roman" w:hAnsi="Times New Roman" w:cs="Times New Roman"/>
                <w:color w:val="auto"/>
                <w:sz w:val="24"/>
                <w:szCs w:val="24"/>
              </w:rPr>
              <w:t>总量为</w:t>
            </w:r>
            <w:r>
              <w:rPr>
                <w:rFonts w:hint="eastAsia" w:cs="Times New Roman"/>
                <w:color w:val="auto"/>
                <w:sz w:val="24"/>
                <w:szCs w:val="24"/>
                <w:lang w:val="en-US" w:eastAsia="zh-CN"/>
              </w:rPr>
              <w:t>554.06</w:t>
            </w:r>
            <w:r>
              <w:rPr>
                <w:rFonts w:hint="eastAsia" w:ascii="Times New Roman" w:hAnsi="Times New Roman" w:cs="Times New Roman"/>
                <w:color w:val="auto"/>
                <w:sz w:val="24"/>
                <w:szCs w:val="24"/>
                <w:lang w:val="en-US" w:eastAsia="zh-CN"/>
              </w:rPr>
              <w:t>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rPr>
              <w:t>/a</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eastAsia="zh-CN"/>
              </w:rPr>
              <w:t>。</w:t>
            </w:r>
          </w:p>
          <w:p>
            <w:pPr>
              <w:pStyle w:val="4"/>
              <w:spacing w:line="360" w:lineRule="auto"/>
              <w:ind w:firstLine="480" w:firstLineChars="200"/>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val="en-US" w:eastAsia="zh-CN"/>
              </w:rPr>
              <w:t>2</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排水</w:t>
            </w:r>
          </w:p>
          <w:p>
            <w:pPr>
              <w:spacing w:line="360" w:lineRule="auto"/>
              <w:ind w:firstLine="482"/>
              <w:rPr>
                <w:rFonts w:hint="default" w:ascii="Times New Roman" w:hAnsi="Times New Roman" w:eastAsia="宋体" w:cs="Times New Roman"/>
                <w:b w:val="0"/>
                <w:bCs w:val="0"/>
                <w:color w:val="auto"/>
                <w:sz w:val="24"/>
                <w:szCs w:val="24"/>
              </w:rPr>
            </w:pPr>
            <w:r>
              <w:rPr>
                <w:rFonts w:hint="eastAsia" w:ascii="Times New Roman" w:hAnsi="Times New Roman" w:eastAsia="宋体" w:cs="Times New Roman"/>
                <w:b w:val="0"/>
                <w:bCs w:val="0"/>
                <w:color w:val="auto"/>
                <w:sz w:val="24"/>
                <w:szCs w:val="24"/>
              </w:rPr>
              <w:t>按照“清污分流”的原则设计排水系统，本项目的排水系统分为：生活污水排水系统、</w:t>
            </w:r>
            <w:r>
              <w:rPr>
                <w:rFonts w:hint="eastAsia" w:cs="Times New Roman"/>
                <w:color w:val="auto"/>
                <w:sz w:val="24"/>
                <w:szCs w:val="24"/>
                <w:lang w:val="zh-CN" w:eastAsia="zh-CN"/>
              </w:rPr>
              <w:t>蒸汽锅炉排污水、软水制备排污水、</w:t>
            </w:r>
            <w:r>
              <w:rPr>
                <w:rFonts w:hint="eastAsia" w:ascii="Times New Roman" w:hAnsi="Times New Roman" w:eastAsia="宋体" w:cs="Times New Roman"/>
                <w:b w:val="0"/>
                <w:bCs w:val="0"/>
                <w:color w:val="auto"/>
                <w:sz w:val="24"/>
                <w:szCs w:val="24"/>
              </w:rPr>
              <w:t>清净雨水排水系统、含油污水排水系统。</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（1）生活污水排水系统</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本项目定员</w:t>
            </w:r>
            <w:r>
              <w:rPr>
                <w:rFonts w:hint="eastAsia" w:ascii="Times New Roman" w:hAnsi="Times New Roman" w:eastAsia="宋体" w:cs="Times New Roman"/>
                <w:b w:val="0"/>
                <w:bCs w:val="0"/>
                <w:color w:val="auto"/>
                <w:sz w:val="24"/>
                <w:szCs w:val="24"/>
                <w:lang w:val="en-US" w:eastAsia="zh-CN"/>
              </w:rPr>
              <w:t>100</w:t>
            </w:r>
            <w:r>
              <w:rPr>
                <w:rFonts w:hint="eastAsia" w:ascii="Times New Roman" w:hAnsi="Times New Roman" w:eastAsia="宋体" w:cs="Times New Roman"/>
                <w:b w:val="0"/>
                <w:bCs w:val="0"/>
                <w:color w:val="auto"/>
                <w:sz w:val="24"/>
                <w:szCs w:val="24"/>
                <w:lang w:eastAsia="zh-CN"/>
              </w:rPr>
              <w:t>人，生活用水量为5m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/d，生活污水产生量按使用量的80%计，则生活污水产生量为</w:t>
            </w:r>
            <w:r>
              <w:rPr>
                <w:rFonts w:hint="eastAsia" w:ascii="Times New Roman" w:hAnsi="Times New Roman" w:eastAsia="宋体" w:cs="Times New Roman"/>
                <w:b w:val="0"/>
                <w:bCs w:val="0"/>
                <w:color w:val="auto"/>
                <w:sz w:val="24"/>
                <w:szCs w:val="24"/>
                <w:lang w:val="en-US" w:eastAsia="zh-CN"/>
              </w:rPr>
              <w:t>4</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/d，</w:t>
            </w:r>
            <w:r>
              <w:rPr>
                <w:rFonts w:hint="eastAsia" w:ascii="Times New Roman" w:hAnsi="Times New Roman" w:eastAsia="宋体" w:cs="Times New Roman"/>
                <w:b w:val="0"/>
                <w:bCs w:val="0"/>
                <w:color w:val="auto"/>
                <w:sz w:val="24"/>
                <w:szCs w:val="24"/>
                <w:lang w:val="en-US" w:eastAsia="zh-CN"/>
              </w:rPr>
              <w:t>1</w:t>
            </w:r>
            <w:r>
              <w:rPr>
                <w:rFonts w:hint="eastAsia" w:cs="Times New Roman"/>
                <w:b w:val="0"/>
                <w:bCs w:val="0"/>
                <w:color w:val="auto"/>
                <w:sz w:val="24"/>
                <w:szCs w:val="24"/>
                <w:lang w:val="en-US" w:eastAsia="zh-CN"/>
              </w:rPr>
              <w:t>3</w:t>
            </w:r>
            <w:r>
              <w:rPr>
                <w:rFonts w:hint="eastAsia" w:ascii="Times New Roman" w:hAnsi="Times New Roman" w:eastAsia="宋体" w:cs="Times New Roman"/>
                <w:b w:val="0"/>
                <w:bCs w:val="0"/>
                <w:color w:val="auto"/>
                <w:sz w:val="24"/>
                <w:szCs w:val="24"/>
                <w:lang w:val="en-US" w:eastAsia="zh-CN"/>
              </w:rPr>
              <w:t>32</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/a，经化粪池收集后</w:t>
            </w:r>
            <w:r>
              <w:rPr>
                <w:rFonts w:hint="eastAsia" w:cs="Times New Roman"/>
                <w:b w:val="0"/>
                <w:bCs w:val="0"/>
                <w:color w:val="auto"/>
                <w:sz w:val="24"/>
                <w:szCs w:val="24"/>
                <w:lang w:eastAsia="zh-CN"/>
              </w:rPr>
              <w:t>定期清运</w:t>
            </w:r>
            <w:r>
              <w:rPr>
                <w:rFonts w:hint="eastAsia" w:ascii="Times New Roman" w:hAnsi="Times New Roman" w:eastAsia="宋体" w:cs="Times New Roman"/>
                <w:b w:val="0"/>
                <w:bCs w:val="0"/>
                <w:color w:val="auto"/>
                <w:sz w:val="24"/>
                <w:szCs w:val="24"/>
                <w:lang w:eastAsia="zh-CN"/>
              </w:rPr>
              <w:t>。</w:t>
            </w:r>
          </w:p>
          <w:p>
            <w:pPr>
              <w:spacing w:line="360" w:lineRule="auto"/>
              <w:ind w:firstLine="482"/>
              <w:rPr>
                <w:rFonts w:hint="eastAsia" w:cs="Times New Roman"/>
                <w:color w:val="auto"/>
                <w:sz w:val="24"/>
                <w:szCs w:val="24"/>
                <w:lang w:val="zh-CN" w:eastAsia="zh-CN"/>
              </w:rPr>
            </w:pPr>
            <w:r>
              <w:rPr>
                <w:rFonts w:hint="eastAsia" w:cs="Times New Roman"/>
                <w:color w:val="auto"/>
                <w:sz w:val="24"/>
                <w:szCs w:val="24"/>
                <w:lang w:val="zh-CN" w:eastAsia="zh-CN"/>
              </w:rPr>
              <w:t>（</w:t>
            </w:r>
            <w:r>
              <w:rPr>
                <w:rFonts w:hint="eastAsia" w:cs="Times New Roman"/>
                <w:color w:val="auto"/>
                <w:sz w:val="24"/>
                <w:szCs w:val="24"/>
                <w:lang w:val="en-US" w:eastAsia="zh-CN"/>
              </w:rPr>
              <w:t>2</w:t>
            </w:r>
            <w:r>
              <w:rPr>
                <w:rFonts w:hint="eastAsia" w:cs="Times New Roman"/>
                <w:color w:val="auto"/>
                <w:sz w:val="24"/>
                <w:szCs w:val="24"/>
                <w:lang w:val="zh-CN" w:eastAsia="zh-CN"/>
              </w:rPr>
              <w:t>）蒸汽锅炉排污水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11"/>
                <w:sz w:val="24"/>
                <w:szCs w:val="24"/>
              </w:rPr>
              <w:t>锅炉</w:t>
            </w:r>
            <w:r>
              <w:rPr>
                <w:rFonts w:hint="default" w:ascii="Times New Roman" w:hAnsi="Times New Roman" w:cs="Times New Roman"/>
                <w:color w:val="auto"/>
                <w:kern w:val="11"/>
                <w:sz w:val="24"/>
                <w:szCs w:val="24"/>
                <w:lang w:val="en-US" w:eastAsia="zh-CN"/>
              </w:rPr>
              <w:t>排浓水</w:t>
            </w:r>
            <w:r>
              <w:rPr>
                <w:rFonts w:hint="default" w:ascii="Times New Roman" w:hAnsi="Times New Roman" w:eastAsia="宋体" w:cs="Times New Roman"/>
                <w:color w:val="auto"/>
                <w:kern w:val="11"/>
                <w:sz w:val="24"/>
                <w:szCs w:val="24"/>
              </w:rPr>
              <w:t>量</w:t>
            </w:r>
            <w:r>
              <w:rPr>
                <w:rFonts w:hint="default" w:ascii="Times New Roman" w:hAnsi="Times New Roman" w:cs="Times New Roman"/>
                <w:color w:val="auto"/>
                <w:kern w:val="11"/>
                <w:sz w:val="24"/>
                <w:szCs w:val="24"/>
                <w:lang w:eastAsia="zh-CN"/>
              </w:rPr>
              <w:t>：</w:t>
            </w:r>
            <w:r>
              <w:rPr>
                <w:rFonts w:hint="default" w:ascii="Times New Roman" w:hAnsi="Times New Roman" w:eastAsia="宋体" w:cs="Times New Roman"/>
                <w:color w:val="auto"/>
                <w:kern w:val="11"/>
                <w:sz w:val="24"/>
                <w:szCs w:val="24"/>
              </w:rPr>
              <w:t>参考《</w:t>
            </w:r>
            <w:r>
              <w:rPr>
                <w:rFonts w:hint="default" w:ascii="Times New Roman" w:hAnsi="Times New Roman" w:eastAsia="宋体" w:cs="Times New Roman"/>
                <w:color w:val="auto"/>
                <w:kern w:val="11"/>
                <w:sz w:val="24"/>
                <w:szCs w:val="24"/>
                <w:lang w:val="en-US" w:eastAsia="zh-CN"/>
              </w:rPr>
              <w:t>排放源统计调查产排污核算方法和系数手册</w:t>
            </w:r>
            <w:r>
              <w:rPr>
                <w:rFonts w:hint="default" w:ascii="Times New Roman" w:hAnsi="Times New Roman" w:eastAsia="宋体" w:cs="Times New Roman"/>
                <w:color w:val="auto"/>
                <w:kern w:val="11"/>
                <w:sz w:val="24"/>
                <w:szCs w:val="24"/>
              </w:rPr>
              <w:t>》</w:t>
            </w:r>
            <w:r>
              <w:rPr>
                <w:rFonts w:hint="default" w:ascii="Times New Roman" w:hAnsi="Times New Roman" w:cs="Times New Roman"/>
                <w:color w:val="auto"/>
                <w:kern w:val="11"/>
                <w:sz w:val="24"/>
                <w:szCs w:val="24"/>
                <w:lang w:val="en-US" w:eastAsia="zh-CN"/>
              </w:rPr>
              <w:t>中对应的4430</w:t>
            </w:r>
            <w:r>
              <w:rPr>
                <w:rFonts w:hint="default" w:ascii="Times New Roman" w:hAnsi="Times New Roman" w:eastAsia="宋体" w:cs="Times New Roman"/>
                <w:color w:val="auto"/>
                <w:kern w:val="11"/>
                <w:sz w:val="24"/>
                <w:szCs w:val="24"/>
              </w:rPr>
              <w:t>工业</w:t>
            </w:r>
            <w:r>
              <w:rPr>
                <w:rFonts w:hint="default" w:ascii="Times New Roman" w:hAnsi="Times New Roman" w:eastAsia="宋体" w:cs="Times New Roman"/>
                <w:color w:val="auto"/>
                <w:kern w:val="11"/>
                <w:sz w:val="24"/>
                <w:szCs w:val="24"/>
                <w:lang w:val="en-US" w:eastAsia="zh-CN"/>
              </w:rPr>
              <w:t>锅炉产排污量核算系数</w:t>
            </w:r>
            <w:r>
              <w:rPr>
                <w:rFonts w:hint="default" w:ascii="Times New Roman" w:hAnsi="Times New Roman" w:eastAsia="宋体" w:cs="Times New Roman"/>
                <w:color w:val="auto"/>
                <w:kern w:val="11"/>
                <w:sz w:val="24"/>
                <w:szCs w:val="24"/>
              </w:rPr>
              <w:t>，产生系数为</w:t>
            </w:r>
            <w:r>
              <w:rPr>
                <w:rFonts w:hint="default" w:ascii="Times New Roman" w:hAnsi="Times New Roman" w:cs="Times New Roman"/>
                <w:color w:val="auto"/>
                <w:kern w:val="11"/>
                <w:sz w:val="24"/>
                <w:szCs w:val="24"/>
                <w:lang w:val="en-US" w:eastAsia="zh-CN"/>
              </w:rPr>
              <w:t>1.97m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color w:val="auto"/>
                <w:kern w:val="11"/>
                <w:sz w:val="24"/>
                <w:szCs w:val="24"/>
              </w:rPr>
              <w:t>/万Nm</w:t>
            </w:r>
            <w:r>
              <w:rPr>
                <w:rFonts w:hint="default" w:ascii="Times New Roman" w:hAnsi="Times New Roman" w:eastAsia="宋体" w:cs="Times New Roman"/>
                <w:color w:val="auto"/>
                <w:kern w:val="11"/>
                <w:sz w:val="24"/>
                <w:szCs w:val="24"/>
                <w:vertAlign w:val="superscript"/>
              </w:rPr>
              <w:t>3</w:t>
            </w:r>
            <w:r>
              <w:rPr>
                <w:rFonts w:hint="default" w:ascii="Times New Roman" w:hAnsi="Times New Roman" w:eastAsia="宋体" w:cs="Times New Roman"/>
                <w:color w:val="auto"/>
                <w:kern w:val="11"/>
                <w:sz w:val="24"/>
                <w:szCs w:val="24"/>
              </w:rPr>
              <w:t>天然气。蒸汽锅炉年</w:t>
            </w:r>
            <w:r>
              <w:rPr>
                <w:rFonts w:hint="default" w:ascii="Times New Roman" w:hAnsi="Times New Roman" w:cs="Times New Roman"/>
                <w:color w:val="auto"/>
                <w:kern w:val="11"/>
                <w:sz w:val="24"/>
                <w:szCs w:val="24"/>
                <w:lang w:val="en-US" w:eastAsia="zh-CN"/>
              </w:rPr>
              <w:t>天然气用</w:t>
            </w:r>
            <w:r>
              <w:rPr>
                <w:rFonts w:hint="default" w:ascii="Times New Roman" w:hAnsi="Times New Roman" w:eastAsia="宋体" w:cs="Times New Roman"/>
                <w:color w:val="auto"/>
                <w:kern w:val="11"/>
                <w:sz w:val="24"/>
                <w:szCs w:val="24"/>
              </w:rPr>
              <w:t>量约</w:t>
            </w:r>
            <w:r>
              <w:rPr>
                <w:rFonts w:hint="default" w:ascii="Times New Roman" w:hAnsi="Times New Roman" w:eastAsia="宋体" w:cs="Times New Roman"/>
                <w:color w:val="auto"/>
                <w:kern w:val="11"/>
                <w:sz w:val="24"/>
                <w:szCs w:val="24"/>
                <w:lang w:val="en-US" w:eastAsia="zh-CN"/>
              </w:rPr>
              <w:t>为</w:t>
            </w:r>
            <w:r>
              <w:rPr>
                <w:rFonts w:hint="eastAsia" w:ascii="Times New Roman" w:hAnsi="Times New Roman" w:eastAsia="宋体" w:cs="Times New Roman"/>
                <w:color w:val="auto"/>
                <w:kern w:val="11"/>
                <w:sz w:val="24"/>
                <w:szCs w:val="24"/>
                <w:lang w:val="en-US" w:eastAsia="zh-CN"/>
              </w:rPr>
              <w:t>313.6</w:t>
            </w:r>
            <w:r>
              <w:rPr>
                <w:rFonts w:hint="default" w:ascii="Times New Roman" w:hAnsi="Times New Roman" w:eastAsia="宋体" w:cs="Times New Roman"/>
                <w:color w:val="auto"/>
                <w:kern w:val="11"/>
                <w:sz w:val="24"/>
                <w:szCs w:val="24"/>
              </w:rPr>
              <w:t>万Nm</w:t>
            </w:r>
            <w:r>
              <w:rPr>
                <w:rFonts w:hint="default" w:ascii="Times New Roman" w:hAnsi="Times New Roman" w:eastAsia="宋体" w:cs="Times New Roman"/>
                <w:color w:val="auto"/>
                <w:kern w:val="11"/>
                <w:sz w:val="24"/>
                <w:szCs w:val="24"/>
                <w:vertAlign w:val="superscript"/>
              </w:rPr>
              <w:t>3</w:t>
            </w:r>
            <w:r>
              <w:rPr>
                <w:rFonts w:hint="default" w:ascii="Times New Roman" w:hAnsi="Times New Roman" w:cs="Times New Roman"/>
                <w:color w:val="auto"/>
                <w:kern w:val="11"/>
                <w:sz w:val="24"/>
                <w:szCs w:val="24"/>
                <w:vertAlign w:val="baseline"/>
                <w:lang w:val="en-US" w:eastAsia="zh-CN"/>
              </w:rPr>
              <w:t>/a</w:t>
            </w:r>
            <w:r>
              <w:rPr>
                <w:rFonts w:hint="default" w:ascii="Times New Roman" w:hAnsi="Times New Roman" w:cs="Times New Roman"/>
                <w:color w:val="auto"/>
                <w:kern w:val="11"/>
                <w:sz w:val="24"/>
                <w:szCs w:val="24"/>
                <w:lang w:eastAsia="zh-CN"/>
              </w:rPr>
              <w:t>，</w:t>
            </w:r>
            <w:r>
              <w:rPr>
                <w:rFonts w:hint="default" w:ascii="Times New Roman" w:hAnsi="Times New Roman" w:eastAsia="宋体" w:cs="Times New Roman"/>
                <w:color w:val="auto"/>
                <w:kern w:val="11"/>
                <w:sz w:val="24"/>
                <w:szCs w:val="24"/>
                <w:lang w:val="en-US" w:eastAsia="zh-CN"/>
              </w:rPr>
              <w:t>则</w:t>
            </w:r>
            <w:r>
              <w:rPr>
                <w:rFonts w:hint="default" w:ascii="Times New Roman" w:hAnsi="Times New Roman" w:cs="Times New Roman"/>
                <w:color w:val="auto"/>
                <w:kern w:val="11"/>
                <w:sz w:val="24"/>
                <w:szCs w:val="24"/>
                <w:lang w:val="en-US" w:eastAsia="zh-CN"/>
              </w:rPr>
              <w:t>锅炉排浓水量</w:t>
            </w:r>
            <w:r>
              <w:rPr>
                <w:rFonts w:hint="default" w:ascii="Times New Roman" w:hAnsi="Times New Roman" w:eastAsia="宋体" w:cs="Times New Roman"/>
                <w:color w:val="auto"/>
                <w:kern w:val="11"/>
                <w:sz w:val="24"/>
                <w:szCs w:val="24"/>
              </w:rPr>
              <w:t>为</w:t>
            </w:r>
            <w:r>
              <w:rPr>
                <w:rFonts w:hint="eastAsia" w:ascii="Times New Roman" w:hAnsi="Times New Roman" w:cs="Times New Roman"/>
                <w:color w:val="auto"/>
                <w:kern w:val="11"/>
                <w:sz w:val="24"/>
                <w:szCs w:val="24"/>
                <w:lang w:val="en-US" w:eastAsia="zh-CN"/>
              </w:rPr>
              <w:t>617.79</w:t>
            </w:r>
            <w:r>
              <w:rPr>
                <w:rFonts w:hint="default" w:ascii="Times New Roman" w:hAnsi="Times New Roman" w:cs="Times New Roman"/>
                <w:color w:val="auto"/>
                <w:kern w:val="11"/>
                <w:sz w:val="24"/>
                <w:szCs w:val="24"/>
                <w:lang w:val="en-US" w:eastAsia="zh-CN"/>
              </w:rPr>
              <w:t>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color w:val="auto"/>
                <w:kern w:val="11"/>
                <w:sz w:val="24"/>
                <w:szCs w:val="24"/>
              </w:rPr>
              <w:t>/a</w:t>
            </w:r>
            <w:r>
              <w:rPr>
                <w:rFonts w:hint="default" w:ascii="Times New Roman" w:hAnsi="Times New Roman" w:eastAsia="宋体" w:cs="Times New Roman"/>
                <w:color w:val="auto"/>
                <w:sz w:val="24"/>
                <w:szCs w:val="24"/>
              </w:rPr>
              <w:t>。</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cs="Times New Roman"/>
                <w:color w:val="auto"/>
                <w:sz w:val="24"/>
                <w:szCs w:val="24"/>
                <w:lang w:val="zh-CN" w:eastAsia="zh-CN"/>
              </w:rPr>
              <w:t>（</w:t>
            </w:r>
            <w:r>
              <w:rPr>
                <w:rFonts w:hint="eastAsia" w:cs="Times New Roman"/>
                <w:color w:val="auto"/>
                <w:sz w:val="24"/>
                <w:szCs w:val="24"/>
                <w:lang w:val="en-US" w:eastAsia="zh-CN"/>
              </w:rPr>
              <w:t>3</w:t>
            </w:r>
            <w:r>
              <w:rPr>
                <w:rFonts w:hint="eastAsia" w:cs="Times New Roman"/>
                <w:color w:val="auto"/>
                <w:sz w:val="24"/>
                <w:szCs w:val="24"/>
                <w:lang w:val="zh-CN" w:eastAsia="zh-CN"/>
              </w:rPr>
              <w:t>）软水制备排污水</w:t>
            </w:r>
          </w:p>
          <w:p>
            <w:pPr>
              <w:spacing w:line="360" w:lineRule="auto"/>
              <w:ind w:firstLine="482"/>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Cs/>
                <w:color w:val="auto"/>
                <w:sz w:val="24"/>
                <w:szCs w:val="24"/>
              </w:rPr>
              <w:t>软水系统软水的产水量为80%，软水系统用</w:t>
            </w:r>
            <w:r>
              <w:rPr>
                <w:rFonts w:hint="eastAsia" w:ascii="Times New Roman" w:hAnsi="Times New Roman" w:eastAsia="宋体" w:cs="Times New Roman"/>
                <w:bCs/>
                <w:color w:val="auto"/>
                <w:sz w:val="24"/>
                <w:szCs w:val="24"/>
                <w:lang w:eastAsia="zh-CN"/>
              </w:rPr>
              <w:t>水</w:t>
            </w:r>
            <w:r>
              <w:rPr>
                <w:rFonts w:hint="default" w:ascii="Times New Roman" w:hAnsi="Times New Roman" w:eastAsia="宋体" w:cs="Times New Roman"/>
                <w:bCs/>
                <w:color w:val="auto"/>
                <w:sz w:val="24"/>
                <w:szCs w:val="24"/>
              </w:rPr>
              <w:t>量为</w:t>
            </w:r>
            <w:r>
              <w:rPr>
                <w:rFonts w:hint="eastAsia" w:ascii="Times New Roman" w:hAnsi="Times New Roman" w:cs="Times New Roman"/>
                <w:color w:val="auto"/>
                <w:sz w:val="24"/>
                <w:szCs w:val="24"/>
                <w:lang w:val="en-US" w:eastAsia="zh-CN"/>
              </w:rPr>
              <w:t>3173.35</w:t>
            </w:r>
            <w:r>
              <w:rPr>
                <w:rFonts w:hint="default" w:ascii="Times New Roman" w:hAnsi="Times New Roman" w:cs="Times New Roman"/>
                <w:color w:val="auto"/>
                <w:kern w:val="11"/>
                <w:sz w:val="24"/>
                <w:szCs w:val="24"/>
                <w:lang w:val="en-US" w:eastAsia="zh-CN"/>
              </w:rPr>
              <w:t>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bCs/>
                <w:color w:val="auto"/>
                <w:sz w:val="24"/>
                <w:szCs w:val="24"/>
                <w:lang w:val="en-US" w:eastAsia="zh-CN"/>
              </w:rPr>
              <w:t>/a</w:t>
            </w:r>
            <w:r>
              <w:rPr>
                <w:rFonts w:hint="default" w:ascii="Times New Roman" w:hAnsi="Times New Roman" w:eastAsia="宋体" w:cs="Times New Roman"/>
                <w:bCs/>
                <w:color w:val="auto"/>
                <w:sz w:val="24"/>
                <w:szCs w:val="24"/>
              </w:rPr>
              <w:t>，则软水制备系统浓水产生量为</w:t>
            </w:r>
            <w:r>
              <w:rPr>
                <w:rFonts w:hint="eastAsia" w:ascii="Times New Roman" w:hAnsi="Times New Roman" w:cs="Times New Roman"/>
                <w:bCs/>
                <w:color w:val="auto"/>
                <w:sz w:val="24"/>
                <w:szCs w:val="24"/>
                <w:lang w:val="en-US" w:eastAsia="zh-CN"/>
              </w:rPr>
              <w:t>634.67</w:t>
            </w:r>
            <w:r>
              <w:rPr>
                <w:rFonts w:hint="default" w:ascii="Times New Roman" w:hAnsi="Times New Roman" w:cs="Times New Roman"/>
                <w:color w:val="auto"/>
                <w:kern w:val="11"/>
                <w:sz w:val="24"/>
                <w:szCs w:val="24"/>
                <w:lang w:val="en-US" w:eastAsia="zh-CN"/>
              </w:rPr>
              <w:t>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bCs/>
                <w:color w:val="auto"/>
                <w:sz w:val="24"/>
                <w:szCs w:val="24"/>
                <w:lang w:val="en-US" w:eastAsia="zh-CN"/>
              </w:rPr>
              <w:t>/a</w:t>
            </w:r>
            <w:r>
              <w:rPr>
                <w:rFonts w:hint="eastAsia" w:ascii="Times New Roman" w:hAnsi="Times New Roman" w:eastAsia="宋体" w:cs="Times New Roman"/>
                <w:bCs/>
                <w:color w:val="auto"/>
                <w:sz w:val="24"/>
                <w:szCs w:val="24"/>
                <w:lang w:val="en-US" w:eastAsia="zh-CN"/>
              </w:rPr>
              <w:t>。</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w:t>
            </w:r>
            <w:r>
              <w:rPr>
                <w:rFonts w:hint="eastAsia" w:cs="Times New Roman"/>
                <w:b w:val="0"/>
                <w:bCs w:val="0"/>
                <w:color w:val="auto"/>
                <w:sz w:val="24"/>
                <w:szCs w:val="24"/>
                <w:lang w:val="en-US" w:eastAsia="zh-CN"/>
              </w:rPr>
              <w:t>4</w:t>
            </w:r>
            <w:r>
              <w:rPr>
                <w:rFonts w:hint="eastAsia" w:ascii="Times New Roman" w:hAnsi="Times New Roman" w:eastAsia="宋体" w:cs="Times New Roman"/>
                <w:b w:val="0"/>
                <w:bCs w:val="0"/>
                <w:color w:val="auto"/>
                <w:sz w:val="24"/>
                <w:szCs w:val="24"/>
                <w:lang w:eastAsia="zh-CN"/>
              </w:rPr>
              <w:t>）清净雨水排水系统</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罐区设置雨水系统，罐区罐组均为地上罐组，防火堤内清洁雨水通过阀门及经水封井后排入消防道路与防火堤之间的排水沟。</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w:t>
            </w:r>
            <w:r>
              <w:rPr>
                <w:rFonts w:hint="eastAsia" w:cs="Times New Roman"/>
                <w:b w:val="0"/>
                <w:bCs w:val="0"/>
                <w:color w:val="auto"/>
                <w:sz w:val="24"/>
                <w:szCs w:val="24"/>
                <w:lang w:val="en-US" w:eastAsia="zh-CN"/>
              </w:rPr>
              <w:t>5</w:t>
            </w:r>
            <w:r>
              <w:rPr>
                <w:rFonts w:hint="eastAsia" w:ascii="Times New Roman" w:hAnsi="Times New Roman" w:eastAsia="宋体" w:cs="Times New Roman"/>
                <w:b w:val="0"/>
                <w:bCs w:val="0"/>
                <w:color w:val="auto"/>
                <w:sz w:val="24"/>
                <w:szCs w:val="24"/>
                <w:lang w:eastAsia="zh-CN"/>
              </w:rPr>
              <w:t>）含油污水排水系统</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①</w:t>
            </w:r>
            <w:r>
              <w:rPr>
                <w:rFonts w:hint="eastAsia" w:cs="Times New Roman"/>
                <w:color w:val="auto"/>
                <w:sz w:val="24"/>
                <w:szCs w:val="24"/>
                <w:lang w:val="zh-CN" w:eastAsia="zh-CN"/>
              </w:rPr>
              <w:t>罐区及装卸车区</w:t>
            </w:r>
            <w:r>
              <w:rPr>
                <w:rFonts w:hint="eastAsia" w:ascii="Times New Roman" w:hAnsi="Times New Roman" w:cs="Times New Roman"/>
                <w:color w:val="auto"/>
                <w:sz w:val="24"/>
                <w:szCs w:val="24"/>
                <w:lang w:val="zh-CN" w:eastAsia="zh-CN"/>
              </w:rPr>
              <w:t>地面清洗废水</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cs="Times New Roman"/>
                <w:color w:val="auto"/>
                <w:sz w:val="24"/>
                <w:szCs w:val="24"/>
                <w:lang w:val="zh-CN" w:eastAsia="zh-CN"/>
              </w:rPr>
              <w:t>罐区及装卸车区</w:t>
            </w:r>
            <w:r>
              <w:rPr>
                <w:rFonts w:hint="eastAsia" w:ascii="Times New Roman" w:hAnsi="Times New Roman" w:cs="Times New Roman"/>
                <w:color w:val="auto"/>
                <w:sz w:val="24"/>
                <w:szCs w:val="24"/>
                <w:lang w:val="zh-CN" w:eastAsia="zh-CN"/>
              </w:rPr>
              <w:t>地面清洗</w:t>
            </w:r>
            <w:r>
              <w:rPr>
                <w:rFonts w:hint="eastAsia" w:ascii="Times New Roman" w:hAnsi="Times New Roman" w:eastAsia="宋体" w:cs="Times New Roman"/>
                <w:b w:val="0"/>
                <w:bCs w:val="0"/>
                <w:color w:val="auto"/>
                <w:sz w:val="24"/>
                <w:szCs w:val="24"/>
                <w:lang w:eastAsia="zh-CN"/>
              </w:rPr>
              <w:t>用</w:t>
            </w:r>
            <w:r>
              <w:rPr>
                <w:rFonts w:hint="eastAsia" w:cs="Times New Roman"/>
                <w:b w:val="0"/>
                <w:bCs w:val="0"/>
                <w:color w:val="auto"/>
                <w:sz w:val="24"/>
                <w:szCs w:val="24"/>
                <w:lang w:eastAsia="zh-CN"/>
              </w:rPr>
              <w:t>水</w:t>
            </w:r>
            <w:r>
              <w:rPr>
                <w:rFonts w:hint="eastAsia" w:ascii="Times New Roman" w:hAnsi="Times New Roman" w:eastAsia="宋体" w:cs="Times New Roman"/>
                <w:b w:val="0"/>
                <w:bCs w:val="0"/>
                <w:color w:val="auto"/>
                <w:sz w:val="24"/>
                <w:szCs w:val="24"/>
                <w:lang w:eastAsia="zh-CN"/>
              </w:rPr>
              <w:t>量为</w:t>
            </w:r>
            <w:r>
              <w:rPr>
                <w:rFonts w:hint="eastAsia" w:cs="Times New Roman"/>
                <w:b w:val="0"/>
                <w:bCs w:val="0"/>
                <w:color w:val="auto"/>
                <w:sz w:val="24"/>
                <w:szCs w:val="24"/>
                <w:lang w:val="en-US" w:eastAsia="zh-CN"/>
              </w:rPr>
              <w:t>4902.79</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/a，污水产生系数按照80%计，则</w:t>
            </w:r>
            <w:r>
              <w:rPr>
                <w:rFonts w:hint="eastAsia" w:cs="Times New Roman"/>
                <w:color w:val="auto"/>
                <w:sz w:val="24"/>
                <w:szCs w:val="24"/>
                <w:lang w:val="zh-CN" w:eastAsia="zh-CN"/>
              </w:rPr>
              <w:t>罐区及装卸车区</w:t>
            </w:r>
            <w:r>
              <w:rPr>
                <w:rFonts w:hint="eastAsia" w:ascii="Times New Roman" w:hAnsi="Times New Roman" w:cs="Times New Roman"/>
                <w:color w:val="auto"/>
                <w:sz w:val="24"/>
                <w:szCs w:val="24"/>
                <w:lang w:val="zh-CN" w:eastAsia="zh-CN"/>
              </w:rPr>
              <w:t>地面清洗废水</w:t>
            </w:r>
            <w:r>
              <w:rPr>
                <w:rFonts w:hint="eastAsia" w:ascii="Times New Roman" w:hAnsi="Times New Roman" w:eastAsia="宋体" w:cs="Times New Roman"/>
                <w:b w:val="0"/>
                <w:bCs w:val="0"/>
                <w:color w:val="auto"/>
                <w:sz w:val="24"/>
                <w:szCs w:val="24"/>
                <w:lang w:eastAsia="zh-CN"/>
              </w:rPr>
              <w:t>产生量为</w:t>
            </w:r>
            <w:r>
              <w:rPr>
                <w:rFonts w:hint="eastAsia" w:cs="Times New Roman"/>
                <w:b w:val="0"/>
                <w:bCs w:val="0"/>
                <w:color w:val="auto"/>
                <w:sz w:val="24"/>
                <w:szCs w:val="24"/>
                <w:lang w:val="en-US" w:eastAsia="zh-CN"/>
              </w:rPr>
              <w:t>3922.23</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/a，进入厂区污水处理站进行处理。</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②</w:t>
            </w:r>
            <w:r>
              <w:rPr>
                <w:rFonts w:hint="eastAsia" w:cs="Times New Roman"/>
                <w:b w:val="0"/>
                <w:bCs w:val="0"/>
                <w:color w:val="auto"/>
                <w:sz w:val="24"/>
                <w:szCs w:val="24"/>
                <w:lang w:eastAsia="zh-CN"/>
              </w:rPr>
              <w:t>储罐</w:t>
            </w:r>
            <w:r>
              <w:rPr>
                <w:rFonts w:hint="eastAsia" w:ascii="Times New Roman" w:hAnsi="Times New Roman" w:eastAsia="宋体" w:cs="Times New Roman"/>
                <w:b w:val="0"/>
                <w:bCs w:val="0"/>
                <w:color w:val="auto"/>
                <w:sz w:val="24"/>
                <w:szCs w:val="24"/>
                <w:lang w:eastAsia="zh-CN"/>
              </w:rPr>
              <w:t>冲洗</w:t>
            </w:r>
            <w:r>
              <w:rPr>
                <w:rFonts w:hint="eastAsia" w:cs="Times New Roman"/>
                <w:b w:val="0"/>
                <w:bCs w:val="0"/>
                <w:color w:val="auto"/>
                <w:sz w:val="24"/>
                <w:szCs w:val="24"/>
                <w:lang w:eastAsia="zh-CN"/>
              </w:rPr>
              <w:t>废</w:t>
            </w:r>
            <w:r>
              <w:rPr>
                <w:rFonts w:hint="eastAsia" w:ascii="Times New Roman" w:hAnsi="Times New Roman" w:eastAsia="宋体" w:cs="Times New Roman"/>
                <w:b w:val="0"/>
                <w:bCs w:val="0"/>
                <w:color w:val="auto"/>
                <w:sz w:val="24"/>
                <w:szCs w:val="24"/>
                <w:lang w:eastAsia="zh-CN"/>
              </w:rPr>
              <w:t>水</w:t>
            </w:r>
          </w:p>
          <w:p>
            <w:pPr>
              <w:spacing w:line="360" w:lineRule="auto"/>
              <w:ind w:firstLine="482"/>
              <w:rPr>
                <w:rFonts w:hint="eastAsia" w:ascii="Times New Roman" w:hAnsi="Times New Roman" w:eastAsia="宋体" w:cs="Times New Roman"/>
                <w:b w:val="0"/>
                <w:bCs w:val="0"/>
                <w:color w:val="auto"/>
                <w:sz w:val="24"/>
                <w:szCs w:val="24"/>
                <w:lang w:eastAsia="zh-CN"/>
              </w:rPr>
            </w:pPr>
            <w:bookmarkStart w:id="6" w:name="_Hlk120093025"/>
            <w:r>
              <w:rPr>
                <w:rFonts w:hint="eastAsia" w:cs="Times New Roman"/>
                <w:b w:val="0"/>
                <w:bCs w:val="0"/>
                <w:color w:val="auto"/>
                <w:sz w:val="24"/>
                <w:szCs w:val="24"/>
                <w:lang w:eastAsia="zh-CN"/>
              </w:rPr>
              <w:t>储罐</w:t>
            </w:r>
            <w:r>
              <w:rPr>
                <w:rFonts w:hint="eastAsia" w:ascii="Times New Roman" w:hAnsi="Times New Roman" w:eastAsia="宋体" w:cs="Times New Roman"/>
                <w:b w:val="0"/>
                <w:bCs w:val="0"/>
                <w:color w:val="auto"/>
                <w:sz w:val="24"/>
                <w:szCs w:val="24"/>
                <w:lang w:eastAsia="zh-CN"/>
              </w:rPr>
              <w:t>冲洗水用量为</w:t>
            </w:r>
            <w:r>
              <w:rPr>
                <w:rFonts w:hint="eastAsia" w:cs="Times New Roman"/>
                <w:b w:val="0"/>
                <w:bCs w:val="0"/>
                <w:color w:val="auto"/>
                <w:sz w:val="24"/>
                <w:szCs w:val="24"/>
                <w:lang w:val="en-US" w:eastAsia="zh-CN"/>
              </w:rPr>
              <w:t>6090</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/3a，污水产生系数按照</w:t>
            </w:r>
            <w:r>
              <w:rPr>
                <w:rFonts w:hint="eastAsia" w:cs="Times New Roman"/>
                <w:b w:val="0"/>
                <w:bCs w:val="0"/>
                <w:color w:val="auto"/>
                <w:sz w:val="24"/>
                <w:szCs w:val="24"/>
                <w:lang w:val="en-US" w:eastAsia="zh-CN"/>
              </w:rPr>
              <w:t>9</w:t>
            </w:r>
            <w:r>
              <w:rPr>
                <w:rFonts w:hint="eastAsia" w:ascii="Times New Roman" w:hAnsi="Times New Roman" w:eastAsia="宋体" w:cs="Times New Roman"/>
                <w:b w:val="0"/>
                <w:bCs w:val="0"/>
                <w:color w:val="auto"/>
                <w:sz w:val="24"/>
                <w:szCs w:val="24"/>
                <w:lang w:eastAsia="zh-CN"/>
              </w:rPr>
              <w:t>0%计，</w:t>
            </w:r>
            <w:r>
              <w:rPr>
                <w:rFonts w:hint="eastAsia" w:cs="Times New Roman"/>
                <w:b w:val="0"/>
                <w:bCs w:val="0"/>
                <w:color w:val="auto"/>
                <w:sz w:val="24"/>
                <w:szCs w:val="24"/>
                <w:lang w:eastAsia="zh-CN"/>
              </w:rPr>
              <w:t>储罐</w:t>
            </w:r>
            <w:r>
              <w:rPr>
                <w:rFonts w:hint="eastAsia" w:ascii="Times New Roman" w:hAnsi="Times New Roman" w:eastAsia="宋体" w:cs="Times New Roman"/>
                <w:b w:val="0"/>
                <w:bCs w:val="0"/>
                <w:color w:val="auto"/>
                <w:sz w:val="24"/>
                <w:szCs w:val="24"/>
                <w:lang w:eastAsia="zh-CN"/>
              </w:rPr>
              <w:t>冲洗</w:t>
            </w:r>
            <w:r>
              <w:rPr>
                <w:rFonts w:hint="eastAsia" w:cs="Times New Roman"/>
                <w:b w:val="0"/>
                <w:bCs w:val="0"/>
                <w:color w:val="auto"/>
                <w:sz w:val="24"/>
                <w:szCs w:val="24"/>
                <w:lang w:eastAsia="zh-CN"/>
              </w:rPr>
              <w:t>废</w:t>
            </w:r>
            <w:r>
              <w:rPr>
                <w:rFonts w:hint="eastAsia" w:ascii="Times New Roman" w:hAnsi="Times New Roman" w:eastAsia="宋体" w:cs="Times New Roman"/>
                <w:b w:val="0"/>
                <w:bCs w:val="0"/>
                <w:color w:val="auto"/>
                <w:sz w:val="24"/>
                <w:szCs w:val="24"/>
                <w:lang w:eastAsia="zh-CN"/>
              </w:rPr>
              <w:t>水经隔油池预处理后进入厂区污水处理站进行处理，污水产生量为</w:t>
            </w:r>
            <w:r>
              <w:rPr>
                <w:rFonts w:hint="eastAsia" w:cs="Times New Roman"/>
                <w:b w:val="0"/>
                <w:bCs w:val="0"/>
                <w:color w:val="auto"/>
                <w:sz w:val="24"/>
                <w:szCs w:val="24"/>
                <w:lang w:val="en-US" w:eastAsia="zh-CN"/>
              </w:rPr>
              <w:t>1827</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/a。</w:t>
            </w:r>
          </w:p>
          <w:bookmarkEnd w:id="6"/>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③初期雨水</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本项目初期雨水汇水面积</w:t>
            </w:r>
            <w:r>
              <w:rPr>
                <w:rFonts w:hint="eastAsia" w:ascii="Times New Roman" w:hAnsi="Times New Roman" w:eastAsia="宋体" w:cs="Times New Roman"/>
                <w:b w:val="0"/>
                <w:bCs w:val="0"/>
                <w:color w:val="auto"/>
                <w:sz w:val="24"/>
                <w:szCs w:val="24"/>
                <w:lang w:eastAsia="zh-CN"/>
              </w:rPr>
              <w:t>约为</w:t>
            </w:r>
            <w:r>
              <w:rPr>
                <w:rFonts w:hint="eastAsia" w:cs="Times New Roman"/>
                <w:b w:val="0"/>
                <w:bCs w:val="0"/>
                <w:color w:val="auto"/>
                <w:sz w:val="24"/>
                <w:szCs w:val="24"/>
                <w:lang w:val="en-US" w:eastAsia="zh-CN"/>
              </w:rPr>
              <w:t>51070.7</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2</w:t>
            </w:r>
            <w:r>
              <w:rPr>
                <w:rFonts w:hint="eastAsia" w:ascii="Times New Roman" w:hAnsi="Times New Roman" w:eastAsia="宋体" w:cs="Times New Roman"/>
                <w:b w:val="0"/>
                <w:bCs w:val="0"/>
                <w:color w:val="auto"/>
                <w:sz w:val="24"/>
                <w:szCs w:val="24"/>
                <w:lang w:eastAsia="zh-CN"/>
              </w:rPr>
              <w:t>，降雨量按照15mm</w:t>
            </w:r>
            <w:r>
              <w:rPr>
                <w:rFonts w:hint="eastAsia"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eastAsia="zh-CN"/>
              </w:rPr>
              <w:t>径流系数取0.9，则前期雨水产生量计算采用公式：</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Q=ΨFi</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Ｆ——汇水面积，m</w:t>
            </w:r>
            <w:r>
              <w:rPr>
                <w:rFonts w:hint="eastAsia" w:ascii="Times New Roman" w:hAnsi="Times New Roman" w:eastAsia="宋体" w:cs="Times New Roman"/>
                <w:b w:val="0"/>
                <w:bCs w:val="0"/>
                <w:color w:val="auto"/>
                <w:sz w:val="24"/>
                <w:szCs w:val="24"/>
                <w:vertAlign w:val="superscript"/>
                <w:lang w:eastAsia="zh-CN"/>
              </w:rPr>
              <w:t>2</w:t>
            </w:r>
            <w:r>
              <w:rPr>
                <w:rFonts w:hint="eastAsia" w:ascii="Times New Roman" w:hAnsi="Times New Roman" w:eastAsia="宋体" w:cs="Times New Roman"/>
                <w:b w:val="0"/>
                <w:bCs w:val="0"/>
                <w:color w:val="auto"/>
                <w:sz w:val="24"/>
                <w:szCs w:val="24"/>
                <w:lang w:eastAsia="zh-CN"/>
              </w:rPr>
              <w:t>；</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Ψ——径流系数，取0.9；</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i——暴雨强度，15mm。</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则</w:t>
            </w:r>
            <w:r>
              <w:rPr>
                <w:rFonts w:hint="eastAsia" w:ascii="Times New Roman" w:hAnsi="Times New Roman" w:eastAsia="宋体" w:cs="Times New Roman"/>
                <w:b w:val="0"/>
                <w:bCs w:val="0"/>
                <w:color w:val="auto"/>
                <w:sz w:val="24"/>
                <w:szCs w:val="24"/>
                <w:lang w:eastAsia="zh-CN"/>
              </w:rPr>
              <w:t>本项目初期雨水量最大值为</w:t>
            </w:r>
            <w:r>
              <w:rPr>
                <w:rFonts w:hint="eastAsia" w:cs="Times New Roman"/>
                <w:b w:val="0"/>
                <w:bCs w:val="0"/>
                <w:color w:val="auto"/>
                <w:sz w:val="24"/>
                <w:szCs w:val="24"/>
                <w:lang w:val="en-US" w:eastAsia="zh-CN"/>
              </w:rPr>
              <w:t>689.45</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，初期雨水的主要污染物为石油类。</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一年降水次数按1</w:t>
            </w:r>
            <w:r>
              <w:rPr>
                <w:rFonts w:hint="eastAsia" w:cs="Times New Roman"/>
                <w:b w:val="0"/>
                <w:bCs w:val="0"/>
                <w:color w:val="auto"/>
                <w:sz w:val="24"/>
                <w:szCs w:val="24"/>
                <w:lang w:val="en-US" w:eastAsia="zh-CN"/>
              </w:rPr>
              <w:t>0</w:t>
            </w:r>
            <w:r>
              <w:rPr>
                <w:rFonts w:hint="eastAsia" w:ascii="Times New Roman" w:hAnsi="Times New Roman" w:eastAsia="宋体" w:cs="Times New Roman"/>
                <w:b w:val="0"/>
                <w:bCs w:val="0"/>
                <w:color w:val="auto"/>
                <w:sz w:val="24"/>
                <w:szCs w:val="24"/>
                <w:lang w:eastAsia="zh-CN"/>
              </w:rPr>
              <w:t>次计算，则本项目前期雨水量为</w:t>
            </w:r>
            <w:r>
              <w:rPr>
                <w:rFonts w:hint="eastAsia" w:cs="Times New Roman"/>
                <w:b w:val="0"/>
                <w:bCs w:val="0"/>
                <w:color w:val="auto"/>
                <w:sz w:val="24"/>
                <w:szCs w:val="24"/>
                <w:lang w:val="en-US" w:eastAsia="zh-CN"/>
              </w:rPr>
              <w:t>6894.5</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/a</w:t>
            </w:r>
            <w:r>
              <w:rPr>
                <w:rFonts w:hint="eastAsia"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eastAsia="zh-CN"/>
              </w:rPr>
              <w:t>经隔油池预处理后进入厂区污水处理站进行处理。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项目水</w:t>
            </w:r>
            <w:r>
              <w:rPr>
                <w:rFonts w:hint="default" w:ascii="Times New Roman" w:hAnsi="Times New Roman"/>
                <w:color w:val="auto"/>
                <w:sz w:val="24"/>
                <w:szCs w:val="24"/>
              </w:rPr>
              <w:t>平衡</w:t>
            </w:r>
            <w:r>
              <w:rPr>
                <w:rFonts w:hint="default" w:ascii="Times New Roman" w:hAnsi="Times New Roman" w:cs="Times New Roman"/>
                <w:color w:val="auto"/>
                <w:sz w:val="24"/>
                <w:szCs w:val="24"/>
              </w:rPr>
              <w:t>见下图</w:t>
            </w:r>
            <w:r>
              <w:rPr>
                <w:rFonts w:hint="eastAsia" w:cs="Times New Roman"/>
                <w:color w:val="auto"/>
                <w:sz w:val="24"/>
                <w:szCs w:val="24"/>
                <w:lang w:eastAsia="zh-CN"/>
              </w:rPr>
              <w:t>。</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object>
                <v:shape id="_x0000_i1025" o:spt="75" type="#_x0000_t75" style="height:310.35pt;width:418.8pt;" o:ole="t" filled="f" o:preferrelative="t" stroked="f" coordsize="21600,21600">
                  <v:path/>
                  <v:fill on="f" focussize="0,0"/>
                  <v:stroke on="f"/>
                  <v:imagedata r:id="rId9" o:title=""/>
                  <o:lock v:ext="edit" aspectratio="f"/>
                  <w10:wrap type="none"/>
                  <w10:anchorlock/>
                </v:shape>
                <o:OLEObject Type="Embed" ProgID="Visio.Drawing.11" ShapeID="_x0000_i1025" DrawAspect="Content" ObjectID="_1468075725" r:id="rId8">
                  <o:LockedField>false</o:LockedField>
                </o:OLEObject>
              </w:objec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cs="Times New Roman"/>
                <w:color w:val="auto"/>
                <w:sz w:val="24"/>
                <w:szCs w:val="24"/>
              </w:rPr>
            </w:pPr>
            <w:r>
              <w:rPr>
                <w:rFonts w:hint="default" w:ascii="Times New Roman" w:hAnsi="Times New Roman" w:eastAsia="黑体" w:cs="Times New Roman"/>
                <w:color w:val="auto"/>
                <w:sz w:val="24"/>
                <w:szCs w:val="24"/>
                <w:highlight w:val="none"/>
                <w:lang w:val="en-US" w:eastAsia="zh-CN"/>
              </w:rPr>
              <w:t>图2-</w:t>
            </w:r>
            <w:r>
              <w:rPr>
                <w:rFonts w:hint="eastAsia" w:ascii="Times New Roman" w:hAnsi="Times New Roman" w:eastAsia="黑体" w:cs="Times New Roman"/>
                <w:color w:val="auto"/>
                <w:sz w:val="24"/>
                <w:szCs w:val="24"/>
                <w:highlight w:val="none"/>
                <w:lang w:val="en-US" w:eastAsia="zh-CN"/>
              </w:rPr>
              <w:t>1</w:t>
            </w:r>
            <w:r>
              <w:rPr>
                <w:rFonts w:hint="eastAsia" w:eastAsia="黑体" w:cs="Times New Roman"/>
                <w:color w:val="auto"/>
                <w:sz w:val="24"/>
                <w:szCs w:val="24"/>
                <w:highlight w:val="none"/>
                <w:lang w:val="en-US" w:eastAsia="zh-CN"/>
              </w:rPr>
              <w:t xml:space="preserve"> </w:t>
            </w:r>
            <w:r>
              <w:rPr>
                <w:rFonts w:hint="default" w:ascii="Times New Roman" w:hAnsi="Times New Roman" w:eastAsia="黑体" w:cs="Times New Roman"/>
                <w:color w:val="auto"/>
                <w:sz w:val="24"/>
                <w:szCs w:val="24"/>
                <w:highlight w:val="none"/>
                <w:lang w:val="en-US" w:eastAsia="zh-CN"/>
              </w:rPr>
              <w:t>本项目水平衡图（m</w:t>
            </w:r>
            <w:r>
              <w:rPr>
                <w:rFonts w:hint="default" w:ascii="Times New Roman" w:hAnsi="Times New Roman" w:eastAsia="黑体" w:cs="Times New Roman"/>
                <w:color w:val="auto"/>
                <w:sz w:val="24"/>
                <w:szCs w:val="24"/>
                <w:highlight w:val="none"/>
                <w:vertAlign w:val="superscript"/>
                <w:lang w:val="en-US" w:eastAsia="zh-CN"/>
              </w:rPr>
              <w:t>3</w:t>
            </w:r>
            <w:r>
              <w:rPr>
                <w:rFonts w:hint="default" w:ascii="Times New Roman" w:hAnsi="Times New Roman" w:eastAsia="黑体" w:cs="Times New Roman"/>
                <w:color w:val="auto"/>
                <w:sz w:val="24"/>
                <w:szCs w:val="24"/>
                <w:highlight w:val="none"/>
                <w:lang w:val="en-US" w:eastAsia="zh-CN"/>
              </w:rPr>
              <w:t>/a）</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cs="Times New Roman"/>
                <w:b w:val="0"/>
                <w:bCs w:val="0"/>
                <w:color w:val="auto"/>
                <w:sz w:val="24"/>
              </w:rPr>
            </w:pPr>
            <w:r>
              <w:rPr>
                <w:rFonts w:hint="default" w:ascii="Times New Roman" w:hAnsi="Times New Roman" w:cs="Times New Roman"/>
                <w:b w:val="0"/>
                <w:bCs w:val="0"/>
                <w:color w:val="auto"/>
                <w:sz w:val="24"/>
                <w:lang w:val="en-US" w:eastAsia="zh-CN"/>
              </w:rPr>
              <w:t>3</w:t>
            </w:r>
            <w:r>
              <w:rPr>
                <w:rFonts w:hint="default" w:ascii="Times New Roman" w:hAnsi="Times New Roman" w:cs="Times New Roman"/>
                <w:b w:val="0"/>
                <w:bCs w:val="0"/>
                <w:color w:val="auto"/>
                <w:sz w:val="24"/>
                <w:lang w:eastAsia="zh-CN"/>
              </w:rPr>
              <w:t>）</w:t>
            </w:r>
            <w:r>
              <w:rPr>
                <w:rFonts w:hint="default" w:ascii="Times New Roman" w:hAnsi="Times New Roman" w:cs="Times New Roman"/>
                <w:b w:val="0"/>
                <w:bCs w:val="0"/>
                <w:color w:val="auto"/>
                <w:sz w:val="24"/>
              </w:rPr>
              <w:t>供配电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eastAsia" w:cs="Times New Roman"/>
                <w:color w:val="auto"/>
                <w:sz w:val="24"/>
                <w:lang w:eastAsia="zh-CN"/>
              </w:rPr>
            </w:pPr>
            <w:r>
              <w:rPr>
                <w:rFonts w:hint="default" w:ascii="Times New Roman" w:hAnsi="Times New Roman" w:cs="Times New Roman"/>
                <w:color w:val="auto"/>
                <w:sz w:val="24"/>
              </w:rPr>
              <w:t>项目</w:t>
            </w:r>
            <w:r>
              <w:rPr>
                <w:rFonts w:hint="default" w:ascii="Times New Roman" w:hAnsi="Times New Roman" w:eastAsia="宋体" w:cs="Times New Roman"/>
                <w:b w:val="0"/>
                <w:bCs w:val="0"/>
                <w:color w:val="auto"/>
                <w:sz w:val="24"/>
              </w:rPr>
              <w:t>用电</w:t>
            </w:r>
            <w:r>
              <w:rPr>
                <w:rFonts w:hint="default" w:ascii="Times New Roman" w:hAnsi="Times New Roman" w:cs="Times New Roman"/>
                <w:color w:val="auto"/>
                <w:sz w:val="24"/>
              </w:rPr>
              <w:t>由</w:t>
            </w:r>
            <w:r>
              <w:rPr>
                <w:rFonts w:hint="eastAsia" w:cs="Times New Roman"/>
                <w:color w:val="auto"/>
                <w:sz w:val="24"/>
                <w:lang w:eastAsia="zh-CN"/>
              </w:rPr>
              <w:t>淄川区</w:t>
            </w:r>
            <w:r>
              <w:rPr>
                <w:rFonts w:hint="default" w:ascii="Times New Roman" w:hAnsi="Times New Roman" w:cs="Times New Roman"/>
                <w:color w:val="auto"/>
                <w:sz w:val="24"/>
              </w:rPr>
              <w:t>供电电网提供，</w:t>
            </w:r>
            <w:r>
              <w:rPr>
                <w:rFonts w:hint="default" w:ascii="Times New Roman" w:hAnsi="Times New Roman" w:eastAsia="宋体" w:cs="Times New Roman"/>
                <w:color w:val="auto"/>
                <w:sz w:val="24"/>
              </w:rPr>
              <w:t>年用电量</w:t>
            </w:r>
            <w:r>
              <w:rPr>
                <w:rFonts w:hint="eastAsia" w:ascii="Times New Roman" w:hAnsi="Times New Roman" w:eastAsia="宋体" w:cs="Times New Roman"/>
                <w:color w:val="auto"/>
                <w:sz w:val="24"/>
              </w:rPr>
              <w:t>2389.608</w:t>
            </w:r>
            <w:r>
              <w:rPr>
                <w:rFonts w:hint="default" w:ascii="Times New Roman" w:hAnsi="Times New Roman" w:eastAsia="宋体" w:cs="Times New Roman"/>
                <w:color w:val="auto"/>
                <w:sz w:val="24"/>
              </w:rPr>
              <w:t>万kWh</w:t>
            </w:r>
            <w:r>
              <w:rPr>
                <w:rFonts w:hint="eastAsia" w:ascii="Times New Roman" w:hAnsi="Times New Roman" w:eastAsia="宋体" w:cs="Times New Roman"/>
                <w:color w:val="auto"/>
                <w:sz w:val="24"/>
                <w:lang w:eastAsia="zh-CN"/>
              </w:rPr>
              <w:t>。</w:t>
            </w:r>
          </w:p>
          <w:p>
            <w:pPr>
              <w:spacing w:line="360" w:lineRule="auto"/>
              <w:ind w:firstLine="482"/>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4）燃气</w:t>
            </w:r>
          </w:p>
          <w:p>
            <w:pPr>
              <w:spacing w:line="360" w:lineRule="auto"/>
              <w:ind w:firstLine="482"/>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项目</w:t>
            </w:r>
            <w:r>
              <w:rPr>
                <w:rFonts w:hint="eastAsia" w:cs="Times New Roman"/>
                <w:color w:val="auto"/>
                <w:sz w:val="24"/>
                <w:szCs w:val="24"/>
                <w:lang w:val="en-US" w:eastAsia="zh-CN"/>
              </w:rPr>
              <w:t>导热油锅炉、蒸汽锅炉及</w:t>
            </w:r>
            <w:r>
              <w:rPr>
                <w:rFonts w:hint="eastAsia" w:ascii="Times New Roman" w:hAnsi="Times New Roman" w:cs="Times New Roman"/>
                <w:color w:val="auto"/>
                <w:sz w:val="24"/>
                <w:lang w:val="en-US" w:eastAsia="zh-CN"/>
              </w:rPr>
              <w:t>RTO废气处理装置</w:t>
            </w:r>
            <w:r>
              <w:rPr>
                <w:rFonts w:hint="eastAsia" w:ascii="Times New Roman" w:hAnsi="Times New Roman" w:eastAsia="宋体" w:cs="Times New Roman"/>
                <w:color w:val="auto"/>
                <w:sz w:val="24"/>
                <w:szCs w:val="24"/>
                <w:lang w:val="en-US" w:eastAsia="zh-CN"/>
              </w:rPr>
              <w:t>使用天然气为热源，年用气量为</w:t>
            </w:r>
            <w:r>
              <w:rPr>
                <w:rFonts w:hint="eastAsia" w:cs="Times New Roman"/>
                <w:color w:val="auto"/>
                <w:sz w:val="24"/>
                <w:szCs w:val="24"/>
                <w:lang w:val="en-US" w:eastAsia="zh-CN"/>
              </w:rPr>
              <w:t>632.968</w:t>
            </w:r>
            <w:r>
              <w:rPr>
                <w:rFonts w:hint="eastAsia" w:ascii="Times New Roman" w:hAnsi="Times New Roman" w:eastAsia="宋体" w:cs="Times New Roman"/>
                <w:color w:val="auto"/>
                <w:sz w:val="24"/>
                <w:szCs w:val="24"/>
                <w:lang w:val="en-US" w:eastAsia="zh-CN"/>
              </w:rPr>
              <w:t>万</w:t>
            </w:r>
            <w:r>
              <w:rPr>
                <w:rFonts w:ascii="Times New Roman" w:hAnsi="Times New Roman"/>
                <w:color w:val="auto"/>
                <w:sz w:val="24"/>
                <w:szCs w:val="24"/>
              </w:rPr>
              <w:t>m</w:t>
            </w:r>
            <w:r>
              <w:rPr>
                <w:rFonts w:ascii="Times New Roman" w:hAnsi="Times New Roman"/>
                <w:color w:val="auto"/>
                <w:sz w:val="24"/>
                <w:szCs w:val="24"/>
                <w:vertAlign w:val="superscript"/>
              </w:rPr>
              <w:t>3</w:t>
            </w:r>
            <w:r>
              <w:rPr>
                <w:rFonts w:hint="eastAsia"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由当地燃气管线接入</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6</w:t>
            </w:r>
            <w:r>
              <w:rPr>
                <w:rFonts w:hint="default" w:ascii="Times New Roman" w:hAnsi="Times New Roman" w:eastAsia="黑体" w:cs="Times New Roman"/>
                <w:color w:val="auto"/>
                <w:sz w:val="24"/>
                <w:szCs w:val="24"/>
                <w:highlight w:val="none"/>
                <w:lang w:val="en-US" w:eastAsia="zh-CN"/>
              </w:rPr>
              <w:t>、平面布置及合理性分析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平面布置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eastAsia="zh-CN"/>
              </w:rPr>
              <w:t>本项目位于</w:t>
            </w:r>
            <w:r>
              <w:rPr>
                <w:rFonts w:hint="eastAsia" w:ascii="Times New Roman" w:hAnsi="Times New Roman" w:eastAsia="宋体" w:cs="Times New Roman"/>
                <w:color w:val="auto"/>
                <w:sz w:val="24"/>
                <w:lang w:val="en-US" w:eastAsia="zh-CN"/>
              </w:rPr>
              <w:t>淄博市淄川区寨里镇土湾村胶王路与一干渠路交叉口东10米，原淄博正晋特钢有限公司厂区内</w:t>
            </w:r>
            <w:r>
              <w:rPr>
                <w:rFonts w:hint="eastAsia" w:ascii="Times New Roman" w:hAnsi="Times New Roman" w:eastAsia="宋体" w:cs="Times New Roman"/>
                <w:color w:val="auto"/>
                <w:sz w:val="24"/>
                <w:lang w:eastAsia="zh-CN"/>
              </w:rPr>
              <w:t>。厂区办公生活区、</w:t>
            </w:r>
            <w:r>
              <w:rPr>
                <w:rFonts w:hint="eastAsia" w:cs="Times New Roman"/>
                <w:color w:val="auto"/>
                <w:sz w:val="24"/>
                <w:lang w:eastAsia="zh-CN"/>
              </w:rPr>
              <w:t>装卸车区</w:t>
            </w:r>
            <w:r>
              <w:rPr>
                <w:rFonts w:hint="eastAsia" w:ascii="Times New Roman" w:hAnsi="Times New Roman" w:eastAsia="宋体" w:cs="Times New Roman"/>
                <w:color w:val="auto"/>
                <w:sz w:val="24"/>
                <w:lang w:eastAsia="zh-CN"/>
              </w:rPr>
              <w:t>、罐区分开布置。厂办公生活区位于厂区西北角；罐区位于厂区北部东侧及厂区南部大部分区域；</w:t>
            </w:r>
            <w:r>
              <w:rPr>
                <w:rFonts w:hint="eastAsia" w:cs="Times New Roman"/>
                <w:color w:val="auto"/>
                <w:sz w:val="24"/>
                <w:lang w:eastAsia="zh-CN"/>
              </w:rPr>
              <w:t>装卸车区</w:t>
            </w:r>
            <w:r>
              <w:rPr>
                <w:rFonts w:hint="eastAsia" w:ascii="Times New Roman" w:hAnsi="Times New Roman" w:eastAsia="宋体" w:cs="Times New Roman"/>
                <w:color w:val="auto"/>
                <w:sz w:val="24"/>
                <w:lang w:eastAsia="zh-CN"/>
              </w:rPr>
              <w:t>位于生活区南侧，罐区西北侧。项目罐区分为</w:t>
            </w:r>
            <w:r>
              <w:rPr>
                <w:rFonts w:hint="eastAsia" w:ascii="Times New Roman" w:hAnsi="Times New Roman" w:eastAsia="宋体" w:cs="Times New Roman"/>
                <w:color w:val="auto"/>
                <w:sz w:val="24"/>
                <w:lang w:val="en-US" w:eastAsia="zh-CN"/>
              </w:rPr>
              <w:t>6部分：1#~3#罐区</w:t>
            </w:r>
            <w:r>
              <w:rPr>
                <w:rFonts w:hint="eastAsia" w:ascii="Times New Roman" w:hAnsi="Times New Roman" w:eastAsia="宋体" w:cs="Times New Roman"/>
                <w:color w:val="auto"/>
                <w:sz w:val="24"/>
                <w:lang w:eastAsia="zh-CN"/>
              </w:rPr>
              <w:t>位于厂区北部东侧，自西向东依次布置，</w:t>
            </w:r>
            <w:r>
              <w:rPr>
                <w:rFonts w:hint="eastAsia" w:ascii="Times New Roman" w:hAnsi="Times New Roman" w:eastAsia="宋体" w:cs="Times New Roman"/>
                <w:color w:val="auto"/>
                <w:sz w:val="24"/>
                <w:lang w:val="en-US" w:eastAsia="zh-CN"/>
              </w:rPr>
              <w:t>1#罐区包括4个</w:t>
            </w:r>
            <w:r>
              <w:rPr>
                <w:rFonts w:hint="default" w:ascii="Times New Roman" w:hAnsi="Times New Roman" w:eastAsia="宋体" w:cs="Times New Roman"/>
                <w:color w:val="auto"/>
                <w:sz w:val="24"/>
                <w:lang w:eastAsia="zh-CN"/>
              </w:rPr>
              <w:t>10000m</w:t>
            </w:r>
            <w:r>
              <w:rPr>
                <w:rFonts w:hint="default" w:ascii="Times New Roman" w:hAnsi="Times New Roman" w:eastAsia="宋体" w:cs="Times New Roman"/>
                <w:color w:val="auto"/>
                <w:sz w:val="24"/>
                <w:vertAlign w:val="superscript"/>
                <w:lang w:eastAsia="zh-CN"/>
              </w:rPr>
              <w:t>3</w:t>
            </w:r>
            <w:r>
              <w:rPr>
                <w:rFonts w:hint="eastAsia" w:ascii="Times New Roman" w:hAnsi="Times New Roman" w:eastAsia="宋体" w:cs="Times New Roman"/>
                <w:color w:val="auto"/>
                <w:sz w:val="24"/>
                <w:lang w:eastAsia="zh-CN"/>
              </w:rPr>
              <w:t>柴油储罐、</w:t>
            </w:r>
            <w:r>
              <w:rPr>
                <w:rFonts w:hint="eastAsia" w:ascii="Times New Roman" w:hAnsi="Times New Roman" w:eastAsia="宋体" w:cs="Times New Roman"/>
                <w:color w:val="auto"/>
                <w:sz w:val="24"/>
                <w:lang w:val="en-US" w:eastAsia="zh-CN"/>
              </w:rPr>
              <w:t>2个</w:t>
            </w:r>
            <w:r>
              <w:rPr>
                <w:rFonts w:hint="default" w:ascii="Times New Roman" w:hAnsi="Times New Roman" w:eastAsia="宋体" w:cs="Times New Roman"/>
                <w:color w:val="auto"/>
                <w:sz w:val="24"/>
                <w:lang w:eastAsia="zh-CN"/>
              </w:rPr>
              <w:t>10000m</w:t>
            </w:r>
            <w:r>
              <w:rPr>
                <w:rFonts w:hint="default" w:ascii="Times New Roman" w:hAnsi="Times New Roman" w:eastAsia="宋体" w:cs="Times New Roman"/>
                <w:color w:val="auto"/>
                <w:sz w:val="24"/>
                <w:vertAlign w:val="superscript"/>
                <w:lang w:eastAsia="zh-CN"/>
              </w:rPr>
              <w:t>3</w:t>
            </w:r>
            <w:r>
              <w:rPr>
                <w:rFonts w:hint="eastAsia" w:ascii="Times New Roman" w:hAnsi="Times New Roman" w:eastAsia="宋体" w:cs="Times New Roman"/>
                <w:color w:val="auto"/>
                <w:sz w:val="24"/>
                <w:lang w:eastAsia="zh-CN"/>
              </w:rPr>
              <w:t>汽油储罐</w:t>
            </w:r>
            <w:r>
              <w:rPr>
                <w:rFonts w:hint="eastAsia"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2#罐区包括</w:t>
            </w:r>
            <w:r>
              <w:rPr>
                <w:rFonts w:hint="eastAsia" w:cs="Times New Roman"/>
                <w:color w:val="auto"/>
                <w:sz w:val="24"/>
                <w:lang w:val="en-US" w:eastAsia="zh-CN"/>
              </w:rPr>
              <w:t>3</w:t>
            </w:r>
            <w:r>
              <w:rPr>
                <w:rFonts w:hint="eastAsia" w:ascii="Times New Roman" w:hAnsi="Times New Roman" w:eastAsia="宋体" w:cs="Times New Roman"/>
                <w:color w:val="auto"/>
                <w:sz w:val="24"/>
                <w:lang w:val="en-US" w:eastAsia="zh-CN"/>
              </w:rPr>
              <w:t>个4</w:t>
            </w:r>
            <w:r>
              <w:rPr>
                <w:rFonts w:hint="default" w:ascii="Times New Roman" w:hAnsi="Times New Roman" w:eastAsia="宋体" w:cs="Times New Roman"/>
                <w:color w:val="auto"/>
                <w:sz w:val="24"/>
                <w:lang w:eastAsia="zh-CN"/>
              </w:rPr>
              <w:t>000m</w:t>
            </w:r>
            <w:r>
              <w:rPr>
                <w:rFonts w:hint="default" w:ascii="Times New Roman" w:hAnsi="Times New Roman" w:eastAsia="宋体" w:cs="Times New Roman"/>
                <w:color w:val="auto"/>
                <w:sz w:val="24"/>
                <w:vertAlign w:val="superscript"/>
                <w:lang w:eastAsia="zh-CN"/>
              </w:rPr>
              <w:t>3</w:t>
            </w:r>
            <w:r>
              <w:rPr>
                <w:rFonts w:hint="eastAsia" w:ascii="Times New Roman" w:hAnsi="Times New Roman" w:eastAsia="宋体" w:cs="Times New Roman"/>
                <w:color w:val="auto"/>
                <w:sz w:val="24"/>
                <w:lang w:eastAsia="zh-CN"/>
              </w:rPr>
              <w:t>甲醇储罐、</w:t>
            </w:r>
            <w:r>
              <w:rPr>
                <w:rFonts w:hint="eastAsia" w:cs="Times New Roman"/>
                <w:color w:val="auto"/>
                <w:sz w:val="24"/>
                <w:lang w:val="en-US" w:eastAsia="zh-CN"/>
              </w:rPr>
              <w:t>2</w:t>
            </w:r>
            <w:r>
              <w:rPr>
                <w:rFonts w:hint="eastAsia" w:ascii="Times New Roman" w:hAnsi="Times New Roman" w:eastAsia="宋体" w:cs="Times New Roman"/>
                <w:color w:val="auto"/>
                <w:sz w:val="24"/>
                <w:lang w:val="en-US" w:eastAsia="zh-CN"/>
              </w:rPr>
              <w:t>个4</w:t>
            </w:r>
            <w:r>
              <w:rPr>
                <w:rFonts w:hint="default" w:ascii="Times New Roman" w:hAnsi="Times New Roman" w:eastAsia="宋体" w:cs="Times New Roman"/>
                <w:color w:val="auto"/>
                <w:sz w:val="24"/>
                <w:lang w:eastAsia="zh-CN"/>
              </w:rPr>
              <w:t>000m</w:t>
            </w:r>
            <w:r>
              <w:rPr>
                <w:rFonts w:hint="default" w:ascii="Times New Roman" w:hAnsi="Times New Roman" w:eastAsia="宋体" w:cs="Times New Roman"/>
                <w:color w:val="auto"/>
                <w:sz w:val="24"/>
                <w:vertAlign w:val="superscript"/>
                <w:lang w:eastAsia="zh-CN"/>
              </w:rPr>
              <w:t>3</w:t>
            </w:r>
            <w:r>
              <w:rPr>
                <w:rFonts w:hint="eastAsia" w:ascii="Times New Roman" w:hAnsi="Times New Roman" w:eastAsia="宋体" w:cs="Times New Roman"/>
                <w:color w:val="auto"/>
                <w:sz w:val="24"/>
                <w:lang w:eastAsia="zh-CN"/>
              </w:rPr>
              <w:t>汽油储罐、</w:t>
            </w:r>
            <w:r>
              <w:rPr>
                <w:rFonts w:hint="eastAsia" w:cs="Times New Roman"/>
                <w:color w:val="auto"/>
                <w:sz w:val="24"/>
                <w:lang w:val="en-US" w:eastAsia="zh-CN"/>
              </w:rPr>
              <w:t>1</w:t>
            </w:r>
            <w:r>
              <w:rPr>
                <w:rFonts w:hint="eastAsia" w:ascii="Times New Roman" w:hAnsi="Times New Roman" w:eastAsia="宋体" w:cs="Times New Roman"/>
                <w:color w:val="auto"/>
                <w:sz w:val="24"/>
                <w:lang w:val="en-US" w:eastAsia="zh-CN"/>
              </w:rPr>
              <w:t>个</w:t>
            </w:r>
            <w:r>
              <w:rPr>
                <w:rFonts w:hint="eastAsia" w:cs="Times New Roman"/>
                <w:color w:val="auto"/>
                <w:sz w:val="24"/>
                <w:lang w:val="en-US" w:eastAsia="zh-CN"/>
              </w:rPr>
              <w:t>2</w:t>
            </w:r>
            <w:r>
              <w:rPr>
                <w:rFonts w:hint="default" w:ascii="Times New Roman" w:hAnsi="Times New Roman" w:eastAsia="宋体" w:cs="Times New Roman"/>
                <w:color w:val="auto"/>
                <w:sz w:val="24"/>
                <w:lang w:eastAsia="zh-CN"/>
              </w:rPr>
              <w:t>000m</w:t>
            </w:r>
            <w:r>
              <w:rPr>
                <w:rFonts w:hint="default" w:ascii="Times New Roman" w:hAnsi="Times New Roman" w:eastAsia="宋体" w:cs="Times New Roman"/>
                <w:color w:val="auto"/>
                <w:sz w:val="24"/>
                <w:vertAlign w:val="superscript"/>
                <w:lang w:eastAsia="zh-CN"/>
              </w:rPr>
              <w:t>3</w:t>
            </w:r>
            <w:r>
              <w:rPr>
                <w:rFonts w:hint="eastAsia" w:ascii="Times New Roman" w:hAnsi="Times New Roman" w:eastAsia="宋体" w:cs="Times New Roman"/>
                <w:color w:val="auto"/>
                <w:sz w:val="24"/>
                <w:lang w:eastAsia="zh-CN"/>
              </w:rPr>
              <w:t>汽油储罐</w:t>
            </w:r>
            <w:r>
              <w:rPr>
                <w:rFonts w:hint="eastAsia" w:ascii="Times New Roman" w:hAnsi="Times New Roman" w:eastAsia="宋体" w:cs="Times New Roman"/>
                <w:color w:val="auto"/>
                <w:sz w:val="24"/>
                <w:lang w:val="en-US" w:eastAsia="zh-CN"/>
              </w:rPr>
              <w:t>，3</w:t>
            </w:r>
            <w:r>
              <w:rPr>
                <w:rFonts w:hint="eastAsia" w:ascii="Times New Roman" w:hAnsi="Times New Roman" w:eastAsia="宋体" w:cs="Times New Roman"/>
                <w:color w:val="auto"/>
                <w:sz w:val="24"/>
                <w:lang w:val="en-US" w:eastAsia="zh-CN"/>
              </w:rPr>
              <w:t>#罐区包括3个2</w:t>
            </w:r>
            <w:r>
              <w:rPr>
                <w:rFonts w:hint="default" w:ascii="Times New Roman" w:hAnsi="Times New Roman" w:eastAsia="宋体" w:cs="Times New Roman"/>
                <w:color w:val="auto"/>
                <w:sz w:val="24"/>
                <w:lang w:eastAsia="zh-CN"/>
              </w:rPr>
              <w:t>000m</w:t>
            </w:r>
            <w:r>
              <w:rPr>
                <w:rFonts w:hint="default" w:ascii="Times New Roman" w:hAnsi="Times New Roman" w:eastAsia="宋体" w:cs="Times New Roman"/>
                <w:color w:val="auto"/>
                <w:sz w:val="24"/>
                <w:vertAlign w:val="superscript"/>
                <w:lang w:eastAsia="zh-CN"/>
              </w:rPr>
              <w:t>3</w:t>
            </w:r>
            <w:r>
              <w:rPr>
                <w:rFonts w:hint="eastAsia" w:ascii="Times New Roman" w:hAnsi="Times New Roman" w:eastAsia="宋体" w:cs="Times New Roman"/>
                <w:color w:val="auto"/>
                <w:sz w:val="24"/>
                <w:lang w:eastAsia="zh-CN"/>
              </w:rPr>
              <w:t>汽油储罐、</w:t>
            </w:r>
            <w:r>
              <w:rPr>
                <w:rFonts w:hint="eastAsia" w:ascii="Times New Roman" w:hAnsi="Times New Roman" w:eastAsia="宋体" w:cs="Times New Roman"/>
                <w:color w:val="auto"/>
                <w:sz w:val="24"/>
                <w:lang w:val="en-US" w:eastAsia="zh-CN"/>
              </w:rPr>
              <w:t>2个5</w:t>
            </w:r>
            <w:r>
              <w:rPr>
                <w:rFonts w:hint="default" w:ascii="Times New Roman" w:hAnsi="Times New Roman" w:eastAsia="宋体" w:cs="Times New Roman"/>
                <w:color w:val="auto"/>
                <w:sz w:val="24"/>
                <w:lang w:eastAsia="zh-CN"/>
              </w:rPr>
              <w:t>00m</w:t>
            </w:r>
            <w:r>
              <w:rPr>
                <w:rFonts w:hint="default" w:ascii="Times New Roman" w:hAnsi="Times New Roman" w:eastAsia="宋体" w:cs="Times New Roman"/>
                <w:color w:val="auto"/>
                <w:sz w:val="24"/>
                <w:vertAlign w:val="superscript"/>
                <w:lang w:eastAsia="zh-CN"/>
              </w:rPr>
              <w:t>3</w:t>
            </w:r>
            <w:r>
              <w:rPr>
                <w:rFonts w:hint="eastAsia" w:ascii="Times New Roman" w:hAnsi="Times New Roman" w:eastAsia="宋体" w:cs="Times New Roman"/>
                <w:color w:val="auto"/>
                <w:sz w:val="24"/>
                <w:lang w:eastAsia="zh-CN"/>
              </w:rPr>
              <w:t>汽油储罐；</w:t>
            </w:r>
            <w:r>
              <w:rPr>
                <w:rFonts w:hint="eastAsia" w:ascii="Times New Roman" w:hAnsi="Times New Roman" w:eastAsia="宋体" w:cs="Times New Roman"/>
                <w:color w:val="auto"/>
                <w:sz w:val="24"/>
                <w:lang w:val="en-US" w:eastAsia="zh-CN"/>
              </w:rPr>
              <w:t>4#罐区位于</w:t>
            </w:r>
            <w:r>
              <w:rPr>
                <w:rFonts w:hint="eastAsia" w:ascii="Times New Roman" w:hAnsi="Times New Roman" w:eastAsia="宋体" w:cs="Times New Roman"/>
                <w:color w:val="auto"/>
                <w:sz w:val="24"/>
                <w:lang w:eastAsia="zh-CN"/>
              </w:rPr>
              <w:t>厂区南部，</w:t>
            </w:r>
            <w:r>
              <w:rPr>
                <w:rFonts w:hint="eastAsia" w:ascii="Times New Roman" w:hAnsi="Times New Roman" w:eastAsia="宋体" w:cs="Times New Roman"/>
                <w:color w:val="auto"/>
                <w:sz w:val="24"/>
                <w:lang w:val="en-US" w:eastAsia="zh-CN"/>
              </w:rPr>
              <w:t>1#~3#罐区南侧，包括8个5</w:t>
            </w:r>
            <w:r>
              <w:rPr>
                <w:rFonts w:hint="default" w:ascii="Times New Roman" w:hAnsi="Times New Roman" w:eastAsia="宋体" w:cs="Times New Roman"/>
                <w:color w:val="auto"/>
                <w:sz w:val="24"/>
                <w:lang w:val="en-US" w:eastAsia="zh-CN"/>
              </w:rPr>
              <w:t>000m</w:t>
            </w:r>
            <w:r>
              <w:rPr>
                <w:rFonts w:hint="default"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石脑油储罐、1个19000</w:t>
            </w:r>
            <w:r>
              <w:rPr>
                <w:rFonts w:hint="default" w:ascii="Times New Roman" w:hAnsi="Times New Roman" w:eastAsia="宋体" w:cs="Times New Roman"/>
                <w:color w:val="auto"/>
                <w:sz w:val="24"/>
                <w:lang w:val="en-US" w:eastAsia="zh-CN"/>
              </w:rPr>
              <w:t>m</w:t>
            </w:r>
            <w:r>
              <w:rPr>
                <w:rFonts w:hint="default"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柴油储罐；5#罐区位于厂区最南部，4#罐区南侧，包括2个5</w:t>
            </w:r>
            <w:r>
              <w:rPr>
                <w:rFonts w:hint="default" w:ascii="Times New Roman" w:hAnsi="Times New Roman" w:eastAsia="宋体" w:cs="Times New Roman"/>
                <w:color w:val="auto"/>
                <w:sz w:val="24"/>
                <w:lang w:val="en-US" w:eastAsia="zh-CN"/>
              </w:rPr>
              <w:t>00m</w:t>
            </w:r>
            <w:r>
              <w:rPr>
                <w:rFonts w:hint="default"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汽油储罐；6#罐区位于厂区西南部，</w:t>
            </w:r>
            <w:r>
              <w:rPr>
                <w:rFonts w:hint="eastAsia" w:cs="Times New Roman"/>
                <w:color w:val="auto"/>
                <w:sz w:val="24"/>
                <w:lang w:val="en-US" w:eastAsia="zh-CN"/>
              </w:rPr>
              <w:t>装卸车区</w:t>
            </w:r>
            <w:r>
              <w:rPr>
                <w:rFonts w:hint="eastAsia" w:ascii="Times New Roman" w:hAnsi="Times New Roman" w:eastAsia="宋体" w:cs="Times New Roman"/>
                <w:color w:val="auto"/>
                <w:sz w:val="24"/>
                <w:lang w:val="en-US" w:eastAsia="zh-CN"/>
              </w:rPr>
              <w:t>南侧、4#罐区西南侧，包括4个5</w:t>
            </w:r>
            <w:r>
              <w:rPr>
                <w:rFonts w:hint="default" w:ascii="Times New Roman" w:hAnsi="Times New Roman" w:eastAsia="宋体" w:cs="Times New Roman"/>
                <w:color w:val="auto"/>
                <w:sz w:val="24"/>
                <w:lang w:val="en-US" w:eastAsia="zh-CN"/>
              </w:rPr>
              <w:t>000m</w:t>
            </w:r>
            <w:r>
              <w:rPr>
                <w:rFonts w:hint="default"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渣油储罐、4个5</w:t>
            </w:r>
            <w:r>
              <w:rPr>
                <w:rFonts w:hint="default" w:ascii="Times New Roman" w:hAnsi="Times New Roman" w:eastAsia="宋体" w:cs="Times New Roman"/>
                <w:color w:val="auto"/>
                <w:sz w:val="24"/>
                <w:lang w:val="en-US" w:eastAsia="zh-CN"/>
              </w:rPr>
              <w:t>000m</w:t>
            </w:r>
            <w:r>
              <w:rPr>
                <w:rFonts w:hint="default"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重油储罐、1个5</w:t>
            </w:r>
            <w:r>
              <w:rPr>
                <w:rFonts w:hint="default" w:ascii="Times New Roman" w:hAnsi="Times New Roman" w:eastAsia="宋体" w:cs="Times New Roman"/>
                <w:color w:val="auto"/>
                <w:sz w:val="24"/>
                <w:lang w:val="en-US" w:eastAsia="zh-CN"/>
              </w:rPr>
              <w:t>000m</w:t>
            </w:r>
            <w:r>
              <w:rPr>
                <w:rFonts w:hint="default"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柴油储罐。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合理性分析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①</w:t>
            </w:r>
            <w:r>
              <w:rPr>
                <w:rFonts w:hint="default" w:ascii="Times New Roman" w:hAnsi="Times New Roman" w:eastAsia="宋体" w:cs="Times New Roman"/>
                <w:color w:val="auto"/>
                <w:sz w:val="24"/>
              </w:rPr>
              <w:t>厂区安排合理，空间布置方便工人与运输车辆的进出。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②</w:t>
            </w:r>
            <w:r>
              <w:rPr>
                <w:rFonts w:hint="default" w:ascii="Times New Roman" w:hAnsi="Times New Roman" w:eastAsia="宋体" w:cs="Times New Roman"/>
                <w:color w:val="auto"/>
                <w:sz w:val="24"/>
              </w:rPr>
              <w:t>整个厂区布置有利于组织生产、运输路线和管理的布置短捷。</w:t>
            </w:r>
            <w:r>
              <w:rPr>
                <w:rFonts w:hint="eastAsia" w:cs="Times New Roman"/>
                <w:color w:val="auto"/>
                <w:sz w:val="24"/>
                <w:lang w:eastAsia="zh-CN"/>
              </w:rPr>
              <w:t>装卸车区、罐区</w:t>
            </w:r>
            <w:r>
              <w:rPr>
                <w:rFonts w:hint="default" w:ascii="Times New Roman" w:hAnsi="Times New Roman" w:eastAsia="宋体" w:cs="Times New Roman"/>
                <w:color w:val="auto"/>
                <w:sz w:val="24"/>
              </w:rPr>
              <w:t>分区明确，工序进行方便。</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③</w:t>
            </w:r>
            <w:r>
              <w:rPr>
                <w:rFonts w:hint="default" w:ascii="Times New Roman" w:hAnsi="Times New Roman" w:eastAsia="宋体" w:cs="Times New Roman"/>
                <w:color w:val="auto"/>
                <w:sz w:val="24"/>
              </w:rPr>
              <w:t>该项目总平面设计在满足生产、消防和管理要求的前提下，本着集约用地、节约用地精神及提高土地使用效率的原则，各项用地指标符合国家关于集约和有效使用土地的政策要求。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eastAsia" w:ascii="Times New Roman" w:hAnsi="Times New Roman" w:eastAsia="宋体" w:cs="Times New Roman"/>
                <w:color w:val="auto"/>
                <w:sz w:val="24"/>
                <w:lang w:eastAsia="zh-CN"/>
              </w:rPr>
            </w:pPr>
            <w:r>
              <w:rPr>
                <w:rFonts w:hint="eastAsia" w:cs="Times New Roman"/>
                <w:color w:val="auto"/>
                <w:sz w:val="24"/>
                <w:lang w:eastAsia="zh-CN"/>
              </w:rPr>
              <w:t>（</w:t>
            </w:r>
            <w:r>
              <w:rPr>
                <w:rFonts w:hint="eastAsia" w:cs="Times New Roman"/>
                <w:color w:val="auto"/>
                <w:sz w:val="24"/>
                <w:lang w:val="en-US" w:eastAsia="zh-CN"/>
              </w:rPr>
              <w:t>3</w:t>
            </w:r>
            <w:r>
              <w:rPr>
                <w:rFonts w:hint="eastAsia" w:cs="Times New Roman"/>
                <w:color w:val="auto"/>
                <w:sz w:val="24"/>
                <w:lang w:eastAsia="zh-CN"/>
              </w:rPr>
              <w:t>）</w:t>
            </w:r>
            <w:r>
              <w:rPr>
                <w:rFonts w:hint="eastAsia" w:ascii="Times New Roman" w:hAnsi="Times New Roman" w:eastAsia="宋体" w:cs="Times New Roman"/>
                <w:b w:val="0"/>
                <w:bCs/>
                <w:color w:val="auto"/>
                <w:sz w:val="24"/>
                <w:szCs w:val="24"/>
                <w:lang w:val="en-US" w:eastAsia="zh-CN"/>
              </w:rPr>
              <w:t>项目各设施防火间距、平面布置符合性分析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zh-CN" w:eastAsia="zh-CN"/>
              </w:rPr>
              <w:t>表</w:t>
            </w:r>
            <w:r>
              <w:rPr>
                <w:rFonts w:hint="eastAsia" w:ascii="Times New Roman" w:hAnsi="Times New Roman" w:eastAsia="黑体" w:cs="Times New Roman"/>
                <w:b w:val="0"/>
                <w:bCs w:val="0"/>
                <w:color w:val="auto"/>
                <w:kern w:val="0"/>
                <w:sz w:val="24"/>
                <w:szCs w:val="24"/>
                <w:lang w:val="en-US" w:eastAsia="zh-CN"/>
              </w:rPr>
              <w:t>2</w:t>
            </w:r>
            <w:r>
              <w:rPr>
                <w:rFonts w:hint="eastAsia" w:ascii="Times New Roman" w:hAnsi="Times New Roman" w:eastAsia="黑体" w:cs="Times New Roman"/>
                <w:b w:val="0"/>
                <w:bCs w:val="0"/>
                <w:color w:val="auto"/>
                <w:kern w:val="0"/>
                <w:sz w:val="24"/>
                <w:szCs w:val="24"/>
                <w:lang w:val="zh-CN" w:eastAsia="zh-CN"/>
              </w:rPr>
              <w:t>-</w:t>
            </w:r>
            <w:r>
              <w:rPr>
                <w:rFonts w:hint="eastAsia" w:ascii="Times New Roman" w:hAnsi="Times New Roman" w:eastAsia="黑体" w:cs="Times New Roman"/>
                <w:b w:val="0"/>
                <w:bCs w:val="0"/>
                <w:color w:val="auto"/>
                <w:kern w:val="0"/>
                <w:sz w:val="24"/>
                <w:szCs w:val="24"/>
                <w:lang w:val="en-US" w:eastAsia="zh-CN"/>
              </w:rPr>
              <w:t>5</w:t>
            </w:r>
            <w:r>
              <w:rPr>
                <w:rFonts w:hint="eastAsia" w:ascii="Times New Roman" w:hAnsi="Times New Roman" w:eastAsia="黑体" w:cs="Times New Roman"/>
                <w:b w:val="0"/>
                <w:bCs w:val="0"/>
                <w:color w:val="auto"/>
                <w:kern w:val="0"/>
                <w:sz w:val="24"/>
                <w:szCs w:val="24"/>
                <w:lang w:val="zh-CN" w:eastAsia="zh-CN"/>
              </w:rPr>
              <w:t xml:space="preserve"> </w:t>
            </w:r>
            <w:r>
              <w:rPr>
                <w:rFonts w:hint="eastAsia" w:ascii="Times New Roman" w:hAnsi="Times New Roman" w:eastAsia="黑体" w:cs="Times New Roman"/>
                <w:b w:val="0"/>
                <w:bCs w:val="0"/>
                <w:color w:val="auto"/>
                <w:kern w:val="0"/>
                <w:sz w:val="24"/>
                <w:szCs w:val="24"/>
                <w:lang w:val="en-US" w:eastAsia="zh-CN"/>
              </w:rPr>
              <w:t>建设项目各设施防火间距、平面布置符合性分析表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59"/>
              <w:gridCol w:w="480"/>
              <w:gridCol w:w="1410"/>
              <w:gridCol w:w="705"/>
              <w:gridCol w:w="720"/>
              <w:gridCol w:w="3795"/>
              <w:gridCol w:w="5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装置</w:t>
                  </w:r>
                </w:p>
                <w:p>
                  <w:pPr>
                    <w:overflowPunct w:val="0"/>
                    <w:spacing w:before="0"/>
                    <w:ind w:firstLine="0" w:firstLineChars="0"/>
                    <w:jc w:val="center"/>
                    <w:rPr>
                      <w:color w:val="auto"/>
                      <w:kern w:val="0"/>
                      <w:sz w:val="21"/>
                      <w:szCs w:val="21"/>
                    </w:rPr>
                  </w:pPr>
                  <w:r>
                    <w:rPr>
                      <w:color w:val="auto"/>
                      <w:kern w:val="0"/>
                      <w:sz w:val="21"/>
                      <w:szCs w:val="21"/>
                    </w:rPr>
                    <w:t>名称</w:t>
                  </w: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方位</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周围设施</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标准距离（m）</w:t>
                  </w:r>
                </w:p>
              </w:tc>
              <w:tc>
                <w:tcPr>
                  <w:tcW w:w="43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实际距离（m）</w:t>
                  </w:r>
                </w:p>
              </w:tc>
              <w:tc>
                <w:tcPr>
                  <w:tcW w:w="2268" w:type="pct"/>
                  <w:noWrap w:val="0"/>
                  <w:vAlign w:val="center"/>
                </w:tcPr>
                <w:p>
                  <w:pPr>
                    <w:overflowPunct w:val="0"/>
                    <w:spacing w:before="0"/>
                    <w:ind w:firstLine="0" w:firstLineChars="0"/>
                    <w:jc w:val="center"/>
                    <w:rPr>
                      <w:color w:val="auto"/>
                      <w:kern w:val="0"/>
                      <w:sz w:val="21"/>
                      <w:szCs w:val="21"/>
                    </w:rPr>
                  </w:pPr>
                  <w:r>
                    <w:rPr>
                      <w:color w:val="auto"/>
                      <w:kern w:val="0"/>
                      <w:sz w:val="21"/>
                      <w:szCs w:val="21"/>
                    </w:rPr>
                    <w:t>标准规范</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color w:val="auto"/>
                      <w:kern w:val="0"/>
                      <w:sz w:val="21"/>
                      <w:szCs w:val="21"/>
                    </w:rPr>
                  </w:pPr>
                  <w:r>
                    <w:rPr>
                      <w:color w:val="auto"/>
                      <w:kern w:val="0"/>
                      <w:sz w:val="21"/>
                      <w:szCs w:val="21"/>
                    </w:rPr>
                    <w:t>控制室（</w:t>
                  </w:r>
                  <w:r>
                    <w:rPr>
                      <w:rFonts w:hint="eastAsia"/>
                      <w:color w:val="auto"/>
                      <w:kern w:val="0"/>
                      <w:sz w:val="21"/>
                      <w:szCs w:val="21"/>
                      <w:lang w:val="en-US" w:eastAsia="zh-CN"/>
                    </w:rPr>
                    <w:t>丁类</w:t>
                  </w:r>
                  <w:r>
                    <w:rPr>
                      <w:color w:val="auto"/>
                      <w:kern w:val="0"/>
                      <w:sz w:val="21"/>
                      <w:szCs w:val="21"/>
                    </w:rPr>
                    <w:t>，一级）</w:t>
                  </w: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东</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综合楼</w:t>
                  </w:r>
                </w:p>
                <w:p>
                  <w:pPr>
                    <w:overflowPunct w:val="0"/>
                    <w:spacing w:before="0"/>
                    <w:ind w:firstLine="0" w:firstLineChars="0"/>
                    <w:jc w:val="center"/>
                    <w:rPr>
                      <w:color w:val="auto"/>
                      <w:kern w:val="0"/>
                      <w:sz w:val="21"/>
                      <w:szCs w:val="21"/>
                    </w:rPr>
                  </w:pPr>
                  <w:r>
                    <w:rPr>
                      <w:color w:val="auto"/>
                      <w:kern w:val="0"/>
                      <w:sz w:val="21"/>
                      <w:szCs w:val="21"/>
                    </w:rPr>
                    <w:t>（民用，二级）</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10</w:t>
                  </w:r>
                </w:p>
              </w:tc>
              <w:tc>
                <w:tcPr>
                  <w:tcW w:w="43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w:t>
                  </w:r>
                </w:p>
              </w:tc>
              <w:tc>
                <w:tcPr>
                  <w:tcW w:w="2268"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rPr>
                    <w:t>《建设设计防火规范》GB50016-2014（2018年版）</w:t>
                  </w:r>
                  <w:r>
                    <w:rPr>
                      <w:color w:val="auto"/>
                      <w:kern w:val="0"/>
                      <w:sz w:val="21"/>
                      <w:szCs w:val="21"/>
                    </w:rPr>
                    <w:t>表</w:t>
                  </w:r>
                  <w:r>
                    <w:rPr>
                      <w:rFonts w:hint="eastAsia"/>
                      <w:color w:val="auto"/>
                      <w:kern w:val="0"/>
                      <w:sz w:val="21"/>
                      <w:szCs w:val="21"/>
                      <w:lang w:val="en-US" w:eastAsia="zh-CN"/>
                    </w:rPr>
                    <w:t>3.4.1</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变配电室</w:t>
                  </w:r>
                </w:p>
                <w:p>
                  <w:pPr>
                    <w:overflowPunct w:val="0"/>
                    <w:spacing w:before="0"/>
                    <w:ind w:firstLine="0" w:firstLineChars="0"/>
                    <w:jc w:val="center"/>
                    <w:rPr>
                      <w:color w:val="auto"/>
                      <w:kern w:val="0"/>
                      <w:sz w:val="21"/>
                      <w:szCs w:val="21"/>
                    </w:rPr>
                  </w:pPr>
                  <w:r>
                    <w:rPr>
                      <w:color w:val="auto"/>
                      <w:kern w:val="0"/>
                      <w:sz w:val="21"/>
                      <w:szCs w:val="21"/>
                    </w:rPr>
                    <w:t>（</w:t>
                  </w:r>
                  <w:r>
                    <w:rPr>
                      <w:rFonts w:hint="eastAsia"/>
                      <w:color w:val="auto"/>
                      <w:kern w:val="0"/>
                      <w:sz w:val="21"/>
                      <w:szCs w:val="21"/>
                      <w:lang w:val="en-US" w:eastAsia="zh-CN"/>
                    </w:rPr>
                    <w:t>丙类</w:t>
                  </w:r>
                  <w:r>
                    <w:rPr>
                      <w:color w:val="auto"/>
                      <w:kern w:val="0"/>
                      <w:sz w:val="21"/>
                      <w:szCs w:val="21"/>
                    </w:rPr>
                    <w:t>，二级）</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10.11</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《建设设计防火规范》GB50016-2014（2018年版）</w:t>
                  </w:r>
                  <w:r>
                    <w:rPr>
                      <w:color w:val="auto"/>
                      <w:kern w:val="0"/>
                      <w:sz w:val="21"/>
                      <w:szCs w:val="21"/>
                    </w:rPr>
                    <w:t>表3.4.1</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厂区围墙</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5</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color w:val="auto"/>
                      <w:kern w:val="0"/>
                      <w:sz w:val="21"/>
                      <w:szCs w:val="21"/>
                    </w:rPr>
                    <w:t>5</w:t>
                  </w:r>
                  <w:r>
                    <w:rPr>
                      <w:rFonts w:hint="eastAsia"/>
                      <w:color w:val="auto"/>
                      <w:kern w:val="0"/>
                      <w:sz w:val="21"/>
                      <w:szCs w:val="21"/>
                      <w:lang w:val="en-US" w:eastAsia="zh-CN"/>
                    </w:rPr>
                    <w:t>.97</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《建设设计防火规范》GB50016-2014（2018年版）</w:t>
                  </w:r>
                  <w:r>
                    <w:rPr>
                      <w:color w:val="auto"/>
                      <w:kern w:val="0"/>
                      <w:sz w:val="21"/>
                      <w:szCs w:val="21"/>
                    </w:rPr>
                    <w:t>表3.4.12</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color w:val="auto"/>
                      <w:kern w:val="0"/>
                      <w:sz w:val="21"/>
                      <w:szCs w:val="21"/>
                    </w:rPr>
                  </w:pPr>
                  <w:r>
                    <w:rPr>
                      <w:color w:val="auto"/>
                      <w:kern w:val="0"/>
                      <w:sz w:val="21"/>
                      <w:szCs w:val="21"/>
                    </w:rPr>
                    <w:t>综合楼</w:t>
                  </w:r>
                </w:p>
                <w:p>
                  <w:pPr>
                    <w:overflowPunct w:val="0"/>
                    <w:spacing w:before="0"/>
                    <w:ind w:firstLine="0" w:firstLineChars="0"/>
                    <w:jc w:val="center"/>
                    <w:rPr>
                      <w:color w:val="auto"/>
                      <w:kern w:val="0"/>
                      <w:sz w:val="21"/>
                      <w:szCs w:val="21"/>
                    </w:rPr>
                  </w:pPr>
                  <w:r>
                    <w:rPr>
                      <w:color w:val="auto"/>
                      <w:kern w:val="0"/>
                      <w:sz w:val="21"/>
                      <w:szCs w:val="21"/>
                    </w:rPr>
                    <w:t>（民用，二级）</w:t>
                  </w: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变配电室</w:t>
                  </w:r>
                </w:p>
                <w:p>
                  <w:pPr>
                    <w:overflowPunct w:val="0"/>
                    <w:spacing w:before="0"/>
                    <w:ind w:firstLine="0" w:firstLineChars="0"/>
                    <w:jc w:val="center"/>
                    <w:rPr>
                      <w:color w:val="auto"/>
                      <w:kern w:val="0"/>
                      <w:sz w:val="21"/>
                      <w:szCs w:val="21"/>
                    </w:rPr>
                  </w:pPr>
                  <w:r>
                    <w:rPr>
                      <w:color w:val="auto"/>
                      <w:kern w:val="0"/>
                      <w:sz w:val="21"/>
                      <w:szCs w:val="21"/>
                    </w:rPr>
                    <w:t>（</w:t>
                  </w:r>
                  <w:r>
                    <w:rPr>
                      <w:rFonts w:hint="eastAsia"/>
                      <w:color w:val="auto"/>
                      <w:kern w:val="0"/>
                      <w:sz w:val="21"/>
                      <w:szCs w:val="21"/>
                      <w:lang w:val="en-US" w:eastAsia="zh-CN"/>
                    </w:rPr>
                    <w:t>丙类</w:t>
                  </w:r>
                  <w:r>
                    <w:rPr>
                      <w:color w:val="auto"/>
                      <w:kern w:val="0"/>
                      <w:sz w:val="21"/>
                      <w:szCs w:val="21"/>
                    </w:rPr>
                    <w:t>，二级）</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14.47</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《建设设计防火规范》GB50016-2014（2018年版）</w:t>
                  </w:r>
                  <w:r>
                    <w:rPr>
                      <w:color w:val="auto"/>
                      <w:kern w:val="0"/>
                      <w:sz w:val="21"/>
                      <w:szCs w:val="21"/>
                    </w:rPr>
                    <w:t>表3.4.1</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东</w:t>
                  </w:r>
                </w:p>
              </w:tc>
              <w:tc>
                <w:tcPr>
                  <w:tcW w:w="842" w:type="pct"/>
                  <w:noWrap w:val="0"/>
                  <w:vAlign w:val="center"/>
                </w:tcPr>
                <w:p>
                  <w:pPr>
                    <w:overflowPunct w:val="0"/>
                    <w:spacing w:before="0"/>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厂内道路</w:t>
                  </w:r>
                </w:p>
              </w:tc>
              <w:tc>
                <w:tcPr>
                  <w:tcW w:w="421" w:type="pct"/>
                  <w:noWrap w:val="0"/>
                  <w:vAlign w:val="center"/>
                </w:tcPr>
                <w:p>
                  <w:pPr>
                    <w:overflowPunct w:val="0"/>
                    <w:spacing w:before="0"/>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5</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5</w:t>
                  </w:r>
                </w:p>
              </w:tc>
              <w:tc>
                <w:tcPr>
                  <w:tcW w:w="2268"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rPr>
                    <w:t>《建设设计防火规范》GB50016-2014（2018年版）</w:t>
                  </w:r>
                  <w:r>
                    <w:rPr>
                      <w:color w:val="auto"/>
                      <w:kern w:val="0"/>
                      <w:sz w:val="21"/>
                      <w:szCs w:val="21"/>
                    </w:rPr>
                    <w:t>表</w:t>
                  </w:r>
                  <w:r>
                    <w:rPr>
                      <w:rFonts w:hint="eastAsia"/>
                      <w:color w:val="auto"/>
                      <w:kern w:val="0"/>
                      <w:sz w:val="21"/>
                      <w:szCs w:val="21"/>
                      <w:lang w:val="en-US" w:eastAsia="zh-CN"/>
                    </w:rPr>
                    <w:t>7.1.8</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南</w:t>
                  </w:r>
                </w:p>
              </w:tc>
              <w:tc>
                <w:tcPr>
                  <w:tcW w:w="842"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分析化验室（民用，二级）</w:t>
                  </w:r>
                </w:p>
              </w:tc>
              <w:tc>
                <w:tcPr>
                  <w:tcW w:w="421" w:type="pct"/>
                  <w:noWrap w:val="0"/>
                  <w:vAlign w:val="center"/>
                </w:tcPr>
                <w:p>
                  <w:pPr>
                    <w:overflowPunct w:val="0"/>
                    <w:spacing w:before="0"/>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6</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20.01</w:t>
                  </w:r>
                </w:p>
              </w:tc>
              <w:tc>
                <w:tcPr>
                  <w:tcW w:w="2268"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rPr>
                    <w:t>《建设设计防火规范》GB50016-2014（2018年版）</w:t>
                  </w:r>
                  <w:r>
                    <w:rPr>
                      <w:color w:val="auto"/>
                      <w:kern w:val="0"/>
                      <w:sz w:val="21"/>
                      <w:szCs w:val="21"/>
                    </w:rPr>
                    <w:t>表</w:t>
                  </w:r>
                  <w:r>
                    <w:rPr>
                      <w:rFonts w:hint="eastAsia"/>
                      <w:color w:val="auto"/>
                      <w:kern w:val="0"/>
                      <w:sz w:val="21"/>
                      <w:szCs w:val="21"/>
                      <w:lang w:val="en-US" w:eastAsia="zh-CN"/>
                    </w:rPr>
                    <w:t>5.2.2</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控制室</w:t>
                  </w:r>
                </w:p>
                <w:p>
                  <w:pPr>
                    <w:overflowPunct w:val="0"/>
                    <w:spacing w:before="0"/>
                    <w:ind w:firstLine="0" w:firstLineChars="0"/>
                    <w:jc w:val="center"/>
                    <w:rPr>
                      <w:color w:val="auto"/>
                      <w:kern w:val="0"/>
                      <w:sz w:val="21"/>
                      <w:szCs w:val="21"/>
                    </w:rPr>
                  </w:pPr>
                  <w:r>
                    <w:rPr>
                      <w:color w:val="auto"/>
                      <w:kern w:val="0"/>
                      <w:sz w:val="21"/>
                      <w:szCs w:val="21"/>
                    </w:rPr>
                    <w:t>（</w:t>
                  </w:r>
                  <w:r>
                    <w:rPr>
                      <w:rFonts w:hint="eastAsia"/>
                      <w:color w:val="auto"/>
                      <w:kern w:val="0"/>
                      <w:sz w:val="21"/>
                      <w:szCs w:val="21"/>
                      <w:lang w:val="en-US" w:eastAsia="zh-CN"/>
                    </w:rPr>
                    <w:t>丁类</w:t>
                  </w:r>
                  <w:r>
                    <w:rPr>
                      <w:color w:val="auto"/>
                      <w:kern w:val="0"/>
                      <w:sz w:val="21"/>
                      <w:szCs w:val="21"/>
                    </w:rPr>
                    <w:t>，一级）</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10</w:t>
                  </w:r>
                </w:p>
              </w:tc>
              <w:tc>
                <w:tcPr>
                  <w:tcW w:w="43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《建设设计防火规范》GB50016-2014（2018年版）</w:t>
                  </w:r>
                  <w:r>
                    <w:rPr>
                      <w:color w:val="auto"/>
                      <w:kern w:val="0"/>
                      <w:sz w:val="21"/>
                      <w:szCs w:val="21"/>
                    </w:rPr>
                    <w:t>表3.4.1</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厂区围墙</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5</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color w:val="auto"/>
                      <w:kern w:val="0"/>
                      <w:sz w:val="21"/>
                      <w:szCs w:val="21"/>
                    </w:rPr>
                    <w:t>5</w:t>
                  </w:r>
                  <w:r>
                    <w:rPr>
                      <w:rFonts w:hint="eastAsia"/>
                      <w:color w:val="auto"/>
                      <w:kern w:val="0"/>
                      <w:sz w:val="21"/>
                      <w:szCs w:val="21"/>
                      <w:lang w:val="en-US" w:eastAsia="zh-CN"/>
                    </w:rPr>
                    <w:t>.64</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《建设设计防火规范》GB50016-2014（2018年版）</w:t>
                  </w:r>
                  <w:r>
                    <w:rPr>
                      <w:color w:val="auto"/>
                      <w:kern w:val="0"/>
                      <w:sz w:val="21"/>
                      <w:szCs w:val="21"/>
                    </w:rPr>
                    <w:t>表3.4.12</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color w:val="auto"/>
                      <w:kern w:val="0"/>
                      <w:sz w:val="21"/>
                      <w:szCs w:val="21"/>
                    </w:rPr>
                  </w:pPr>
                  <w:r>
                    <w:rPr>
                      <w:color w:val="auto"/>
                      <w:kern w:val="0"/>
                      <w:sz w:val="21"/>
                      <w:szCs w:val="21"/>
                    </w:rPr>
                    <w:t>变配电室</w:t>
                  </w:r>
                </w:p>
                <w:p>
                  <w:pPr>
                    <w:overflowPunct w:val="0"/>
                    <w:spacing w:before="0"/>
                    <w:ind w:firstLine="0" w:firstLineChars="0"/>
                    <w:jc w:val="center"/>
                    <w:rPr>
                      <w:color w:val="auto"/>
                      <w:kern w:val="0"/>
                      <w:sz w:val="21"/>
                      <w:szCs w:val="21"/>
                    </w:rPr>
                  </w:pPr>
                  <w:r>
                    <w:rPr>
                      <w:color w:val="auto"/>
                      <w:kern w:val="0"/>
                      <w:sz w:val="21"/>
                      <w:szCs w:val="21"/>
                    </w:rPr>
                    <w:t>（</w:t>
                  </w:r>
                  <w:r>
                    <w:rPr>
                      <w:rFonts w:hint="eastAsia"/>
                      <w:color w:val="auto"/>
                      <w:kern w:val="0"/>
                      <w:sz w:val="21"/>
                      <w:szCs w:val="21"/>
                      <w:lang w:val="en-US" w:eastAsia="zh-CN"/>
                    </w:rPr>
                    <w:t>丙类</w:t>
                  </w:r>
                  <w:r>
                    <w:rPr>
                      <w:color w:val="auto"/>
                      <w:kern w:val="0"/>
                      <w:sz w:val="21"/>
                      <w:szCs w:val="21"/>
                    </w:rPr>
                    <w:t>，二级）</w:t>
                  </w: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东北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综合楼</w:t>
                  </w:r>
                </w:p>
                <w:p>
                  <w:pPr>
                    <w:overflowPunct w:val="0"/>
                    <w:spacing w:before="0"/>
                    <w:ind w:firstLine="0" w:firstLineChars="0"/>
                    <w:jc w:val="center"/>
                    <w:rPr>
                      <w:color w:val="auto"/>
                      <w:kern w:val="0"/>
                      <w:sz w:val="21"/>
                      <w:szCs w:val="21"/>
                    </w:rPr>
                  </w:pPr>
                  <w:r>
                    <w:rPr>
                      <w:color w:val="auto"/>
                      <w:kern w:val="0"/>
                      <w:sz w:val="21"/>
                      <w:szCs w:val="21"/>
                    </w:rPr>
                    <w:t>（民用，二级）</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14.47</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《建设设计防火规范》GB50016-2014（2018年版）</w:t>
                  </w:r>
                  <w:r>
                    <w:rPr>
                      <w:color w:val="auto"/>
                      <w:kern w:val="0"/>
                      <w:sz w:val="21"/>
                      <w:szCs w:val="21"/>
                    </w:rPr>
                    <w:t>表3.4.1</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控制室</w:t>
                  </w:r>
                </w:p>
                <w:p>
                  <w:pPr>
                    <w:overflowPunct w:val="0"/>
                    <w:spacing w:before="0"/>
                    <w:ind w:firstLine="0" w:firstLineChars="0"/>
                    <w:jc w:val="center"/>
                    <w:rPr>
                      <w:color w:val="auto"/>
                      <w:kern w:val="0"/>
                      <w:sz w:val="21"/>
                      <w:szCs w:val="21"/>
                    </w:rPr>
                  </w:pPr>
                  <w:r>
                    <w:rPr>
                      <w:color w:val="auto"/>
                      <w:kern w:val="0"/>
                      <w:sz w:val="21"/>
                      <w:szCs w:val="21"/>
                    </w:rPr>
                    <w:t>（</w:t>
                  </w:r>
                  <w:r>
                    <w:rPr>
                      <w:rFonts w:hint="eastAsia"/>
                      <w:color w:val="auto"/>
                      <w:kern w:val="0"/>
                      <w:sz w:val="21"/>
                      <w:szCs w:val="21"/>
                      <w:lang w:val="en-US" w:eastAsia="zh-CN"/>
                    </w:rPr>
                    <w:t>丁类</w:t>
                  </w:r>
                  <w:r>
                    <w:rPr>
                      <w:color w:val="auto"/>
                      <w:kern w:val="0"/>
                      <w:sz w:val="21"/>
                      <w:szCs w:val="21"/>
                    </w:rPr>
                    <w:t>，一级）</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10.11</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《建设设计防火规范》GB50016-2014（2018年版）</w:t>
                  </w:r>
                  <w:r>
                    <w:rPr>
                      <w:color w:val="auto"/>
                      <w:kern w:val="0"/>
                      <w:sz w:val="21"/>
                      <w:szCs w:val="21"/>
                    </w:rPr>
                    <w:t>表3.4.1</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消防泵房</w:t>
                  </w:r>
                </w:p>
                <w:p>
                  <w:pPr>
                    <w:overflowPunct w:val="0"/>
                    <w:spacing w:before="0"/>
                    <w:ind w:firstLine="0" w:firstLineChars="0"/>
                    <w:jc w:val="center"/>
                    <w:rPr>
                      <w:color w:val="auto"/>
                      <w:kern w:val="0"/>
                      <w:sz w:val="21"/>
                      <w:szCs w:val="21"/>
                    </w:rPr>
                  </w:pPr>
                  <w:r>
                    <w:rPr>
                      <w:color w:val="auto"/>
                      <w:kern w:val="0"/>
                      <w:sz w:val="21"/>
                      <w:szCs w:val="21"/>
                    </w:rPr>
                    <w:t>（丁类，二级）</w:t>
                  </w:r>
                </w:p>
              </w:tc>
              <w:tc>
                <w:tcPr>
                  <w:tcW w:w="421" w:type="pct"/>
                  <w:noWrap w:val="0"/>
                  <w:vAlign w:val="center"/>
                </w:tcPr>
                <w:p>
                  <w:pPr>
                    <w:overflowPunct w:val="0"/>
                    <w:spacing w:before="0"/>
                    <w:ind w:firstLine="0" w:firstLineChars="0"/>
                    <w:jc w:val="center"/>
                    <w:rPr>
                      <w:rFonts w:hint="eastAsia" w:eastAsia="宋体"/>
                      <w:color w:val="auto"/>
                      <w:kern w:val="0"/>
                      <w:sz w:val="21"/>
                      <w:szCs w:val="21"/>
                      <w:lang w:eastAsia="zh-CN"/>
                    </w:rPr>
                  </w:pPr>
                  <w:r>
                    <w:rPr>
                      <w:rFonts w:hint="eastAsia"/>
                      <w:color w:val="auto"/>
                      <w:kern w:val="0"/>
                      <w:sz w:val="21"/>
                      <w:szCs w:val="21"/>
                      <w:lang w:val="en-US" w:eastAsia="zh-CN"/>
                    </w:rPr>
                    <w:t>不限</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color w:val="auto"/>
                      <w:kern w:val="0"/>
                      <w:sz w:val="21"/>
                      <w:szCs w:val="21"/>
                    </w:rPr>
                    <w:t>5</w:t>
                  </w:r>
                  <w:r>
                    <w:rPr>
                      <w:rFonts w:hint="eastAsia"/>
                      <w:color w:val="auto"/>
                      <w:kern w:val="0"/>
                      <w:sz w:val="21"/>
                      <w:szCs w:val="21"/>
                      <w:lang w:val="en-US" w:eastAsia="zh-CN"/>
                    </w:rPr>
                    <w:t>.33</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《建设设计防火规范》GB50016-2014（2018年版）</w:t>
                  </w:r>
                  <w:r>
                    <w:rPr>
                      <w:color w:val="auto"/>
                      <w:kern w:val="0"/>
                      <w:sz w:val="21"/>
                      <w:szCs w:val="21"/>
                    </w:rPr>
                    <w:t>表3.4.1注2</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卸车泵区</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15</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30</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color w:val="auto"/>
                      <w:kern w:val="0"/>
                      <w:sz w:val="21"/>
                      <w:szCs w:val="21"/>
                    </w:rPr>
                  </w:pPr>
                  <w:r>
                    <w:rPr>
                      <w:color w:val="auto"/>
                      <w:kern w:val="0"/>
                      <w:sz w:val="21"/>
                      <w:szCs w:val="21"/>
                    </w:rPr>
                    <w:t>消防泵房</w:t>
                  </w:r>
                </w:p>
                <w:p>
                  <w:pPr>
                    <w:overflowPunct w:val="0"/>
                    <w:spacing w:before="0"/>
                    <w:ind w:firstLine="0" w:firstLineChars="0"/>
                    <w:jc w:val="center"/>
                    <w:rPr>
                      <w:color w:val="auto"/>
                      <w:kern w:val="0"/>
                      <w:sz w:val="21"/>
                      <w:szCs w:val="21"/>
                    </w:rPr>
                  </w:pPr>
                  <w:r>
                    <w:rPr>
                      <w:color w:val="auto"/>
                      <w:kern w:val="0"/>
                      <w:sz w:val="21"/>
                      <w:szCs w:val="21"/>
                    </w:rPr>
                    <w:t>（丁类，二级）</w:t>
                  </w: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东</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变配电室</w:t>
                  </w:r>
                </w:p>
                <w:p>
                  <w:pPr>
                    <w:overflowPunct w:val="0"/>
                    <w:spacing w:before="0"/>
                    <w:ind w:firstLine="0" w:firstLineChars="0"/>
                    <w:jc w:val="center"/>
                    <w:rPr>
                      <w:color w:val="auto"/>
                      <w:kern w:val="0"/>
                      <w:sz w:val="21"/>
                      <w:szCs w:val="21"/>
                    </w:rPr>
                  </w:pPr>
                  <w:r>
                    <w:rPr>
                      <w:color w:val="auto"/>
                      <w:kern w:val="0"/>
                      <w:sz w:val="21"/>
                      <w:szCs w:val="21"/>
                    </w:rPr>
                    <w:t>（</w:t>
                  </w:r>
                  <w:r>
                    <w:rPr>
                      <w:rFonts w:hint="eastAsia"/>
                      <w:color w:val="auto"/>
                      <w:kern w:val="0"/>
                      <w:sz w:val="21"/>
                      <w:szCs w:val="21"/>
                      <w:lang w:val="en-US" w:eastAsia="zh-CN"/>
                    </w:rPr>
                    <w:t>丙类</w:t>
                  </w:r>
                  <w:r>
                    <w:rPr>
                      <w:color w:val="auto"/>
                      <w:kern w:val="0"/>
                      <w:sz w:val="21"/>
                      <w:szCs w:val="21"/>
                    </w:rPr>
                    <w:t>，二级）</w:t>
                  </w:r>
                </w:p>
              </w:tc>
              <w:tc>
                <w:tcPr>
                  <w:tcW w:w="421" w:type="pct"/>
                  <w:noWrap w:val="0"/>
                  <w:vAlign w:val="center"/>
                </w:tcPr>
                <w:p>
                  <w:pPr>
                    <w:overflowPunct w:val="0"/>
                    <w:spacing w:before="0"/>
                    <w:ind w:firstLine="0" w:firstLineChars="0"/>
                    <w:jc w:val="center"/>
                    <w:rPr>
                      <w:rFonts w:hint="eastAsia" w:eastAsia="宋体"/>
                      <w:color w:val="auto"/>
                      <w:kern w:val="0"/>
                      <w:sz w:val="21"/>
                      <w:szCs w:val="21"/>
                      <w:lang w:val="en-US" w:eastAsia="zh-CN" w:bidi="ar-SA"/>
                    </w:rPr>
                  </w:pPr>
                  <w:r>
                    <w:rPr>
                      <w:rFonts w:hint="eastAsia"/>
                      <w:color w:val="auto"/>
                      <w:kern w:val="0"/>
                      <w:sz w:val="21"/>
                      <w:szCs w:val="21"/>
                      <w:lang w:val="en-US" w:eastAsia="zh-CN"/>
                    </w:rPr>
                    <w:t>不限</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bidi="ar-SA"/>
                    </w:rPr>
                  </w:pPr>
                  <w:r>
                    <w:rPr>
                      <w:color w:val="auto"/>
                      <w:kern w:val="0"/>
                      <w:sz w:val="21"/>
                      <w:szCs w:val="21"/>
                    </w:rPr>
                    <w:t>5</w:t>
                  </w:r>
                  <w:r>
                    <w:rPr>
                      <w:rFonts w:hint="eastAsia"/>
                      <w:color w:val="auto"/>
                      <w:kern w:val="0"/>
                      <w:sz w:val="21"/>
                      <w:szCs w:val="21"/>
                      <w:lang w:val="en-US" w:eastAsia="zh-CN"/>
                    </w:rPr>
                    <w:t>.33</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《建设设计防火规范》GB50016-2014（2018年版）</w:t>
                  </w:r>
                  <w:r>
                    <w:rPr>
                      <w:color w:val="auto"/>
                      <w:kern w:val="0"/>
                      <w:sz w:val="21"/>
                      <w:szCs w:val="21"/>
                    </w:rPr>
                    <w:t>表3.4.1注2</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rFonts w:hint="eastAsia"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rPr>
                    <w:t>南</w:t>
                  </w:r>
                </w:p>
              </w:tc>
              <w:tc>
                <w:tcPr>
                  <w:tcW w:w="842" w:type="pct"/>
                  <w:noWrap w:val="0"/>
                  <w:vAlign w:val="center"/>
                </w:tcPr>
                <w:p>
                  <w:pPr>
                    <w:overflowPunct w:val="0"/>
                    <w:spacing w:before="0"/>
                    <w:ind w:firstLine="0" w:firstLineChars="0"/>
                    <w:jc w:val="center"/>
                    <w:rPr>
                      <w:rFonts w:hint="eastAsia"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rPr>
                    <w:t>卸车泵区</w:t>
                  </w:r>
                </w:p>
              </w:tc>
              <w:tc>
                <w:tcPr>
                  <w:tcW w:w="421" w:type="pct"/>
                  <w:noWrap w:val="0"/>
                  <w:vAlign w:val="center"/>
                </w:tcPr>
                <w:p>
                  <w:pPr>
                    <w:overflowPunct w:val="0"/>
                    <w:spacing w:before="0"/>
                    <w:ind w:firstLine="0" w:firstLineChars="0"/>
                    <w:jc w:val="center"/>
                    <w:rPr>
                      <w:rFonts w:hint="eastAsia"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rPr>
                    <w:t>30</w:t>
                  </w:r>
                </w:p>
              </w:tc>
              <w:tc>
                <w:tcPr>
                  <w:tcW w:w="430" w:type="pct"/>
                  <w:noWrap w:val="0"/>
                  <w:vAlign w:val="center"/>
                </w:tcPr>
                <w:p>
                  <w:pPr>
                    <w:overflowPunct w:val="0"/>
                    <w:spacing w:before="0"/>
                    <w:ind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30</w:t>
                  </w:r>
                </w:p>
              </w:tc>
              <w:tc>
                <w:tcPr>
                  <w:tcW w:w="2268" w:type="pct"/>
                  <w:noWrap w:val="0"/>
                  <w:vAlign w:val="center"/>
                </w:tcPr>
                <w:p>
                  <w:pPr>
                    <w:overflowPunct w:val="0"/>
                    <w:spacing w:before="0"/>
                    <w:ind w:firstLine="0" w:firstLineChars="0"/>
                    <w:jc w:val="center"/>
                    <w:rPr>
                      <w:rFonts w:hint="eastAsia"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rPr>
                    <w:t>《石油库设计规范》GB50074-2014</w:t>
                  </w:r>
                </w:p>
                <w:p>
                  <w:pPr>
                    <w:overflowPunct w:val="0"/>
                    <w:spacing w:before="0"/>
                    <w:ind w:firstLine="0" w:firstLineChars="0"/>
                    <w:jc w:val="center"/>
                    <w:rPr>
                      <w:rFonts w:hint="eastAsia"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rPr>
                    <w:t>表5.1.3</w:t>
                  </w:r>
                </w:p>
              </w:tc>
              <w:tc>
                <w:tcPr>
                  <w:tcW w:w="356" w:type="pct"/>
                  <w:noWrap w:val="0"/>
                  <w:vAlign w:val="center"/>
                </w:tcPr>
                <w:p>
                  <w:pPr>
                    <w:overflowPunct w:val="0"/>
                    <w:spacing w:before="0"/>
                    <w:ind w:firstLine="0" w:firstLineChars="0"/>
                    <w:jc w:val="center"/>
                    <w:rPr>
                      <w:rFonts w:hint="eastAsia"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厂区围墙</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5</w:t>
                  </w:r>
                </w:p>
              </w:tc>
              <w:tc>
                <w:tcPr>
                  <w:tcW w:w="43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5</w:t>
                  </w:r>
                  <w:r>
                    <w:rPr>
                      <w:rFonts w:hint="eastAsia"/>
                      <w:color w:val="auto"/>
                      <w:kern w:val="0"/>
                      <w:sz w:val="21"/>
                      <w:szCs w:val="21"/>
                      <w:lang w:val="en-US" w:eastAsia="zh-CN"/>
                    </w:rPr>
                    <w:t>.45</w:t>
                  </w:r>
                </w:p>
              </w:tc>
              <w:tc>
                <w:tcPr>
                  <w:tcW w:w="2268" w:type="pct"/>
                  <w:noWrap w:val="0"/>
                  <w:vAlign w:val="center"/>
                </w:tcPr>
                <w:p>
                  <w:pPr>
                    <w:overflowPunct w:val="0"/>
                    <w:spacing w:before="0"/>
                    <w:ind w:firstLine="0" w:firstLineChars="0"/>
                    <w:jc w:val="center"/>
                    <w:rPr>
                      <w:rFonts w:hint="eastAsia"/>
                      <w:color w:val="auto"/>
                      <w:kern w:val="0"/>
                      <w:sz w:val="21"/>
                      <w:szCs w:val="21"/>
                    </w:rPr>
                  </w:pPr>
                  <w:r>
                    <w:rPr>
                      <w:rFonts w:hint="eastAsia"/>
                      <w:color w:val="auto"/>
                      <w:kern w:val="0"/>
                      <w:sz w:val="21"/>
                      <w:szCs w:val="21"/>
                    </w:rPr>
                    <w:t>《建设设计防火规范》GB50016-2014（2018年版）</w:t>
                  </w:r>
                  <w:r>
                    <w:rPr>
                      <w:color w:val="auto"/>
                      <w:kern w:val="0"/>
                      <w:sz w:val="21"/>
                      <w:szCs w:val="21"/>
                    </w:rPr>
                    <w:t>表3.4.12</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color w:val="auto"/>
                      <w:kern w:val="0"/>
                      <w:sz w:val="21"/>
                      <w:szCs w:val="21"/>
                    </w:rPr>
                  </w:pPr>
                  <w:r>
                    <w:rPr>
                      <w:color w:val="auto"/>
                      <w:kern w:val="0"/>
                      <w:sz w:val="21"/>
                      <w:szCs w:val="21"/>
                    </w:rPr>
                    <w:t>卸车泵区</w:t>
                  </w:r>
                </w:p>
              </w:tc>
              <w:tc>
                <w:tcPr>
                  <w:tcW w:w="286" w:type="pct"/>
                  <w:vMerge w:val="restart"/>
                  <w:noWrap w:val="0"/>
                  <w:vAlign w:val="center"/>
                </w:tcPr>
                <w:p>
                  <w:pPr>
                    <w:overflowPunct w:val="0"/>
                    <w:spacing w:before="0"/>
                    <w:ind w:firstLine="0" w:firstLineChars="0"/>
                    <w:jc w:val="center"/>
                    <w:rPr>
                      <w:color w:val="auto"/>
                      <w:kern w:val="0"/>
                      <w:sz w:val="21"/>
                      <w:szCs w:val="21"/>
                    </w:rPr>
                  </w:pPr>
                  <w:r>
                    <w:rPr>
                      <w:color w:val="auto"/>
                      <w:kern w:val="0"/>
                      <w:sz w:val="21"/>
                      <w:szCs w:val="21"/>
                    </w:rPr>
                    <w:t>北</w:t>
                  </w: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消防泵房</w:t>
                  </w:r>
                </w:p>
                <w:p>
                  <w:pPr>
                    <w:overflowPunct w:val="0"/>
                    <w:spacing w:before="0"/>
                    <w:ind w:firstLine="0" w:firstLineChars="0"/>
                    <w:jc w:val="center"/>
                    <w:rPr>
                      <w:color w:val="auto"/>
                      <w:kern w:val="0"/>
                      <w:sz w:val="21"/>
                      <w:szCs w:val="21"/>
                      <w:highlight w:val="none"/>
                    </w:rPr>
                  </w:pPr>
                  <w:r>
                    <w:rPr>
                      <w:color w:val="auto"/>
                      <w:kern w:val="0"/>
                      <w:sz w:val="21"/>
                      <w:szCs w:val="21"/>
                      <w:highlight w:val="none"/>
                    </w:rPr>
                    <w:t>（丁类，二级）</w:t>
                  </w:r>
                </w:p>
              </w:tc>
              <w:tc>
                <w:tcPr>
                  <w:tcW w:w="421"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30</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30</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表5.1.3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vMerge w:val="continue"/>
                  <w:noWrap w:val="0"/>
                  <w:vAlign w:val="center"/>
                </w:tcPr>
                <w:p>
                  <w:pPr>
                    <w:overflowPunct w:val="0"/>
                    <w:spacing w:before="0"/>
                    <w:ind w:firstLine="0" w:firstLineChars="0"/>
                    <w:jc w:val="center"/>
                    <w:rPr>
                      <w:color w:val="auto"/>
                      <w:kern w:val="0"/>
                      <w:sz w:val="21"/>
                      <w:szCs w:val="21"/>
                    </w:rPr>
                  </w:pP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变配电室</w:t>
                  </w:r>
                </w:p>
                <w:p>
                  <w:pPr>
                    <w:overflowPunct w:val="0"/>
                    <w:spacing w:before="0"/>
                    <w:ind w:firstLine="0" w:firstLineChars="0"/>
                    <w:jc w:val="center"/>
                    <w:rPr>
                      <w:color w:val="auto"/>
                      <w:kern w:val="0"/>
                      <w:sz w:val="21"/>
                      <w:szCs w:val="21"/>
                    </w:rPr>
                  </w:pPr>
                  <w:r>
                    <w:rPr>
                      <w:color w:val="auto"/>
                      <w:kern w:val="0"/>
                      <w:sz w:val="21"/>
                      <w:szCs w:val="21"/>
                    </w:rPr>
                    <w:t>（</w:t>
                  </w:r>
                  <w:r>
                    <w:rPr>
                      <w:rFonts w:hint="eastAsia"/>
                      <w:color w:val="auto"/>
                      <w:kern w:val="0"/>
                      <w:sz w:val="21"/>
                      <w:szCs w:val="21"/>
                      <w:lang w:val="en-US" w:eastAsia="zh-CN"/>
                    </w:rPr>
                    <w:t>丙类</w:t>
                  </w:r>
                  <w:r>
                    <w:rPr>
                      <w:color w:val="auto"/>
                      <w:kern w:val="0"/>
                      <w:sz w:val="21"/>
                      <w:szCs w:val="21"/>
                    </w:rPr>
                    <w:t>，二级）</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15</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30</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vMerge w:val="continue"/>
                  <w:noWrap w:val="0"/>
                  <w:vAlign w:val="center"/>
                </w:tcPr>
                <w:p>
                  <w:pPr>
                    <w:overflowPunct w:val="0"/>
                    <w:spacing w:before="0"/>
                    <w:ind w:firstLine="0" w:firstLineChars="0"/>
                    <w:jc w:val="center"/>
                    <w:rPr>
                      <w:color w:val="auto"/>
                      <w:kern w:val="0"/>
                      <w:sz w:val="21"/>
                      <w:szCs w:val="21"/>
                    </w:rPr>
                  </w:pPr>
                </w:p>
              </w:tc>
              <w:tc>
                <w:tcPr>
                  <w:tcW w:w="842"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分析化验室（民用，二级）</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color w:val="auto"/>
                      <w:kern w:val="0"/>
                      <w:sz w:val="21"/>
                      <w:szCs w:val="21"/>
                    </w:rPr>
                    <w:t>15</w:t>
                  </w:r>
                </w:p>
              </w:tc>
              <w:tc>
                <w:tcPr>
                  <w:tcW w:w="430" w:type="pct"/>
                  <w:noWrap w:val="0"/>
                  <w:vAlign w:val="center"/>
                </w:tcPr>
                <w:p>
                  <w:pPr>
                    <w:overflowPunct w:val="0"/>
                    <w:spacing w:before="0"/>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30</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库区围墙</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10</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color w:val="auto"/>
                      <w:kern w:val="0"/>
                      <w:sz w:val="21"/>
                      <w:szCs w:val="21"/>
                    </w:rPr>
                    <w:t>31</w:t>
                  </w:r>
                  <w:r>
                    <w:rPr>
                      <w:rFonts w:hint="eastAsia"/>
                      <w:color w:val="auto"/>
                      <w:kern w:val="0"/>
                      <w:sz w:val="21"/>
                      <w:szCs w:val="21"/>
                      <w:lang w:val="en-US" w:eastAsia="zh-CN"/>
                    </w:rPr>
                    <w:t>.57</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东</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油气回收装置</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4.5</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15.82</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《油气回收处理设施技术标准》GB/T50759-2022</w:t>
                  </w:r>
                  <w:r>
                    <w:rPr>
                      <w:color w:val="auto"/>
                      <w:kern w:val="0"/>
                      <w:sz w:val="21"/>
                      <w:szCs w:val="21"/>
                    </w:rPr>
                    <w:t>表4.0.11</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装卸鹤管</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15</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15.56</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装卸车</w:t>
                  </w:r>
                  <w:r>
                    <w:rPr>
                      <w:rFonts w:hint="eastAsia"/>
                      <w:color w:val="auto"/>
                      <w:kern w:val="0"/>
                      <w:sz w:val="21"/>
                      <w:szCs w:val="21"/>
                      <w:lang w:val="en-US" w:eastAsia="zh-CN"/>
                    </w:rPr>
                    <w:t>区</w:t>
                  </w: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北</w:t>
                  </w:r>
                </w:p>
              </w:tc>
              <w:tc>
                <w:tcPr>
                  <w:tcW w:w="842" w:type="pct"/>
                  <w:noWrap w:val="0"/>
                  <w:vAlign w:val="center"/>
                </w:tcPr>
                <w:p>
                  <w:pPr>
                    <w:overflowPunct w:val="0"/>
                    <w:spacing w:before="0"/>
                    <w:ind w:firstLine="0" w:firstLineChars="0"/>
                    <w:jc w:val="center"/>
                    <w:rPr>
                      <w:color w:val="auto"/>
                      <w:kern w:val="0"/>
                      <w:sz w:val="21"/>
                      <w:szCs w:val="21"/>
                      <w:highlight w:val="yellow"/>
                    </w:rPr>
                  </w:pPr>
                  <w:r>
                    <w:rPr>
                      <w:color w:val="auto"/>
                      <w:kern w:val="0"/>
                      <w:sz w:val="21"/>
                      <w:szCs w:val="21"/>
                    </w:rPr>
                    <w:t>卸车泵区</w:t>
                  </w:r>
                </w:p>
              </w:tc>
              <w:tc>
                <w:tcPr>
                  <w:tcW w:w="421" w:type="pct"/>
                  <w:noWrap w:val="0"/>
                  <w:vAlign w:val="center"/>
                </w:tcPr>
                <w:p>
                  <w:pPr>
                    <w:overflowPunct w:val="0"/>
                    <w:spacing w:before="0"/>
                    <w:ind w:firstLine="0" w:firstLineChars="0"/>
                    <w:jc w:val="center"/>
                    <w:rPr>
                      <w:color w:val="auto"/>
                      <w:kern w:val="0"/>
                      <w:sz w:val="21"/>
                      <w:szCs w:val="21"/>
                      <w:highlight w:val="yellow"/>
                    </w:rPr>
                  </w:pPr>
                  <w:r>
                    <w:rPr>
                      <w:color w:val="auto"/>
                      <w:kern w:val="0"/>
                      <w:sz w:val="21"/>
                      <w:szCs w:val="21"/>
                    </w:rPr>
                    <w:t>15</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yellow"/>
                      <w:lang w:val="en-US" w:eastAsia="zh-CN"/>
                    </w:rPr>
                  </w:pPr>
                  <w:r>
                    <w:rPr>
                      <w:rFonts w:hint="eastAsia"/>
                      <w:color w:val="auto"/>
                      <w:kern w:val="0"/>
                      <w:sz w:val="21"/>
                      <w:szCs w:val="21"/>
                      <w:lang w:val="en-US" w:eastAsia="zh-CN"/>
                    </w:rPr>
                    <w:t>15.56</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highlight w:val="yellow"/>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highlight w:val="yellow"/>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库区围墙</w:t>
                  </w:r>
                </w:p>
              </w:tc>
              <w:tc>
                <w:tcPr>
                  <w:tcW w:w="421" w:type="pct"/>
                  <w:noWrap w:val="0"/>
                  <w:vAlign w:val="center"/>
                </w:tcPr>
                <w:p>
                  <w:pPr>
                    <w:overflowPunct w:val="0"/>
                    <w:spacing w:before="0"/>
                    <w:ind w:firstLine="0" w:firstLineChars="0"/>
                    <w:jc w:val="center"/>
                    <w:rPr>
                      <w:rFonts w:hint="eastAsia" w:eastAsia="宋体"/>
                      <w:color w:val="auto"/>
                      <w:kern w:val="0"/>
                      <w:sz w:val="21"/>
                      <w:szCs w:val="21"/>
                      <w:lang w:eastAsia="zh-CN"/>
                    </w:rPr>
                  </w:pPr>
                  <w:r>
                    <w:rPr>
                      <w:color w:val="auto"/>
                      <w:kern w:val="0"/>
                      <w:sz w:val="21"/>
                      <w:szCs w:val="21"/>
                    </w:rPr>
                    <w:t>1</w:t>
                  </w:r>
                  <w:r>
                    <w:rPr>
                      <w:rFonts w:hint="eastAsia"/>
                      <w:color w:val="auto"/>
                      <w:kern w:val="0"/>
                      <w:sz w:val="21"/>
                      <w:szCs w:val="21"/>
                      <w:lang w:val="en-US" w:eastAsia="zh-CN"/>
                    </w:rPr>
                    <w:t>5</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31.98</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vMerge w:val="restart"/>
                  <w:noWrap w:val="0"/>
                  <w:vAlign w:val="center"/>
                </w:tcPr>
                <w:p>
                  <w:pPr>
                    <w:overflowPunct w:val="0"/>
                    <w:spacing w:before="0"/>
                    <w:ind w:firstLine="0" w:firstLineChars="0"/>
                    <w:jc w:val="center"/>
                    <w:rPr>
                      <w:color w:val="auto"/>
                      <w:kern w:val="0"/>
                      <w:sz w:val="21"/>
                      <w:szCs w:val="21"/>
                    </w:rPr>
                  </w:pPr>
                  <w:r>
                    <w:rPr>
                      <w:color w:val="auto"/>
                      <w:kern w:val="0"/>
                      <w:sz w:val="21"/>
                      <w:szCs w:val="21"/>
                    </w:rPr>
                    <w:t>东</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1#罐组</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20</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color w:val="auto"/>
                      <w:kern w:val="0"/>
                      <w:sz w:val="21"/>
                      <w:szCs w:val="21"/>
                    </w:rPr>
                    <w:t>63</w:t>
                  </w:r>
                  <w:r>
                    <w:rPr>
                      <w:rFonts w:hint="eastAsia"/>
                      <w:color w:val="auto"/>
                      <w:kern w:val="0"/>
                      <w:sz w:val="21"/>
                      <w:szCs w:val="21"/>
                      <w:lang w:val="en-US" w:eastAsia="zh-CN"/>
                    </w:rPr>
                    <w:t>.4</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vMerge w:val="continue"/>
                  <w:noWrap w:val="0"/>
                  <w:vAlign w:val="center"/>
                </w:tcPr>
                <w:p>
                  <w:pPr>
                    <w:overflowPunct w:val="0"/>
                    <w:spacing w:before="0"/>
                    <w:ind w:firstLine="0" w:firstLineChars="0"/>
                    <w:jc w:val="center"/>
                    <w:rPr>
                      <w:color w:val="auto"/>
                      <w:kern w:val="0"/>
                      <w:sz w:val="21"/>
                      <w:szCs w:val="21"/>
                    </w:rPr>
                  </w:pP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油气回收装置</w:t>
                  </w:r>
                </w:p>
              </w:tc>
              <w:tc>
                <w:tcPr>
                  <w:tcW w:w="421"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lang w:val="en-US" w:eastAsia="zh-CN"/>
                    </w:rPr>
                    <w:t>15</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61.1</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《油气回收处理设施技术标准》GB/T50759-2022</w:t>
                  </w:r>
                </w:p>
                <w:p>
                  <w:pPr>
                    <w:overflowPunct w:val="0"/>
                    <w:spacing w:before="0"/>
                    <w:ind w:firstLine="0" w:firstLineChars="0"/>
                    <w:jc w:val="center"/>
                    <w:rPr>
                      <w:color w:val="auto"/>
                      <w:kern w:val="0"/>
                      <w:sz w:val="21"/>
                      <w:szCs w:val="21"/>
                    </w:rPr>
                  </w:pPr>
                  <w:r>
                    <w:rPr>
                      <w:color w:val="auto"/>
                      <w:kern w:val="0"/>
                      <w:sz w:val="21"/>
                      <w:szCs w:val="21"/>
                    </w:rPr>
                    <w:t>4.0.12注4</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vMerge w:val="continue"/>
                  <w:noWrap w:val="0"/>
                  <w:vAlign w:val="center"/>
                </w:tcPr>
                <w:p>
                  <w:pPr>
                    <w:overflowPunct w:val="0"/>
                    <w:spacing w:before="0"/>
                    <w:ind w:firstLine="0" w:firstLineChars="0"/>
                    <w:jc w:val="center"/>
                    <w:rPr>
                      <w:color w:val="auto"/>
                      <w:kern w:val="0"/>
                      <w:sz w:val="21"/>
                      <w:szCs w:val="21"/>
                    </w:rPr>
                  </w:pPr>
                </w:p>
              </w:tc>
              <w:tc>
                <w:tcPr>
                  <w:tcW w:w="842"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打料泵区</w:t>
                  </w:r>
                </w:p>
              </w:tc>
              <w:tc>
                <w:tcPr>
                  <w:tcW w:w="421"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lang w:val="en-US" w:eastAsia="zh-CN"/>
                    </w:rPr>
                    <w:t>15</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69.5</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vMerge w:val="continue"/>
                  <w:noWrap w:val="0"/>
                  <w:vAlign w:val="center"/>
                </w:tcPr>
                <w:p>
                  <w:pPr>
                    <w:overflowPunct w:val="0"/>
                    <w:spacing w:before="0"/>
                    <w:ind w:firstLine="0" w:firstLineChars="0"/>
                    <w:jc w:val="center"/>
                    <w:rPr>
                      <w:color w:val="auto"/>
                      <w:kern w:val="0"/>
                      <w:sz w:val="21"/>
                      <w:szCs w:val="21"/>
                    </w:rPr>
                  </w:pPr>
                </w:p>
              </w:tc>
              <w:tc>
                <w:tcPr>
                  <w:tcW w:w="842" w:type="pct"/>
                  <w:noWrap w:val="0"/>
                  <w:vAlign w:val="center"/>
                </w:tcPr>
                <w:p>
                  <w:pPr>
                    <w:overflowPunct w:val="0"/>
                    <w:spacing w:before="0"/>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4</w:t>
                  </w:r>
                  <w:r>
                    <w:rPr>
                      <w:color w:val="auto"/>
                      <w:kern w:val="0"/>
                      <w:sz w:val="21"/>
                      <w:szCs w:val="21"/>
                    </w:rPr>
                    <w:t>#罐组</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15</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93.7</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vMerge w:val="restart"/>
                  <w:noWrap w:val="0"/>
                  <w:vAlign w:val="center"/>
                </w:tcPr>
                <w:p>
                  <w:pPr>
                    <w:overflowPunct w:val="0"/>
                    <w:spacing w:before="0"/>
                    <w:ind w:firstLine="0" w:firstLineChars="0"/>
                    <w:jc w:val="center"/>
                    <w:rPr>
                      <w:color w:val="auto"/>
                      <w:kern w:val="0"/>
                      <w:sz w:val="21"/>
                      <w:szCs w:val="21"/>
                    </w:rPr>
                  </w:pPr>
                  <w:r>
                    <w:rPr>
                      <w:color w:val="auto"/>
                      <w:kern w:val="0"/>
                      <w:sz w:val="21"/>
                      <w:szCs w:val="21"/>
                    </w:rPr>
                    <w:t>南</w:t>
                  </w: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装车泵区</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15</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39.50</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vMerge w:val="continue"/>
                  <w:noWrap w:val="0"/>
                  <w:vAlign w:val="center"/>
                </w:tcPr>
                <w:p>
                  <w:pPr>
                    <w:overflowPunct w:val="0"/>
                    <w:spacing w:before="0"/>
                    <w:ind w:firstLine="0" w:firstLineChars="0"/>
                    <w:jc w:val="center"/>
                    <w:rPr>
                      <w:color w:val="auto"/>
                      <w:kern w:val="0"/>
                      <w:sz w:val="21"/>
                      <w:szCs w:val="21"/>
                    </w:rPr>
                  </w:pPr>
                </w:p>
              </w:tc>
              <w:tc>
                <w:tcPr>
                  <w:tcW w:w="842"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lang w:val="en-US" w:eastAsia="zh-CN"/>
                    </w:rPr>
                    <w:t>6</w:t>
                  </w:r>
                  <w:r>
                    <w:rPr>
                      <w:color w:val="auto"/>
                      <w:kern w:val="0"/>
                      <w:sz w:val="21"/>
                      <w:szCs w:val="21"/>
                    </w:rPr>
                    <w:t>#罐组</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11</w:t>
                  </w:r>
                </w:p>
              </w:tc>
              <w:tc>
                <w:tcPr>
                  <w:tcW w:w="430" w:type="pct"/>
                  <w:noWrap w:val="0"/>
                  <w:vAlign w:val="center"/>
                </w:tcPr>
                <w:p>
                  <w:pPr>
                    <w:overflowPunct w:val="0"/>
                    <w:spacing w:before="0"/>
                    <w:ind w:firstLine="0" w:firstLineChars="0"/>
                    <w:jc w:val="center"/>
                    <w:rPr>
                      <w:rFonts w:hint="default"/>
                      <w:color w:val="auto"/>
                      <w:kern w:val="0"/>
                      <w:sz w:val="21"/>
                      <w:szCs w:val="21"/>
                      <w:lang w:val="en-US"/>
                    </w:rPr>
                  </w:pPr>
                  <w:r>
                    <w:rPr>
                      <w:color w:val="auto"/>
                      <w:kern w:val="0"/>
                      <w:sz w:val="21"/>
                      <w:szCs w:val="21"/>
                    </w:rPr>
                    <w:t>53.86</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vMerge w:val="continue"/>
                  <w:noWrap w:val="0"/>
                  <w:vAlign w:val="center"/>
                </w:tcPr>
                <w:p>
                  <w:pPr>
                    <w:overflowPunct w:val="0"/>
                    <w:spacing w:before="0"/>
                    <w:ind w:firstLine="0" w:firstLineChars="0"/>
                    <w:jc w:val="center"/>
                    <w:rPr>
                      <w:color w:val="auto"/>
                      <w:kern w:val="0"/>
                      <w:sz w:val="21"/>
                      <w:szCs w:val="21"/>
                    </w:rPr>
                  </w:pP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油气回收装置</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15</w:t>
                  </w:r>
                </w:p>
              </w:tc>
              <w:tc>
                <w:tcPr>
                  <w:tcW w:w="430"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lang w:val="en-US" w:eastAsia="zh-CN"/>
                    </w:rPr>
                    <w:t>38.56</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《油气回收处理设施技术标准》GB/T50759-2022</w:t>
                  </w:r>
                </w:p>
                <w:p>
                  <w:pPr>
                    <w:overflowPunct w:val="0"/>
                    <w:spacing w:before="0"/>
                    <w:ind w:firstLine="0" w:firstLineChars="0"/>
                    <w:jc w:val="center"/>
                    <w:rPr>
                      <w:color w:val="auto"/>
                      <w:kern w:val="0"/>
                      <w:sz w:val="21"/>
                      <w:szCs w:val="21"/>
                    </w:rPr>
                  </w:pPr>
                  <w:r>
                    <w:rPr>
                      <w:color w:val="auto"/>
                      <w:kern w:val="0"/>
                      <w:sz w:val="21"/>
                      <w:szCs w:val="21"/>
                    </w:rPr>
                    <w:t>4.0.12注4</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vMerge w:val="continue"/>
                  <w:noWrap w:val="0"/>
                  <w:vAlign w:val="center"/>
                </w:tcPr>
                <w:p>
                  <w:pPr>
                    <w:overflowPunct w:val="0"/>
                    <w:spacing w:before="0"/>
                    <w:ind w:firstLine="0" w:firstLineChars="0"/>
                    <w:jc w:val="center"/>
                    <w:rPr>
                      <w:color w:val="auto"/>
                      <w:kern w:val="0"/>
                      <w:sz w:val="21"/>
                      <w:szCs w:val="21"/>
                    </w:rPr>
                  </w:pP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装车泵区</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15</w:t>
                  </w:r>
                </w:p>
              </w:tc>
              <w:tc>
                <w:tcPr>
                  <w:tcW w:w="430"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lang w:val="en-US" w:eastAsia="zh-CN"/>
                    </w:rPr>
                    <w:t>47.09</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1#罐组</w:t>
                  </w:r>
                </w:p>
                <w:p>
                  <w:pPr>
                    <w:overflowPunct w:val="0"/>
                    <w:spacing w:before="0"/>
                    <w:ind w:firstLine="0" w:firstLineChars="0"/>
                    <w:jc w:val="center"/>
                    <w:rPr>
                      <w:rFonts w:hint="default"/>
                      <w:color w:val="auto"/>
                      <w:kern w:val="0"/>
                      <w:sz w:val="21"/>
                      <w:szCs w:val="21"/>
                      <w:lang w:val="en-US"/>
                    </w:rPr>
                  </w:pPr>
                </w:p>
              </w:tc>
              <w:tc>
                <w:tcPr>
                  <w:tcW w:w="286"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eastAsia="宋体"/>
                      <w:color w:val="auto"/>
                      <w:kern w:val="0"/>
                      <w:sz w:val="21"/>
                      <w:szCs w:val="21"/>
                      <w:highlight w:val="none"/>
                      <w:lang w:val="en-US" w:eastAsia="zh-CN"/>
                    </w:rPr>
                    <w:t>东</w:t>
                  </w:r>
                </w:p>
              </w:tc>
              <w:tc>
                <w:tcPr>
                  <w:tcW w:w="842" w:type="pct"/>
                  <w:noWrap w:val="0"/>
                  <w:vAlign w:val="center"/>
                </w:tcPr>
                <w:p>
                  <w:pPr>
                    <w:overflowPunct w:val="0"/>
                    <w:spacing w:before="0"/>
                    <w:ind w:firstLine="0" w:firstLineChars="0"/>
                    <w:jc w:val="center"/>
                    <w:rPr>
                      <w:color w:val="auto"/>
                      <w:kern w:val="0"/>
                      <w:sz w:val="21"/>
                      <w:szCs w:val="21"/>
                      <w:highlight w:val="none"/>
                      <w:lang w:val="en-US" w:eastAsia="zh-CN" w:bidi="ar-SA"/>
                    </w:rPr>
                  </w:pPr>
                  <w:r>
                    <w:rPr>
                      <w:color w:val="auto"/>
                      <w:kern w:val="0"/>
                      <w:sz w:val="21"/>
                      <w:szCs w:val="21"/>
                      <w:highlight w:val="none"/>
                    </w:rPr>
                    <w:t>装车泵区</w:t>
                  </w:r>
                </w:p>
              </w:tc>
              <w:tc>
                <w:tcPr>
                  <w:tcW w:w="421" w:type="pct"/>
                  <w:noWrap w:val="0"/>
                  <w:vAlign w:val="center"/>
                </w:tcPr>
                <w:p>
                  <w:pPr>
                    <w:overflowPunct w:val="0"/>
                    <w:spacing w:before="0"/>
                    <w:ind w:firstLine="0" w:firstLineChars="0"/>
                    <w:jc w:val="center"/>
                    <w:rPr>
                      <w:rFonts w:hint="default"/>
                      <w:color w:val="auto"/>
                      <w:kern w:val="0"/>
                      <w:sz w:val="21"/>
                      <w:szCs w:val="21"/>
                      <w:highlight w:val="red"/>
                      <w:lang w:val="en-US" w:eastAsia="zh-CN" w:bidi="ar-SA"/>
                    </w:rPr>
                  </w:pPr>
                  <w:r>
                    <w:rPr>
                      <w:rFonts w:hint="eastAsia"/>
                      <w:color w:val="auto"/>
                      <w:kern w:val="0"/>
                      <w:sz w:val="21"/>
                      <w:szCs w:val="21"/>
                      <w:highlight w:val="none"/>
                      <w:lang w:val="en-US" w:eastAsia="zh-CN"/>
                    </w:rPr>
                    <w:t>11</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red"/>
                      <w:lang w:val="en-US" w:eastAsia="zh-CN" w:bidi="ar-SA"/>
                    </w:rPr>
                  </w:pPr>
                  <w:r>
                    <w:rPr>
                      <w:rFonts w:hint="eastAsia"/>
                      <w:color w:val="auto"/>
                      <w:kern w:val="0"/>
                      <w:sz w:val="21"/>
                      <w:szCs w:val="21"/>
                      <w:highlight w:val="none"/>
                      <w:lang w:val="en-US" w:eastAsia="zh-CN"/>
                    </w:rPr>
                    <w:t>52.3</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highlight w:val="red"/>
                      <w:lang w:val="en-US" w:eastAsia="zh-CN" w:bidi="ar-SA"/>
                    </w:rPr>
                  </w:pPr>
                  <w:r>
                    <w:rPr>
                      <w:rFonts w:hint="eastAsia"/>
                      <w:color w:val="auto"/>
                      <w:kern w:val="0"/>
                      <w:sz w:val="21"/>
                      <w:szCs w:val="21"/>
                      <w:lang w:val="en-US" w:eastAsia="zh-CN"/>
                    </w:rPr>
                    <w:t>第</w:t>
                  </w:r>
                  <w:r>
                    <w:rPr>
                      <w:rFonts w:hint="eastAsia"/>
                      <w:color w:val="auto"/>
                      <w:kern w:val="0"/>
                      <w:sz w:val="21"/>
                      <w:szCs w:val="21"/>
                    </w:rPr>
                    <w:t xml:space="preserve"> </w:t>
                  </w:r>
                  <w:r>
                    <w:rPr>
                      <w:rFonts w:hint="eastAsia"/>
                      <w:color w:val="auto"/>
                      <w:kern w:val="0"/>
                      <w:sz w:val="21"/>
                      <w:szCs w:val="21"/>
                      <w:lang w:val="en-US" w:eastAsia="zh-CN"/>
                    </w:rPr>
                    <w:t>5.1.14.3条</w:t>
                  </w:r>
                </w:p>
              </w:tc>
              <w:tc>
                <w:tcPr>
                  <w:tcW w:w="356" w:type="pct"/>
                  <w:noWrap w:val="0"/>
                  <w:vAlign w:val="center"/>
                </w:tcPr>
                <w:p>
                  <w:pPr>
                    <w:overflowPunct w:val="0"/>
                    <w:spacing w:before="0"/>
                    <w:ind w:firstLine="0" w:firstLineChars="0"/>
                    <w:jc w:val="center"/>
                    <w:rPr>
                      <w:color w:val="auto"/>
                      <w:kern w:val="0"/>
                      <w:sz w:val="21"/>
                      <w:szCs w:val="21"/>
                      <w:lang w:val="en-US" w:eastAsia="zh-CN" w:bidi="ar-SA"/>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西</w:t>
                  </w:r>
                </w:p>
              </w:tc>
              <w:tc>
                <w:tcPr>
                  <w:tcW w:w="842" w:type="pct"/>
                  <w:noWrap w:val="0"/>
                  <w:vAlign w:val="center"/>
                </w:tcPr>
                <w:p>
                  <w:pPr>
                    <w:overflowPunct w:val="0"/>
                    <w:spacing w:before="0"/>
                    <w:ind w:firstLine="0" w:firstLineChars="0"/>
                    <w:jc w:val="center"/>
                    <w:rPr>
                      <w:rFonts w:hint="default" w:eastAsia="宋体"/>
                      <w:color w:val="auto"/>
                      <w:kern w:val="0"/>
                      <w:sz w:val="21"/>
                      <w:szCs w:val="21"/>
                      <w:lang w:val="en-US" w:eastAsia="zh-CN" w:bidi="ar-SA"/>
                    </w:rPr>
                  </w:pPr>
                  <w:r>
                    <w:rPr>
                      <w:rFonts w:hint="eastAsia"/>
                      <w:color w:val="auto"/>
                      <w:kern w:val="0"/>
                      <w:sz w:val="21"/>
                      <w:szCs w:val="21"/>
                      <w:lang w:val="en-US" w:eastAsia="zh-CN"/>
                    </w:rPr>
                    <w:t>装卸车鹤管</w:t>
                  </w:r>
                </w:p>
              </w:tc>
              <w:tc>
                <w:tcPr>
                  <w:tcW w:w="421" w:type="pct"/>
                  <w:noWrap w:val="0"/>
                  <w:vAlign w:val="center"/>
                </w:tcPr>
                <w:p>
                  <w:pPr>
                    <w:overflowPunct w:val="0"/>
                    <w:spacing w:before="0"/>
                    <w:ind w:firstLine="0" w:firstLineChars="0"/>
                    <w:jc w:val="center"/>
                    <w:rPr>
                      <w:color w:val="auto"/>
                      <w:kern w:val="0"/>
                      <w:sz w:val="21"/>
                      <w:szCs w:val="21"/>
                      <w:lang w:val="en-US" w:eastAsia="zh-CN" w:bidi="ar-SA"/>
                    </w:rPr>
                  </w:pPr>
                  <w:r>
                    <w:rPr>
                      <w:color w:val="auto"/>
                      <w:kern w:val="0"/>
                      <w:sz w:val="21"/>
                      <w:szCs w:val="21"/>
                    </w:rPr>
                    <w:t>15</w:t>
                  </w:r>
                </w:p>
              </w:tc>
              <w:tc>
                <w:tcPr>
                  <w:tcW w:w="430" w:type="pct"/>
                  <w:noWrap w:val="0"/>
                  <w:vAlign w:val="center"/>
                </w:tcPr>
                <w:p>
                  <w:pPr>
                    <w:overflowPunct w:val="0"/>
                    <w:spacing w:before="0"/>
                    <w:ind w:firstLine="0" w:firstLineChars="0"/>
                    <w:jc w:val="center"/>
                    <w:rPr>
                      <w:rFonts w:hint="eastAsia" w:eastAsia="宋体"/>
                      <w:color w:val="auto"/>
                      <w:kern w:val="0"/>
                      <w:sz w:val="21"/>
                      <w:szCs w:val="21"/>
                      <w:lang w:val="en-US" w:eastAsia="zh-CN" w:bidi="ar-SA"/>
                    </w:rPr>
                  </w:pPr>
                  <w:r>
                    <w:rPr>
                      <w:color w:val="auto"/>
                      <w:kern w:val="0"/>
                      <w:sz w:val="21"/>
                      <w:szCs w:val="21"/>
                    </w:rPr>
                    <w:t>63.</w:t>
                  </w:r>
                  <w:r>
                    <w:rPr>
                      <w:rFonts w:hint="eastAsia"/>
                      <w:color w:val="auto"/>
                      <w:kern w:val="0"/>
                      <w:sz w:val="21"/>
                      <w:szCs w:val="21"/>
                      <w:lang w:val="en-US" w:eastAsia="zh-CN"/>
                    </w:rPr>
                    <w:t>4</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lang w:val="en-US" w:eastAsia="zh-CN" w:bidi="ar-SA"/>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lang w:val="en-US" w:eastAsia="zh-CN" w:bidi="ar-SA"/>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eastAsia="宋体"/>
                      <w:color w:val="auto"/>
                      <w:kern w:val="0"/>
                      <w:sz w:val="21"/>
                      <w:szCs w:val="21"/>
                      <w:lang w:val="en-US" w:eastAsia="zh-CN"/>
                    </w:rPr>
                  </w:pPr>
                </w:p>
              </w:tc>
              <w:tc>
                <w:tcPr>
                  <w:tcW w:w="286" w:type="pct"/>
                  <w:vMerge w:val="restar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南</w:t>
                  </w:r>
                </w:p>
              </w:tc>
              <w:tc>
                <w:tcPr>
                  <w:tcW w:w="842" w:type="pct"/>
                  <w:noWrap w:val="0"/>
                  <w:vAlign w:val="center"/>
                </w:tcPr>
                <w:p>
                  <w:pPr>
                    <w:overflowPunct w:val="0"/>
                    <w:spacing w:before="0"/>
                    <w:ind w:firstLine="0" w:firstLineChars="0"/>
                    <w:jc w:val="center"/>
                    <w:rPr>
                      <w:rFonts w:hint="eastAsia"/>
                      <w:color w:val="auto"/>
                      <w:kern w:val="0"/>
                      <w:sz w:val="21"/>
                      <w:szCs w:val="21"/>
                      <w:highlight w:val="yellow"/>
                      <w:lang w:val="en-US" w:eastAsia="zh-CN" w:bidi="ar-SA"/>
                    </w:rPr>
                  </w:pPr>
                  <w:r>
                    <w:rPr>
                      <w:color w:val="auto"/>
                      <w:kern w:val="0"/>
                      <w:sz w:val="21"/>
                      <w:szCs w:val="21"/>
                    </w:rPr>
                    <w:t>油气回收装置</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yellow"/>
                      <w:lang w:val="en-US" w:eastAsia="zh-CN" w:bidi="ar-SA"/>
                    </w:rPr>
                  </w:pPr>
                  <w:r>
                    <w:rPr>
                      <w:rFonts w:hint="eastAsia"/>
                      <w:color w:val="auto"/>
                      <w:kern w:val="0"/>
                      <w:sz w:val="21"/>
                      <w:szCs w:val="21"/>
                      <w:lang w:val="en-US" w:eastAsia="zh-CN"/>
                    </w:rPr>
                    <w:t>11</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yellow"/>
                      <w:lang w:val="en-US" w:eastAsia="zh-CN" w:bidi="ar-SA"/>
                    </w:rPr>
                  </w:pPr>
                  <w:r>
                    <w:rPr>
                      <w:rFonts w:hint="eastAsia"/>
                      <w:color w:val="auto"/>
                      <w:kern w:val="0"/>
                      <w:sz w:val="21"/>
                      <w:szCs w:val="21"/>
                      <w:lang w:val="en-US" w:eastAsia="zh-CN"/>
                    </w:rPr>
                    <w:t>13.81</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《油气回收处理设施技术标准》GB/T50759-2022</w:t>
                  </w:r>
                </w:p>
                <w:p>
                  <w:pPr>
                    <w:overflowPunct w:val="0"/>
                    <w:spacing w:before="0"/>
                    <w:ind w:firstLine="0" w:firstLineChars="0"/>
                    <w:jc w:val="center"/>
                    <w:rPr>
                      <w:color w:val="auto"/>
                      <w:kern w:val="0"/>
                      <w:sz w:val="21"/>
                      <w:szCs w:val="21"/>
                      <w:highlight w:val="yellow"/>
                      <w:lang w:val="en-US" w:eastAsia="zh-CN" w:bidi="ar-SA"/>
                    </w:rPr>
                  </w:pPr>
                  <w:r>
                    <w:rPr>
                      <w:color w:val="auto"/>
                      <w:kern w:val="0"/>
                      <w:sz w:val="21"/>
                      <w:szCs w:val="21"/>
                    </w:rPr>
                    <w:t>4.0.12注4</w:t>
                  </w:r>
                </w:p>
              </w:tc>
              <w:tc>
                <w:tcPr>
                  <w:tcW w:w="356" w:type="pct"/>
                  <w:noWrap w:val="0"/>
                  <w:vAlign w:val="center"/>
                </w:tcPr>
                <w:p>
                  <w:pPr>
                    <w:overflowPunct w:val="0"/>
                    <w:spacing w:before="0"/>
                    <w:ind w:firstLine="0" w:firstLineChars="0"/>
                    <w:jc w:val="center"/>
                    <w:rPr>
                      <w:color w:val="auto"/>
                      <w:kern w:val="0"/>
                      <w:sz w:val="21"/>
                      <w:szCs w:val="21"/>
                      <w:highlight w:val="yellow"/>
                      <w:lang w:val="en-US" w:eastAsia="zh-CN" w:bidi="ar-SA"/>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rPr>
                  </w:pPr>
                </w:p>
              </w:tc>
              <w:tc>
                <w:tcPr>
                  <w:tcW w:w="286" w:type="pct"/>
                  <w:vMerge w:val="continue"/>
                  <w:noWrap w:val="0"/>
                  <w:vAlign w:val="center"/>
                </w:tcPr>
                <w:p>
                  <w:pPr>
                    <w:overflowPunct w:val="0"/>
                    <w:spacing w:before="0"/>
                    <w:ind w:firstLine="0" w:firstLineChars="0"/>
                    <w:jc w:val="center"/>
                    <w:rPr>
                      <w:rFonts w:hint="eastAsia"/>
                      <w:color w:val="auto"/>
                      <w:kern w:val="0"/>
                      <w:sz w:val="21"/>
                      <w:szCs w:val="21"/>
                      <w:lang w:val="en-US" w:eastAsia="zh-CN"/>
                    </w:rPr>
                  </w:pP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highlight w:val="none"/>
                    </w:rPr>
                    <w:t>装车泵区</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11</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18.16</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rFonts w:hint="eastAsia"/>
                      <w:color w:val="auto"/>
                      <w:kern w:val="0"/>
                      <w:sz w:val="21"/>
                      <w:szCs w:val="21"/>
                      <w:lang w:val="en-US" w:eastAsia="zh-CN"/>
                    </w:rPr>
                    <w:t>第</w:t>
                  </w:r>
                  <w:r>
                    <w:rPr>
                      <w:rFonts w:hint="eastAsia"/>
                      <w:color w:val="auto"/>
                      <w:kern w:val="0"/>
                      <w:sz w:val="21"/>
                      <w:szCs w:val="21"/>
                    </w:rPr>
                    <w:t xml:space="preserve"> </w:t>
                  </w:r>
                  <w:r>
                    <w:rPr>
                      <w:rFonts w:hint="eastAsia"/>
                      <w:color w:val="auto"/>
                      <w:kern w:val="0"/>
                      <w:sz w:val="21"/>
                      <w:szCs w:val="21"/>
                      <w:lang w:val="en-US" w:eastAsia="zh-CN"/>
                    </w:rPr>
                    <w:t>5.1.14.3条</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rPr>
                  </w:pPr>
                </w:p>
              </w:tc>
              <w:tc>
                <w:tcPr>
                  <w:tcW w:w="286" w:type="pct"/>
                  <w:vMerge w:val="continue"/>
                  <w:noWrap w:val="0"/>
                  <w:vAlign w:val="center"/>
                </w:tcPr>
                <w:p>
                  <w:pPr>
                    <w:overflowPunct w:val="0"/>
                    <w:spacing w:before="0"/>
                    <w:ind w:firstLine="0" w:firstLineChars="0"/>
                    <w:jc w:val="center"/>
                    <w:rPr>
                      <w:rFonts w:hint="eastAsia"/>
                      <w:color w:val="auto"/>
                      <w:kern w:val="0"/>
                      <w:sz w:val="21"/>
                      <w:szCs w:val="21"/>
                      <w:lang w:val="en-US" w:eastAsia="zh-CN"/>
                    </w:rPr>
                  </w:pP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highlight w:val="none"/>
                    </w:rPr>
                    <w:t>装车泵区</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11</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15.90</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rFonts w:hint="eastAsia"/>
                      <w:color w:val="auto"/>
                      <w:kern w:val="0"/>
                      <w:sz w:val="21"/>
                      <w:szCs w:val="21"/>
                      <w:lang w:val="en-US" w:eastAsia="zh-CN"/>
                    </w:rPr>
                    <w:t>第</w:t>
                  </w:r>
                  <w:r>
                    <w:rPr>
                      <w:rFonts w:hint="eastAsia"/>
                      <w:color w:val="auto"/>
                      <w:kern w:val="0"/>
                      <w:sz w:val="21"/>
                      <w:szCs w:val="21"/>
                    </w:rPr>
                    <w:t xml:space="preserve"> </w:t>
                  </w:r>
                  <w:r>
                    <w:rPr>
                      <w:rFonts w:hint="eastAsia"/>
                      <w:color w:val="auto"/>
                      <w:kern w:val="0"/>
                      <w:sz w:val="21"/>
                      <w:szCs w:val="21"/>
                      <w:lang w:val="en-US" w:eastAsia="zh-CN"/>
                    </w:rPr>
                    <w:t>5.1.14.3条</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rPr>
                  </w:pPr>
                </w:p>
              </w:tc>
              <w:tc>
                <w:tcPr>
                  <w:tcW w:w="286" w:type="pct"/>
                  <w:vMerge w:val="continue"/>
                  <w:noWrap w:val="0"/>
                  <w:vAlign w:val="center"/>
                </w:tcPr>
                <w:p>
                  <w:pPr>
                    <w:overflowPunct w:val="0"/>
                    <w:spacing w:before="0"/>
                    <w:ind w:firstLine="0" w:firstLineChars="0"/>
                    <w:jc w:val="center"/>
                    <w:rPr>
                      <w:rFonts w:hint="eastAsia"/>
                      <w:color w:val="auto"/>
                      <w:kern w:val="0"/>
                      <w:sz w:val="21"/>
                      <w:szCs w:val="21"/>
                      <w:lang w:val="en-US" w:eastAsia="zh-CN"/>
                    </w:rPr>
                  </w:pPr>
                </w:p>
              </w:tc>
              <w:tc>
                <w:tcPr>
                  <w:tcW w:w="842"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lang w:val="en-US" w:eastAsia="zh-CN"/>
                    </w:rPr>
                    <w:t>4</w:t>
                  </w:r>
                  <w:r>
                    <w:rPr>
                      <w:color w:val="auto"/>
                      <w:kern w:val="0"/>
                      <w:sz w:val="21"/>
                      <w:szCs w:val="21"/>
                    </w:rPr>
                    <w:t>#罐组</w:t>
                  </w:r>
                </w:p>
              </w:tc>
              <w:tc>
                <w:tcPr>
                  <w:tcW w:w="421"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30</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45.10</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5.1.7注3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default"/>
                      <w:color w:val="auto"/>
                      <w:kern w:val="0"/>
                      <w:sz w:val="21"/>
                      <w:szCs w:val="21"/>
                      <w:lang w:val="en-US"/>
                    </w:rPr>
                  </w:pPr>
                </w:p>
              </w:tc>
              <w:tc>
                <w:tcPr>
                  <w:tcW w:w="286" w:type="pct"/>
                  <w:vMerge w:val="continue"/>
                  <w:noWrap w:val="0"/>
                  <w:vAlign w:val="center"/>
                </w:tcPr>
                <w:p>
                  <w:pPr>
                    <w:overflowPunct w:val="0"/>
                    <w:spacing w:before="0"/>
                    <w:ind w:firstLine="0" w:firstLineChars="0"/>
                    <w:jc w:val="center"/>
                    <w:rPr>
                      <w:rFonts w:hint="default"/>
                      <w:color w:val="auto"/>
                      <w:kern w:val="0"/>
                      <w:sz w:val="21"/>
                      <w:szCs w:val="21"/>
                      <w:lang w:val="en-US" w:eastAsia="zh-CN"/>
                    </w:rPr>
                  </w:pPr>
                </w:p>
              </w:tc>
              <w:tc>
                <w:tcPr>
                  <w:tcW w:w="842" w:type="pct"/>
                  <w:noWrap w:val="0"/>
                  <w:vAlign w:val="center"/>
                </w:tcPr>
                <w:p>
                  <w:pPr>
                    <w:overflowPunct w:val="0"/>
                    <w:spacing w:before="0"/>
                    <w:ind w:firstLine="0" w:firstLineChars="0"/>
                    <w:jc w:val="center"/>
                    <w:rPr>
                      <w:rFonts w:hint="default"/>
                      <w:color w:val="auto"/>
                      <w:kern w:val="0"/>
                      <w:sz w:val="21"/>
                      <w:szCs w:val="21"/>
                      <w:lang w:val="en-US"/>
                    </w:rPr>
                  </w:pPr>
                  <w:r>
                    <w:rPr>
                      <w:color w:val="auto"/>
                      <w:kern w:val="0"/>
                      <w:sz w:val="21"/>
                      <w:szCs w:val="21"/>
                      <w:highlight w:val="none"/>
                    </w:rPr>
                    <w:t>装车泵区</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11</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52.3</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第</w:t>
                  </w:r>
                  <w:r>
                    <w:rPr>
                      <w:rFonts w:hint="eastAsia"/>
                      <w:color w:val="auto"/>
                      <w:kern w:val="0"/>
                      <w:sz w:val="21"/>
                      <w:szCs w:val="21"/>
                    </w:rPr>
                    <w:t xml:space="preserve"> </w:t>
                  </w:r>
                  <w:r>
                    <w:rPr>
                      <w:rFonts w:hint="eastAsia"/>
                      <w:color w:val="auto"/>
                      <w:kern w:val="0"/>
                      <w:sz w:val="21"/>
                      <w:szCs w:val="21"/>
                      <w:lang w:val="en-US" w:eastAsia="zh-CN"/>
                    </w:rPr>
                    <w:t>5.1.14.3条</w:t>
                  </w:r>
                </w:p>
              </w:tc>
              <w:tc>
                <w:tcPr>
                  <w:tcW w:w="356" w:type="pct"/>
                  <w:noWrap w:val="0"/>
                  <w:vAlign w:val="center"/>
                </w:tcPr>
                <w:p>
                  <w:pPr>
                    <w:overflowPunct w:val="0"/>
                    <w:spacing w:before="0"/>
                    <w:ind w:firstLine="0" w:firstLineChars="0"/>
                    <w:jc w:val="center"/>
                    <w:rPr>
                      <w:rFonts w:hint="default"/>
                      <w:color w:val="auto"/>
                      <w:kern w:val="0"/>
                      <w:sz w:val="21"/>
                      <w:szCs w:val="21"/>
                      <w:lang w:val="en-US"/>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北</w:t>
                  </w:r>
                </w:p>
              </w:tc>
              <w:tc>
                <w:tcPr>
                  <w:tcW w:w="842"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default"/>
                      <w:color w:val="auto"/>
                      <w:kern w:val="0"/>
                      <w:sz w:val="21"/>
                      <w:szCs w:val="21"/>
                      <w:lang w:val="en-US" w:eastAsia="zh-CN"/>
                    </w:rPr>
                    <w:t>消防车道</w:t>
                  </w:r>
                </w:p>
              </w:tc>
              <w:tc>
                <w:tcPr>
                  <w:tcW w:w="421" w:type="pct"/>
                  <w:noWrap w:val="0"/>
                  <w:vAlign w:val="center"/>
                </w:tcPr>
                <w:p>
                  <w:pPr>
                    <w:overflowPunct w:val="0"/>
                    <w:spacing w:before="0"/>
                    <w:ind w:firstLine="0" w:firstLineChars="0"/>
                    <w:jc w:val="center"/>
                    <w:rPr>
                      <w:rFonts w:hint="eastAsia" w:eastAsia="宋体"/>
                      <w:color w:val="auto"/>
                      <w:kern w:val="0"/>
                      <w:sz w:val="21"/>
                      <w:szCs w:val="21"/>
                      <w:lang w:val="en-US" w:eastAsia="zh-CN" w:bidi="ar-SA"/>
                    </w:rPr>
                  </w:pPr>
                  <w:r>
                    <w:rPr>
                      <w:rFonts w:hint="eastAsia"/>
                      <w:color w:val="auto"/>
                      <w:kern w:val="0"/>
                      <w:sz w:val="21"/>
                      <w:szCs w:val="21"/>
                      <w:lang w:val="en-US" w:eastAsia="zh-CN"/>
                    </w:rPr>
                    <w:t>3</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bidi="ar-SA"/>
                    </w:rPr>
                  </w:pPr>
                  <w:r>
                    <w:rPr>
                      <w:rFonts w:hint="eastAsia"/>
                      <w:color w:val="auto"/>
                      <w:kern w:val="0"/>
                      <w:sz w:val="21"/>
                      <w:szCs w:val="21"/>
                      <w:lang w:val="en-US" w:eastAsia="zh-CN"/>
                    </w:rPr>
                    <w:t>5</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rFonts w:hint="eastAsia" w:eastAsia="宋体"/>
                      <w:color w:val="auto"/>
                      <w:kern w:val="0"/>
                      <w:sz w:val="21"/>
                      <w:szCs w:val="21"/>
                      <w:lang w:val="en-US" w:eastAsia="zh-CN" w:bidi="ar-SA"/>
                    </w:rPr>
                  </w:pPr>
                  <w:r>
                    <w:rPr>
                      <w:rFonts w:hint="eastAsia"/>
                      <w:color w:val="auto"/>
                      <w:kern w:val="0"/>
                      <w:sz w:val="21"/>
                      <w:szCs w:val="21"/>
                      <w:lang w:val="en-US" w:eastAsia="zh-CN"/>
                    </w:rPr>
                    <w:t>第</w:t>
                  </w:r>
                  <w:r>
                    <w:rPr>
                      <w:rFonts w:hint="eastAsia"/>
                      <w:color w:val="auto"/>
                      <w:kern w:val="0"/>
                      <w:sz w:val="21"/>
                      <w:szCs w:val="21"/>
                    </w:rPr>
                    <w:t xml:space="preserve">5.2.7 </w:t>
                  </w:r>
                  <w:r>
                    <w:rPr>
                      <w:rFonts w:hint="eastAsia"/>
                      <w:color w:val="auto"/>
                      <w:kern w:val="0"/>
                      <w:sz w:val="21"/>
                      <w:szCs w:val="21"/>
                      <w:lang w:val="en-US" w:eastAsia="zh-CN"/>
                    </w:rPr>
                    <w:t>条</w:t>
                  </w:r>
                </w:p>
              </w:tc>
              <w:tc>
                <w:tcPr>
                  <w:tcW w:w="356" w:type="pct"/>
                  <w:noWrap w:val="0"/>
                  <w:vAlign w:val="center"/>
                </w:tcPr>
                <w:p>
                  <w:pPr>
                    <w:overflowPunct w:val="0"/>
                    <w:spacing w:before="0"/>
                    <w:ind w:firstLine="0" w:firstLineChars="0"/>
                    <w:jc w:val="center"/>
                    <w:rPr>
                      <w:color w:val="auto"/>
                      <w:kern w:val="0"/>
                      <w:sz w:val="21"/>
                      <w:szCs w:val="21"/>
                      <w:lang w:val="en-US" w:eastAsia="zh-CN" w:bidi="ar-SA"/>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color w:val="auto"/>
                      <w:kern w:val="0"/>
                      <w:sz w:val="21"/>
                      <w:szCs w:val="21"/>
                    </w:rPr>
                  </w:pPr>
                  <w:r>
                    <w:rPr>
                      <w:color w:val="auto"/>
                      <w:kern w:val="0"/>
                      <w:sz w:val="21"/>
                      <w:szCs w:val="21"/>
                    </w:rPr>
                    <w:t>2#罐组</w:t>
                  </w:r>
                </w:p>
              </w:tc>
              <w:tc>
                <w:tcPr>
                  <w:tcW w:w="286" w:type="pct"/>
                  <w:vMerge w:val="restart"/>
                  <w:noWrap w:val="0"/>
                  <w:vAlign w:val="center"/>
                </w:tcPr>
                <w:p>
                  <w:pPr>
                    <w:overflowPunct w:val="0"/>
                    <w:spacing w:before="0"/>
                    <w:ind w:firstLine="0" w:firstLineChars="0"/>
                    <w:jc w:val="center"/>
                    <w:rPr>
                      <w:rFonts w:hint="eastAsia" w:eastAsia="宋体"/>
                      <w:color w:val="auto"/>
                      <w:kern w:val="0"/>
                      <w:sz w:val="21"/>
                      <w:szCs w:val="21"/>
                      <w:lang w:eastAsia="zh-CN"/>
                    </w:rPr>
                  </w:pPr>
                  <w:r>
                    <w:rPr>
                      <w:rFonts w:hint="eastAsia"/>
                      <w:color w:val="auto"/>
                      <w:kern w:val="0"/>
                      <w:sz w:val="21"/>
                      <w:szCs w:val="21"/>
                      <w:lang w:val="en-US" w:eastAsia="zh-CN"/>
                    </w:rPr>
                    <w:t>南</w:t>
                  </w:r>
                </w:p>
              </w:tc>
              <w:tc>
                <w:tcPr>
                  <w:tcW w:w="842" w:type="pct"/>
                  <w:noWrap w:val="0"/>
                  <w:vAlign w:val="center"/>
                </w:tcPr>
                <w:p>
                  <w:pPr>
                    <w:overflowPunct w:val="0"/>
                    <w:spacing w:before="0"/>
                    <w:ind w:firstLine="0" w:firstLineChars="0"/>
                    <w:jc w:val="center"/>
                    <w:rPr>
                      <w:color w:val="auto"/>
                      <w:kern w:val="0"/>
                      <w:sz w:val="21"/>
                      <w:szCs w:val="21"/>
                      <w:highlight w:val="yellow"/>
                    </w:rPr>
                  </w:pPr>
                  <w:r>
                    <w:rPr>
                      <w:color w:val="auto"/>
                      <w:kern w:val="0"/>
                      <w:sz w:val="21"/>
                      <w:szCs w:val="21"/>
                    </w:rPr>
                    <w:t>装车泵区</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yellow"/>
                      <w:lang w:val="en-US" w:eastAsia="zh-CN"/>
                    </w:rPr>
                  </w:pPr>
                  <w:r>
                    <w:rPr>
                      <w:rFonts w:hint="eastAsia"/>
                      <w:color w:val="auto"/>
                      <w:kern w:val="0"/>
                      <w:sz w:val="21"/>
                      <w:szCs w:val="21"/>
                      <w:lang w:val="en-US" w:eastAsia="zh-CN"/>
                    </w:rPr>
                    <w:t>11</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yellow"/>
                      <w:lang w:val="en-US" w:eastAsia="zh-CN"/>
                    </w:rPr>
                  </w:pPr>
                  <w:r>
                    <w:rPr>
                      <w:rFonts w:hint="eastAsia"/>
                      <w:color w:val="auto"/>
                      <w:kern w:val="0"/>
                      <w:sz w:val="21"/>
                      <w:szCs w:val="21"/>
                      <w:lang w:val="en-US" w:eastAsia="zh-CN"/>
                    </w:rPr>
                    <w:t>16.38</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highlight w:val="yellow"/>
                    </w:rPr>
                  </w:pPr>
                  <w:r>
                    <w:rPr>
                      <w:rFonts w:hint="eastAsia"/>
                      <w:color w:val="auto"/>
                      <w:kern w:val="0"/>
                      <w:sz w:val="21"/>
                      <w:szCs w:val="21"/>
                      <w:lang w:val="en-US" w:eastAsia="zh-CN"/>
                    </w:rPr>
                    <w:t>第</w:t>
                  </w:r>
                  <w:r>
                    <w:rPr>
                      <w:rFonts w:hint="eastAsia"/>
                      <w:color w:val="auto"/>
                      <w:kern w:val="0"/>
                      <w:sz w:val="21"/>
                      <w:szCs w:val="21"/>
                    </w:rPr>
                    <w:t xml:space="preserve"> </w:t>
                  </w:r>
                  <w:r>
                    <w:rPr>
                      <w:rFonts w:hint="eastAsia"/>
                      <w:color w:val="auto"/>
                      <w:kern w:val="0"/>
                      <w:sz w:val="21"/>
                      <w:szCs w:val="21"/>
                      <w:lang w:val="en-US" w:eastAsia="zh-CN"/>
                    </w:rPr>
                    <w:t>5.1.14.3条</w:t>
                  </w:r>
                </w:p>
              </w:tc>
              <w:tc>
                <w:tcPr>
                  <w:tcW w:w="356" w:type="pct"/>
                  <w:noWrap w:val="0"/>
                  <w:vAlign w:val="center"/>
                </w:tcPr>
                <w:p>
                  <w:pPr>
                    <w:overflowPunct w:val="0"/>
                    <w:spacing w:before="0"/>
                    <w:ind w:firstLine="0" w:firstLineChars="0"/>
                    <w:jc w:val="center"/>
                    <w:rPr>
                      <w:color w:val="auto"/>
                      <w:kern w:val="0"/>
                      <w:sz w:val="21"/>
                      <w:szCs w:val="21"/>
                      <w:highlight w:val="yellow"/>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rPr>
                  </w:pPr>
                </w:p>
              </w:tc>
              <w:tc>
                <w:tcPr>
                  <w:tcW w:w="286" w:type="pct"/>
                  <w:vMerge w:val="continue"/>
                  <w:noWrap w:val="0"/>
                  <w:vAlign w:val="center"/>
                </w:tcPr>
                <w:p>
                  <w:pPr>
                    <w:overflowPunct w:val="0"/>
                    <w:spacing w:before="0"/>
                    <w:ind w:firstLine="0" w:firstLineChars="0"/>
                    <w:jc w:val="center"/>
                    <w:rPr>
                      <w:rFonts w:hint="eastAsia"/>
                      <w:color w:val="auto"/>
                      <w:kern w:val="0"/>
                      <w:sz w:val="21"/>
                      <w:szCs w:val="21"/>
                      <w:lang w:val="en-US" w:eastAsia="zh-CN"/>
                    </w:rPr>
                  </w:pPr>
                </w:p>
              </w:tc>
              <w:tc>
                <w:tcPr>
                  <w:tcW w:w="842"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lang w:val="en-US" w:eastAsia="zh-CN"/>
                    </w:rPr>
                    <w:t>4</w:t>
                  </w:r>
                  <w:r>
                    <w:rPr>
                      <w:color w:val="auto"/>
                      <w:kern w:val="0"/>
                      <w:sz w:val="21"/>
                      <w:szCs w:val="21"/>
                    </w:rPr>
                    <w:t>#罐组</w:t>
                  </w:r>
                </w:p>
              </w:tc>
              <w:tc>
                <w:tcPr>
                  <w:tcW w:w="421"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30</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44.29</w:t>
                  </w:r>
                </w:p>
              </w:tc>
              <w:tc>
                <w:tcPr>
                  <w:tcW w:w="2268" w:type="pct"/>
                  <w:noWrap w:val="0"/>
                  <w:vAlign w:val="center"/>
                </w:tcPr>
                <w:p>
                  <w:pPr>
                    <w:overflowPunct w:val="0"/>
                    <w:spacing w:before="0"/>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《石油库设计规范》GB50074-2014</w:t>
                  </w:r>
                </w:p>
                <w:p>
                  <w:pPr>
                    <w:overflowPunct w:val="0"/>
                    <w:spacing w:before="0"/>
                    <w:ind w:firstLine="0" w:firstLineChars="0"/>
                    <w:jc w:val="center"/>
                    <w:rPr>
                      <w:rFonts w:hint="eastAsia"/>
                      <w:color w:val="auto"/>
                      <w:kern w:val="0"/>
                      <w:sz w:val="21"/>
                      <w:szCs w:val="21"/>
                      <w:lang w:val="en-US" w:eastAsia="zh-CN"/>
                    </w:rPr>
                  </w:pPr>
                  <w:r>
                    <w:rPr>
                      <w:rFonts w:hint="eastAsia"/>
                      <w:color w:val="auto"/>
                      <w:kern w:val="0"/>
                      <w:sz w:val="21"/>
                      <w:szCs w:val="21"/>
                      <w:lang w:val="en-US" w:eastAsia="zh-CN"/>
                    </w:rPr>
                    <w:t>5.1.7注3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rFonts w:hint="eastAsia" w:eastAsia="宋体"/>
                      <w:color w:val="auto"/>
                      <w:kern w:val="0"/>
                      <w:sz w:val="21"/>
                      <w:szCs w:val="21"/>
                      <w:lang w:val="en-US" w:eastAsia="zh-CN" w:bidi="ar-SA"/>
                    </w:rPr>
                  </w:pPr>
                  <w:r>
                    <w:rPr>
                      <w:rFonts w:hint="eastAsia"/>
                      <w:color w:val="auto"/>
                      <w:kern w:val="0"/>
                      <w:sz w:val="21"/>
                      <w:szCs w:val="21"/>
                      <w:lang w:val="en-US" w:eastAsia="zh-CN"/>
                    </w:rPr>
                    <w:t>北</w:t>
                  </w:r>
                </w:p>
              </w:tc>
              <w:tc>
                <w:tcPr>
                  <w:tcW w:w="842" w:type="pct"/>
                  <w:noWrap w:val="0"/>
                  <w:vAlign w:val="center"/>
                </w:tcPr>
                <w:p>
                  <w:pPr>
                    <w:overflowPunct w:val="0"/>
                    <w:spacing w:before="0"/>
                    <w:ind w:firstLine="0" w:firstLineChars="0"/>
                    <w:jc w:val="center"/>
                    <w:rPr>
                      <w:color w:val="auto"/>
                      <w:kern w:val="0"/>
                      <w:sz w:val="21"/>
                      <w:szCs w:val="21"/>
                      <w:lang w:val="en-US" w:eastAsia="zh-CN" w:bidi="ar-SA"/>
                    </w:rPr>
                  </w:pPr>
                  <w:r>
                    <w:rPr>
                      <w:rFonts w:hint="default"/>
                      <w:color w:val="auto"/>
                      <w:kern w:val="0"/>
                      <w:sz w:val="21"/>
                      <w:szCs w:val="21"/>
                      <w:lang w:val="en-US" w:eastAsia="zh-CN"/>
                    </w:rPr>
                    <w:t>消防车道</w:t>
                  </w:r>
                </w:p>
              </w:tc>
              <w:tc>
                <w:tcPr>
                  <w:tcW w:w="421" w:type="pct"/>
                  <w:noWrap w:val="0"/>
                  <w:vAlign w:val="center"/>
                </w:tcPr>
                <w:p>
                  <w:pPr>
                    <w:overflowPunct w:val="0"/>
                    <w:spacing w:before="0"/>
                    <w:ind w:firstLine="0" w:firstLineChars="0"/>
                    <w:jc w:val="center"/>
                    <w:rPr>
                      <w:color w:val="auto"/>
                      <w:kern w:val="0"/>
                      <w:sz w:val="21"/>
                      <w:szCs w:val="21"/>
                      <w:lang w:val="en-US" w:eastAsia="zh-CN" w:bidi="ar-SA"/>
                    </w:rPr>
                  </w:pPr>
                  <w:r>
                    <w:rPr>
                      <w:rFonts w:hint="eastAsia"/>
                      <w:color w:val="auto"/>
                      <w:kern w:val="0"/>
                      <w:sz w:val="21"/>
                      <w:szCs w:val="21"/>
                      <w:lang w:val="en-US" w:eastAsia="zh-CN"/>
                    </w:rPr>
                    <w:t>3</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bidi="ar-SA"/>
                    </w:rPr>
                  </w:pPr>
                  <w:r>
                    <w:rPr>
                      <w:rFonts w:hint="eastAsia"/>
                      <w:color w:val="auto"/>
                      <w:kern w:val="0"/>
                      <w:sz w:val="21"/>
                      <w:szCs w:val="21"/>
                      <w:lang w:val="en-US" w:eastAsia="zh-CN"/>
                    </w:rPr>
                    <w:t>5</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lang w:val="en-US" w:eastAsia="zh-CN" w:bidi="ar-SA"/>
                    </w:rPr>
                  </w:pPr>
                  <w:r>
                    <w:rPr>
                      <w:rFonts w:hint="eastAsia"/>
                      <w:color w:val="auto"/>
                      <w:kern w:val="0"/>
                      <w:sz w:val="21"/>
                      <w:szCs w:val="21"/>
                      <w:lang w:val="en-US" w:eastAsia="zh-CN"/>
                    </w:rPr>
                    <w:t>第</w:t>
                  </w:r>
                  <w:r>
                    <w:rPr>
                      <w:rFonts w:hint="eastAsia"/>
                      <w:color w:val="auto"/>
                      <w:kern w:val="0"/>
                      <w:sz w:val="21"/>
                      <w:szCs w:val="21"/>
                    </w:rPr>
                    <w:t xml:space="preserve">5.2.7 </w:t>
                  </w:r>
                  <w:r>
                    <w:rPr>
                      <w:rFonts w:hint="eastAsia"/>
                      <w:color w:val="auto"/>
                      <w:kern w:val="0"/>
                      <w:sz w:val="21"/>
                      <w:szCs w:val="21"/>
                      <w:lang w:val="en-US" w:eastAsia="zh-CN"/>
                    </w:rPr>
                    <w:t>条</w:t>
                  </w:r>
                </w:p>
              </w:tc>
              <w:tc>
                <w:tcPr>
                  <w:tcW w:w="356" w:type="pct"/>
                  <w:noWrap w:val="0"/>
                  <w:vAlign w:val="center"/>
                </w:tcPr>
                <w:p>
                  <w:pPr>
                    <w:overflowPunct w:val="0"/>
                    <w:spacing w:before="0"/>
                    <w:ind w:firstLine="0" w:firstLineChars="0"/>
                    <w:jc w:val="center"/>
                    <w:rPr>
                      <w:color w:val="auto"/>
                      <w:kern w:val="0"/>
                      <w:sz w:val="21"/>
                      <w:szCs w:val="21"/>
                      <w:lang w:val="en-US" w:eastAsia="zh-CN" w:bidi="ar-SA"/>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vMerge w:val="restart"/>
                  <w:noWrap w:val="0"/>
                  <w:vAlign w:val="center"/>
                </w:tcPr>
                <w:p>
                  <w:pPr>
                    <w:overflowPunct w:val="0"/>
                    <w:spacing w:before="0"/>
                    <w:ind w:firstLine="0" w:firstLineChars="0"/>
                    <w:jc w:val="center"/>
                    <w:rPr>
                      <w:rFonts w:hint="eastAsia" w:eastAsia="宋体"/>
                      <w:color w:val="auto"/>
                      <w:kern w:val="0"/>
                      <w:sz w:val="21"/>
                      <w:szCs w:val="21"/>
                      <w:lang w:eastAsia="zh-CN"/>
                    </w:rPr>
                  </w:pPr>
                  <w:r>
                    <w:rPr>
                      <w:rFonts w:hint="eastAsia"/>
                      <w:color w:val="auto"/>
                      <w:kern w:val="0"/>
                      <w:sz w:val="21"/>
                      <w:szCs w:val="21"/>
                      <w:lang w:val="en-US" w:eastAsia="zh-CN"/>
                    </w:rPr>
                    <w:t>东</w:t>
                  </w:r>
                </w:p>
              </w:tc>
              <w:tc>
                <w:tcPr>
                  <w:tcW w:w="842"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lang w:val="en-US" w:eastAsia="zh-CN"/>
                    </w:rPr>
                    <w:t>3</w:t>
                  </w:r>
                  <w:r>
                    <w:rPr>
                      <w:color w:val="auto"/>
                      <w:kern w:val="0"/>
                      <w:sz w:val="21"/>
                      <w:szCs w:val="21"/>
                    </w:rPr>
                    <w:t>#罐组</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30</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39.47</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5.1.7注3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eastAsia="宋体"/>
                      <w:color w:val="auto"/>
                      <w:kern w:val="0"/>
                      <w:sz w:val="21"/>
                      <w:szCs w:val="21"/>
                      <w:lang w:val="en-US" w:eastAsia="zh-CN"/>
                    </w:rPr>
                  </w:pPr>
                </w:p>
              </w:tc>
              <w:tc>
                <w:tcPr>
                  <w:tcW w:w="286" w:type="pct"/>
                  <w:vMerge w:val="continue"/>
                  <w:noWrap w:val="0"/>
                  <w:vAlign w:val="center"/>
                </w:tcPr>
                <w:p>
                  <w:pPr>
                    <w:overflowPunct w:val="0"/>
                    <w:spacing w:before="0"/>
                    <w:ind w:firstLine="0" w:firstLineChars="0"/>
                    <w:jc w:val="center"/>
                    <w:rPr>
                      <w:rFonts w:hint="eastAsia"/>
                      <w:color w:val="auto"/>
                      <w:kern w:val="0"/>
                      <w:sz w:val="21"/>
                      <w:szCs w:val="21"/>
                      <w:lang w:val="en-US" w:eastAsia="zh-CN"/>
                    </w:rPr>
                  </w:pP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装车泵区</w:t>
                  </w:r>
                </w:p>
              </w:tc>
              <w:tc>
                <w:tcPr>
                  <w:tcW w:w="421" w:type="pct"/>
                  <w:noWrap w:val="0"/>
                  <w:vAlign w:val="center"/>
                </w:tcPr>
                <w:p>
                  <w:pPr>
                    <w:overflowPunct w:val="0"/>
                    <w:spacing w:before="0"/>
                    <w:ind w:firstLine="0" w:firstLineChars="0"/>
                    <w:jc w:val="center"/>
                    <w:rPr>
                      <w:rFonts w:hint="default"/>
                      <w:color w:val="auto"/>
                      <w:kern w:val="0"/>
                      <w:sz w:val="21"/>
                      <w:szCs w:val="21"/>
                      <w:lang w:val="en-US"/>
                    </w:rPr>
                  </w:pPr>
                  <w:r>
                    <w:rPr>
                      <w:rFonts w:hint="eastAsia"/>
                      <w:color w:val="auto"/>
                      <w:kern w:val="0"/>
                      <w:sz w:val="21"/>
                      <w:szCs w:val="21"/>
                      <w:lang w:val="en-US" w:eastAsia="zh-CN"/>
                    </w:rPr>
                    <w:t>11</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42.3</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rFonts w:hint="eastAsia"/>
                      <w:color w:val="auto"/>
                      <w:kern w:val="0"/>
                      <w:sz w:val="21"/>
                      <w:szCs w:val="21"/>
                      <w:lang w:val="en-US" w:eastAsia="zh-CN"/>
                    </w:rPr>
                    <w:t>第</w:t>
                  </w:r>
                  <w:r>
                    <w:rPr>
                      <w:rFonts w:hint="eastAsia"/>
                      <w:color w:val="auto"/>
                      <w:kern w:val="0"/>
                      <w:sz w:val="21"/>
                      <w:szCs w:val="21"/>
                    </w:rPr>
                    <w:t xml:space="preserve"> </w:t>
                  </w:r>
                  <w:r>
                    <w:rPr>
                      <w:rFonts w:hint="eastAsia"/>
                      <w:color w:val="auto"/>
                      <w:kern w:val="0"/>
                      <w:sz w:val="21"/>
                      <w:szCs w:val="21"/>
                      <w:lang w:val="en-US" w:eastAsia="zh-CN"/>
                    </w:rPr>
                    <w:t>5.1.14.3条</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eastAsia="宋体"/>
                      <w:color w:val="auto"/>
                      <w:kern w:val="0"/>
                      <w:sz w:val="21"/>
                      <w:szCs w:val="21"/>
                      <w:lang w:val="en-US" w:eastAsia="zh-CN"/>
                    </w:rPr>
                  </w:pPr>
                </w:p>
              </w:tc>
              <w:tc>
                <w:tcPr>
                  <w:tcW w:w="286" w:type="pct"/>
                  <w:vMerge w:val="continue"/>
                  <w:noWrap w:val="0"/>
                  <w:vAlign w:val="center"/>
                </w:tcPr>
                <w:p>
                  <w:pPr>
                    <w:overflowPunct w:val="0"/>
                    <w:spacing w:before="0"/>
                    <w:ind w:firstLine="0" w:firstLineChars="0"/>
                    <w:jc w:val="center"/>
                    <w:rPr>
                      <w:rFonts w:hint="eastAsia"/>
                      <w:color w:val="auto"/>
                      <w:kern w:val="0"/>
                      <w:sz w:val="21"/>
                      <w:szCs w:val="21"/>
                      <w:lang w:val="en-US" w:eastAsia="zh-CN"/>
                    </w:rPr>
                  </w:pPr>
                </w:p>
              </w:tc>
              <w:tc>
                <w:tcPr>
                  <w:tcW w:w="842"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lang w:val="en-US" w:eastAsia="zh-CN"/>
                    </w:rPr>
                    <w:t>3</w:t>
                  </w:r>
                  <w:r>
                    <w:rPr>
                      <w:color w:val="auto"/>
                      <w:kern w:val="0"/>
                      <w:sz w:val="21"/>
                      <w:szCs w:val="21"/>
                    </w:rPr>
                    <w:t>#罐组</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30</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38.46</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5.1.7注3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3#罐组</w:t>
                  </w:r>
                </w:p>
                <w:p>
                  <w:pPr>
                    <w:overflowPunct w:val="0"/>
                    <w:spacing w:before="0"/>
                    <w:ind w:firstLine="0" w:firstLineChars="0"/>
                    <w:jc w:val="center"/>
                    <w:rPr>
                      <w:rFonts w:hint="default"/>
                      <w:color w:val="auto"/>
                      <w:kern w:val="0"/>
                      <w:sz w:val="21"/>
                      <w:szCs w:val="21"/>
                      <w:highlight w:val="none"/>
                      <w:lang w:val="en-US"/>
                    </w:rPr>
                  </w:pPr>
                </w:p>
              </w:tc>
              <w:tc>
                <w:tcPr>
                  <w:tcW w:w="286"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val="en-US" w:eastAsia="zh-CN"/>
                    </w:rPr>
                  </w:pPr>
                  <w:r>
                    <w:rPr>
                      <w:rFonts w:hint="eastAsia"/>
                      <w:color w:val="auto"/>
                      <w:kern w:val="0"/>
                      <w:sz w:val="21"/>
                      <w:szCs w:val="21"/>
                      <w:highlight w:val="none"/>
                      <w:lang w:val="en-US" w:eastAsia="zh-CN"/>
                    </w:rPr>
                    <w:t>东</w:t>
                  </w:r>
                </w:p>
              </w:tc>
              <w:tc>
                <w:tcPr>
                  <w:tcW w:w="842"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危废库（丙类，二级）</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15</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eastAsia="宋体"/>
                      <w:color w:val="auto"/>
                      <w:kern w:val="0"/>
                      <w:sz w:val="21"/>
                      <w:szCs w:val="21"/>
                      <w:highlight w:val="none"/>
                      <w:lang w:val="en-US" w:eastAsia="zh-CN"/>
                    </w:rPr>
                    <w:t>38.17</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表5.1.3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color w:val="auto"/>
                      <w:kern w:val="0"/>
                      <w:sz w:val="21"/>
                      <w:szCs w:val="21"/>
                      <w:highlight w:val="none"/>
                    </w:rPr>
                  </w:pPr>
                </w:p>
              </w:tc>
              <w:tc>
                <w:tcPr>
                  <w:tcW w:w="842"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动力车间（丙类，二级）</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15</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eastAsia="宋体"/>
                      <w:color w:val="auto"/>
                      <w:kern w:val="0"/>
                      <w:sz w:val="21"/>
                      <w:szCs w:val="21"/>
                      <w:highlight w:val="none"/>
                      <w:lang w:val="en-US" w:eastAsia="zh-CN"/>
                    </w:rPr>
                    <w:t>44.39</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表5.1.3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lang w:val="en-US" w:eastAsia="zh-CN"/>
                    </w:rPr>
                    <w:t>南</w:t>
                  </w: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油气回收装置</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11</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12.66</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《油气回收处理设施技术标准》GB/T50759-2022</w:t>
                  </w:r>
                </w:p>
                <w:p>
                  <w:pPr>
                    <w:overflowPunct w:val="0"/>
                    <w:spacing w:before="0"/>
                    <w:ind w:firstLine="0" w:firstLineChars="0"/>
                    <w:jc w:val="center"/>
                    <w:rPr>
                      <w:color w:val="auto"/>
                      <w:kern w:val="0"/>
                      <w:sz w:val="21"/>
                      <w:szCs w:val="21"/>
                      <w:highlight w:val="none"/>
                    </w:rPr>
                  </w:pPr>
                  <w:r>
                    <w:rPr>
                      <w:color w:val="auto"/>
                      <w:kern w:val="0"/>
                      <w:sz w:val="21"/>
                      <w:szCs w:val="21"/>
                      <w:highlight w:val="none"/>
                    </w:rPr>
                    <w:t>4.0.12注4</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rFonts w:hint="eastAsia"/>
                      <w:color w:val="auto"/>
                      <w:kern w:val="0"/>
                      <w:sz w:val="21"/>
                      <w:szCs w:val="21"/>
                      <w:highlight w:val="none"/>
                      <w:lang w:val="en-US" w:eastAsia="zh-CN"/>
                    </w:rPr>
                  </w:pP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装车泵区</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11</w:t>
                  </w:r>
                </w:p>
              </w:tc>
              <w:tc>
                <w:tcPr>
                  <w:tcW w:w="430" w:type="pct"/>
                  <w:noWrap w:val="0"/>
                  <w:vAlign w:val="center"/>
                </w:tcPr>
                <w:p>
                  <w:pPr>
                    <w:pStyle w:val="2"/>
                    <w:ind w:left="0" w:leftChars="0" w:firstLine="0" w:firstLineChars="0"/>
                    <w:jc w:val="center"/>
                    <w:rPr>
                      <w:rFonts w:hint="default" w:eastAsia="仿宋_GB2312"/>
                      <w:color w:val="auto"/>
                      <w:sz w:val="21"/>
                      <w:szCs w:val="21"/>
                      <w:highlight w:val="none"/>
                      <w:lang w:val="en-US" w:eastAsia="zh-CN"/>
                    </w:rPr>
                  </w:pPr>
                  <w:r>
                    <w:rPr>
                      <w:rFonts w:hint="eastAsia"/>
                      <w:color w:val="auto"/>
                      <w:sz w:val="21"/>
                      <w:szCs w:val="21"/>
                      <w:highlight w:val="none"/>
                      <w:lang w:val="en-US" w:eastAsia="zh-CN"/>
                    </w:rPr>
                    <w:t>14.59</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第</w:t>
                  </w:r>
                  <w:r>
                    <w:rPr>
                      <w:rFonts w:hint="eastAsia"/>
                      <w:color w:val="auto"/>
                      <w:kern w:val="0"/>
                      <w:sz w:val="21"/>
                      <w:szCs w:val="21"/>
                      <w:highlight w:val="none"/>
                    </w:rPr>
                    <w:t xml:space="preserve"> </w:t>
                  </w:r>
                  <w:r>
                    <w:rPr>
                      <w:rFonts w:hint="eastAsia"/>
                      <w:color w:val="auto"/>
                      <w:kern w:val="0"/>
                      <w:sz w:val="21"/>
                      <w:szCs w:val="21"/>
                      <w:highlight w:val="none"/>
                      <w:lang w:val="en-US" w:eastAsia="zh-CN"/>
                    </w:rPr>
                    <w:t>5.1.14.3条</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rFonts w:hint="eastAsia"/>
                      <w:color w:val="auto"/>
                      <w:kern w:val="0"/>
                      <w:sz w:val="21"/>
                      <w:szCs w:val="21"/>
                      <w:highlight w:val="none"/>
                      <w:lang w:val="en-US" w:eastAsia="zh-CN"/>
                    </w:rPr>
                  </w:pPr>
                </w:p>
              </w:tc>
              <w:tc>
                <w:tcPr>
                  <w:tcW w:w="842"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污水处理区</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15</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70.60</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表5.1.3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rFonts w:hint="eastAsia"/>
                      <w:color w:val="auto"/>
                      <w:kern w:val="0"/>
                      <w:sz w:val="21"/>
                      <w:szCs w:val="21"/>
                      <w:highlight w:val="none"/>
                      <w:lang w:val="en-US" w:eastAsia="zh-CN"/>
                    </w:rPr>
                  </w:pPr>
                </w:p>
              </w:tc>
              <w:tc>
                <w:tcPr>
                  <w:tcW w:w="842"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隔油池</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19</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77.81</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表5.1.3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default"/>
                      <w:color w:val="auto"/>
                      <w:kern w:val="0"/>
                      <w:sz w:val="21"/>
                      <w:szCs w:val="21"/>
                      <w:highlight w:val="none"/>
                      <w:lang w:val="en-US"/>
                    </w:rPr>
                  </w:pPr>
                </w:p>
              </w:tc>
              <w:tc>
                <w:tcPr>
                  <w:tcW w:w="286" w:type="pct"/>
                  <w:vMerge w:val="continue"/>
                  <w:noWrap w:val="0"/>
                  <w:vAlign w:val="center"/>
                </w:tcPr>
                <w:p>
                  <w:pPr>
                    <w:overflowPunct w:val="0"/>
                    <w:spacing w:before="0"/>
                    <w:ind w:firstLine="0" w:firstLineChars="0"/>
                    <w:jc w:val="center"/>
                    <w:rPr>
                      <w:rFonts w:hint="default"/>
                      <w:color w:val="auto"/>
                      <w:kern w:val="0"/>
                      <w:sz w:val="21"/>
                      <w:szCs w:val="21"/>
                      <w:highlight w:val="none"/>
                      <w:lang w:val="en-US" w:eastAsia="zh-CN"/>
                    </w:rPr>
                  </w:pPr>
                </w:p>
              </w:tc>
              <w:tc>
                <w:tcPr>
                  <w:tcW w:w="842"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4</w:t>
                  </w:r>
                  <w:r>
                    <w:rPr>
                      <w:color w:val="auto"/>
                      <w:kern w:val="0"/>
                      <w:sz w:val="21"/>
                      <w:szCs w:val="21"/>
                      <w:highlight w:val="none"/>
                    </w:rPr>
                    <w:t>#罐组</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30</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46.76</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rFonts w:hint="default" w:eastAsia="宋体"/>
                      <w:color w:val="auto"/>
                      <w:kern w:val="0"/>
                      <w:sz w:val="21"/>
                      <w:szCs w:val="21"/>
                      <w:highlight w:val="none"/>
                      <w:lang w:val="en-US" w:eastAsia="zh-CN"/>
                    </w:rPr>
                  </w:pPr>
                  <w:r>
                    <w:rPr>
                      <w:color w:val="auto"/>
                      <w:kern w:val="0"/>
                      <w:sz w:val="21"/>
                      <w:szCs w:val="21"/>
                      <w:highlight w:val="none"/>
                    </w:rPr>
                    <w:t>5.1.7注3</w:t>
                  </w:r>
                </w:p>
              </w:tc>
              <w:tc>
                <w:tcPr>
                  <w:tcW w:w="356" w:type="pct"/>
                  <w:noWrap w:val="0"/>
                  <w:vAlign w:val="center"/>
                </w:tcPr>
                <w:p>
                  <w:pPr>
                    <w:overflowPunct w:val="0"/>
                    <w:spacing w:before="0"/>
                    <w:ind w:firstLine="0" w:firstLineChars="0"/>
                    <w:jc w:val="center"/>
                    <w:rPr>
                      <w:rFonts w:hint="default"/>
                      <w:color w:val="auto"/>
                      <w:kern w:val="0"/>
                      <w:sz w:val="21"/>
                      <w:szCs w:val="21"/>
                      <w:highlight w:val="none"/>
                      <w:lang w:val="en-US"/>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restar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装车泵区</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11</w:t>
                  </w:r>
                </w:p>
              </w:tc>
              <w:tc>
                <w:tcPr>
                  <w:tcW w:w="430" w:type="pct"/>
                  <w:noWrap w:val="0"/>
                  <w:vAlign w:val="center"/>
                </w:tcPr>
                <w:p>
                  <w:pPr>
                    <w:pStyle w:val="2"/>
                    <w:ind w:left="0" w:leftChars="0" w:firstLine="0" w:firstLineChars="0"/>
                    <w:jc w:val="center"/>
                    <w:rPr>
                      <w:rFonts w:hint="default"/>
                      <w:color w:val="auto"/>
                      <w:kern w:val="0"/>
                      <w:sz w:val="21"/>
                      <w:szCs w:val="21"/>
                      <w:highlight w:val="none"/>
                      <w:lang w:val="en-US"/>
                    </w:rPr>
                  </w:pPr>
                  <w:r>
                    <w:rPr>
                      <w:rFonts w:hint="eastAsia"/>
                      <w:color w:val="auto"/>
                      <w:sz w:val="21"/>
                      <w:szCs w:val="21"/>
                      <w:highlight w:val="none"/>
                      <w:lang w:val="en-US" w:eastAsia="zh-CN"/>
                    </w:rPr>
                    <w:t>59.26</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第</w:t>
                  </w:r>
                  <w:r>
                    <w:rPr>
                      <w:rFonts w:hint="eastAsia"/>
                      <w:color w:val="auto"/>
                      <w:kern w:val="0"/>
                      <w:sz w:val="21"/>
                      <w:szCs w:val="21"/>
                      <w:highlight w:val="none"/>
                    </w:rPr>
                    <w:t xml:space="preserve"> </w:t>
                  </w:r>
                  <w:r>
                    <w:rPr>
                      <w:rFonts w:hint="eastAsia"/>
                      <w:color w:val="auto"/>
                      <w:kern w:val="0"/>
                      <w:sz w:val="21"/>
                      <w:szCs w:val="21"/>
                      <w:highlight w:val="none"/>
                      <w:lang w:val="en-US" w:eastAsia="zh-CN"/>
                    </w:rPr>
                    <w:t>5.1.14.3条</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default"/>
                      <w:color w:val="auto"/>
                      <w:kern w:val="0"/>
                      <w:sz w:val="21"/>
                      <w:szCs w:val="21"/>
                      <w:highlight w:val="none"/>
                      <w:lang w:val="en-US"/>
                    </w:rPr>
                  </w:pPr>
                </w:p>
              </w:tc>
              <w:tc>
                <w:tcPr>
                  <w:tcW w:w="286" w:type="pct"/>
                  <w:vMerge w:val="continue"/>
                  <w:noWrap w:val="0"/>
                  <w:vAlign w:val="center"/>
                </w:tcPr>
                <w:p>
                  <w:pPr>
                    <w:overflowPunct w:val="0"/>
                    <w:spacing w:before="0"/>
                    <w:ind w:firstLine="0" w:firstLineChars="0"/>
                    <w:jc w:val="center"/>
                    <w:rPr>
                      <w:rFonts w:hint="default"/>
                      <w:color w:val="auto"/>
                      <w:kern w:val="0"/>
                      <w:sz w:val="21"/>
                      <w:szCs w:val="21"/>
                      <w:highlight w:val="none"/>
                      <w:lang w:val="en-US"/>
                    </w:rPr>
                  </w:pPr>
                </w:p>
              </w:tc>
              <w:tc>
                <w:tcPr>
                  <w:tcW w:w="842"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2</w:t>
                  </w:r>
                  <w:r>
                    <w:rPr>
                      <w:color w:val="auto"/>
                      <w:kern w:val="0"/>
                      <w:sz w:val="21"/>
                      <w:szCs w:val="21"/>
                      <w:highlight w:val="none"/>
                    </w:rPr>
                    <w:t>#罐组</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30</w:t>
                  </w:r>
                </w:p>
              </w:tc>
              <w:tc>
                <w:tcPr>
                  <w:tcW w:w="430" w:type="pct"/>
                  <w:noWrap w:val="0"/>
                  <w:vAlign w:val="center"/>
                </w:tcPr>
                <w:p>
                  <w:pPr>
                    <w:pStyle w:val="2"/>
                    <w:ind w:left="0" w:lef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39.47</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rFonts w:hint="eastAsia" w:eastAsia="宋体"/>
                      <w:color w:val="auto"/>
                      <w:kern w:val="0"/>
                      <w:sz w:val="21"/>
                      <w:szCs w:val="21"/>
                      <w:highlight w:val="none"/>
                      <w:lang w:val="en-US" w:eastAsia="zh-CN"/>
                    </w:rPr>
                  </w:pPr>
                  <w:r>
                    <w:rPr>
                      <w:color w:val="auto"/>
                      <w:kern w:val="0"/>
                      <w:sz w:val="21"/>
                      <w:szCs w:val="21"/>
                      <w:highlight w:val="none"/>
                    </w:rPr>
                    <w:t>5.1.7注3</w:t>
                  </w:r>
                </w:p>
              </w:tc>
              <w:tc>
                <w:tcPr>
                  <w:tcW w:w="356" w:type="pct"/>
                  <w:noWrap w:val="0"/>
                  <w:vAlign w:val="center"/>
                </w:tcPr>
                <w:p>
                  <w:pPr>
                    <w:overflowPunct w:val="0"/>
                    <w:spacing w:before="0"/>
                    <w:ind w:firstLine="0" w:firstLineChars="0"/>
                    <w:jc w:val="center"/>
                    <w:rPr>
                      <w:rFonts w:hint="default"/>
                      <w:color w:val="auto"/>
                      <w:kern w:val="0"/>
                      <w:sz w:val="21"/>
                      <w:szCs w:val="21"/>
                      <w:highlight w:val="none"/>
                      <w:lang w:val="en-US"/>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default"/>
                      <w:color w:val="auto"/>
                      <w:kern w:val="0"/>
                      <w:sz w:val="21"/>
                      <w:szCs w:val="21"/>
                      <w:highlight w:val="none"/>
                      <w:lang w:val="en-US"/>
                    </w:rPr>
                  </w:pPr>
                </w:p>
              </w:tc>
              <w:tc>
                <w:tcPr>
                  <w:tcW w:w="286" w:type="pct"/>
                  <w:vMerge w:val="continue"/>
                  <w:noWrap w:val="0"/>
                  <w:vAlign w:val="center"/>
                </w:tcPr>
                <w:p>
                  <w:pPr>
                    <w:overflowPunct w:val="0"/>
                    <w:spacing w:before="0"/>
                    <w:ind w:firstLine="0" w:firstLineChars="0"/>
                    <w:jc w:val="center"/>
                    <w:rPr>
                      <w:rFonts w:hint="default"/>
                      <w:color w:val="auto"/>
                      <w:kern w:val="0"/>
                      <w:sz w:val="21"/>
                      <w:szCs w:val="21"/>
                      <w:highlight w:val="none"/>
                      <w:lang w:val="en-US"/>
                    </w:rPr>
                  </w:pPr>
                </w:p>
              </w:tc>
              <w:tc>
                <w:tcPr>
                  <w:tcW w:w="842"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2</w:t>
                  </w:r>
                  <w:r>
                    <w:rPr>
                      <w:color w:val="auto"/>
                      <w:kern w:val="0"/>
                      <w:sz w:val="21"/>
                      <w:szCs w:val="21"/>
                      <w:highlight w:val="none"/>
                    </w:rPr>
                    <w:t>#罐组</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30</w:t>
                  </w:r>
                </w:p>
              </w:tc>
              <w:tc>
                <w:tcPr>
                  <w:tcW w:w="430" w:type="pct"/>
                  <w:noWrap w:val="0"/>
                  <w:vAlign w:val="center"/>
                </w:tcPr>
                <w:p>
                  <w:pPr>
                    <w:pStyle w:val="2"/>
                    <w:ind w:left="0" w:lef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38.46</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rFonts w:hint="default"/>
                      <w:color w:val="auto"/>
                      <w:kern w:val="0"/>
                      <w:sz w:val="21"/>
                      <w:szCs w:val="21"/>
                      <w:highlight w:val="none"/>
                      <w:lang w:val="en-US" w:eastAsia="zh-CN"/>
                    </w:rPr>
                  </w:pPr>
                  <w:r>
                    <w:rPr>
                      <w:color w:val="auto"/>
                      <w:kern w:val="0"/>
                      <w:sz w:val="21"/>
                      <w:szCs w:val="21"/>
                      <w:highlight w:val="none"/>
                    </w:rPr>
                    <w:t>5.1.7注3</w:t>
                  </w:r>
                </w:p>
              </w:tc>
              <w:tc>
                <w:tcPr>
                  <w:tcW w:w="356" w:type="pct"/>
                  <w:noWrap w:val="0"/>
                  <w:vAlign w:val="center"/>
                </w:tcPr>
                <w:p>
                  <w:pPr>
                    <w:overflowPunct w:val="0"/>
                    <w:spacing w:before="0"/>
                    <w:ind w:firstLine="0" w:firstLineChars="0"/>
                    <w:jc w:val="center"/>
                    <w:rPr>
                      <w:rFonts w:hint="default"/>
                      <w:color w:val="auto"/>
                      <w:kern w:val="0"/>
                      <w:sz w:val="21"/>
                      <w:szCs w:val="21"/>
                      <w:highlight w:val="none"/>
                      <w:lang w:val="en-US"/>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default"/>
                      <w:color w:val="auto"/>
                      <w:kern w:val="0"/>
                      <w:sz w:val="21"/>
                      <w:szCs w:val="21"/>
                      <w:highlight w:val="none"/>
                      <w:lang w:val="en-US"/>
                    </w:rPr>
                  </w:pPr>
                </w:p>
              </w:tc>
              <w:tc>
                <w:tcPr>
                  <w:tcW w:w="286" w:type="pct"/>
                  <w:vMerge w:val="continue"/>
                  <w:noWrap w:val="0"/>
                  <w:vAlign w:val="center"/>
                </w:tcPr>
                <w:p>
                  <w:pPr>
                    <w:overflowPunct w:val="0"/>
                    <w:spacing w:before="0"/>
                    <w:ind w:firstLine="0" w:firstLineChars="0"/>
                    <w:jc w:val="center"/>
                    <w:rPr>
                      <w:rFonts w:hint="default"/>
                      <w:color w:val="auto"/>
                      <w:kern w:val="0"/>
                      <w:sz w:val="21"/>
                      <w:szCs w:val="21"/>
                      <w:highlight w:val="none"/>
                      <w:lang w:val="en-US"/>
                    </w:rPr>
                  </w:pPr>
                </w:p>
              </w:tc>
              <w:tc>
                <w:tcPr>
                  <w:tcW w:w="842" w:type="pct"/>
                  <w:noWrap w:val="0"/>
                  <w:vAlign w:val="center"/>
                </w:tcPr>
                <w:p>
                  <w:pPr>
                    <w:overflowPunct w:val="0"/>
                    <w:spacing w:before="0"/>
                    <w:ind w:firstLine="0" w:firstLineChars="0"/>
                    <w:jc w:val="center"/>
                    <w:rPr>
                      <w:rFonts w:hint="default"/>
                      <w:color w:val="auto"/>
                      <w:kern w:val="0"/>
                      <w:sz w:val="21"/>
                      <w:szCs w:val="21"/>
                      <w:highlight w:val="none"/>
                      <w:lang w:val="en-US"/>
                    </w:rPr>
                  </w:pPr>
                  <w:r>
                    <w:rPr>
                      <w:color w:val="auto"/>
                      <w:kern w:val="0"/>
                      <w:sz w:val="21"/>
                      <w:szCs w:val="21"/>
                      <w:highlight w:val="none"/>
                    </w:rPr>
                    <w:t>装车泵区</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11</w:t>
                  </w:r>
                </w:p>
              </w:tc>
              <w:tc>
                <w:tcPr>
                  <w:tcW w:w="430" w:type="pct"/>
                  <w:noWrap w:val="0"/>
                  <w:vAlign w:val="center"/>
                </w:tcPr>
                <w:p>
                  <w:pPr>
                    <w:pStyle w:val="2"/>
                    <w:ind w:left="0" w:lef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15.29</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第</w:t>
                  </w:r>
                  <w:r>
                    <w:rPr>
                      <w:rFonts w:hint="eastAsia"/>
                      <w:color w:val="auto"/>
                      <w:kern w:val="0"/>
                      <w:sz w:val="21"/>
                      <w:szCs w:val="21"/>
                      <w:highlight w:val="none"/>
                    </w:rPr>
                    <w:t xml:space="preserve"> </w:t>
                  </w:r>
                  <w:r>
                    <w:rPr>
                      <w:rFonts w:hint="eastAsia"/>
                      <w:color w:val="auto"/>
                      <w:kern w:val="0"/>
                      <w:sz w:val="21"/>
                      <w:szCs w:val="21"/>
                      <w:highlight w:val="none"/>
                      <w:lang w:val="en-US" w:eastAsia="zh-CN"/>
                    </w:rPr>
                    <w:t>5.1.14.3条</w:t>
                  </w:r>
                </w:p>
              </w:tc>
              <w:tc>
                <w:tcPr>
                  <w:tcW w:w="356" w:type="pct"/>
                  <w:noWrap w:val="0"/>
                  <w:vAlign w:val="center"/>
                </w:tcPr>
                <w:p>
                  <w:pPr>
                    <w:overflowPunct w:val="0"/>
                    <w:spacing w:before="0"/>
                    <w:ind w:firstLine="0" w:firstLineChars="0"/>
                    <w:jc w:val="center"/>
                    <w:rPr>
                      <w:rFonts w:hint="default"/>
                      <w:color w:val="auto"/>
                      <w:kern w:val="0"/>
                      <w:sz w:val="21"/>
                      <w:szCs w:val="21"/>
                      <w:highlight w:val="none"/>
                      <w:lang w:val="en-US"/>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rPr>
                    <w:t>4#罐组</w:t>
                  </w:r>
                </w:p>
              </w:tc>
              <w:tc>
                <w:tcPr>
                  <w:tcW w:w="286" w:type="pct"/>
                  <w:vMerge w:val="restar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北</w:t>
                  </w: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油气回收装置</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11</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33.23</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《油气回收处理设施技术标准》GB/T50759-2022</w:t>
                  </w:r>
                </w:p>
                <w:p>
                  <w:pPr>
                    <w:overflowPunct w:val="0"/>
                    <w:spacing w:before="0"/>
                    <w:ind w:firstLine="0" w:firstLineChars="0"/>
                    <w:jc w:val="center"/>
                    <w:rPr>
                      <w:color w:val="auto"/>
                      <w:kern w:val="0"/>
                      <w:sz w:val="21"/>
                      <w:szCs w:val="21"/>
                      <w:highlight w:val="none"/>
                    </w:rPr>
                  </w:pPr>
                  <w:r>
                    <w:rPr>
                      <w:color w:val="auto"/>
                      <w:kern w:val="0"/>
                      <w:sz w:val="21"/>
                      <w:szCs w:val="21"/>
                      <w:highlight w:val="none"/>
                    </w:rPr>
                    <w:t>4.0.12注4</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color w:val="auto"/>
                      <w:kern w:val="0"/>
                      <w:sz w:val="21"/>
                      <w:szCs w:val="21"/>
                      <w:highlight w:val="none"/>
                    </w:rPr>
                  </w:pP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装车泵区</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11</w:t>
                  </w:r>
                </w:p>
              </w:tc>
              <w:tc>
                <w:tcPr>
                  <w:tcW w:w="430"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25.87</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第</w:t>
                  </w:r>
                  <w:r>
                    <w:rPr>
                      <w:rFonts w:hint="eastAsia"/>
                      <w:color w:val="auto"/>
                      <w:kern w:val="0"/>
                      <w:sz w:val="21"/>
                      <w:szCs w:val="21"/>
                      <w:highlight w:val="none"/>
                    </w:rPr>
                    <w:t xml:space="preserve"> </w:t>
                  </w:r>
                  <w:r>
                    <w:rPr>
                      <w:rFonts w:hint="eastAsia"/>
                      <w:color w:val="auto"/>
                      <w:kern w:val="0"/>
                      <w:sz w:val="21"/>
                      <w:szCs w:val="21"/>
                      <w:highlight w:val="none"/>
                      <w:lang w:val="en-US" w:eastAsia="zh-CN"/>
                    </w:rPr>
                    <w:t>5.1.14.3条</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p>
              </w:tc>
              <w:tc>
                <w:tcPr>
                  <w:tcW w:w="286" w:type="pct"/>
                  <w:vMerge w:val="continue"/>
                  <w:noWrap w:val="0"/>
                  <w:vAlign w:val="center"/>
                </w:tcPr>
                <w:p>
                  <w:pPr>
                    <w:overflowPunct w:val="0"/>
                    <w:spacing w:before="0"/>
                    <w:ind w:firstLine="0" w:firstLineChars="0"/>
                    <w:jc w:val="center"/>
                    <w:rPr>
                      <w:color w:val="auto"/>
                      <w:kern w:val="0"/>
                      <w:sz w:val="21"/>
                      <w:szCs w:val="21"/>
                      <w:highlight w:val="none"/>
                    </w:rPr>
                  </w:pPr>
                </w:p>
              </w:tc>
              <w:tc>
                <w:tcPr>
                  <w:tcW w:w="842"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1</w:t>
                  </w:r>
                  <w:r>
                    <w:rPr>
                      <w:color w:val="auto"/>
                      <w:kern w:val="0"/>
                      <w:sz w:val="21"/>
                      <w:szCs w:val="21"/>
                      <w:highlight w:val="none"/>
                    </w:rPr>
                    <w:t>#罐组</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30</w:t>
                  </w:r>
                </w:p>
              </w:tc>
              <w:tc>
                <w:tcPr>
                  <w:tcW w:w="430"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45.10</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5.1.7注3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color w:val="auto"/>
                      <w:kern w:val="0"/>
                      <w:sz w:val="21"/>
                      <w:szCs w:val="21"/>
                      <w:highlight w:val="none"/>
                    </w:rPr>
                  </w:pP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装车泵区</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11</w:t>
                  </w:r>
                </w:p>
              </w:tc>
              <w:tc>
                <w:tcPr>
                  <w:tcW w:w="430"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26.44</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第</w:t>
                  </w:r>
                  <w:r>
                    <w:rPr>
                      <w:rFonts w:hint="eastAsia"/>
                      <w:color w:val="auto"/>
                      <w:kern w:val="0"/>
                      <w:sz w:val="21"/>
                      <w:szCs w:val="21"/>
                      <w:highlight w:val="none"/>
                    </w:rPr>
                    <w:t xml:space="preserve"> </w:t>
                  </w:r>
                  <w:r>
                    <w:rPr>
                      <w:rFonts w:hint="eastAsia"/>
                      <w:color w:val="auto"/>
                      <w:kern w:val="0"/>
                      <w:sz w:val="21"/>
                      <w:szCs w:val="21"/>
                      <w:highlight w:val="none"/>
                      <w:lang w:val="en-US" w:eastAsia="zh-CN"/>
                    </w:rPr>
                    <w:t>5.1.14.3条</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color w:val="auto"/>
                      <w:kern w:val="0"/>
                      <w:sz w:val="21"/>
                      <w:szCs w:val="21"/>
                      <w:highlight w:val="none"/>
                    </w:rPr>
                  </w:pPr>
                </w:p>
              </w:tc>
              <w:tc>
                <w:tcPr>
                  <w:tcW w:w="842"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2</w:t>
                  </w:r>
                  <w:r>
                    <w:rPr>
                      <w:color w:val="auto"/>
                      <w:kern w:val="0"/>
                      <w:sz w:val="21"/>
                      <w:szCs w:val="21"/>
                      <w:highlight w:val="none"/>
                    </w:rPr>
                    <w:t>#罐组</w:t>
                  </w:r>
                </w:p>
              </w:tc>
              <w:tc>
                <w:tcPr>
                  <w:tcW w:w="421"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30</w:t>
                  </w:r>
                </w:p>
              </w:tc>
              <w:tc>
                <w:tcPr>
                  <w:tcW w:w="430"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44.29</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5.1.7注3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color w:val="auto"/>
                      <w:kern w:val="0"/>
                      <w:sz w:val="21"/>
                      <w:szCs w:val="21"/>
                      <w:highlight w:val="none"/>
                    </w:rPr>
                  </w:pP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装车泵区</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rPr>
                  </w:pPr>
                  <w:r>
                    <w:rPr>
                      <w:rFonts w:hint="eastAsia"/>
                      <w:color w:val="auto"/>
                      <w:kern w:val="0"/>
                      <w:sz w:val="21"/>
                      <w:szCs w:val="21"/>
                      <w:highlight w:val="none"/>
                      <w:lang w:val="en-US" w:eastAsia="zh-CN"/>
                    </w:rPr>
                    <w:t>11</w:t>
                  </w:r>
                </w:p>
              </w:tc>
              <w:tc>
                <w:tcPr>
                  <w:tcW w:w="430"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26.55</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第</w:t>
                  </w:r>
                  <w:r>
                    <w:rPr>
                      <w:rFonts w:hint="eastAsia"/>
                      <w:color w:val="auto"/>
                      <w:kern w:val="0"/>
                      <w:sz w:val="21"/>
                      <w:szCs w:val="21"/>
                      <w:highlight w:val="none"/>
                    </w:rPr>
                    <w:t xml:space="preserve"> </w:t>
                  </w:r>
                  <w:r>
                    <w:rPr>
                      <w:rFonts w:hint="eastAsia"/>
                      <w:color w:val="auto"/>
                      <w:kern w:val="0"/>
                      <w:sz w:val="21"/>
                      <w:szCs w:val="21"/>
                      <w:highlight w:val="none"/>
                      <w:lang w:val="en-US" w:eastAsia="zh-CN"/>
                    </w:rPr>
                    <w:t>5.1.14.3条</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color w:val="auto"/>
                      <w:kern w:val="0"/>
                      <w:sz w:val="21"/>
                      <w:szCs w:val="21"/>
                      <w:highlight w:val="none"/>
                    </w:rPr>
                  </w:pP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油气回收装置</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11</w:t>
                  </w:r>
                </w:p>
              </w:tc>
              <w:tc>
                <w:tcPr>
                  <w:tcW w:w="430"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28.07</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《油气回收处理设施技术标准》GB/T50759-2022</w:t>
                  </w:r>
                </w:p>
                <w:p>
                  <w:pPr>
                    <w:overflowPunct w:val="0"/>
                    <w:spacing w:before="0"/>
                    <w:ind w:firstLine="0" w:firstLineChars="0"/>
                    <w:jc w:val="center"/>
                    <w:rPr>
                      <w:rFonts w:hint="eastAsia"/>
                      <w:color w:val="auto"/>
                      <w:kern w:val="0"/>
                      <w:sz w:val="21"/>
                      <w:szCs w:val="21"/>
                      <w:highlight w:val="none"/>
                      <w:lang w:val="en-US" w:eastAsia="zh-CN"/>
                    </w:rPr>
                  </w:pPr>
                  <w:r>
                    <w:rPr>
                      <w:color w:val="auto"/>
                      <w:kern w:val="0"/>
                      <w:sz w:val="21"/>
                      <w:szCs w:val="21"/>
                      <w:highlight w:val="none"/>
                    </w:rPr>
                    <w:t>4.0.12注4</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color w:val="auto"/>
                      <w:kern w:val="0"/>
                      <w:sz w:val="21"/>
                      <w:szCs w:val="21"/>
                      <w:highlight w:val="none"/>
                    </w:rPr>
                  </w:pP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装车泵区</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11</w:t>
                  </w:r>
                </w:p>
              </w:tc>
              <w:tc>
                <w:tcPr>
                  <w:tcW w:w="430"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34.70</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第</w:t>
                  </w:r>
                  <w:r>
                    <w:rPr>
                      <w:rFonts w:hint="eastAsia"/>
                      <w:color w:val="auto"/>
                      <w:kern w:val="0"/>
                      <w:sz w:val="21"/>
                      <w:szCs w:val="21"/>
                      <w:highlight w:val="none"/>
                    </w:rPr>
                    <w:t xml:space="preserve"> </w:t>
                  </w:r>
                  <w:r>
                    <w:rPr>
                      <w:rFonts w:hint="eastAsia"/>
                      <w:color w:val="auto"/>
                      <w:kern w:val="0"/>
                      <w:sz w:val="21"/>
                      <w:szCs w:val="21"/>
                      <w:highlight w:val="none"/>
                      <w:lang w:val="en-US" w:eastAsia="zh-CN"/>
                    </w:rPr>
                    <w:t>5.1.14.3条</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color w:val="auto"/>
                      <w:kern w:val="0"/>
                      <w:sz w:val="21"/>
                      <w:szCs w:val="21"/>
                      <w:highlight w:val="none"/>
                    </w:rPr>
                  </w:pPr>
                </w:p>
              </w:tc>
              <w:tc>
                <w:tcPr>
                  <w:tcW w:w="842"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危废库（丙类，二级）</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19</w:t>
                  </w:r>
                </w:p>
              </w:tc>
              <w:tc>
                <w:tcPr>
                  <w:tcW w:w="430"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91.34</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rFonts w:hint="eastAsia"/>
                      <w:color w:val="auto"/>
                      <w:kern w:val="0"/>
                      <w:sz w:val="21"/>
                      <w:szCs w:val="21"/>
                      <w:highlight w:val="none"/>
                      <w:lang w:val="en-US" w:eastAsia="zh-CN"/>
                    </w:rPr>
                  </w:pPr>
                  <w:r>
                    <w:rPr>
                      <w:color w:val="auto"/>
                      <w:kern w:val="0"/>
                      <w:sz w:val="21"/>
                      <w:szCs w:val="21"/>
                      <w:highlight w:val="none"/>
                    </w:rPr>
                    <w:t>表5.1.3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color w:val="auto"/>
                      <w:kern w:val="0"/>
                      <w:sz w:val="21"/>
                      <w:szCs w:val="21"/>
                      <w:highlight w:val="none"/>
                    </w:rPr>
                  </w:pPr>
                </w:p>
              </w:tc>
              <w:tc>
                <w:tcPr>
                  <w:tcW w:w="842"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动力车间（丙类，二级）</w:t>
                  </w:r>
                </w:p>
              </w:tc>
              <w:tc>
                <w:tcPr>
                  <w:tcW w:w="421"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19</w:t>
                  </w:r>
                </w:p>
              </w:tc>
              <w:tc>
                <w:tcPr>
                  <w:tcW w:w="430"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62.58</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rFonts w:hint="eastAsia"/>
                      <w:color w:val="auto"/>
                      <w:kern w:val="0"/>
                      <w:sz w:val="21"/>
                      <w:szCs w:val="21"/>
                      <w:highlight w:val="none"/>
                      <w:lang w:val="en-US" w:eastAsia="zh-CN"/>
                    </w:rPr>
                  </w:pPr>
                  <w:r>
                    <w:rPr>
                      <w:color w:val="auto"/>
                      <w:kern w:val="0"/>
                      <w:sz w:val="21"/>
                      <w:szCs w:val="21"/>
                      <w:highlight w:val="none"/>
                    </w:rPr>
                    <w:t>表5.1.3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restart"/>
                  <w:noWrap w:val="0"/>
                  <w:vAlign w:val="center"/>
                </w:tcPr>
                <w:p>
                  <w:pPr>
                    <w:overflowPunct w:val="0"/>
                    <w:spacing w:before="0"/>
                    <w:ind w:firstLine="0" w:firstLineChars="0"/>
                    <w:jc w:val="center"/>
                    <w:rPr>
                      <w:rFonts w:hint="eastAsia" w:eastAsia="宋体"/>
                      <w:color w:val="auto"/>
                      <w:kern w:val="0"/>
                      <w:sz w:val="21"/>
                      <w:szCs w:val="21"/>
                      <w:highlight w:val="none"/>
                      <w:lang w:eastAsia="zh-CN"/>
                    </w:rPr>
                  </w:pPr>
                  <w:r>
                    <w:rPr>
                      <w:rFonts w:hint="eastAsia"/>
                      <w:color w:val="auto"/>
                      <w:kern w:val="0"/>
                      <w:sz w:val="21"/>
                      <w:szCs w:val="21"/>
                      <w:highlight w:val="none"/>
                      <w:lang w:val="en-US" w:eastAsia="zh-CN"/>
                    </w:rPr>
                    <w:t>东</w:t>
                  </w:r>
                </w:p>
              </w:tc>
              <w:tc>
                <w:tcPr>
                  <w:tcW w:w="842"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隔油池</w:t>
                  </w:r>
                </w:p>
              </w:tc>
              <w:tc>
                <w:tcPr>
                  <w:tcW w:w="421" w:type="pct"/>
                  <w:noWrap w:val="0"/>
                  <w:vAlign w:val="center"/>
                </w:tcPr>
                <w:p>
                  <w:pPr>
                    <w:overflowPunct w:val="0"/>
                    <w:spacing w:before="0"/>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25</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eastAsia="宋体"/>
                      <w:color w:val="auto"/>
                      <w:kern w:val="0"/>
                      <w:sz w:val="21"/>
                      <w:szCs w:val="21"/>
                      <w:highlight w:val="none"/>
                      <w:lang w:val="en-US" w:eastAsia="zh-CN"/>
                    </w:rPr>
                    <w:t>51.89</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表5.1.3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rFonts w:hint="eastAsia"/>
                      <w:color w:val="auto"/>
                      <w:kern w:val="0"/>
                      <w:sz w:val="21"/>
                      <w:szCs w:val="21"/>
                      <w:highlight w:val="none"/>
                      <w:lang w:val="en-US" w:eastAsia="zh-CN"/>
                    </w:rPr>
                  </w:pPr>
                </w:p>
              </w:tc>
              <w:tc>
                <w:tcPr>
                  <w:tcW w:w="842" w:type="pct"/>
                  <w:noWrap w:val="0"/>
                  <w:vAlign w:val="center"/>
                </w:tcPr>
                <w:p>
                  <w:pPr>
                    <w:overflowPunct w:val="0"/>
                    <w:spacing w:before="0"/>
                    <w:ind w:firstLine="0" w:firstLineChars="0"/>
                    <w:jc w:val="center"/>
                    <w:rPr>
                      <w:rFonts w:hint="eastAsia"/>
                      <w:color w:val="auto"/>
                      <w:kern w:val="0"/>
                      <w:sz w:val="21"/>
                      <w:szCs w:val="21"/>
                      <w:highlight w:val="none"/>
                    </w:rPr>
                  </w:pPr>
                  <w:r>
                    <w:rPr>
                      <w:rFonts w:hint="eastAsia"/>
                      <w:color w:val="auto"/>
                      <w:kern w:val="0"/>
                      <w:sz w:val="21"/>
                      <w:szCs w:val="21"/>
                      <w:highlight w:val="none"/>
                    </w:rPr>
                    <w:t>污水处理区</w:t>
                  </w:r>
                </w:p>
              </w:tc>
              <w:tc>
                <w:tcPr>
                  <w:tcW w:w="421" w:type="pct"/>
                  <w:noWrap w:val="0"/>
                  <w:vAlign w:val="center"/>
                </w:tcPr>
                <w:p>
                  <w:pPr>
                    <w:overflowPunct w:val="0"/>
                    <w:spacing w:before="0"/>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19</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63.61</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表5.1.3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restar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南</w:t>
                  </w: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RTO处理装置</w:t>
                  </w:r>
                </w:p>
                <w:p>
                  <w:pPr>
                    <w:overflowPunct w:val="0"/>
                    <w:spacing w:before="0"/>
                    <w:ind w:firstLine="0" w:firstLineChars="0"/>
                    <w:jc w:val="center"/>
                    <w:rPr>
                      <w:color w:val="auto"/>
                      <w:kern w:val="0"/>
                      <w:sz w:val="21"/>
                      <w:szCs w:val="21"/>
                      <w:highlight w:val="none"/>
                    </w:rPr>
                  </w:pPr>
                  <w:r>
                    <w:rPr>
                      <w:color w:val="auto"/>
                      <w:kern w:val="0"/>
                      <w:sz w:val="21"/>
                      <w:szCs w:val="21"/>
                      <w:highlight w:val="none"/>
                    </w:rPr>
                    <w:t>（明火地点）</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26</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31.38</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表5.1.3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color w:val="auto"/>
                      <w:kern w:val="0"/>
                      <w:sz w:val="21"/>
                      <w:szCs w:val="21"/>
                      <w:highlight w:val="none"/>
                    </w:rPr>
                  </w:pPr>
                </w:p>
              </w:tc>
              <w:tc>
                <w:tcPr>
                  <w:tcW w:w="842"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库区围墙</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7.5</w:t>
                  </w:r>
                </w:p>
              </w:tc>
              <w:tc>
                <w:tcPr>
                  <w:tcW w:w="430"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27.42</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表5.1.3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highlight w:val="red"/>
                    </w:rPr>
                  </w:pPr>
                </w:p>
              </w:tc>
              <w:tc>
                <w:tcPr>
                  <w:tcW w:w="286" w:type="pct"/>
                  <w:vMerge w:val="continue"/>
                  <w:noWrap w:val="0"/>
                  <w:vAlign w:val="center"/>
                </w:tcPr>
                <w:p>
                  <w:pPr>
                    <w:overflowPunct w:val="0"/>
                    <w:spacing w:before="0"/>
                    <w:ind w:firstLine="0" w:firstLineChars="0"/>
                    <w:jc w:val="center"/>
                    <w:rPr>
                      <w:color w:val="auto"/>
                      <w:kern w:val="0"/>
                      <w:sz w:val="21"/>
                      <w:szCs w:val="21"/>
                      <w:highlight w:val="red"/>
                    </w:rPr>
                  </w:pPr>
                </w:p>
              </w:tc>
              <w:tc>
                <w:tcPr>
                  <w:tcW w:w="842" w:type="pct"/>
                  <w:noWrap w:val="0"/>
                  <w:vAlign w:val="center"/>
                </w:tcPr>
                <w:p>
                  <w:pPr>
                    <w:overflowPunct w:val="0"/>
                    <w:spacing w:before="0"/>
                    <w:ind w:firstLine="0" w:firstLineChars="0"/>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5</w:t>
                  </w:r>
                  <w:r>
                    <w:rPr>
                      <w:color w:val="auto"/>
                      <w:kern w:val="0"/>
                      <w:sz w:val="21"/>
                      <w:szCs w:val="21"/>
                      <w:highlight w:val="none"/>
                    </w:rPr>
                    <w:t>#罐组</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30</w:t>
                  </w:r>
                </w:p>
              </w:tc>
              <w:tc>
                <w:tcPr>
                  <w:tcW w:w="430"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47.64</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5.1.7注3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highlight w:val="red"/>
                    </w:rPr>
                  </w:pPr>
                </w:p>
              </w:tc>
              <w:tc>
                <w:tcPr>
                  <w:tcW w:w="286" w:type="pct"/>
                  <w:vMerge w:val="continue"/>
                  <w:noWrap w:val="0"/>
                  <w:vAlign w:val="center"/>
                </w:tcPr>
                <w:p>
                  <w:pPr>
                    <w:overflowPunct w:val="0"/>
                    <w:spacing w:before="0"/>
                    <w:ind w:firstLine="0" w:firstLineChars="0"/>
                    <w:jc w:val="center"/>
                    <w:rPr>
                      <w:color w:val="auto"/>
                      <w:kern w:val="0"/>
                      <w:sz w:val="21"/>
                      <w:szCs w:val="21"/>
                      <w:highlight w:val="red"/>
                    </w:rPr>
                  </w:pPr>
                </w:p>
              </w:tc>
              <w:tc>
                <w:tcPr>
                  <w:tcW w:w="842"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6</w:t>
                  </w:r>
                  <w:r>
                    <w:rPr>
                      <w:color w:val="auto"/>
                      <w:kern w:val="0"/>
                      <w:sz w:val="21"/>
                      <w:szCs w:val="21"/>
                      <w:highlight w:val="none"/>
                    </w:rPr>
                    <w:t>#罐组</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30</w:t>
                  </w:r>
                </w:p>
              </w:tc>
              <w:tc>
                <w:tcPr>
                  <w:tcW w:w="430"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.38.42</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5.1.7注3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highlight w:val="none"/>
                    </w:rPr>
                  </w:pPr>
                </w:p>
              </w:tc>
              <w:tc>
                <w:tcPr>
                  <w:tcW w:w="286" w:type="pct"/>
                  <w:vMerge w:val="continue"/>
                  <w:noWrap w:val="0"/>
                  <w:vAlign w:val="center"/>
                </w:tcPr>
                <w:p>
                  <w:pPr>
                    <w:overflowPunct w:val="0"/>
                    <w:spacing w:before="0"/>
                    <w:ind w:firstLine="0" w:firstLineChars="0"/>
                    <w:jc w:val="center"/>
                    <w:rPr>
                      <w:color w:val="auto"/>
                      <w:kern w:val="0"/>
                      <w:sz w:val="21"/>
                      <w:szCs w:val="21"/>
                      <w:highlight w:val="none"/>
                    </w:rPr>
                  </w:pP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装车泵区</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11</w:t>
                  </w:r>
                </w:p>
              </w:tc>
              <w:tc>
                <w:tcPr>
                  <w:tcW w:w="430"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40.87</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lang w:val="en-US" w:eastAsia="zh-CN"/>
                    </w:rPr>
                    <w:t>第</w:t>
                  </w:r>
                  <w:r>
                    <w:rPr>
                      <w:rFonts w:hint="eastAsia"/>
                      <w:color w:val="auto"/>
                      <w:kern w:val="0"/>
                      <w:sz w:val="21"/>
                      <w:szCs w:val="21"/>
                      <w:highlight w:val="none"/>
                    </w:rPr>
                    <w:t xml:space="preserve"> </w:t>
                  </w:r>
                  <w:r>
                    <w:rPr>
                      <w:rFonts w:hint="eastAsia"/>
                      <w:color w:val="auto"/>
                      <w:kern w:val="0"/>
                      <w:sz w:val="21"/>
                      <w:szCs w:val="21"/>
                      <w:highlight w:val="none"/>
                      <w:lang w:val="en-US" w:eastAsia="zh-CN"/>
                    </w:rPr>
                    <w:t>5.1.14.3条</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none"/>
                    </w:rPr>
                  </w:pPr>
                </w:p>
              </w:tc>
              <w:tc>
                <w:tcPr>
                  <w:tcW w:w="286" w:type="pct"/>
                  <w:vMerge w:val="restar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西</w:t>
                  </w:r>
                </w:p>
              </w:tc>
              <w:tc>
                <w:tcPr>
                  <w:tcW w:w="842"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油气回收装置</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11</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15.43</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《油气回收处理设施技术标准》GB/T50759-2022</w:t>
                  </w:r>
                </w:p>
                <w:p>
                  <w:pPr>
                    <w:overflowPunct w:val="0"/>
                    <w:spacing w:before="0"/>
                    <w:ind w:firstLine="0" w:firstLineChars="0"/>
                    <w:jc w:val="center"/>
                    <w:rPr>
                      <w:color w:val="auto"/>
                      <w:kern w:val="0"/>
                      <w:sz w:val="21"/>
                      <w:szCs w:val="21"/>
                      <w:highlight w:val="none"/>
                    </w:rPr>
                  </w:pPr>
                  <w:r>
                    <w:rPr>
                      <w:color w:val="auto"/>
                      <w:kern w:val="0"/>
                      <w:sz w:val="21"/>
                      <w:szCs w:val="21"/>
                      <w:highlight w:val="none"/>
                    </w:rPr>
                    <w:t>4.0.12注4</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yellow"/>
                    </w:rPr>
                  </w:pPr>
                </w:p>
              </w:tc>
              <w:tc>
                <w:tcPr>
                  <w:tcW w:w="286" w:type="pct"/>
                  <w:vMerge w:val="continue"/>
                  <w:noWrap w:val="0"/>
                  <w:vAlign w:val="center"/>
                </w:tcPr>
                <w:p>
                  <w:pPr>
                    <w:overflowPunct w:val="0"/>
                    <w:spacing w:before="0"/>
                    <w:ind w:firstLine="0" w:firstLineChars="0"/>
                    <w:jc w:val="center"/>
                    <w:rPr>
                      <w:color w:val="auto"/>
                      <w:kern w:val="0"/>
                      <w:sz w:val="21"/>
                      <w:szCs w:val="21"/>
                      <w:highlight w:val="yellow"/>
                    </w:rPr>
                  </w:pPr>
                </w:p>
              </w:tc>
              <w:tc>
                <w:tcPr>
                  <w:tcW w:w="842" w:type="pct"/>
                  <w:noWrap w:val="0"/>
                  <w:vAlign w:val="center"/>
                </w:tcPr>
                <w:p>
                  <w:pPr>
                    <w:overflowPunct w:val="0"/>
                    <w:spacing w:before="0"/>
                    <w:ind w:firstLine="0" w:firstLineChars="0"/>
                    <w:jc w:val="center"/>
                    <w:rPr>
                      <w:rFonts w:hint="eastAsia" w:eastAsia="宋体"/>
                      <w:color w:val="auto"/>
                      <w:kern w:val="0"/>
                      <w:sz w:val="21"/>
                      <w:szCs w:val="21"/>
                      <w:highlight w:val="none"/>
                      <w:lang w:val="en-US" w:eastAsia="zh-CN"/>
                    </w:rPr>
                  </w:pPr>
                  <w:r>
                    <w:rPr>
                      <w:rFonts w:hint="eastAsia"/>
                      <w:color w:val="auto"/>
                      <w:kern w:val="0"/>
                      <w:sz w:val="21"/>
                      <w:szCs w:val="21"/>
                      <w:highlight w:val="none"/>
                    </w:rPr>
                    <w:t>装卸车</w:t>
                  </w:r>
                  <w:r>
                    <w:rPr>
                      <w:rFonts w:hint="eastAsia"/>
                      <w:color w:val="auto"/>
                      <w:kern w:val="0"/>
                      <w:sz w:val="21"/>
                      <w:szCs w:val="21"/>
                      <w:highlight w:val="none"/>
                      <w:lang w:val="en-US" w:eastAsia="zh-CN"/>
                    </w:rPr>
                    <w:t>鹤管</w:t>
                  </w:r>
                </w:p>
              </w:tc>
              <w:tc>
                <w:tcPr>
                  <w:tcW w:w="421"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15</w:t>
                  </w:r>
                </w:p>
              </w:tc>
              <w:tc>
                <w:tcPr>
                  <w:tcW w:w="430" w:type="pct"/>
                  <w:noWrap w:val="0"/>
                  <w:vAlign w:val="center"/>
                </w:tcPr>
                <w:p>
                  <w:pPr>
                    <w:overflowPunct w:val="0"/>
                    <w:spacing w:before="0"/>
                    <w:ind w:firstLine="0" w:firstLineChars="0"/>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93.7</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5.1.</w:t>
                  </w:r>
                  <w:r>
                    <w:rPr>
                      <w:rFonts w:hint="eastAsia"/>
                      <w:color w:val="auto"/>
                      <w:kern w:val="0"/>
                      <w:sz w:val="21"/>
                      <w:szCs w:val="21"/>
                      <w:highlight w:val="none"/>
                      <w:lang w:val="en-US" w:eastAsia="zh-CN"/>
                    </w:rPr>
                    <w:t>14.3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highlight w:val="yellow"/>
                    </w:rPr>
                  </w:pPr>
                </w:p>
              </w:tc>
              <w:tc>
                <w:tcPr>
                  <w:tcW w:w="286" w:type="pct"/>
                  <w:vMerge w:val="continue"/>
                  <w:noWrap w:val="0"/>
                  <w:vAlign w:val="center"/>
                </w:tcPr>
                <w:p>
                  <w:pPr>
                    <w:overflowPunct w:val="0"/>
                    <w:spacing w:before="0"/>
                    <w:ind w:firstLine="0" w:firstLineChars="0"/>
                    <w:jc w:val="center"/>
                    <w:rPr>
                      <w:color w:val="auto"/>
                      <w:kern w:val="0"/>
                      <w:sz w:val="21"/>
                      <w:szCs w:val="21"/>
                      <w:highlight w:val="yellow"/>
                    </w:rPr>
                  </w:pPr>
                </w:p>
              </w:tc>
              <w:tc>
                <w:tcPr>
                  <w:tcW w:w="842"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打料泵区</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11</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27.48</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color w:val="auto"/>
                      <w:kern w:val="0"/>
                      <w:sz w:val="21"/>
                      <w:szCs w:val="21"/>
                      <w:highlight w:val="none"/>
                    </w:rPr>
                    <w:t>5.1.</w:t>
                  </w:r>
                  <w:r>
                    <w:rPr>
                      <w:rFonts w:hint="eastAsia"/>
                      <w:color w:val="auto"/>
                      <w:kern w:val="0"/>
                      <w:sz w:val="21"/>
                      <w:szCs w:val="21"/>
                      <w:highlight w:val="none"/>
                      <w:lang w:val="en-US" w:eastAsia="zh-CN"/>
                    </w:rPr>
                    <w:t>14.3</w:t>
                  </w:r>
                </w:p>
              </w:tc>
              <w:tc>
                <w:tcPr>
                  <w:tcW w:w="356" w:type="pct"/>
                  <w:noWrap w:val="0"/>
                  <w:vAlign w:val="center"/>
                </w:tcPr>
                <w:p>
                  <w:pPr>
                    <w:overflowPunct w:val="0"/>
                    <w:spacing w:before="0"/>
                    <w:ind w:firstLine="0" w:firstLineChars="0"/>
                    <w:jc w:val="center"/>
                    <w:rPr>
                      <w:color w:val="auto"/>
                      <w:kern w:val="0"/>
                      <w:sz w:val="21"/>
                      <w:szCs w:val="21"/>
                      <w:highlight w:val="none"/>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color w:val="auto"/>
                      <w:kern w:val="0"/>
                      <w:sz w:val="21"/>
                      <w:szCs w:val="21"/>
                    </w:rPr>
                  </w:pPr>
                  <w:r>
                    <w:rPr>
                      <w:color w:val="auto"/>
                      <w:kern w:val="0"/>
                      <w:sz w:val="21"/>
                      <w:szCs w:val="21"/>
                    </w:rPr>
                    <w:t>5#罐组</w:t>
                  </w:r>
                </w:p>
              </w:tc>
              <w:tc>
                <w:tcPr>
                  <w:tcW w:w="286" w:type="pct"/>
                  <w:vMerge w:val="restart"/>
                  <w:noWrap w:val="0"/>
                  <w:vAlign w:val="center"/>
                </w:tcPr>
                <w:p>
                  <w:pPr>
                    <w:overflowPunct w:val="0"/>
                    <w:spacing w:before="0"/>
                    <w:ind w:firstLine="0" w:firstLineChars="0"/>
                    <w:jc w:val="center"/>
                    <w:rPr>
                      <w:color w:val="auto"/>
                      <w:kern w:val="0"/>
                      <w:sz w:val="21"/>
                      <w:szCs w:val="21"/>
                    </w:rPr>
                  </w:pPr>
                  <w:r>
                    <w:rPr>
                      <w:color w:val="auto"/>
                      <w:kern w:val="0"/>
                      <w:sz w:val="21"/>
                      <w:szCs w:val="21"/>
                    </w:rPr>
                    <w:t>北</w:t>
                  </w:r>
                </w:p>
              </w:tc>
              <w:tc>
                <w:tcPr>
                  <w:tcW w:w="842" w:type="pct"/>
                  <w:noWrap w:val="0"/>
                  <w:vAlign w:val="center"/>
                </w:tcPr>
                <w:p>
                  <w:pPr>
                    <w:overflowPunct w:val="0"/>
                    <w:spacing w:before="0"/>
                    <w:ind w:firstLine="0" w:firstLineChars="0"/>
                    <w:jc w:val="center"/>
                    <w:rPr>
                      <w:color w:val="auto"/>
                      <w:kern w:val="0"/>
                      <w:sz w:val="21"/>
                      <w:szCs w:val="21"/>
                      <w:highlight w:val="yellow"/>
                    </w:rPr>
                  </w:pPr>
                  <w:r>
                    <w:rPr>
                      <w:color w:val="auto"/>
                      <w:kern w:val="0"/>
                      <w:sz w:val="21"/>
                      <w:szCs w:val="21"/>
                    </w:rPr>
                    <w:t>装车泵区</w:t>
                  </w:r>
                </w:p>
              </w:tc>
              <w:tc>
                <w:tcPr>
                  <w:tcW w:w="421" w:type="pct"/>
                  <w:noWrap w:val="0"/>
                  <w:vAlign w:val="center"/>
                </w:tcPr>
                <w:p>
                  <w:pPr>
                    <w:overflowPunct w:val="0"/>
                    <w:spacing w:before="0"/>
                    <w:ind w:firstLine="0" w:firstLineChars="0"/>
                    <w:jc w:val="center"/>
                    <w:rPr>
                      <w:rFonts w:hint="eastAsia" w:eastAsia="宋体"/>
                      <w:color w:val="auto"/>
                      <w:kern w:val="0"/>
                      <w:sz w:val="21"/>
                      <w:szCs w:val="21"/>
                      <w:highlight w:val="yellow"/>
                      <w:lang w:eastAsia="zh-CN"/>
                    </w:rPr>
                  </w:pPr>
                  <w:r>
                    <w:rPr>
                      <w:rFonts w:hint="eastAsia"/>
                      <w:color w:val="auto"/>
                      <w:kern w:val="0"/>
                      <w:sz w:val="21"/>
                      <w:szCs w:val="21"/>
                      <w:lang w:val="en-US" w:eastAsia="zh-CN"/>
                    </w:rPr>
                    <w:t>9</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yellow"/>
                      <w:lang w:val="en-US" w:eastAsia="zh-CN"/>
                    </w:rPr>
                  </w:pPr>
                  <w:r>
                    <w:rPr>
                      <w:color w:val="auto"/>
                      <w:kern w:val="0"/>
                      <w:sz w:val="21"/>
                      <w:szCs w:val="21"/>
                    </w:rPr>
                    <w:t>13</w:t>
                  </w:r>
                  <w:r>
                    <w:rPr>
                      <w:rFonts w:hint="eastAsia"/>
                      <w:color w:val="auto"/>
                      <w:kern w:val="0"/>
                      <w:sz w:val="21"/>
                      <w:szCs w:val="21"/>
                      <w:lang w:val="en-US" w:eastAsia="zh-CN"/>
                    </w:rPr>
                    <w:t>.3</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yellow"/>
                    </w:rPr>
                  </w:pPr>
                  <w:r>
                    <w:rPr>
                      <w:color w:val="auto"/>
                      <w:kern w:val="0"/>
                      <w:sz w:val="21"/>
                      <w:szCs w:val="21"/>
                      <w:highlight w:val="none"/>
                    </w:rPr>
                    <w:t>5.1.</w:t>
                  </w:r>
                  <w:r>
                    <w:rPr>
                      <w:rFonts w:hint="eastAsia"/>
                      <w:color w:val="auto"/>
                      <w:kern w:val="0"/>
                      <w:sz w:val="21"/>
                      <w:szCs w:val="21"/>
                      <w:highlight w:val="none"/>
                      <w:lang w:val="en-US" w:eastAsia="zh-CN"/>
                    </w:rPr>
                    <w:t>14.3</w:t>
                  </w:r>
                </w:p>
              </w:tc>
              <w:tc>
                <w:tcPr>
                  <w:tcW w:w="356" w:type="pct"/>
                  <w:noWrap w:val="0"/>
                  <w:vAlign w:val="center"/>
                </w:tcPr>
                <w:p>
                  <w:pPr>
                    <w:overflowPunct w:val="0"/>
                    <w:spacing w:before="0"/>
                    <w:ind w:firstLine="0" w:firstLineChars="0"/>
                    <w:jc w:val="center"/>
                    <w:rPr>
                      <w:color w:val="auto"/>
                      <w:kern w:val="0"/>
                      <w:sz w:val="21"/>
                      <w:szCs w:val="21"/>
                      <w:highlight w:val="yellow"/>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rPr>
                  </w:pPr>
                </w:p>
              </w:tc>
              <w:tc>
                <w:tcPr>
                  <w:tcW w:w="286" w:type="pct"/>
                  <w:vMerge w:val="continue"/>
                  <w:noWrap w:val="0"/>
                  <w:vAlign w:val="center"/>
                </w:tcPr>
                <w:p>
                  <w:pPr>
                    <w:overflowPunct w:val="0"/>
                    <w:spacing w:before="0"/>
                    <w:ind w:firstLine="0" w:firstLineChars="0"/>
                    <w:jc w:val="center"/>
                    <w:rPr>
                      <w:color w:val="auto"/>
                      <w:kern w:val="0"/>
                      <w:sz w:val="21"/>
                      <w:szCs w:val="21"/>
                    </w:rPr>
                  </w:pPr>
                </w:p>
              </w:tc>
              <w:tc>
                <w:tcPr>
                  <w:tcW w:w="842"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highlight w:val="none"/>
                      <w:lang w:val="en-US" w:eastAsia="zh-CN"/>
                    </w:rPr>
                    <w:t>4</w:t>
                  </w:r>
                  <w:r>
                    <w:rPr>
                      <w:color w:val="auto"/>
                      <w:kern w:val="0"/>
                      <w:sz w:val="21"/>
                      <w:szCs w:val="21"/>
                      <w:highlight w:val="none"/>
                    </w:rPr>
                    <w:t>#罐组</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30</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47.64</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rPr>
                  </w:pPr>
                  <w:r>
                    <w:rPr>
                      <w:color w:val="auto"/>
                      <w:kern w:val="0"/>
                      <w:sz w:val="21"/>
                      <w:szCs w:val="21"/>
                      <w:highlight w:val="none"/>
                    </w:rPr>
                    <w:t>5.1.7注3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东南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库区围墙</w:t>
                  </w:r>
                </w:p>
              </w:tc>
              <w:tc>
                <w:tcPr>
                  <w:tcW w:w="421" w:type="pct"/>
                  <w:noWrap w:val="0"/>
                  <w:vAlign w:val="center"/>
                </w:tcPr>
                <w:p>
                  <w:pPr>
                    <w:overflowPunct w:val="0"/>
                    <w:spacing w:before="0"/>
                    <w:ind w:firstLine="0" w:firstLineChars="0"/>
                    <w:jc w:val="center"/>
                    <w:rPr>
                      <w:rFonts w:hint="eastAsia" w:eastAsia="宋体"/>
                      <w:color w:val="auto"/>
                      <w:kern w:val="0"/>
                      <w:sz w:val="21"/>
                      <w:szCs w:val="21"/>
                      <w:lang w:eastAsia="zh-CN"/>
                    </w:rPr>
                  </w:pPr>
                  <w:r>
                    <w:rPr>
                      <w:rFonts w:hint="eastAsia"/>
                      <w:color w:val="auto"/>
                      <w:kern w:val="0"/>
                      <w:sz w:val="21"/>
                      <w:szCs w:val="21"/>
                      <w:lang w:val="en-US" w:eastAsia="zh-CN"/>
                    </w:rPr>
                    <w:t>6</w:t>
                  </w:r>
                </w:p>
              </w:tc>
              <w:tc>
                <w:tcPr>
                  <w:tcW w:w="430" w:type="pct"/>
                  <w:noWrap w:val="0"/>
                  <w:vAlign w:val="center"/>
                </w:tcPr>
                <w:p>
                  <w:pPr>
                    <w:overflowPunct w:val="0"/>
                    <w:spacing w:before="0"/>
                    <w:ind w:firstLine="0" w:firstLineChars="0"/>
                    <w:jc w:val="center"/>
                    <w:rPr>
                      <w:color w:val="auto"/>
                      <w:kern w:val="0"/>
                      <w:sz w:val="21"/>
                      <w:szCs w:val="21"/>
                    </w:rPr>
                  </w:pPr>
                  <w:r>
                    <w:rPr>
                      <w:color w:val="auto"/>
                      <w:kern w:val="0"/>
                      <w:sz w:val="21"/>
                      <w:szCs w:val="21"/>
                    </w:rPr>
                    <w:t>22</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库区围墙</w:t>
                  </w:r>
                </w:p>
              </w:tc>
              <w:tc>
                <w:tcPr>
                  <w:tcW w:w="421" w:type="pct"/>
                  <w:noWrap w:val="0"/>
                  <w:vAlign w:val="center"/>
                </w:tcPr>
                <w:p>
                  <w:pPr>
                    <w:overflowPunct w:val="0"/>
                    <w:spacing w:before="0"/>
                    <w:ind w:firstLine="0" w:firstLineChars="0"/>
                    <w:jc w:val="center"/>
                    <w:rPr>
                      <w:rFonts w:hint="eastAsia" w:eastAsia="宋体"/>
                      <w:color w:val="auto"/>
                      <w:kern w:val="0"/>
                      <w:sz w:val="21"/>
                      <w:szCs w:val="21"/>
                      <w:lang w:eastAsia="zh-CN"/>
                    </w:rPr>
                  </w:pPr>
                  <w:r>
                    <w:rPr>
                      <w:rFonts w:hint="eastAsia"/>
                      <w:color w:val="auto"/>
                      <w:kern w:val="0"/>
                      <w:sz w:val="21"/>
                      <w:szCs w:val="21"/>
                      <w:lang w:val="en-US" w:eastAsia="zh-CN"/>
                    </w:rPr>
                    <w:t>6</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23.56</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rFonts w:hint="eastAsia"/>
                      <w:color w:val="auto"/>
                      <w:kern w:val="0"/>
                      <w:sz w:val="21"/>
                      <w:szCs w:val="21"/>
                    </w:rPr>
                  </w:pPr>
                  <w:r>
                    <w:rPr>
                      <w:rFonts w:hint="eastAsia"/>
                      <w:color w:val="auto"/>
                      <w:kern w:val="0"/>
                      <w:sz w:val="21"/>
                      <w:szCs w:val="21"/>
                    </w:rPr>
                    <w:t>6#罐区</w:t>
                  </w:r>
                </w:p>
              </w:tc>
              <w:tc>
                <w:tcPr>
                  <w:tcW w:w="286" w:type="pct"/>
                  <w:vMerge w:val="restart"/>
                  <w:noWrap w:val="0"/>
                  <w:vAlign w:val="center"/>
                </w:tcPr>
                <w:p>
                  <w:pPr>
                    <w:overflowPunct w:val="0"/>
                    <w:spacing w:before="0"/>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东</w:t>
                  </w:r>
                </w:p>
              </w:tc>
              <w:tc>
                <w:tcPr>
                  <w:tcW w:w="842" w:type="pct"/>
                  <w:noWrap w:val="0"/>
                  <w:vAlign w:val="center"/>
                </w:tcPr>
                <w:p>
                  <w:pPr>
                    <w:overflowPunct w:val="0"/>
                    <w:spacing w:before="0"/>
                    <w:ind w:firstLine="0" w:firstLineChars="0"/>
                    <w:jc w:val="center"/>
                    <w:rPr>
                      <w:rFonts w:hint="eastAsia" w:eastAsia="宋体"/>
                      <w:color w:val="auto"/>
                      <w:kern w:val="0"/>
                      <w:sz w:val="21"/>
                      <w:szCs w:val="21"/>
                      <w:lang w:eastAsia="zh-CN"/>
                    </w:rPr>
                  </w:pPr>
                  <w:r>
                    <w:rPr>
                      <w:rFonts w:hint="eastAsia"/>
                      <w:color w:val="auto"/>
                      <w:kern w:val="0"/>
                      <w:sz w:val="21"/>
                      <w:szCs w:val="21"/>
                      <w:highlight w:val="none"/>
                      <w:lang w:val="en-US" w:eastAsia="zh-CN"/>
                    </w:rPr>
                    <w:t>4</w:t>
                  </w:r>
                  <w:r>
                    <w:rPr>
                      <w:color w:val="auto"/>
                      <w:kern w:val="0"/>
                      <w:sz w:val="21"/>
                      <w:szCs w:val="21"/>
                      <w:highlight w:val="none"/>
                    </w:rPr>
                    <w:t>#罐组</w:t>
                  </w:r>
                </w:p>
              </w:tc>
              <w:tc>
                <w:tcPr>
                  <w:tcW w:w="421"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30</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38.42</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rFonts w:hint="eastAsia"/>
                      <w:color w:val="auto"/>
                      <w:kern w:val="0"/>
                      <w:sz w:val="21"/>
                      <w:szCs w:val="21"/>
                    </w:rPr>
                  </w:pPr>
                  <w:r>
                    <w:rPr>
                      <w:color w:val="auto"/>
                      <w:kern w:val="0"/>
                      <w:sz w:val="21"/>
                      <w:szCs w:val="21"/>
                      <w:highlight w:val="none"/>
                    </w:rPr>
                    <w:t>5.1.7注3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rPr>
                  </w:pPr>
                </w:p>
              </w:tc>
              <w:tc>
                <w:tcPr>
                  <w:tcW w:w="286" w:type="pct"/>
                  <w:vMerge w:val="continue"/>
                  <w:noWrap w:val="0"/>
                  <w:vAlign w:val="center"/>
                </w:tcPr>
                <w:p>
                  <w:pPr>
                    <w:overflowPunct w:val="0"/>
                    <w:spacing w:before="0"/>
                    <w:ind w:firstLine="0" w:firstLineChars="0"/>
                    <w:jc w:val="center"/>
                    <w:rPr>
                      <w:rFonts w:hint="eastAsia"/>
                      <w:color w:val="auto"/>
                      <w:kern w:val="0"/>
                      <w:sz w:val="21"/>
                      <w:szCs w:val="21"/>
                      <w:lang w:val="en-US" w:eastAsia="zh-CN"/>
                    </w:rPr>
                  </w:pPr>
                </w:p>
              </w:tc>
              <w:tc>
                <w:tcPr>
                  <w:tcW w:w="842" w:type="pct"/>
                  <w:noWrap w:val="0"/>
                  <w:vAlign w:val="center"/>
                </w:tcPr>
                <w:p>
                  <w:pPr>
                    <w:overflowPunct w:val="0"/>
                    <w:spacing w:before="0"/>
                    <w:ind w:firstLine="0" w:firstLineChars="0"/>
                    <w:jc w:val="center"/>
                    <w:rPr>
                      <w:rFonts w:hint="eastAsia"/>
                      <w:color w:val="auto"/>
                      <w:kern w:val="0"/>
                      <w:sz w:val="21"/>
                      <w:szCs w:val="21"/>
                      <w:highlight w:val="none"/>
                    </w:rPr>
                  </w:pPr>
                  <w:r>
                    <w:rPr>
                      <w:rFonts w:ascii="微软雅黑" w:hAnsi="微软雅黑" w:eastAsia="微软雅黑" w:cs="微软雅黑"/>
                      <w:b w:val="0"/>
                      <w:bCs w:val="0"/>
                      <w:i w:val="0"/>
                      <w:iCs w:val="0"/>
                      <w:caps w:val="0"/>
                      <w:color w:val="auto"/>
                      <w:spacing w:val="0"/>
                      <w:sz w:val="21"/>
                      <w:szCs w:val="21"/>
                      <w:shd w:val="clear" w:color="auto" w:fill="FFFFFF"/>
                    </w:rPr>
                    <w:t>消防车道</w:t>
                  </w:r>
                </w:p>
              </w:tc>
              <w:tc>
                <w:tcPr>
                  <w:tcW w:w="421"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3</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4</w:t>
                  </w:r>
                </w:p>
              </w:tc>
              <w:tc>
                <w:tcPr>
                  <w:tcW w:w="2268" w:type="pct"/>
                  <w:noWrap w:val="0"/>
                  <w:vAlign w:val="center"/>
                </w:tcPr>
                <w:p>
                  <w:pPr>
                    <w:overflowPunct w:val="0"/>
                    <w:spacing w:before="0"/>
                    <w:ind w:firstLine="0" w:firstLineChars="0"/>
                    <w:jc w:val="center"/>
                    <w:rPr>
                      <w:color w:val="auto"/>
                      <w:kern w:val="0"/>
                      <w:sz w:val="21"/>
                      <w:szCs w:val="21"/>
                      <w:highlight w:val="none"/>
                    </w:rPr>
                  </w:pPr>
                  <w:r>
                    <w:rPr>
                      <w:rFonts w:hint="eastAsia"/>
                      <w:color w:val="auto"/>
                      <w:kern w:val="0"/>
                      <w:sz w:val="21"/>
                      <w:szCs w:val="21"/>
                      <w:highlight w:val="none"/>
                    </w:rPr>
                    <w:t>《石油库设计规范》GB50074-2014</w:t>
                  </w:r>
                </w:p>
                <w:p>
                  <w:pPr>
                    <w:overflowPunct w:val="0"/>
                    <w:spacing w:before="0"/>
                    <w:ind w:firstLine="0" w:firstLineChars="0"/>
                    <w:jc w:val="center"/>
                    <w:rPr>
                      <w:color w:val="auto"/>
                      <w:kern w:val="0"/>
                      <w:sz w:val="21"/>
                      <w:szCs w:val="21"/>
                      <w:highlight w:val="none"/>
                    </w:rPr>
                  </w:pPr>
                  <w:r>
                    <w:rPr>
                      <w:rFonts w:ascii="微软雅黑" w:hAnsi="微软雅黑" w:eastAsia="微软雅黑" w:cs="微软雅黑"/>
                      <w:b w:val="0"/>
                      <w:bCs w:val="0"/>
                      <w:i w:val="0"/>
                      <w:iCs w:val="0"/>
                      <w:caps w:val="0"/>
                      <w:color w:val="auto"/>
                      <w:spacing w:val="0"/>
                      <w:sz w:val="21"/>
                      <w:szCs w:val="21"/>
                      <w:shd w:val="clear" w:color="auto" w:fill="FFFFFF"/>
                    </w:rPr>
                    <w:t>5.2.7</w:t>
                  </w:r>
                </w:p>
              </w:tc>
              <w:tc>
                <w:tcPr>
                  <w:tcW w:w="356" w:type="pct"/>
                  <w:noWrap w:val="0"/>
                  <w:vAlign w:val="center"/>
                </w:tcPr>
                <w:p>
                  <w:pPr>
                    <w:overflowPunct w:val="0"/>
                    <w:spacing w:before="0"/>
                    <w:ind w:firstLine="0" w:firstLineChars="0"/>
                    <w:jc w:val="center"/>
                    <w:rPr>
                      <w:color w:val="auto"/>
                      <w:kern w:val="0"/>
                      <w:sz w:val="21"/>
                      <w:szCs w:val="21"/>
                      <w:lang w:val="en-US" w:eastAsia="zh-CN" w:bidi="ar-SA"/>
                    </w:rPr>
                  </w:pPr>
                  <w:r>
                    <w:rPr>
                      <w:color w:val="auto"/>
                      <w:kern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rPr>
                  </w:pPr>
                </w:p>
              </w:tc>
              <w:tc>
                <w:tcPr>
                  <w:tcW w:w="286" w:type="pct"/>
                  <w:noWrap w:val="0"/>
                  <w:vAlign w:val="center"/>
                </w:tcPr>
                <w:p>
                  <w:pPr>
                    <w:overflowPunct w:val="0"/>
                    <w:spacing w:before="0"/>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东南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库区围墙</w:t>
                  </w:r>
                </w:p>
              </w:tc>
              <w:tc>
                <w:tcPr>
                  <w:tcW w:w="421"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7.5</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26.33</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rFonts w:hint="eastAsia"/>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rPr>
                  </w:pPr>
                </w:p>
              </w:tc>
              <w:tc>
                <w:tcPr>
                  <w:tcW w:w="286"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西南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库区围墙</w:t>
                  </w:r>
                </w:p>
              </w:tc>
              <w:tc>
                <w:tcPr>
                  <w:tcW w:w="421"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7.5</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25</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rFonts w:hint="eastAsia"/>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rPr>
                  </w:pPr>
                </w:p>
              </w:tc>
              <w:tc>
                <w:tcPr>
                  <w:tcW w:w="286" w:type="pct"/>
                  <w:noWrap w:val="0"/>
                  <w:vAlign w:val="center"/>
                </w:tcPr>
                <w:p>
                  <w:pPr>
                    <w:overflowPunct w:val="0"/>
                    <w:spacing w:before="0"/>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西</w:t>
                  </w:r>
                </w:p>
              </w:tc>
              <w:tc>
                <w:tcPr>
                  <w:tcW w:w="842"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零位罐</w:t>
                  </w:r>
                </w:p>
              </w:tc>
              <w:tc>
                <w:tcPr>
                  <w:tcW w:w="421"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11</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14.34</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rFonts w:hint="eastAsia"/>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rFonts w:hint="eastAsia"/>
                      <w:color w:val="auto"/>
                      <w:kern w:val="0"/>
                      <w:sz w:val="21"/>
                      <w:szCs w:val="21"/>
                    </w:rPr>
                  </w:pPr>
                </w:p>
              </w:tc>
              <w:tc>
                <w:tcPr>
                  <w:tcW w:w="286" w:type="pct"/>
                  <w:noWrap w:val="0"/>
                  <w:vAlign w:val="center"/>
                </w:tcPr>
                <w:p>
                  <w:pPr>
                    <w:overflowPunct w:val="0"/>
                    <w:spacing w:before="0"/>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北</w:t>
                  </w:r>
                </w:p>
              </w:tc>
              <w:tc>
                <w:tcPr>
                  <w:tcW w:w="842"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装卸车区</w:t>
                  </w:r>
                </w:p>
              </w:tc>
              <w:tc>
                <w:tcPr>
                  <w:tcW w:w="421"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15</w:t>
                  </w:r>
                </w:p>
              </w:tc>
              <w:tc>
                <w:tcPr>
                  <w:tcW w:w="430" w:type="pct"/>
                  <w:noWrap w:val="0"/>
                  <w:vAlign w:val="center"/>
                </w:tcPr>
                <w:p>
                  <w:pPr>
                    <w:overflowPunct w:val="0"/>
                    <w:spacing w:before="0"/>
                    <w:ind w:firstLine="0" w:firstLineChars="0"/>
                    <w:jc w:val="center"/>
                    <w:rPr>
                      <w:rFonts w:hint="default"/>
                      <w:color w:val="auto"/>
                      <w:kern w:val="0"/>
                      <w:sz w:val="21"/>
                      <w:szCs w:val="21"/>
                      <w:lang w:val="en-US" w:eastAsia="zh-CN"/>
                    </w:rPr>
                  </w:pPr>
                  <w:r>
                    <w:rPr>
                      <w:rFonts w:hint="eastAsia"/>
                      <w:color w:val="auto"/>
                      <w:kern w:val="0"/>
                      <w:sz w:val="21"/>
                      <w:szCs w:val="21"/>
                      <w:lang w:val="en-US" w:eastAsia="zh-CN"/>
                    </w:rPr>
                    <w:t>55.03</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rFonts w:hint="eastAsia"/>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color w:val="auto"/>
                      <w:kern w:val="0"/>
                      <w:sz w:val="21"/>
                      <w:szCs w:val="21"/>
                    </w:rPr>
                  </w:pPr>
                  <w:r>
                    <w:rPr>
                      <w:color w:val="auto"/>
                      <w:kern w:val="0"/>
                      <w:sz w:val="21"/>
                      <w:szCs w:val="21"/>
                    </w:rPr>
                    <w:t>动力车间（丙类，二级）</w:t>
                  </w: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危废库</w:t>
                  </w:r>
                </w:p>
                <w:p>
                  <w:pPr>
                    <w:overflowPunct w:val="0"/>
                    <w:spacing w:before="0"/>
                    <w:ind w:firstLine="0" w:firstLineChars="0"/>
                    <w:jc w:val="center"/>
                    <w:rPr>
                      <w:color w:val="auto"/>
                      <w:kern w:val="0"/>
                      <w:sz w:val="21"/>
                      <w:szCs w:val="21"/>
                      <w:highlight w:val="yellow"/>
                    </w:rPr>
                  </w:pPr>
                  <w:r>
                    <w:rPr>
                      <w:color w:val="auto"/>
                      <w:kern w:val="0"/>
                      <w:sz w:val="21"/>
                      <w:szCs w:val="21"/>
                    </w:rPr>
                    <w:t>（丙类，二级）</w:t>
                  </w:r>
                </w:p>
              </w:tc>
              <w:tc>
                <w:tcPr>
                  <w:tcW w:w="421" w:type="pct"/>
                  <w:noWrap w:val="0"/>
                  <w:vAlign w:val="center"/>
                </w:tcPr>
                <w:p>
                  <w:pPr>
                    <w:overflowPunct w:val="0"/>
                    <w:spacing w:before="0"/>
                    <w:ind w:firstLine="0" w:firstLineChars="0"/>
                    <w:jc w:val="center"/>
                    <w:rPr>
                      <w:rFonts w:hint="default" w:eastAsia="宋体"/>
                      <w:color w:val="auto"/>
                      <w:kern w:val="0"/>
                      <w:sz w:val="21"/>
                      <w:szCs w:val="21"/>
                      <w:highlight w:val="yellow"/>
                      <w:lang w:val="en-US" w:eastAsia="zh-CN"/>
                    </w:rPr>
                  </w:pPr>
                  <w:r>
                    <w:rPr>
                      <w:rFonts w:hint="eastAsia"/>
                      <w:color w:val="auto"/>
                      <w:kern w:val="0"/>
                      <w:sz w:val="21"/>
                      <w:szCs w:val="21"/>
                      <w:lang w:val="en-US" w:eastAsia="zh-CN"/>
                    </w:rPr>
                    <w:t>10</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yellow"/>
                      <w:lang w:val="en-US" w:eastAsia="zh-CN"/>
                    </w:rPr>
                  </w:pPr>
                  <w:r>
                    <w:rPr>
                      <w:rFonts w:hint="eastAsia"/>
                      <w:color w:val="auto"/>
                      <w:kern w:val="0"/>
                      <w:sz w:val="21"/>
                      <w:szCs w:val="21"/>
                      <w:lang w:val="en-US" w:eastAsia="zh-CN"/>
                    </w:rPr>
                    <w:t>30</w:t>
                  </w:r>
                </w:p>
              </w:tc>
              <w:tc>
                <w:tcPr>
                  <w:tcW w:w="2268" w:type="pct"/>
                  <w:noWrap w:val="0"/>
                  <w:vAlign w:val="center"/>
                </w:tcPr>
                <w:p>
                  <w:pPr>
                    <w:overflowPunct w:val="0"/>
                    <w:spacing w:before="0"/>
                    <w:ind w:firstLine="0" w:firstLineChars="0"/>
                    <w:jc w:val="center"/>
                    <w:rPr>
                      <w:color w:val="auto"/>
                      <w:kern w:val="0"/>
                      <w:sz w:val="21"/>
                      <w:szCs w:val="21"/>
                      <w:highlight w:val="yellow"/>
                    </w:rPr>
                  </w:pPr>
                  <w:r>
                    <w:rPr>
                      <w:rFonts w:hint="eastAsia"/>
                      <w:color w:val="auto"/>
                      <w:kern w:val="0"/>
                      <w:sz w:val="21"/>
                      <w:szCs w:val="21"/>
                    </w:rPr>
                    <w:t>《建设设计防火规范》GB50016-2014（2018年版）</w:t>
                  </w:r>
                  <w:r>
                    <w:rPr>
                      <w:color w:val="auto"/>
                      <w:kern w:val="0"/>
                      <w:sz w:val="21"/>
                      <w:szCs w:val="21"/>
                    </w:rPr>
                    <w:t>表3.4.1</w:t>
                  </w:r>
                </w:p>
              </w:tc>
              <w:tc>
                <w:tcPr>
                  <w:tcW w:w="356" w:type="pct"/>
                  <w:noWrap w:val="0"/>
                  <w:vAlign w:val="center"/>
                </w:tcPr>
                <w:p>
                  <w:pPr>
                    <w:overflowPunct w:val="0"/>
                    <w:spacing w:before="0"/>
                    <w:ind w:firstLine="0" w:firstLineChars="0"/>
                    <w:jc w:val="center"/>
                    <w:rPr>
                      <w:color w:val="auto"/>
                      <w:kern w:val="0"/>
                      <w:sz w:val="21"/>
                      <w:szCs w:val="21"/>
                      <w:highlight w:val="yellow"/>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西北</w:t>
                  </w:r>
                </w:p>
              </w:tc>
              <w:tc>
                <w:tcPr>
                  <w:tcW w:w="842" w:type="pct"/>
                  <w:noWrap w:val="0"/>
                  <w:vAlign w:val="center"/>
                </w:tcPr>
                <w:p>
                  <w:pPr>
                    <w:overflowPunct w:val="0"/>
                    <w:spacing w:before="0"/>
                    <w:ind w:firstLine="0" w:firstLineChars="0"/>
                    <w:jc w:val="center"/>
                    <w:rPr>
                      <w:rFonts w:hint="eastAsia" w:eastAsia="宋体"/>
                      <w:color w:val="auto"/>
                      <w:kern w:val="0"/>
                      <w:sz w:val="21"/>
                      <w:szCs w:val="21"/>
                      <w:lang w:val="en-US" w:eastAsia="zh-CN"/>
                    </w:rPr>
                  </w:pPr>
                  <w:r>
                    <w:rPr>
                      <w:rFonts w:hint="eastAsia"/>
                      <w:color w:val="auto"/>
                      <w:kern w:val="0"/>
                      <w:sz w:val="21"/>
                      <w:szCs w:val="21"/>
                      <w:lang w:val="en-US" w:eastAsia="zh-CN"/>
                    </w:rPr>
                    <w:t>3</w:t>
                  </w:r>
                  <w:r>
                    <w:rPr>
                      <w:color w:val="auto"/>
                      <w:kern w:val="0"/>
                      <w:sz w:val="21"/>
                      <w:szCs w:val="21"/>
                    </w:rPr>
                    <w:t>#罐组</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15</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44.39</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隔油池</w:t>
                  </w:r>
                </w:p>
                <w:p>
                  <w:pPr>
                    <w:overflowPunct w:val="0"/>
                    <w:spacing w:before="0"/>
                    <w:ind w:firstLine="0" w:firstLineChars="0"/>
                    <w:jc w:val="center"/>
                    <w:rPr>
                      <w:color w:val="auto"/>
                      <w:kern w:val="0"/>
                      <w:sz w:val="21"/>
                      <w:szCs w:val="21"/>
                    </w:rPr>
                  </w:pPr>
                  <w:r>
                    <w:rPr>
                      <w:color w:val="auto"/>
                      <w:kern w:val="0"/>
                      <w:sz w:val="21"/>
                      <w:szCs w:val="21"/>
                    </w:rPr>
                    <w:t>（150m³以上有盖板）</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7.5</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24</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p>
                <w:p>
                  <w:pPr>
                    <w:overflowPunct w:val="0"/>
                    <w:spacing w:before="0"/>
                    <w:ind w:firstLine="0" w:firstLineChars="0"/>
                    <w:jc w:val="center"/>
                    <w:rPr>
                      <w:color w:val="auto"/>
                      <w:kern w:val="0"/>
                      <w:sz w:val="21"/>
                      <w:szCs w:val="21"/>
                    </w:rPr>
                  </w:pP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东北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厂区围墙</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5</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6.16</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《建设设计防火规范》GB50016-2014（2018年版）</w:t>
                  </w:r>
                  <w:r>
                    <w:rPr>
                      <w:color w:val="auto"/>
                      <w:kern w:val="0"/>
                      <w:sz w:val="21"/>
                      <w:szCs w:val="21"/>
                    </w:rPr>
                    <w:t>3.4.12</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color w:val="auto"/>
                      <w:kern w:val="0"/>
                      <w:sz w:val="21"/>
                      <w:szCs w:val="21"/>
                    </w:rPr>
                  </w:pPr>
                  <w:r>
                    <w:rPr>
                      <w:color w:val="auto"/>
                      <w:kern w:val="0"/>
                      <w:sz w:val="21"/>
                      <w:szCs w:val="21"/>
                    </w:rPr>
                    <w:t>危废库</w:t>
                  </w:r>
                </w:p>
                <w:p>
                  <w:pPr>
                    <w:overflowPunct w:val="0"/>
                    <w:spacing w:before="0"/>
                    <w:ind w:firstLine="0" w:firstLineChars="0"/>
                    <w:jc w:val="center"/>
                    <w:rPr>
                      <w:color w:val="auto"/>
                      <w:kern w:val="0"/>
                      <w:sz w:val="21"/>
                      <w:szCs w:val="21"/>
                    </w:rPr>
                  </w:pPr>
                  <w:r>
                    <w:rPr>
                      <w:color w:val="auto"/>
                      <w:kern w:val="0"/>
                      <w:sz w:val="21"/>
                      <w:szCs w:val="21"/>
                    </w:rPr>
                    <w:t>（</w:t>
                  </w:r>
                  <w:r>
                    <w:rPr>
                      <w:rFonts w:hint="eastAsia"/>
                      <w:color w:val="auto"/>
                      <w:kern w:val="0"/>
                      <w:sz w:val="21"/>
                      <w:szCs w:val="21"/>
                      <w:lang w:val="en-US" w:eastAsia="zh-CN"/>
                    </w:rPr>
                    <w:t>丙</w:t>
                  </w:r>
                  <w:r>
                    <w:rPr>
                      <w:color w:val="auto"/>
                      <w:kern w:val="0"/>
                      <w:sz w:val="21"/>
                      <w:szCs w:val="21"/>
                    </w:rPr>
                    <w:t>类，二级）</w:t>
                  </w: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东北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厂区围墙</w:t>
                  </w:r>
                </w:p>
                <w:p>
                  <w:pPr>
                    <w:overflowPunct w:val="0"/>
                    <w:spacing w:before="0"/>
                    <w:ind w:firstLine="0" w:firstLineChars="0"/>
                    <w:jc w:val="center"/>
                    <w:rPr>
                      <w:color w:val="auto"/>
                      <w:kern w:val="0"/>
                      <w:sz w:val="21"/>
                      <w:szCs w:val="21"/>
                    </w:rPr>
                  </w:pPr>
                </w:p>
              </w:tc>
              <w:tc>
                <w:tcPr>
                  <w:tcW w:w="421" w:type="pct"/>
                  <w:noWrap w:val="0"/>
                  <w:vAlign w:val="center"/>
                </w:tcPr>
                <w:p>
                  <w:pPr>
                    <w:overflowPunct w:val="0"/>
                    <w:spacing w:before="0"/>
                    <w:ind w:firstLine="0" w:firstLineChars="0"/>
                    <w:jc w:val="center"/>
                    <w:rPr>
                      <w:color w:val="auto"/>
                      <w:kern w:val="0"/>
                      <w:sz w:val="21"/>
                      <w:szCs w:val="21"/>
                      <w:highlight w:val="yellow"/>
                    </w:rPr>
                  </w:pPr>
                  <w:r>
                    <w:rPr>
                      <w:color w:val="auto"/>
                      <w:kern w:val="0"/>
                      <w:sz w:val="21"/>
                      <w:szCs w:val="21"/>
                    </w:rPr>
                    <w:t>5</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yellow"/>
                      <w:lang w:val="en-US" w:eastAsia="zh-CN"/>
                    </w:rPr>
                  </w:pPr>
                  <w:r>
                    <w:rPr>
                      <w:color w:val="auto"/>
                      <w:kern w:val="0"/>
                      <w:sz w:val="21"/>
                      <w:szCs w:val="21"/>
                    </w:rPr>
                    <w:t>5</w:t>
                  </w:r>
                  <w:r>
                    <w:rPr>
                      <w:rFonts w:hint="eastAsia"/>
                      <w:color w:val="auto"/>
                      <w:kern w:val="0"/>
                      <w:sz w:val="21"/>
                      <w:szCs w:val="21"/>
                      <w:lang w:val="en-US" w:eastAsia="zh-CN"/>
                    </w:rPr>
                    <w:t>.14</w:t>
                  </w:r>
                </w:p>
              </w:tc>
              <w:tc>
                <w:tcPr>
                  <w:tcW w:w="2268" w:type="pct"/>
                  <w:noWrap w:val="0"/>
                  <w:vAlign w:val="center"/>
                </w:tcPr>
                <w:p>
                  <w:pPr>
                    <w:overflowPunct w:val="0"/>
                    <w:spacing w:before="0"/>
                    <w:ind w:firstLine="0" w:firstLineChars="0"/>
                    <w:jc w:val="center"/>
                    <w:rPr>
                      <w:color w:val="auto"/>
                      <w:kern w:val="0"/>
                      <w:sz w:val="21"/>
                      <w:szCs w:val="21"/>
                      <w:highlight w:val="yellow"/>
                    </w:rPr>
                  </w:pPr>
                  <w:r>
                    <w:rPr>
                      <w:rFonts w:hint="eastAsia"/>
                      <w:color w:val="auto"/>
                      <w:kern w:val="0"/>
                      <w:sz w:val="21"/>
                      <w:szCs w:val="21"/>
                    </w:rPr>
                    <w:t>《建设设计防火规范》GB50016-2014（2018年版）</w:t>
                  </w:r>
                  <w:r>
                    <w:rPr>
                      <w:color w:val="auto"/>
                      <w:kern w:val="0"/>
                      <w:sz w:val="21"/>
                      <w:szCs w:val="21"/>
                    </w:rPr>
                    <w:t>3.4.12</w:t>
                  </w:r>
                </w:p>
              </w:tc>
              <w:tc>
                <w:tcPr>
                  <w:tcW w:w="356" w:type="pct"/>
                  <w:noWrap w:val="0"/>
                  <w:vAlign w:val="center"/>
                </w:tcPr>
                <w:p>
                  <w:pPr>
                    <w:overflowPunct w:val="0"/>
                    <w:spacing w:before="0"/>
                    <w:ind w:firstLine="0" w:firstLineChars="0"/>
                    <w:jc w:val="center"/>
                    <w:rPr>
                      <w:color w:val="auto"/>
                      <w:kern w:val="0"/>
                      <w:sz w:val="21"/>
                      <w:szCs w:val="21"/>
                      <w:highlight w:val="yellow"/>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次要道路</w:t>
                  </w:r>
                </w:p>
              </w:tc>
              <w:tc>
                <w:tcPr>
                  <w:tcW w:w="421" w:type="pct"/>
                  <w:noWrap w:val="0"/>
                  <w:vAlign w:val="center"/>
                </w:tcPr>
                <w:p>
                  <w:pPr>
                    <w:overflowPunct w:val="0"/>
                    <w:spacing w:before="0"/>
                    <w:ind w:firstLine="0" w:firstLineChars="0"/>
                    <w:jc w:val="center"/>
                    <w:rPr>
                      <w:color w:val="auto"/>
                      <w:kern w:val="0"/>
                      <w:sz w:val="21"/>
                      <w:szCs w:val="21"/>
                    </w:rPr>
                  </w:pPr>
                  <w:r>
                    <w:rPr>
                      <w:color w:val="auto"/>
                      <w:kern w:val="0"/>
                      <w:sz w:val="21"/>
                      <w:szCs w:val="21"/>
                    </w:rPr>
                    <w:t>5</w:t>
                  </w:r>
                </w:p>
              </w:tc>
              <w:tc>
                <w:tcPr>
                  <w:tcW w:w="430" w:type="pct"/>
                  <w:noWrap w:val="0"/>
                  <w:vAlign w:val="center"/>
                </w:tcPr>
                <w:p>
                  <w:pPr>
                    <w:overflowPunct w:val="0"/>
                    <w:spacing w:before="0"/>
                    <w:ind w:firstLine="0" w:firstLineChars="0"/>
                    <w:jc w:val="center"/>
                    <w:rPr>
                      <w:rFonts w:hint="eastAsia" w:eastAsia="宋体"/>
                      <w:color w:val="auto"/>
                      <w:kern w:val="0"/>
                      <w:sz w:val="21"/>
                      <w:szCs w:val="21"/>
                      <w:lang w:eastAsia="zh-CN"/>
                    </w:rPr>
                  </w:pPr>
                  <w:r>
                    <w:rPr>
                      <w:rFonts w:hint="eastAsia"/>
                      <w:color w:val="auto"/>
                      <w:kern w:val="0"/>
                      <w:sz w:val="21"/>
                      <w:szCs w:val="21"/>
                      <w:lang w:val="en-US" w:eastAsia="zh-CN"/>
                    </w:rPr>
                    <w:t>8</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《建设设计防火规范》GB50016-2014（2018年版）</w:t>
                  </w:r>
                  <w:r>
                    <w:rPr>
                      <w:color w:val="auto"/>
                      <w:kern w:val="0"/>
                      <w:sz w:val="21"/>
                      <w:szCs w:val="21"/>
                    </w:rPr>
                    <w:t>表3.5.1</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南</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动力车间</w:t>
                  </w:r>
                </w:p>
                <w:p>
                  <w:pPr>
                    <w:overflowPunct w:val="0"/>
                    <w:spacing w:before="0"/>
                    <w:ind w:firstLine="0" w:firstLineChars="0"/>
                    <w:jc w:val="center"/>
                    <w:rPr>
                      <w:color w:val="auto"/>
                      <w:kern w:val="0"/>
                      <w:sz w:val="21"/>
                      <w:szCs w:val="21"/>
                    </w:rPr>
                  </w:pPr>
                  <w:r>
                    <w:rPr>
                      <w:color w:val="auto"/>
                      <w:kern w:val="0"/>
                      <w:sz w:val="21"/>
                      <w:szCs w:val="21"/>
                    </w:rPr>
                    <w:t>（丙类，二级）</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10</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30</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《建设设计防火规范》GB50016-2014（2018年版）</w:t>
                  </w:r>
                  <w:r>
                    <w:rPr>
                      <w:color w:val="auto"/>
                      <w:kern w:val="0"/>
                      <w:sz w:val="21"/>
                      <w:szCs w:val="21"/>
                    </w:rPr>
                    <w:t>表3.4.1</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restart"/>
                  <w:noWrap w:val="0"/>
                  <w:vAlign w:val="center"/>
                </w:tcPr>
                <w:p>
                  <w:pPr>
                    <w:overflowPunct w:val="0"/>
                    <w:spacing w:before="0"/>
                    <w:ind w:firstLine="0" w:firstLineChars="0"/>
                    <w:jc w:val="center"/>
                    <w:rPr>
                      <w:color w:val="auto"/>
                      <w:kern w:val="0"/>
                      <w:sz w:val="21"/>
                      <w:szCs w:val="21"/>
                    </w:rPr>
                  </w:pPr>
                  <w:r>
                    <w:rPr>
                      <w:color w:val="auto"/>
                      <w:kern w:val="0"/>
                      <w:sz w:val="21"/>
                      <w:szCs w:val="21"/>
                    </w:rPr>
                    <w:t>隔油池</w:t>
                  </w:r>
                </w:p>
                <w:p>
                  <w:pPr>
                    <w:overflowPunct w:val="0"/>
                    <w:spacing w:before="0"/>
                    <w:ind w:firstLine="0" w:firstLineChars="0"/>
                    <w:jc w:val="center"/>
                    <w:rPr>
                      <w:color w:val="auto"/>
                      <w:kern w:val="0"/>
                      <w:sz w:val="21"/>
                      <w:szCs w:val="21"/>
                    </w:rPr>
                  </w:pPr>
                  <w:r>
                    <w:rPr>
                      <w:color w:val="auto"/>
                      <w:kern w:val="0"/>
                      <w:sz w:val="21"/>
                      <w:szCs w:val="21"/>
                    </w:rPr>
                    <w:t>（150m³以上有盖板）</w:t>
                  </w: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东北</w:t>
                  </w:r>
                </w:p>
              </w:tc>
              <w:tc>
                <w:tcPr>
                  <w:tcW w:w="842" w:type="pct"/>
                  <w:noWrap w:val="0"/>
                  <w:vAlign w:val="center"/>
                </w:tcPr>
                <w:p>
                  <w:pPr>
                    <w:overflowPunct w:val="0"/>
                    <w:spacing w:before="0"/>
                    <w:ind w:firstLine="0" w:firstLineChars="0"/>
                    <w:jc w:val="center"/>
                    <w:rPr>
                      <w:color w:val="auto"/>
                      <w:kern w:val="0"/>
                      <w:sz w:val="21"/>
                      <w:szCs w:val="21"/>
                      <w:highlight w:val="yellow"/>
                    </w:rPr>
                  </w:pPr>
                  <w:r>
                    <w:rPr>
                      <w:color w:val="auto"/>
                      <w:kern w:val="0"/>
                      <w:sz w:val="21"/>
                      <w:szCs w:val="21"/>
                    </w:rPr>
                    <w:t>动力车间（丙类，二级）</w:t>
                  </w:r>
                </w:p>
              </w:tc>
              <w:tc>
                <w:tcPr>
                  <w:tcW w:w="421" w:type="pct"/>
                  <w:noWrap w:val="0"/>
                  <w:vAlign w:val="center"/>
                </w:tcPr>
                <w:p>
                  <w:pPr>
                    <w:overflowPunct w:val="0"/>
                    <w:spacing w:before="0"/>
                    <w:ind w:firstLine="0" w:firstLineChars="0"/>
                    <w:jc w:val="center"/>
                    <w:rPr>
                      <w:color w:val="auto"/>
                      <w:kern w:val="0"/>
                      <w:sz w:val="21"/>
                      <w:szCs w:val="21"/>
                      <w:highlight w:val="yellow"/>
                    </w:rPr>
                  </w:pPr>
                  <w:r>
                    <w:rPr>
                      <w:color w:val="auto"/>
                      <w:kern w:val="0"/>
                      <w:sz w:val="21"/>
                      <w:szCs w:val="21"/>
                    </w:rPr>
                    <w:t>7.5</w:t>
                  </w:r>
                </w:p>
              </w:tc>
              <w:tc>
                <w:tcPr>
                  <w:tcW w:w="430" w:type="pct"/>
                  <w:noWrap w:val="0"/>
                  <w:vAlign w:val="center"/>
                </w:tcPr>
                <w:p>
                  <w:pPr>
                    <w:overflowPunct w:val="0"/>
                    <w:spacing w:before="0"/>
                    <w:ind w:firstLine="0" w:firstLineChars="0"/>
                    <w:jc w:val="center"/>
                    <w:rPr>
                      <w:rFonts w:hint="default" w:eastAsia="宋体"/>
                      <w:color w:val="auto"/>
                      <w:kern w:val="0"/>
                      <w:sz w:val="21"/>
                      <w:szCs w:val="21"/>
                      <w:highlight w:val="yellow"/>
                      <w:lang w:val="en-US" w:eastAsia="zh-CN"/>
                    </w:rPr>
                  </w:pPr>
                  <w:r>
                    <w:rPr>
                      <w:rFonts w:hint="eastAsia"/>
                      <w:color w:val="auto"/>
                      <w:kern w:val="0"/>
                      <w:sz w:val="21"/>
                      <w:szCs w:val="21"/>
                      <w:lang w:val="en-US" w:eastAsia="zh-CN"/>
                    </w:rPr>
                    <w:t>24</w:t>
                  </w:r>
                </w:p>
              </w:tc>
              <w:tc>
                <w:tcPr>
                  <w:tcW w:w="2268" w:type="pct"/>
                  <w:noWrap w:val="0"/>
                  <w:vAlign w:val="center"/>
                </w:tcPr>
                <w:p>
                  <w:pPr>
                    <w:overflowPunct w:val="0"/>
                    <w:spacing w:before="0"/>
                    <w:ind w:firstLine="0" w:firstLineChars="0"/>
                    <w:jc w:val="center"/>
                    <w:rPr>
                      <w:color w:val="auto"/>
                      <w:kern w:val="0"/>
                      <w:sz w:val="21"/>
                      <w:szCs w:val="21"/>
                      <w:highlight w:val="yellow"/>
                    </w:rPr>
                  </w:pPr>
                  <w:r>
                    <w:rPr>
                      <w:rFonts w:hint="eastAsia"/>
                      <w:color w:val="auto"/>
                      <w:kern w:val="0"/>
                      <w:sz w:val="21"/>
                      <w:szCs w:val="21"/>
                    </w:rPr>
                    <w:t>《石油库设计规范》GB50074-2014</w:t>
                  </w: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highlight w:val="yellow"/>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西</w:t>
                  </w:r>
                </w:p>
              </w:tc>
              <w:tc>
                <w:tcPr>
                  <w:tcW w:w="842" w:type="pct"/>
                  <w:noWrap w:val="0"/>
                  <w:vAlign w:val="center"/>
                </w:tcPr>
                <w:p>
                  <w:pPr>
                    <w:overflowPunct w:val="0"/>
                    <w:spacing w:before="0"/>
                    <w:ind w:firstLine="0" w:firstLineChars="0"/>
                    <w:jc w:val="center"/>
                    <w:rPr>
                      <w:color w:val="auto"/>
                      <w:kern w:val="0"/>
                      <w:sz w:val="21"/>
                      <w:szCs w:val="21"/>
                    </w:rPr>
                  </w:pPr>
                  <w:r>
                    <w:rPr>
                      <w:color w:val="auto"/>
                      <w:kern w:val="0"/>
                      <w:sz w:val="21"/>
                      <w:szCs w:val="21"/>
                    </w:rPr>
                    <w:t>4#罐组</w:t>
                  </w:r>
                </w:p>
              </w:tc>
              <w:tc>
                <w:tcPr>
                  <w:tcW w:w="421"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23</w:t>
                  </w:r>
                </w:p>
              </w:tc>
              <w:tc>
                <w:tcPr>
                  <w:tcW w:w="430" w:type="pct"/>
                  <w:noWrap w:val="0"/>
                  <w:vAlign w:val="center"/>
                </w:tcPr>
                <w:p>
                  <w:pPr>
                    <w:overflowPunct w:val="0"/>
                    <w:spacing w:before="0"/>
                    <w:ind w:firstLine="0" w:firstLineChars="0"/>
                    <w:jc w:val="center"/>
                    <w:rPr>
                      <w:rFonts w:hint="default" w:eastAsia="宋体"/>
                      <w:color w:val="auto"/>
                      <w:kern w:val="0"/>
                      <w:sz w:val="21"/>
                      <w:szCs w:val="21"/>
                      <w:lang w:val="en-US" w:eastAsia="zh-CN"/>
                    </w:rPr>
                  </w:pPr>
                  <w:r>
                    <w:rPr>
                      <w:rFonts w:hint="eastAsia"/>
                      <w:color w:val="auto"/>
                      <w:kern w:val="0"/>
                      <w:sz w:val="21"/>
                      <w:szCs w:val="21"/>
                      <w:lang w:val="en-US" w:eastAsia="zh-CN"/>
                    </w:rPr>
                    <w:t>51.89</w:t>
                  </w:r>
                </w:p>
              </w:tc>
              <w:tc>
                <w:tcPr>
                  <w:tcW w:w="2268" w:type="pct"/>
                  <w:noWrap w:val="0"/>
                  <w:vAlign w:val="center"/>
                </w:tcPr>
                <w:p>
                  <w:pPr>
                    <w:overflowPunct w:val="0"/>
                    <w:spacing w:before="0"/>
                    <w:ind w:firstLine="0" w:firstLineChars="0"/>
                    <w:jc w:val="center"/>
                    <w:rPr>
                      <w:color w:val="auto"/>
                      <w:kern w:val="0"/>
                      <w:sz w:val="21"/>
                      <w:szCs w:val="21"/>
                    </w:rPr>
                  </w:pPr>
                  <w:r>
                    <w:rPr>
                      <w:rFonts w:hint="eastAsia"/>
                      <w:color w:val="auto"/>
                      <w:kern w:val="0"/>
                      <w:sz w:val="21"/>
                      <w:szCs w:val="21"/>
                    </w:rPr>
                    <w:t>《石油库设计规范》GB50074-2014</w:t>
                  </w:r>
                  <w:r>
                    <w:rPr>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3" w:type="pct"/>
                  <w:vMerge w:val="continue"/>
                  <w:noWrap w:val="0"/>
                  <w:vAlign w:val="center"/>
                </w:tcPr>
                <w:p>
                  <w:pPr>
                    <w:overflowPunct w:val="0"/>
                    <w:spacing w:before="0"/>
                    <w:ind w:firstLine="0" w:firstLineChars="0"/>
                    <w:jc w:val="center"/>
                    <w:rPr>
                      <w:color w:val="auto"/>
                      <w:kern w:val="0"/>
                      <w:sz w:val="21"/>
                      <w:szCs w:val="21"/>
                    </w:rPr>
                  </w:pPr>
                </w:p>
              </w:tc>
              <w:tc>
                <w:tcPr>
                  <w:tcW w:w="286" w:type="pct"/>
                  <w:noWrap w:val="0"/>
                  <w:vAlign w:val="center"/>
                </w:tcPr>
                <w:p>
                  <w:pPr>
                    <w:overflowPunct w:val="0"/>
                    <w:spacing w:before="0"/>
                    <w:ind w:firstLine="0" w:firstLineChars="0"/>
                    <w:jc w:val="center"/>
                    <w:rPr>
                      <w:color w:val="auto"/>
                      <w:kern w:val="0"/>
                      <w:sz w:val="21"/>
                      <w:szCs w:val="21"/>
                    </w:rPr>
                  </w:pPr>
                  <w:r>
                    <w:rPr>
                      <w:color w:val="auto"/>
                      <w:kern w:val="0"/>
                      <w:sz w:val="21"/>
                      <w:szCs w:val="21"/>
                    </w:rPr>
                    <w:t>南</w:t>
                  </w:r>
                </w:p>
              </w:tc>
              <w:tc>
                <w:tcPr>
                  <w:tcW w:w="842" w:type="pct"/>
                  <w:noWrap w:val="0"/>
                  <w:vAlign w:val="center"/>
                </w:tcPr>
                <w:p>
                  <w:pPr>
                    <w:overflowPunct w:val="0"/>
                    <w:spacing w:before="0"/>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库区围墙</w:t>
                  </w:r>
                </w:p>
              </w:tc>
              <w:tc>
                <w:tcPr>
                  <w:tcW w:w="421" w:type="pct"/>
                  <w:noWrap w:val="0"/>
                  <w:vAlign w:val="center"/>
                </w:tcPr>
                <w:p>
                  <w:pPr>
                    <w:overflowPunct w:val="0"/>
                    <w:spacing w:before="0"/>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5</w:t>
                  </w:r>
                </w:p>
              </w:tc>
              <w:tc>
                <w:tcPr>
                  <w:tcW w:w="430" w:type="pct"/>
                  <w:noWrap w:val="0"/>
                  <w:vAlign w:val="center"/>
                </w:tcPr>
                <w:p>
                  <w:pPr>
                    <w:overflowPunct w:val="0"/>
                    <w:spacing w:before="0"/>
                    <w:ind w:firstLine="0" w:firstLineChars="0"/>
                    <w:jc w:val="center"/>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val="en-US" w:eastAsia="zh-CN"/>
                    </w:rPr>
                    <w:t>5</w:t>
                  </w:r>
                </w:p>
              </w:tc>
              <w:tc>
                <w:tcPr>
                  <w:tcW w:w="2268" w:type="pct"/>
                  <w:noWrap w:val="0"/>
                  <w:vAlign w:val="center"/>
                </w:tcPr>
                <w:p>
                  <w:pPr>
                    <w:overflowPunct w:val="0"/>
                    <w:spacing w:before="0"/>
                    <w:ind w:firstLine="0" w:firstLineChars="0"/>
                    <w:jc w:val="center"/>
                    <w:rPr>
                      <w:rFonts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rPr>
                    <w:t>《石油库设计规范》GB50074-2014</w:t>
                  </w:r>
                </w:p>
                <w:p>
                  <w:pPr>
                    <w:overflowPunct w:val="0"/>
                    <w:spacing w:before="0"/>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表5.1.3</w:t>
                  </w:r>
                </w:p>
              </w:tc>
              <w:tc>
                <w:tcPr>
                  <w:tcW w:w="356" w:type="pct"/>
                  <w:noWrap w:val="0"/>
                  <w:vAlign w:val="center"/>
                </w:tcPr>
                <w:p>
                  <w:pPr>
                    <w:overflowPunct w:val="0"/>
                    <w:spacing w:before="0"/>
                    <w:ind w:firstLine="0" w:firstLineChars="0"/>
                    <w:jc w:val="center"/>
                    <w:rPr>
                      <w:color w:val="auto"/>
                      <w:kern w:val="0"/>
                      <w:sz w:val="21"/>
                      <w:szCs w:val="21"/>
                      <w:highlight w:val="yellow"/>
                    </w:rPr>
                  </w:pPr>
                  <w:r>
                    <w:rPr>
                      <w:rFonts w:ascii="Times New Roman" w:hAnsi="Times New Roman" w:eastAsia="宋体" w:cs="Times New Roman"/>
                      <w:color w:val="auto"/>
                      <w:kern w:val="0"/>
                      <w:sz w:val="21"/>
                      <w:szCs w:val="21"/>
                    </w:rPr>
                    <w:t>符合</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综上所述，该项目平面布置合理。</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7</w:t>
            </w:r>
            <w:r>
              <w:rPr>
                <w:rFonts w:hint="default" w:ascii="Times New Roman" w:hAnsi="Times New Roman" w:eastAsia="黑体" w:cs="Times New Roman"/>
                <w:color w:val="auto"/>
                <w:sz w:val="24"/>
                <w:szCs w:val="24"/>
                <w:highlight w:val="none"/>
                <w:lang w:val="en-US" w:eastAsia="zh-CN"/>
              </w:rPr>
              <w:t>、生产制度及职工定员</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本项目劳动定员</w:t>
            </w:r>
            <w:r>
              <w:rPr>
                <w:rFonts w:hint="eastAsia" w:cs="Times New Roman"/>
                <w:color w:val="auto"/>
                <w:sz w:val="24"/>
                <w:lang w:val="en-US" w:eastAsia="zh-CN"/>
              </w:rPr>
              <w:t>100人</w:t>
            </w:r>
            <w:r>
              <w:rPr>
                <w:rFonts w:hint="default" w:ascii="Times New Roman" w:hAnsi="Times New Roman" w:cs="Times New Roman"/>
                <w:color w:val="auto"/>
                <w:sz w:val="24"/>
              </w:rPr>
              <w:t>，全年运营</w:t>
            </w:r>
            <w:r>
              <w:rPr>
                <w:rFonts w:hint="eastAsia" w:cs="Times New Roman"/>
                <w:color w:val="auto"/>
                <w:sz w:val="24"/>
                <w:lang w:val="en-US" w:eastAsia="zh-CN"/>
              </w:rPr>
              <w:t>8000h</w:t>
            </w:r>
            <w:r>
              <w:rPr>
                <w:rFonts w:hint="default" w:ascii="Times New Roman" w:hAnsi="Times New Roman" w:cs="Times New Roman"/>
                <w:color w:val="auto"/>
                <w:sz w:val="24"/>
              </w:rPr>
              <w:t>，</w:t>
            </w:r>
            <w:r>
              <w:rPr>
                <w:rFonts w:hint="eastAsia" w:cs="Times New Roman"/>
                <w:color w:val="auto"/>
                <w:sz w:val="24"/>
                <w:lang w:eastAsia="zh-CN"/>
              </w:rPr>
              <w:t>实行</w:t>
            </w:r>
            <w:r>
              <w:rPr>
                <w:rFonts w:hint="eastAsia" w:cs="Times New Roman"/>
                <w:color w:val="auto"/>
                <w:sz w:val="24"/>
                <w:lang w:val="en-US" w:eastAsia="zh-CN"/>
              </w:rPr>
              <w:t>3</w:t>
            </w:r>
            <w:r>
              <w:rPr>
                <w:rFonts w:hint="default" w:ascii="Times New Roman" w:hAnsi="Times New Roman" w:cs="Times New Roman"/>
                <w:color w:val="auto"/>
                <w:sz w:val="24"/>
              </w:rPr>
              <w:t>班</w:t>
            </w:r>
            <w:r>
              <w:rPr>
                <w:rFonts w:hint="eastAsia" w:cs="Times New Roman"/>
                <w:color w:val="auto"/>
                <w:sz w:val="24"/>
                <w:lang w:eastAsia="zh-CN"/>
              </w:rPr>
              <w:t>工作制，每班工作</w:t>
            </w:r>
            <w:r>
              <w:rPr>
                <w:rFonts w:hint="eastAsia" w:cs="Times New Roman"/>
                <w:color w:val="auto"/>
                <w:sz w:val="24"/>
                <w:lang w:val="en-US" w:eastAsia="zh-CN"/>
              </w:rPr>
              <w:t>8</w:t>
            </w:r>
            <w:r>
              <w:rPr>
                <w:rFonts w:hint="default" w:ascii="Times New Roman" w:hAnsi="Times New Roman" w:cs="Times New Roman"/>
                <w:color w:val="auto"/>
                <w:sz w:val="24"/>
              </w:rPr>
              <w:t>小时。</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8</w:t>
            </w:r>
            <w:r>
              <w:rPr>
                <w:rFonts w:hint="default" w:ascii="Times New Roman" w:hAnsi="Times New Roman" w:eastAsia="黑体" w:cs="Times New Roman"/>
                <w:color w:val="auto"/>
                <w:sz w:val="24"/>
                <w:szCs w:val="24"/>
                <w:highlight w:val="none"/>
                <w:lang w:val="en-US" w:eastAsia="zh-CN"/>
              </w:rPr>
              <w:t>、环保投资</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本项目总投资</w:t>
            </w:r>
            <w:r>
              <w:rPr>
                <w:rFonts w:hint="eastAsia" w:cs="Times New Roman"/>
                <w:color w:val="auto"/>
                <w:sz w:val="24"/>
                <w:lang w:val="en-US" w:eastAsia="zh-CN"/>
              </w:rPr>
              <w:t>28000</w:t>
            </w:r>
            <w:r>
              <w:rPr>
                <w:rFonts w:hint="default" w:ascii="Times New Roman" w:hAnsi="Times New Roman" w:cs="Times New Roman"/>
                <w:color w:val="auto"/>
                <w:sz w:val="24"/>
              </w:rPr>
              <w:t>万元，其中环保投资</w:t>
            </w:r>
            <w:r>
              <w:rPr>
                <w:rFonts w:hint="eastAsia" w:cs="Times New Roman"/>
                <w:color w:val="auto"/>
                <w:sz w:val="24"/>
                <w:lang w:val="en-US" w:eastAsia="zh-CN"/>
              </w:rPr>
              <w:t>500</w:t>
            </w:r>
            <w:r>
              <w:rPr>
                <w:rFonts w:hint="default" w:ascii="Times New Roman" w:hAnsi="Times New Roman" w:cs="Times New Roman"/>
                <w:color w:val="auto"/>
                <w:sz w:val="24"/>
              </w:rPr>
              <w:t>万元，占总投资的</w:t>
            </w:r>
            <w:r>
              <w:rPr>
                <w:rFonts w:hint="eastAsia" w:cs="Times New Roman"/>
                <w:color w:val="auto"/>
                <w:sz w:val="24"/>
                <w:lang w:val="en-US" w:eastAsia="zh-CN"/>
              </w:rPr>
              <w:t>1.79</w:t>
            </w:r>
            <w:r>
              <w:rPr>
                <w:rFonts w:hint="default" w:ascii="Times New Roman" w:hAnsi="Times New Roman" w:cs="Times New Roman"/>
                <w:color w:val="auto"/>
                <w:sz w:val="24"/>
              </w:rPr>
              <w:t>%，主要用于营运期废气</w:t>
            </w:r>
            <w:r>
              <w:rPr>
                <w:rFonts w:hint="eastAsia" w:cs="Times New Roman"/>
                <w:color w:val="auto"/>
                <w:sz w:val="24"/>
                <w:lang w:eastAsia="zh-CN"/>
              </w:rPr>
              <w:t>、</w:t>
            </w:r>
            <w:r>
              <w:rPr>
                <w:rFonts w:hint="default" w:ascii="Times New Roman" w:hAnsi="Times New Roman" w:cs="Times New Roman"/>
                <w:color w:val="auto"/>
                <w:sz w:val="24"/>
                <w:lang w:eastAsia="zh-CN"/>
              </w:rPr>
              <w:t>废水、噪声、固体废物</w:t>
            </w:r>
            <w:r>
              <w:rPr>
                <w:rFonts w:hint="eastAsia" w:cs="Times New Roman"/>
                <w:color w:val="auto"/>
                <w:sz w:val="24"/>
                <w:lang w:eastAsia="zh-CN"/>
              </w:rPr>
              <w:t>治理</w:t>
            </w:r>
            <w:r>
              <w:rPr>
                <w:rFonts w:hint="default" w:ascii="Times New Roman" w:hAnsi="Times New Roman" w:cs="Times New Roman"/>
                <w:color w:val="auto"/>
                <w:sz w:val="24"/>
              </w:rPr>
              <w:t>等。项目环保投资情况见下表：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表2-</w:t>
            </w:r>
            <w:r>
              <w:rPr>
                <w:rFonts w:hint="eastAsia" w:eastAsia="黑体" w:cs="Times New Roman"/>
                <w:color w:val="auto"/>
                <w:sz w:val="24"/>
                <w:szCs w:val="24"/>
                <w:highlight w:val="none"/>
                <w:lang w:val="en-US" w:eastAsia="zh-CN"/>
              </w:rPr>
              <w:t>6</w:t>
            </w:r>
            <w:r>
              <w:rPr>
                <w:rFonts w:hint="eastAsia" w:ascii="Times New Roman" w:hAnsi="Times New Roman" w:eastAsia="黑体" w:cs="Times New Roman"/>
                <w:color w:val="auto"/>
                <w:sz w:val="24"/>
                <w:szCs w:val="24"/>
                <w:highlight w:val="none"/>
                <w:lang w:val="en-US" w:eastAsia="zh-CN"/>
              </w:rPr>
              <w:t xml:space="preserve"> </w:t>
            </w:r>
            <w:r>
              <w:rPr>
                <w:rFonts w:hint="default" w:ascii="Times New Roman" w:hAnsi="Times New Roman" w:eastAsia="黑体" w:cs="Times New Roman"/>
                <w:color w:val="auto"/>
                <w:sz w:val="24"/>
                <w:szCs w:val="24"/>
                <w:highlight w:val="none"/>
                <w:lang w:val="en-US" w:eastAsia="zh-CN"/>
              </w:rPr>
              <w:t>项目环保投资一览表</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089"/>
              <w:gridCol w:w="5175"/>
              <w:gridCol w:w="13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Align w:val="center"/>
                </w:tcPr>
                <w:p>
                  <w:pPr>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序号</w:t>
                  </w:r>
                </w:p>
              </w:tc>
              <w:tc>
                <w:tcPr>
                  <w:tcW w:w="651" w:type="pct"/>
                  <w:vAlign w:val="center"/>
                </w:tcPr>
                <w:p>
                  <w:pPr>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项目</w:t>
                  </w:r>
                </w:p>
              </w:tc>
              <w:tc>
                <w:tcPr>
                  <w:tcW w:w="3093" w:type="pct"/>
                  <w:vAlign w:val="center"/>
                </w:tcPr>
                <w:p>
                  <w:pPr>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环保措施</w:t>
                  </w:r>
                </w:p>
              </w:tc>
              <w:tc>
                <w:tcPr>
                  <w:tcW w:w="834" w:type="pct"/>
                  <w:vAlign w:val="center"/>
                </w:tcPr>
                <w:p>
                  <w:pPr>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Align w:val="center"/>
                </w:tcPr>
                <w:p>
                  <w:pPr>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w:t>
                  </w:r>
                </w:p>
              </w:tc>
              <w:tc>
                <w:tcPr>
                  <w:tcW w:w="651" w:type="pct"/>
                  <w:vAlign w:val="center"/>
                </w:tcPr>
                <w:p>
                  <w:pPr>
                    <w:ind w:left="0" w:leftChars="0" w:right="0" w:rightChars="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废气治理</w:t>
                  </w:r>
                </w:p>
              </w:tc>
              <w:tc>
                <w:tcPr>
                  <w:tcW w:w="3093" w:type="pct"/>
                  <w:vAlign w:val="center"/>
                </w:tcPr>
                <w:p>
                  <w:pPr>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油气回收装置</w:t>
                  </w:r>
                  <w:r>
                    <w:rPr>
                      <w:rFonts w:hint="eastAsia" w:cs="Times New Roman"/>
                      <w:b w:val="0"/>
                      <w:bCs w:val="0"/>
                      <w:color w:val="auto"/>
                      <w:sz w:val="21"/>
                      <w:szCs w:val="21"/>
                      <w:lang w:val="en-US" w:eastAsia="zh-CN"/>
                    </w:rPr>
                    <w:t>1</w:t>
                  </w:r>
                  <w:r>
                    <w:rPr>
                      <w:rFonts w:hint="eastAsia" w:ascii="Times New Roman" w:hAnsi="Times New Roman" w:eastAsia="宋体" w:cs="Times New Roman"/>
                      <w:b w:val="0"/>
                      <w:bCs w:val="0"/>
                      <w:color w:val="auto"/>
                      <w:sz w:val="21"/>
                      <w:szCs w:val="21"/>
                      <w:lang w:val="en-US" w:eastAsia="zh-CN"/>
                    </w:rPr>
                    <w:t>套、RTO废气处理装置、低氮燃烧器3套、</w:t>
                  </w:r>
                  <w:r>
                    <w:rPr>
                      <w:rFonts w:hint="default" w:ascii="Times New Roman" w:hAnsi="Times New Roman" w:eastAsia="宋体" w:cs="Times New Roman"/>
                      <w:b w:val="0"/>
                      <w:bCs w:val="0"/>
                      <w:color w:val="auto"/>
                      <w:sz w:val="21"/>
                      <w:szCs w:val="21"/>
                      <w:lang w:val="en-US" w:eastAsia="zh-CN"/>
                    </w:rPr>
                    <w:t>生物滤塔</w:t>
                  </w:r>
                  <w:r>
                    <w:rPr>
                      <w:rFonts w:hint="eastAsia" w:ascii="Times New Roman" w:hAnsi="Times New Roman" w:eastAsia="宋体" w:cs="Times New Roman"/>
                      <w:b w:val="0"/>
                      <w:bCs w:val="0"/>
                      <w:color w:val="auto"/>
                      <w:sz w:val="21"/>
                      <w:szCs w:val="21"/>
                      <w:lang w:val="en-US" w:eastAsia="zh-CN"/>
                    </w:rPr>
                    <w:t>1套、排气筒4根、设备动静密封设施</w:t>
                  </w:r>
                </w:p>
              </w:tc>
              <w:tc>
                <w:tcPr>
                  <w:tcW w:w="834" w:type="pct"/>
                  <w:vAlign w:val="center"/>
                </w:tcPr>
                <w:p>
                  <w:pPr>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Align w:val="center"/>
                </w:tcPr>
                <w:p>
                  <w:pPr>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2</w:t>
                  </w:r>
                </w:p>
              </w:tc>
              <w:tc>
                <w:tcPr>
                  <w:tcW w:w="651" w:type="pct"/>
                  <w:vAlign w:val="center"/>
                </w:tcPr>
                <w:p>
                  <w:pPr>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噪声治理</w:t>
                  </w:r>
                </w:p>
              </w:tc>
              <w:tc>
                <w:tcPr>
                  <w:tcW w:w="3093" w:type="pct"/>
                  <w:vAlign w:val="center"/>
                </w:tcPr>
                <w:p>
                  <w:pPr>
                    <w:ind w:left="0" w:leftChars="0" w:right="0" w:rightChars="0" w:firstLine="0" w:firstLineChars="0"/>
                    <w:jc w:val="center"/>
                    <w:rPr>
                      <w:rFonts w:hint="eastAsia"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隔声、减震</w:t>
                  </w:r>
                  <w:r>
                    <w:rPr>
                      <w:rFonts w:hint="eastAsia" w:ascii="Times New Roman" w:hAnsi="Times New Roman" w:eastAsia="宋体" w:cs="Times New Roman"/>
                      <w:b w:val="0"/>
                      <w:bCs w:val="0"/>
                      <w:color w:val="auto"/>
                      <w:sz w:val="21"/>
                      <w:szCs w:val="21"/>
                      <w:lang w:eastAsia="zh-CN"/>
                    </w:rPr>
                    <w:t>、厂区绿化</w:t>
                  </w:r>
                  <w:r>
                    <w:rPr>
                      <w:rFonts w:hint="default" w:ascii="Times New Roman" w:hAnsi="Times New Roman" w:eastAsia="宋体" w:cs="Times New Roman"/>
                      <w:b w:val="0"/>
                      <w:bCs w:val="0"/>
                      <w:color w:val="auto"/>
                      <w:sz w:val="21"/>
                      <w:szCs w:val="21"/>
                      <w:lang w:eastAsia="zh-CN"/>
                    </w:rPr>
                    <w:t>等设施</w:t>
                  </w:r>
                  <w:r>
                    <w:rPr>
                      <w:rFonts w:hint="eastAsia" w:ascii="Times New Roman" w:hAnsi="Times New Roman" w:eastAsia="宋体" w:cs="Times New Roman"/>
                      <w:b w:val="0"/>
                      <w:bCs w:val="0"/>
                      <w:color w:val="auto"/>
                      <w:sz w:val="21"/>
                      <w:szCs w:val="21"/>
                      <w:lang w:eastAsia="zh-CN"/>
                    </w:rPr>
                    <w:t>措施</w:t>
                  </w:r>
                </w:p>
              </w:tc>
              <w:tc>
                <w:tcPr>
                  <w:tcW w:w="834" w:type="pct"/>
                  <w:vAlign w:val="center"/>
                </w:tcPr>
                <w:p>
                  <w:pPr>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Align w:val="center"/>
                </w:tcPr>
                <w:p>
                  <w:pPr>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3</w:t>
                  </w:r>
                </w:p>
              </w:tc>
              <w:tc>
                <w:tcPr>
                  <w:tcW w:w="651" w:type="pct"/>
                  <w:vAlign w:val="center"/>
                </w:tcPr>
                <w:p>
                  <w:pPr>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废水治理</w:t>
                  </w:r>
                </w:p>
              </w:tc>
              <w:tc>
                <w:tcPr>
                  <w:tcW w:w="3093" w:type="pct"/>
                  <w:vAlign w:val="center"/>
                </w:tcPr>
                <w:p>
                  <w:pPr>
                    <w:ind w:left="0" w:leftChars="0" w:right="0" w:rightChars="0" w:firstLine="0" w:firstLineChars="0"/>
                    <w:jc w:val="center"/>
                    <w:rPr>
                      <w:rFonts w:hint="eastAsia"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rPr>
                    <w:t>化粪池</w:t>
                  </w:r>
                  <w:r>
                    <w:rPr>
                      <w:rFonts w:hint="eastAsia" w:cs="Times New Roman"/>
                      <w:b w:val="0"/>
                      <w:bCs w:val="0"/>
                      <w:color w:val="auto"/>
                      <w:sz w:val="21"/>
                      <w:szCs w:val="21"/>
                      <w:lang w:eastAsia="zh-CN"/>
                    </w:rPr>
                    <w:t>、污水处理站</w:t>
                  </w:r>
                </w:p>
              </w:tc>
              <w:tc>
                <w:tcPr>
                  <w:tcW w:w="834" w:type="pct"/>
                  <w:vAlign w:val="center"/>
                </w:tcPr>
                <w:p>
                  <w:pPr>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Align w:val="center"/>
                </w:tcPr>
                <w:p>
                  <w:pPr>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4</w:t>
                  </w:r>
                </w:p>
              </w:tc>
              <w:tc>
                <w:tcPr>
                  <w:tcW w:w="651" w:type="pct"/>
                  <w:vAlign w:val="center"/>
                </w:tcPr>
                <w:p>
                  <w:pPr>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固废治理</w:t>
                  </w:r>
                </w:p>
              </w:tc>
              <w:tc>
                <w:tcPr>
                  <w:tcW w:w="3093" w:type="pct"/>
                  <w:vAlign w:val="center"/>
                </w:tcPr>
                <w:p>
                  <w:pPr>
                    <w:ind w:left="0" w:leftChars="0" w:right="0" w:rightChars="0" w:firstLine="0" w:firstLineChars="0"/>
                    <w:jc w:val="center"/>
                    <w:rPr>
                      <w:rFonts w:hint="eastAsia"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rPr>
                    <w:t>生活垃圾收集箱、</w:t>
                  </w:r>
                  <w:r>
                    <w:rPr>
                      <w:rFonts w:hint="default" w:ascii="Times New Roman" w:hAnsi="Times New Roman" w:eastAsia="宋体" w:cs="Times New Roman"/>
                      <w:b w:val="0"/>
                      <w:bCs w:val="0"/>
                      <w:color w:val="auto"/>
                      <w:sz w:val="21"/>
                      <w:szCs w:val="21"/>
                      <w:lang w:val="en-US" w:eastAsia="zh-CN"/>
                    </w:rPr>
                    <w:t>一般固废暂存</w:t>
                  </w:r>
                  <w:r>
                    <w:rPr>
                      <w:rFonts w:hint="eastAsia" w:ascii="Times New Roman" w:hAnsi="Times New Roman" w:eastAsia="宋体" w:cs="Times New Roman"/>
                      <w:b w:val="0"/>
                      <w:bCs w:val="0"/>
                      <w:color w:val="auto"/>
                      <w:sz w:val="21"/>
                      <w:szCs w:val="21"/>
                      <w:lang w:val="en-US" w:eastAsia="zh-CN"/>
                    </w:rPr>
                    <w:t>区</w:t>
                  </w:r>
                  <w:r>
                    <w:rPr>
                      <w:rFonts w:hint="eastAsia" w:ascii="Times New Roman" w:hAnsi="Times New Roman" w:cs="Times New Roman"/>
                      <w:b w:val="0"/>
                      <w:bCs w:val="0"/>
                      <w:color w:val="auto"/>
                      <w:sz w:val="21"/>
                      <w:szCs w:val="21"/>
                      <w:lang w:val="en-US" w:eastAsia="zh-CN"/>
                    </w:rPr>
                    <w:t>、</w:t>
                  </w:r>
                  <w:r>
                    <w:rPr>
                      <w:rFonts w:hint="default" w:ascii="Times New Roman" w:hAnsi="Times New Roman" w:cs="Times New Roman"/>
                      <w:b w:val="0"/>
                      <w:bCs w:val="0"/>
                      <w:color w:val="auto"/>
                      <w:sz w:val="21"/>
                      <w:szCs w:val="21"/>
                    </w:rPr>
                    <w:t>危废暂存间</w:t>
                  </w:r>
                </w:p>
              </w:tc>
              <w:tc>
                <w:tcPr>
                  <w:tcW w:w="834" w:type="pct"/>
                  <w:vAlign w:val="center"/>
                </w:tcPr>
                <w:p>
                  <w:pPr>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Align w:val="center"/>
                </w:tcPr>
                <w:p>
                  <w:pPr>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5</w:t>
                  </w:r>
                </w:p>
              </w:tc>
              <w:tc>
                <w:tcPr>
                  <w:tcW w:w="651" w:type="pct"/>
                  <w:vAlign w:val="center"/>
                </w:tcPr>
                <w:p>
                  <w:pPr>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合计</w:t>
                  </w:r>
                </w:p>
              </w:tc>
              <w:tc>
                <w:tcPr>
                  <w:tcW w:w="3093" w:type="pct"/>
                  <w:vAlign w:val="center"/>
                </w:tcPr>
                <w:p>
                  <w:pPr>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w:t>
                  </w:r>
                </w:p>
              </w:tc>
              <w:tc>
                <w:tcPr>
                  <w:tcW w:w="834" w:type="pct"/>
                  <w:vAlign w:val="center"/>
                </w:tcPr>
                <w:p>
                  <w:pPr>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500</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9</w:t>
            </w:r>
            <w:r>
              <w:rPr>
                <w:rFonts w:hint="default" w:ascii="Times New Roman" w:hAnsi="Times New Roman" w:eastAsia="黑体" w:cs="Times New Roman"/>
                <w:color w:val="auto"/>
                <w:sz w:val="24"/>
                <w:szCs w:val="24"/>
                <w:highlight w:val="none"/>
                <w:lang w:val="en-US" w:eastAsia="zh-CN"/>
              </w:rPr>
              <w:t>、项目现场</w:t>
            </w:r>
          </w:p>
          <w:tbl>
            <w:tblPr>
              <w:tblStyle w:val="27"/>
              <w:tblW w:w="83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8378" w:type="dxa"/>
                  <w:tcMar>
                    <w:top w:w="0" w:type="dxa"/>
                    <w:left w:w="0" w:type="dxa"/>
                    <w:bottom w:w="0" w:type="dxa"/>
                    <w:right w:w="0" w:type="dxa"/>
                  </w:tcMar>
                  <w:vAlign w:val="center"/>
                </w:tcPr>
                <w:p>
                  <w:pPr>
                    <w:jc w:val="center"/>
                    <w:rPr>
                      <w:rFonts w:hint="eastAsia"/>
                      <w:color w:val="auto"/>
                      <w:vertAlign w:val="baseline"/>
                      <w:lang w:eastAsia="zh-CN"/>
                    </w:rPr>
                  </w:pPr>
                  <w:r>
                    <w:rPr>
                      <w:rFonts w:hint="eastAsia"/>
                      <w:color w:val="auto"/>
                      <w:vertAlign w:val="baseline"/>
                      <w:lang w:eastAsia="zh-CN"/>
                    </w:rPr>
                    <w:drawing>
                      <wp:inline distT="0" distB="0" distL="114300" distR="114300">
                        <wp:extent cx="4685665" cy="2486660"/>
                        <wp:effectExtent l="0" t="0" r="635" b="8890"/>
                        <wp:docPr id="97" name="图片 97" descr="厂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厂里"/>
                                <pic:cNvPicPr>
                                  <a:picLocks noChangeAspect="1"/>
                                </pic:cNvPicPr>
                              </pic:nvPicPr>
                              <pic:blipFill>
                                <a:blip r:embed="rId10"/>
                                <a:srcRect t="29263"/>
                                <a:stretch>
                                  <a:fillRect/>
                                </a:stretch>
                              </pic:blipFill>
                              <pic:spPr>
                                <a:xfrm>
                                  <a:off x="0" y="0"/>
                                  <a:ext cx="4685665" cy="2486660"/>
                                </a:xfrm>
                                <a:prstGeom prst="rect">
                                  <a:avLst/>
                                </a:prstGeom>
                              </pic:spPr>
                            </pic:pic>
                          </a:graphicData>
                        </a:graphic>
                      </wp:inline>
                    </w:drawing>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宋体" w:cs="Times New Roman"/>
                <w:bCs/>
                <w:color w:val="auto"/>
                <w:szCs w:val="21"/>
                <w:lang w:val="en-US" w:eastAsia="zh-CN"/>
              </w:rPr>
            </w:pPr>
            <w:r>
              <w:rPr>
                <w:rFonts w:hint="default" w:ascii="Times New Roman" w:hAnsi="Times New Roman" w:eastAsia="黑体" w:cs="Times New Roman"/>
                <w:color w:val="auto"/>
                <w:sz w:val="24"/>
                <w:szCs w:val="24"/>
                <w:highlight w:val="none"/>
                <w:lang w:val="en-US" w:eastAsia="zh-CN"/>
              </w:rPr>
              <w:t>现场勘查照片</w:t>
            </w:r>
            <w:r>
              <w:rPr>
                <w:rFonts w:hint="eastAsia" w:ascii="Times New Roman" w:hAnsi="Times New Roman" w:eastAsia="黑体" w:cs="Times New Roman"/>
                <w:color w:val="auto"/>
                <w:sz w:val="24"/>
                <w:szCs w:val="24"/>
                <w:highlight w:val="none"/>
                <w:lang w:val="en-US" w:eastAsia="zh-CN"/>
              </w:rPr>
              <w:t>（202</w:t>
            </w:r>
            <w:r>
              <w:rPr>
                <w:rFonts w:hint="eastAsia" w:eastAsia="黑体" w:cs="Times New Roman"/>
                <w:color w:val="auto"/>
                <w:sz w:val="24"/>
                <w:szCs w:val="24"/>
                <w:highlight w:val="none"/>
                <w:lang w:val="en-US" w:eastAsia="zh-CN"/>
              </w:rPr>
              <w:t>3</w:t>
            </w:r>
            <w:r>
              <w:rPr>
                <w:rFonts w:hint="eastAsia" w:ascii="Times New Roman" w:hAnsi="Times New Roman" w:eastAsia="黑体" w:cs="Times New Roman"/>
                <w:color w:val="auto"/>
                <w:sz w:val="24"/>
                <w:szCs w:val="24"/>
                <w:highlight w:val="none"/>
                <w:lang w:val="en-US" w:eastAsia="zh-CN"/>
              </w:rPr>
              <w:t>.</w:t>
            </w:r>
            <w:r>
              <w:rPr>
                <w:rFonts w:hint="eastAsia" w:eastAsia="黑体" w:cs="Times New Roman"/>
                <w:color w:val="auto"/>
                <w:sz w:val="24"/>
                <w:szCs w:val="24"/>
                <w:highlight w:val="none"/>
                <w:lang w:val="en-US" w:eastAsia="zh-CN"/>
              </w:rPr>
              <w:t>1</w:t>
            </w:r>
            <w:r>
              <w:rPr>
                <w:rFonts w:hint="eastAsia" w:ascii="Times New Roman" w:hAnsi="Times New Roman" w:eastAsia="黑体" w:cs="Times New Roman"/>
                <w:color w:val="auto"/>
                <w:sz w:val="24"/>
                <w:szCs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76" w:hRule="atLeast"/>
          <w:jc w:val="center"/>
        </w:trPr>
        <w:tc>
          <w:tcPr>
            <w:tcW w:w="256" w:type="pct"/>
            <w:vAlign w:val="center"/>
          </w:tcPr>
          <w:p>
            <w:pPr>
              <w:pStyle w:val="22"/>
              <w:adjustRightInd w:val="0"/>
              <w:snapToGrid w:val="0"/>
              <w:spacing w:before="0" w:beforeAutospacing="0" w:after="0" w:afterAutospacing="0"/>
              <w:jc w:val="center"/>
              <w:rPr>
                <w:rFonts w:hint="default" w:ascii="Times New Roman" w:hAnsi="Times New Roman" w:cs="Times New Roman"/>
                <w:color w:val="auto"/>
                <w:sz w:val="21"/>
                <w:szCs w:val="21"/>
                <w:lang w:val="en-US" w:eastAsia="zh-CN"/>
              </w:rPr>
            </w:pPr>
            <w:r>
              <w:rPr>
                <w:rFonts w:hint="default" w:ascii="黑体" w:hAnsi="黑体" w:eastAsia="黑体" w:cs="黑体"/>
                <w:color w:val="auto"/>
                <w:sz w:val="24"/>
                <w:szCs w:val="24"/>
                <w:highlight w:val="none"/>
                <w:lang w:val="en-US" w:eastAsia="zh-CN"/>
              </w:rPr>
              <w:t>工艺流程和产排污环节</w:t>
            </w:r>
          </w:p>
        </w:tc>
        <w:tc>
          <w:tcPr>
            <w:tcW w:w="4743" w:type="pct"/>
          </w:tcPr>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一、工艺流程简述：</w:t>
            </w:r>
          </w:p>
          <w:p>
            <w:pPr>
              <w:keepNext w:val="0"/>
              <w:keepLines w:val="0"/>
              <w:pageBreakBefore w:val="0"/>
              <w:widowControl w:val="0"/>
              <w:kinsoku/>
              <w:wordWrap/>
              <w:overflowPunct/>
              <w:topLinePunct w:val="0"/>
              <w:autoSpaceDE/>
              <w:autoSpaceDN/>
              <w:bidi w:val="0"/>
              <w:snapToGrid w:val="0"/>
              <w:spacing w:line="360" w:lineRule="auto"/>
              <w:ind w:firstLine="482"/>
              <w:textAlignment w:val="auto"/>
              <w:rPr>
                <w:rFonts w:hint="eastAsia" w:ascii="Times New Roman" w:hAnsi="Times New Roman" w:eastAsia="宋体" w:cs="Times New Roman"/>
                <w:b/>
                <w:bCs/>
                <w:color w:val="auto"/>
                <w:sz w:val="24"/>
                <w:lang w:eastAsia="zh-CN"/>
              </w:rPr>
            </w:pPr>
            <w:r>
              <w:rPr>
                <w:rFonts w:hint="default" w:ascii="Times New Roman" w:hAnsi="Times New Roman" w:eastAsia="宋体" w:cs="Times New Roman"/>
                <w:b w:val="0"/>
                <w:bCs w:val="0"/>
                <w:color w:val="auto"/>
                <w:sz w:val="24"/>
              </w:rPr>
              <w:t>本工程建设内容对环境影响时段包括工程施工期及营运期两个时段</w:t>
            </w:r>
            <w:r>
              <w:rPr>
                <w:rFonts w:hint="eastAsia" w:ascii="Times New Roman" w:hAnsi="Times New Roman" w:eastAsia="宋体" w:cs="Times New Roman"/>
                <w:b w:val="0"/>
                <w:bCs w:val="0"/>
                <w:color w:val="auto"/>
                <w:sz w:val="24"/>
                <w:lang w:eastAsia="zh-CN"/>
              </w:rPr>
              <w:t>，分述如下。</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（一）施工期</w:t>
            </w:r>
          </w:p>
          <w:p>
            <w:pPr>
              <w:keepNext w:val="0"/>
              <w:keepLines w:val="0"/>
              <w:pageBreakBefore w:val="0"/>
              <w:widowControl w:val="0"/>
              <w:kinsoku/>
              <w:wordWrap/>
              <w:overflowPunct/>
              <w:topLinePunct w:val="0"/>
              <w:autoSpaceDE/>
              <w:autoSpaceDN/>
              <w:bidi w:val="0"/>
              <w:snapToGrid w:val="0"/>
              <w:spacing w:line="360" w:lineRule="auto"/>
              <w:ind w:firstLine="482"/>
              <w:textAlignment w:val="auto"/>
              <w:rPr>
                <w:rFonts w:hint="eastAsia" w:ascii="Times New Roman" w:hAnsi="Times New Roman" w:eastAsia="宋体" w:cs="Times New Roman"/>
                <w:color w:val="auto"/>
                <w:sz w:val="24"/>
                <w:lang w:val="en-US" w:eastAsia="zh-CN"/>
              </w:rPr>
            </w:pPr>
            <w:r>
              <w:rPr>
                <w:rFonts w:hint="eastAsia" w:cs="Times New Roman"/>
                <w:color w:val="auto"/>
                <w:sz w:val="24"/>
                <w:lang w:val="en-US" w:eastAsia="zh-CN"/>
              </w:rPr>
              <w:t>1、施工期工艺流程图及产污环节图</w:t>
            </w:r>
          </w:p>
          <w:p>
            <w:pPr>
              <w:keepNext w:val="0"/>
              <w:keepLines w:val="0"/>
              <w:pageBreakBefore w:val="0"/>
              <w:widowControl w:val="0"/>
              <w:kinsoku/>
              <w:wordWrap/>
              <w:overflowPunct/>
              <w:topLinePunct w:val="0"/>
              <w:autoSpaceDE/>
              <w:autoSpaceDN/>
              <w:bidi w:val="0"/>
              <w:snapToGrid w:val="0"/>
              <w:spacing w:line="360" w:lineRule="auto"/>
              <w:jc w:val="center"/>
              <w:textAlignment w:val="auto"/>
              <w:rPr>
                <w:rFonts w:hint="default" w:ascii="Times New Roman" w:hAnsi="Times New Roman" w:cs="Times New Roman"/>
                <w:color w:val="auto"/>
                <w:sz w:val="24"/>
              </w:rPr>
            </w:pPr>
            <w:r>
              <w:rPr>
                <w:rFonts w:hint="default" w:ascii="Times New Roman" w:hAnsi="Times New Roman" w:cs="Times New Roman"/>
                <w:color w:val="auto"/>
              </w:rPr>
              <w:drawing>
                <wp:inline distT="0" distB="0" distL="114300" distR="114300">
                  <wp:extent cx="5000625" cy="2143125"/>
                  <wp:effectExtent l="0" t="0" r="9525" b="9525"/>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11"/>
                          <a:stretch>
                            <a:fillRect/>
                          </a:stretch>
                        </pic:blipFill>
                        <pic:spPr>
                          <a:xfrm>
                            <a:off x="0" y="0"/>
                            <a:ext cx="5000625" cy="21431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图2-2 施工期工艺流程及产污环节图</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b w:val="0"/>
                <w:bCs w:val="0"/>
                <w:color w:val="auto"/>
                <w:sz w:val="24"/>
                <w:lang w:val="en-US" w:eastAsia="zh-CN"/>
              </w:rPr>
            </w:pPr>
            <w:r>
              <w:rPr>
                <w:rFonts w:hint="eastAsia" w:ascii="Times New Roman" w:hAnsi="Times New Roman" w:eastAsia="宋体" w:cs="Times New Roman"/>
                <w:b w:val="0"/>
                <w:bCs w:val="0"/>
                <w:color w:val="auto"/>
                <w:sz w:val="24"/>
                <w:lang w:val="en-US" w:eastAsia="zh-CN"/>
              </w:rPr>
              <w:t>2、施工期工艺流程描述</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t>①基础工程：包括地面植被清理等</w:t>
            </w:r>
            <w:r>
              <w:rPr>
                <w:rFonts w:hint="default" w:ascii="Times New Roman" w:hAnsi="Times New Roman" w:eastAsia="宋体" w:cs="Times New Roman"/>
                <w:b w:val="0"/>
                <w:bCs w:val="0"/>
                <w:color w:val="auto"/>
                <w:sz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t>②主体工程：包括挖掘土石方，进行</w:t>
            </w:r>
            <w:r>
              <w:rPr>
                <w:rFonts w:hint="eastAsia" w:cs="Times New Roman"/>
                <w:b w:val="0"/>
                <w:bCs w:val="0"/>
                <w:color w:val="auto"/>
                <w:sz w:val="24"/>
                <w:lang w:eastAsia="zh-CN"/>
              </w:rPr>
              <w:t>厂房及办公楼</w:t>
            </w:r>
            <w:r>
              <w:rPr>
                <w:rFonts w:hint="default" w:ascii="Times New Roman" w:hAnsi="Times New Roman" w:eastAsia="宋体" w:cs="Times New Roman"/>
                <w:b w:val="0"/>
                <w:bCs w:val="0"/>
                <w:color w:val="auto"/>
                <w:sz w:val="24"/>
              </w:rPr>
              <w:t>施工建设。</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b w:val="0"/>
                <w:bCs w:val="0"/>
                <w:color w:val="auto"/>
                <w:sz w:val="24"/>
                <w:lang w:eastAsia="zh-CN"/>
              </w:rPr>
            </w:pPr>
            <w:r>
              <w:rPr>
                <w:rFonts w:hint="default" w:ascii="Times New Roman" w:hAnsi="Times New Roman" w:eastAsia="宋体" w:cs="Times New Roman"/>
                <w:b w:val="0"/>
                <w:bCs w:val="0"/>
                <w:color w:val="auto"/>
                <w:sz w:val="24"/>
              </w:rPr>
              <w:t>③装饰工程：主要包括</w:t>
            </w:r>
            <w:r>
              <w:rPr>
                <w:rFonts w:hint="eastAsia" w:cs="Times New Roman"/>
                <w:b w:val="0"/>
                <w:bCs w:val="0"/>
                <w:color w:val="auto"/>
                <w:sz w:val="24"/>
                <w:lang w:eastAsia="zh-CN"/>
              </w:rPr>
              <w:t>厂房及办公楼</w:t>
            </w:r>
            <w:r>
              <w:rPr>
                <w:rFonts w:hint="default" w:ascii="Times New Roman" w:hAnsi="Times New Roman" w:eastAsia="宋体" w:cs="Times New Roman"/>
                <w:b w:val="0"/>
                <w:bCs w:val="0"/>
                <w:color w:val="auto"/>
                <w:sz w:val="24"/>
              </w:rPr>
              <w:t>内外装饰等</w:t>
            </w:r>
            <w:r>
              <w:rPr>
                <w:rFonts w:hint="eastAsia" w:ascii="Times New Roman" w:hAnsi="Times New Roman" w:eastAsia="宋体" w:cs="Times New Roman"/>
                <w:b w:val="0"/>
                <w:bCs w:val="0"/>
                <w:color w:val="auto"/>
                <w:sz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lang w:val="en-US" w:eastAsia="zh-CN"/>
              </w:rPr>
            </w:pPr>
            <w:r>
              <w:rPr>
                <w:rFonts w:hint="eastAsia" w:ascii="Times New Roman" w:hAnsi="Times New Roman" w:eastAsia="宋体" w:cs="Times New Roman"/>
                <w:b w:val="0"/>
                <w:bCs w:val="0"/>
                <w:color w:val="auto"/>
                <w:sz w:val="24"/>
                <w:lang w:val="en-US" w:eastAsia="zh-CN"/>
              </w:rPr>
              <w:t>3、施工期产排污环节</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cs="Times New Roman"/>
                <w:color w:val="auto"/>
                <w:sz w:val="24"/>
                <w:lang w:val="en-US" w:eastAsia="zh-CN"/>
              </w:rPr>
            </w:pPr>
            <w:r>
              <w:rPr>
                <w:rFonts w:hint="eastAsia" w:cs="Times New Roman"/>
                <w:color w:val="auto"/>
                <w:sz w:val="24"/>
                <w:lang w:val="en-US" w:eastAsia="zh-CN"/>
              </w:rPr>
              <w:t>（1）</w:t>
            </w:r>
            <w:r>
              <w:rPr>
                <w:rFonts w:hint="default" w:ascii="Times New Roman" w:hAnsi="Times New Roman" w:cs="Times New Roman"/>
                <w:color w:val="auto"/>
                <w:sz w:val="24"/>
                <w:lang w:val="en-US" w:eastAsia="zh-CN"/>
              </w:rPr>
              <w:t>废气</w:t>
            </w:r>
          </w:p>
          <w:p>
            <w:pPr>
              <w:adjustRightInd w:val="0"/>
              <w:snapToGrid w:val="0"/>
              <w:spacing w:line="360" w:lineRule="auto"/>
              <w:ind w:firstLine="480" w:firstLineChars="200"/>
              <w:rPr>
                <w:color w:val="auto"/>
                <w:sz w:val="24"/>
              </w:rPr>
            </w:pPr>
            <w:r>
              <w:rPr>
                <w:color w:val="auto"/>
                <w:sz w:val="24"/>
              </w:rPr>
              <w:t>施工期产生的废气主要为建筑材料运输、装卸过程中产生的扬尘，如水泥、建筑用砂等。</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cs="Times New Roman"/>
                <w:color w:val="auto"/>
                <w:sz w:val="24"/>
                <w:lang w:val="en-US" w:eastAsia="zh-CN"/>
              </w:rPr>
            </w:pPr>
            <w:r>
              <w:rPr>
                <w:rFonts w:hint="eastAsia" w:cs="Times New Roman"/>
                <w:color w:val="auto"/>
                <w:sz w:val="24"/>
                <w:lang w:val="en-US" w:eastAsia="zh-CN"/>
              </w:rPr>
              <w:t>（2）</w:t>
            </w:r>
            <w:r>
              <w:rPr>
                <w:rFonts w:hint="default" w:ascii="Times New Roman" w:hAnsi="Times New Roman" w:cs="Times New Roman"/>
                <w:color w:val="auto"/>
                <w:sz w:val="24"/>
                <w:lang w:val="en-US" w:eastAsia="zh-CN"/>
              </w:rPr>
              <w:t>废水</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color w:val="auto"/>
                <w:sz w:val="24"/>
                <w:lang w:bidi="ar"/>
              </w:rPr>
              <w:t>施工期产生的废水主要为施工用水和施工生活污水。</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（3）</w:t>
            </w:r>
            <w:r>
              <w:rPr>
                <w:rFonts w:hint="default" w:ascii="Times New Roman" w:hAnsi="Times New Roman" w:eastAsia="宋体" w:cs="Times New Roman"/>
                <w:color w:val="auto"/>
                <w:sz w:val="24"/>
                <w:lang w:val="en-US" w:eastAsia="zh-CN"/>
              </w:rPr>
              <w:t>噪声</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本项目噪声主要来源于</w:t>
            </w:r>
            <w:r>
              <w:rPr>
                <w:rFonts w:hint="eastAsia" w:cs="Times New Roman"/>
                <w:color w:val="auto"/>
                <w:sz w:val="24"/>
                <w:lang w:val="en-US" w:eastAsia="zh-CN"/>
              </w:rPr>
              <w:t>施工设备、运输车辆等</w:t>
            </w:r>
            <w:r>
              <w:rPr>
                <w:rFonts w:hint="default" w:ascii="Times New Roman" w:hAnsi="Times New Roman" w:eastAsia="宋体" w:cs="Times New Roman"/>
                <w:color w:val="auto"/>
                <w:sz w:val="24"/>
                <w:lang w:val="en-US" w:eastAsia="zh-CN"/>
              </w:rPr>
              <w:t>运行时产生的噪声。</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eastAsia" w:cs="Times New Roman"/>
                <w:color w:val="auto"/>
                <w:sz w:val="24"/>
                <w:lang w:val="en-US" w:eastAsia="zh-CN"/>
              </w:rPr>
              <w:t>（4）</w:t>
            </w:r>
            <w:r>
              <w:rPr>
                <w:rFonts w:hint="default" w:ascii="Times New Roman" w:hAnsi="Times New Roman" w:cs="Times New Roman"/>
                <w:color w:val="auto"/>
                <w:sz w:val="24"/>
                <w:lang w:val="en-US" w:eastAsia="zh-CN"/>
              </w:rPr>
              <w:t>固体废物</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lang w:val="en-US" w:eastAsia="zh-CN"/>
              </w:rPr>
            </w:pPr>
            <w:r>
              <w:rPr>
                <w:color w:val="auto"/>
                <w:sz w:val="24"/>
              </w:rPr>
              <w:t>施工期固体废物主要为开挖土方、包装材料和施工人员产生的生活垃圾</w:t>
            </w:r>
            <w:r>
              <w:rPr>
                <w:rFonts w:hint="default" w:ascii="Times New Roman" w:hAnsi="Times New Roman"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（二）营运期</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lang w:val="en-US" w:eastAsia="zh-CN"/>
              </w:rPr>
            </w:pPr>
            <w:r>
              <w:rPr>
                <w:rFonts w:hint="eastAsia" w:cs="Times New Roman"/>
                <w:b w:val="0"/>
                <w:bCs w:val="0"/>
                <w:color w:val="auto"/>
                <w:sz w:val="24"/>
                <w:lang w:val="en-US" w:eastAsia="zh-CN"/>
              </w:rPr>
              <w:t>1</w:t>
            </w:r>
            <w:r>
              <w:rPr>
                <w:rFonts w:hint="default" w:ascii="Times New Roman" w:hAnsi="Times New Roman" w:cs="Times New Roman"/>
                <w:b w:val="0"/>
                <w:bCs w:val="0"/>
                <w:color w:val="auto"/>
                <w:sz w:val="24"/>
              </w:rPr>
              <w:t>、</w:t>
            </w:r>
            <w:r>
              <w:rPr>
                <w:rFonts w:hint="eastAsia" w:cs="Times New Roman"/>
                <w:color w:val="auto"/>
                <w:sz w:val="24"/>
                <w:lang w:val="en-US" w:eastAsia="zh-CN"/>
              </w:rPr>
              <w:t>项目营运期工艺流程及产污环节图</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w:t>
            </w:r>
            <w:r>
              <w:rPr>
                <w:rFonts w:hint="eastAsia" w:cs="Times New Roman"/>
                <w:color w:val="auto"/>
                <w:sz w:val="24"/>
                <w:lang w:val="en-US" w:eastAsia="zh-CN"/>
              </w:rPr>
              <w:t>柴油、汽油、石脑油仓储工艺流程</w:t>
            </w:r>
          </w:p>
          <w:p>
            <w:pPr>
              <w:pStyle w:val="8"/>
              <w:jc w:val="left"/>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eastAsia="zh-CN"/>
              </w:rPr>
              <w:object>
                <v:shape id="_x0000_i1026" o:spt="75" type="#_x0000_t75" style="height:91.65pt;width:418.6pt;" o:ole="t" filled="f" o:preferrelative="t" stroked="f" coordsize="21600,21600">
                  <v:path/>
                  <v:fill on="f" focussize="0,0"/>
                  <v:stroke on="f"/>
                  <v:imagedata r:id="rId13" o:title=""/>
                  <o:lock v:ext="edit" aspectratio="f"/>
                  <w10:wrap type="none"/>
                  <w10:anchorlock/>
                </v:shape>
                <o:OLEObject Type="Embed" ProgID="Visio.Drawing.11" ShapeID="_x0000_i1026" DrawAspect="Content" ObjectID="_1468075726" r:id="rId12">
                  <o:LockedField>false</o:LockedField>
                </o:OLEObject>
              </w:object>
            </w:r>
            <w:r>
              <w:rPr>
                <w:rFonts w:hint="eastAsia" w:ascii="Times New Roman" w:hAnsi="Times New Roman" w:eastAsia="宋体" w:cs="Times New Roman"/>
                <w:b w:val="0"/>
                <w:bCs w:val="0"/>
                <w:color w:val="auto"/>
                <w:sz w:val="24"/>
                <w:szCs w:val="24"/>
                <w:lang w:eastAsia="zh-CN"/>
              </w:rPr>
              <w:t>注：</w:t>
            </w:r>
            <w:r>
              <w:rPr>
                <w:rFonts w:hint="eastAsia" w:ascii="Times New Roman" w:hAnsi="Times New Roman" w:cs="Times New Roman"/>
                <w:color w:val="auto"/>
                <w:sz w:val="24"/>
                <w:lang w:val="en-US" w:eastAsia="zh-CN"/>
              </w:rPr>
              <w:t>卸车过程中产生的VOCs已在罐区大呼吸损失中考虑。</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图2-</w:t>
            </w:r>
            <w:r>
              <w:rPr>
                <w:rFonts w:hint="eastAsia" w:ascii="Times New Roman" w:hAnsi="Times New Roman" w:eastAsia="黑体" w:cs="Times New Roman"/>
                <w:color w:val="auto"/>
                <w:sz w:val="24"/>
                <w:szCs w:val="24"/>
                <w:highlight w:val="none"/>
                <w:lang w:val="en-US" w:eastAsia="zh-CN"/>
              </w:rPr>
              <w:t>2 柴油、汽油、石脑油仓储工艺流程</w:t>
            </w:r>
            <w:r>
              <w:rPr>
                <w:rFonts w:hint="default" w:ascii="Times New Roman" w:hAnsi="Times New Roman" w:eastAsia="黑体" w:cs="Times New Roman"/>
                <w:color w:val="auto"/>
                <w:sz w:val="24"/>
                <w:szCs w:val="24"/>
                <w:highlight w:val="none"/>
                <w:lang w:val="en-US" w:eastAsia="zh-CN"/>
              </w:rPr>
              <w:t>及产污环节图</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eastAsia" w:cs="Times New Roman"/>
                <w:color w:val="auto"/>
                <w:sz w:val="24"/>
                <w:lang w:val="en-US" w:eastAsia="zh-CN"/>
              </w:rPr>
              <w:t>（2）甲醇、沥青、渣油、重油</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object>
                <v:shape id="_x0000_i1027" o:spt="75" type="#_x0000_t75" style="height:100pt;width:418.8pt;" o:ole="t" filled="f" o:preferrelative="t" stroked="f" coordsize="21600,21600">
                  <v:path/>
                  <v:fill on="f" focussize="0,0"/>
                  <v:stroke on="f"/>
                  <v:imagedata r:id="rId15" o:title=""/>
                  <o:lock v:ext="edit" aspectratio="f"/>
                  <w10:wrap type="none"/>
                  <w10:anchorlock/>
                </v:shape>
                <o:OLEObject Type="Embed" ProgID="Visio.Drawing.11" ShapeID="_x0000_i1027" DrawAspect="Content" ObjectID="_1468075727" r:id="rId14">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图2-</w:t>
            </w:r>
            <w:r>
              <w:rPr>
                <w:rFonts w:hint="eastAsia" w:ascii="Times New Roman" w:hAnsi="Times New Roman" w:eastAsia="黑体" w:cs="Times New Roman"/>
                <w:color w:val="auto"/>
                <w:sz w:val="24"/>
                <w:szCs w:val="24"/>
                <w:highlight w:val="none"/>
                <w:lang w:val="en-US" w:eastAsia="zh-CN"/>
              </w:rPr>
              <w:t>2 甲醇、沥青、渣油、重油仓储工艺流程</w:t>
            </w:r>
            <w:r>
              <w:rPr>
                <w:rFonts w:hint="default" w:ascii="Times New Roman" w:hAnsi="Times New Roman" w:eastAsia="黑体" w:cs="Times New Roman"/>
                <w:color w:val="auto"/>
                <w:sz w:val="24"/>
                <w:szCs w:val="24"/>
                <w:highlight w:val="none"/>
                <w:lang w:val="en-US" w:eastAsia="zh-CN"/>
              </w:rPr>
              <w:t>及产污环节图</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生产工艺流程简述：</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项目物料仓储流程基本一致，柴油、汽油、石脑油产生废气需经油气回收后进入RTO装置焚烧，甲醇、沥青、渣油、重油产生废气直接进入RTO装置焚烧。</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①卸车工艺流程</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物料由槽车运来，经地磅称重后开往卸车区，停车熄火，采取防溜车设施，并将槽车与静电接地柱可靠连接，槽车下料管与卸车鹤管连接，打开卸车阀门，开启卸车泵，待卸车泵出口压力达到规定值后打开卸车泵出口阀门和储罐物料入口阀门，卸车完毕后停泵关阀门，槽车开至地磅处称重计量离开。储罐设置有远传液位计，具有高低液位报警及高高液位联锁切断进口切断阀的功能。当液位高高位时联锁并同时报警，快速联锁切断储罐进口气动切断阀以及停止卸车泵。</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②装车工艺流程</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空车经地磅称重后开往装车区，停车熄火，采取防溜车设施，并将槽车与静电接地柱可靠连接，槽车下料管与装车鹤管连接，打开装车阀门，开启装车泵，待装车泵出口压力达到规定值后打开装车泵出口阀门和槽车阀门，使用一卡通系统定量装车，装车完毕后停泵关阀门，槽车开至地磅处称重计量离开。储罐设置有远传液位计，具有高低液位报警及低低液位联锁切断装车切断阀的功能。当液位低低位时联锁并同时报警，快速联锁切断储罐出口气动切断阀以及停止装车泵。</w:t>
            </w:r>
          </w:p>
          <w:p>
            <w:pPr>
              <w:pStyle w:val="77"/>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eastAsia" w:ascii="Times New Roman" w:hAnsi="Times New Roman" w:eastAsia="宋体" w:cs="Times New Roman"/>
                <w:color w:val="auto"/>
                <w:kern w:val="0"/>
                <w:szCs w:val="24"/>
                <w:highlight w:val="none"/>
                <w:lang w:val="en-US" w:eastAsia="zh-CN"/>
              </w:rPr>
            </w:pPr>
            <w:bookmarkStart w:id="7" w:name="_Toc343512710"/>
            <w:r>
              <w:rPr>
                <w:rFonts w:hint="eastAsia" w:ascii="Times New Roman" w:hAnsi="Times New Roman" w:eastAsia="宋体" w:cs="Times New Roman"/>
                <w:color w:val="auto"/>
                <w:kern w:val="0"/>
                <w:szCs w:val="24"/>
                <w:highlight w:val="none"/>
                <w:lang w:val="en-US" w:eastAsia="zh-CN"/>
              </w:rPr>
              <w:t>③油气回收装置原理</w:t>
            </w:r>
          </w:p>
          <w:p>
            <w:pPr>
              <w:pStyle w:val="77"/>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jc w:val="left"/>
              <w:textAlignment w:val="auto"/>
              <w:rPr>
                <w:rFonts w:hint="eastAsia" w:ascii="Times New Roman" w:hAnsi="Times New Roman" w:eastAsia="宋体" w:cs="Times New Roman"/>
                <w:color w:val="auto"/>
                <w:kern w:val="0"/>
                <w:szCs w:val="24"/>
                <w:highlight w:val="none"/>
                <w:lang w:val="en-US" w:eastAsia="zh-CN"/>
              </w:rPr>
            </w:pPr>
            <w:r>
              <w:rPr>
                <w:rFonts w:hint="default" w:ascii="Times New Roman" w:hAnsi="Times New Roman" w:eastAsia="宋体" w:cs="Times New Roman"/>
                <w:color w:val="auto"/>
                <w:kern w:val="0"/>
                <w:szCs w:val="24"/>
                <w:highlight w:val="none"/>
                <w:lang w:eastAsia="zh-CN"/>
              </w:rPr>
              <w:t>油库油气回收指油库挥发油气和鹤管装车油气通过主管道收集起来通过吸收</w:t>
            </w:r>
            <w:r>
              <w:rPr>
                <w:rFonts w:hint="eastAsia" w:cs="Times New Roman"/>
                <w:color w:val="auto"/>
                <w:kern w:val="0"/>
                <w:szCs w:val="24"/>
                <w:highlight w:val="none"/>
                <w:lang w:eastAsia="zh-CN"/>
              </w:rPr>
              <w:t>、</w:t>
            </w:r>
            <w:r>
              <w:rPr>
                <w:rFonts w:hint="default" w:ascii="Times New Roman" w:hAnsi="Times New Roman" w:eastAsia="宋体" w:cs="Times New Roman"/>
                <w:color w:val="auto"/>
                <w:kern w:val="0"/>
                <w:szCs w:val="24"/>
                <w:highlight w:val="none"/>
                <w:lang w:eastAsia="zh-CN"/>
              </w:rPr>
              <w:fldChar w:fldCharType="begin"/>
            </w:r>
            <w:r>
              <w:rPr>
                <w:rFonts w:hint="default" w:ascii="Times New Roman" w:hAnsi="Times New Roman" w:eastAsia="宋体" w:cs="Times New Roman"/>
                <w:color w:val="auto"/>
                <w:kern w:val="0"/>
                <w:szCs w:val="24"/>
                <w:highlight w:val="none"/>
                <w:lang w:eastAsia="zh-CN"/>
              </w:rPr>
              <w:instrText xml:space="preserve"> HYPERLINK "https://baike.baidu.com/item/%E5%90%B8%E9%99%84/1133270?fromModule=lemma_inlink" \t "https://baike.baidu.com/item/%E6%B2%B9%E6%B0%94%E5%9B%9E%E6%94%B6/_blank" </w:instrText>
            </w:r>
            <w:r>
              <w:rPr>
                <w:rFonts w:hint="default" w:ascii="Times New Roman" w:hAnsi="Times New Roman" w:eastAsia="宋体" w:cs="Times New Roman"/>
                <w:color w:val="auto"/>
                <w:kern w:val="0"/>
                <w:szCs w:val="24"/>
                <w:highlight w:val="none"/>
                <w:lang w:eastAsia="zh-CN"/>
              </w:rPr>
              <w:fldChar w:fldCharType="separate"/>
            </w:r>
            <w:r>
              <w:rPr>
                <w:rFonts w:hint="default" w:ascii="Times New Roman" w:hAnsi="Times New Roman" w:eastAsia="宋体" w:cs="Times New Roman"/>
                <w:color w:val="auto"/>
                <w:kern w:val="0"/>
                <w:szCs w:val="24"/>
                <w:highlight w:val="none"/>
                <w:lang w:eastAsia="zh-CN"/>
              </w:rPr>
              <w:t>吸附</w:t>
            </w:r>
            <w:r>
              <w:rPr>
                <w:rFonts w:hint="default" w:ascii="Times New Roman" w:hAnsi="Times New Roman" w:eastAsia="宋体" w:cs="Times New Roman"/>
                <w:color w:val="auto"/>
                <w:kern w:val="0"/>
                <w:szCs w:val="24"/>
                <w:highlight w:val="none"/>
                <w:lang w:eastAsia="zh-CN"/>
              </w:rPr>
              <w:fldChar w:fldCharType="end"/>
            </w:r>
            <w:r>
              <w:rPr>
                <w:rFonts w:hint="default" w:ascii="Times New Roman" w:hAnsi="Times New Roman" w:eastAsia="宋体" w:cs="Times New Roman"/>
                <w:color w:val="auto"/>
                <w:kern w:val="0"/>
                <w:szCs w:val="24"/>
                <w:highlight w:val="none"/>
                <w:lang w:eastAsia="zh-CN"/>
              </w:rPr>
              <w:t>或</w:t>
            </w:r>
            <w:r>
              <w:rPr>
                <w:rFonts w:hint="default" w:ascii="Times New Roman" w:hAnsi="Times New Roman" w:eastAsia="宋体" w:cs="Times New Roman"/>
                <w:color w:val="auto"/>
                <w:kern w:val="0"/>
                <w:szCs w:val="24"/>
                <w:highlight w:val="none"/>
                <w:lang w:eastAsia="zh-CN"/>
              </w:rPr>
              <w:fldChar w:fldCharType="begin"/>
            </w:r>
            <w:r>
              <w:rPr>
                <w:rFonts w:hint="default" w:ascii="Times New Roman" w:hAnsi="Times New Roman" w:eastAsia="宋体" w:cs="Times New Roman"/>
                <w:color w:val="auto"/>
                <w:kern w:val="0"/>
                <w:szCs w:val="24"/>
                <w:highlight w:val="none"/>
                <w:lang w:eastAsia="zh-CN"/>
              </w:rPr>
              <w:instrText xml:space="preserve"> HYPERLINK "https://baike.baidu.com/item/%E5%86%B7%E5%87%9D/2996218?fromModule=lemma_inlink" \t "https://baike.baidu.com/item/%E6%B2%B9%E6%B0%94%E5%9B%9E%E6%94%B6/_blank" </w:instrText>
            </w:r>
            <w:r>
              <w:rPr>
                <w:rFonts w:hint="default" w:ascii="Times New Roman" w:hAnsi="Times New Roman" w:eastAsia="宋体" w:cs="Times New Roman"/>
                <w:color w:val="auto"/>
                <w:kern w:val="0"/>
                <w:szCs w:val="24"/>
                <w:highlight w:val="none"/>
                <w:lang w:eastAsia="zh-CN"/>
              </w:rPr>
              <w:fldChar w:fldCharType="separate"/>
            </w:r>
            <w:r>
              <w:rPr>
                <w:rFonts w:hint="default" w:ascii="Times New Roman" w:hAnsi="Times New Roman" w:eastAsia="宋体" w:cs="Times New Roman"/>
                <w:color w:val="auto"/>
                <w:kern w:val="0"/>
                <w:szCs w:val="24"/>
                <w:highlight w:val="none"/>
                <w:lang w:eastAsia="zh-CN"/>
              </w:rPr>
              <w:t>冷凝</w:t>
            </w:r>
            <w:r>
              <w:rPr>
                <w:rFonts w:hint="default" w:ascii="Times New Roman" w:hAnsi="Times New Roman" w:eastAsia="宋体" w:cs="Times New Roman"/>
                <w:color w:val="auto"/>
                <w:kern w:val="0"/>
                <w:szCs w:val="24"/>
                <w:highlight w:val="none"/>
                <w:lang w:eastAsia="zh-CN"/>
              </w:rPr>
              <w:fldChar w:fldCharType="end"/>
            </w:r>
            <w:r>
              <w:rPr>
                <w:rFonts w:hint="default" w:ascii="Times New Roman" w:hAnsi="Times New Roman" w:eastAsia="宋体" w:cs="Times New Roman"/>
                <w:color w:val="auto"/>
                <w:kern w:val="0"/>
                <w:szCs w:val="24"/>
                <w:highlight w:val="none"/>
                <w:lang w:eastAsia="zh-CN"/>
              </w:rPr>
              <w:t>等工艺中的一种或两种方法，或减少油气的污染，或使油气从气态转变为液态，重新变为汽油，达到回收利用的目的。</w:t>
            </w:r>
            <w:r>
              <w:rPr>
                <w:rFonts w:hint="eastAsia" w:ascii="Times New Roman" w:hAnsi="Times New Roman" w:eastAsia="宋体" w:cs="Times New Roman"/>
                <w:color w:val="auto"/>
                <w:kern w:val="0"/>
                <w:szCs w:val="24"/>
                <w:highlight w:val="none"/>
                <w:lang w:eastAsia="zh-CN"/>
              </w:rPr>
              <w:t>本项目油气回收采用三级冷凝装置进行回收。</w:t>
            </w:r>
            <w:r>
              <w:rPr>
                <w:rFonts w:hint="default" w:ascii="Times New Roman" w:hAnsi="Times New Roman" w:eastAsia="宋体" w:cs="Times New Roman"/>
                <w:color w:val="auto"/>
                <w:kern w:val="0"/>
                <w:szCs w:val="24"/>
                <w:highlight w:val="none"/>
                <w:lang w:eastAsia="zh-CN"/>
              </w:rPr>
              <w:t>利用制冷技术将油气的热量置换出来，实现油气组分从气相到液相的直接转换。冷凝法是利用烃类物质在不同温度下的蒸汽压差异，通过降温使油气中一些烃类</w:t>
            </w:r>
            <w:r>
              <w:rPr>
                <w:rFonts w:hint="default" w:ascii="Times New Roman" w:hAnsi="Times New Roman" w:eastAsia="宋体" w:cs="Times New Roman"/>
                <w:color w:val="auto"/>
                <w:kern w:val="0"/>
                <w:szCs w:val="24"/>
                <w:highlight w:val="none"/>
                <w:lang w:eastAsia="zh-CN"/>
              </w:rPr>
              <w:fldChar w:fldCharType="begin"/>
            </w:r>
            <w:r>
              <w:rPr>
                <w:rFonts w:hint="default" w:ascii="Times New Roman" w:hAnsi="Times New Roman" w:eastAsia="宋体" w:cs="Times New Roman"/>
                <w:color w:val="auto"/>
                <w:kern w:val="0"/>
                <w:szCs w:val="24"/>
                <w:highlight w:val="none"/>
                <w:lang w:eastAsia="zh-CN"/>
              </w:rPr>
              <w:instrText xml:space="preserve"> HYPERLINK "https://baike.baidu.com/item/%E8%92%B8%E6%B1%BD%E5%8E%8B?fromModule=lemma_inlink" \t "https://baike.baidu.com/item/%E6%B2%B9%E6%B0%94%E5%9B%9E%E6%94%B6/_blank" </w:instrText>
            </w:r>
            <w:r>
              <w:rPr>
                <w:rFonts w:hint="default" w:ascii="Times New Roman" w:hAnsi="Times New Roman" w:eastAsia="宋体" w:cs="Times New Roman"/>
                <w:color w:val="auto"/>
                <w:kern w:val="0"/>
                <w:szCs w:val="24"/>
                <w:highlight w:val="none"/>
                <w:lang w:eastAsia="zh-CN"/>
              </w:rPr>
              <w:fldChar w:fldCharType="separate"/>
            </w:r>
            <w:r>
              <w:rPr>
                <w:rFonts w:hint="default" w:ascii="Times New Roman" w:hAnsi="Times New Roman" w:eastAsia="宋体" w:cs="Times New Roman"/>
                <w:color w:val="auto"/>
                <w:kern w:val="0"/>
                <w:szCs w:val="24"/>
                <w:highlight w:val="none"/>
                <w:lang w:eastAsia="zh-CN"/>
              </w:rPr>
              <w:t>蒸汽压</w:t>
            </w:r>
            <w:r>
              <w:rPr>
                <w:rFonts w:hint="default" w:ascii="Times New Roman" w:hAnsi="Times New Roman" w:eastAsia="宋体" w:cs="Times New Roman"/>
                <w:color w:val="auto"/>
                <w:kern w:val="0"/>
                <w:szCs w:val="24"/>
                <w:highlight w:val="none"/>
                <w:lang w:eastAsia="zh-CN"/>
              </w:rPr>
              <w:fldChar w:fldCharType="end"/>
            </w:r>
            <w:r>
              <w:rPr>
                <w:rFonts w:hint="default" w:ascii="Times New Roman" w:hAnsi="Times New Roman" w:eastAsia="宋体" w:cs="Times New Roman"/>
                <w:color w:val="auto"/>
                <w:kern w:val="0"/>
                <w:szCs w:val="24"/>
                <w:highlight w:val="none"/>
                <w:lang w:eastAsia="zh-CN"/>
              </w:rPr>
              <w:t>达到过饱和状态，过饱和蒸汽冷凝成液态，回收油气的方法。一般采用多级连续冷却方法降低油气的温度，使之凝聚为液体回收，根据挥发气的成分、要求的回收率及最后排放到大气中的尾气中有机化合物浓度限值，来确定冷凝装置的最低温度。一般按预冷、机械制冷等步骤来实现。</w:t>
            </w:r>
            <w:r>
              <w:rPr>
                <w:rFonts w:hint="default" w:ascii="Times New Roman" w:hAnsi="Times New Roman" w:eastAsia="宋体" w:cs="Times New Roman"/>
                <w:color w:val="auto"/>
                <w:kern w:val="0"/>
                <w:szCs w:val="24"/>
                <w:highlight w:val="none"/>
                <w:lang w:eastAsia="zh-CN"/>
              </w:rPr>
              <w:fldChar w:fldCharType="begin"/>
            </w:r>
            <w:r>
              <w:rPr>
                <w:rFonts w:hint="default" w:ascii="Times New Roman" w:hAnsi="Times New Roman" w:eastAsia="宋体" w:cs="Times New Roman"/>
                <w:color w:val="auto"/>
                <w:kern w:val="0"/>
                <w:szCs w:val="24"/>
                <w:highlight w:val="none"/>
                <w:lang w:eastAsia="zh-CN"/>
              </w:rPr>
              <w:instrText xml:space="preserve"> HYPERLINK "https://baike.baidu.com/item/%E9%A2%84%E5%86%B7%E5%99%A8?fromModule=lemma_inlink" \t "https://baike.baidu.com/item/%E6%B2%B9%E6%B0%94%E5%9B%9E%E6%94%B6/_blank" </w:instrText>
            </w:r>
            <w:r>
              <w:rPr>
                <w:rFonts w:hint="default" w:ascii="Times New Roman" w:hAnsi="Times New Roman" w:eastAsia="宋体" w:cs="Times New Roman"/>
                <w:color w:val="auto"/>
                <w:kern w:val="0"/>
                <w:szCs w:val="24"/>
                <w:highlight w:val="none"/>
                <w:lang w:eastAsia="zh-CN"/>
              </w:rPr>
              <w:fldChar w:fldCharType="separate"/>
            </w:r>
            <w:r>
              <w:rPr>
                <w:rFonts w:hint="default" w:ascii="Times New Roman" w:hAnsi="Times New Roman" w:eastAsia="宋体" w:cs="Times New Roman"/>
                <w:color w:val="auto"/>
                <w:kern w:val="0"/>
                <w:szCs w:val="24"/>
                <w:highlight w:val="none"/>
                <w:lang w:eastAsia="zh-CN"/>
              </w:rPr>
              <w:t>预冷器</w:t>
            </w:r>
            <w:r>
              <w:rPr>
                <w:rFonts w:hint="default" w:ascii="Times New Roman" w:hAnsi="Times New Roman" w:eastAsia="宋体" w:cs="Times New Roman"/>
                <w:color w:val="auto"/>
                <w:kern w:val="0"/>
                <w:szCs w:val="24"/>
                <w:highlight w:val="none"/>
                <w:lang w:eastAsia="zh-CN"/>
              </w:rPr>
              <w:fldChar w:fldCharType="end"/>
            </w:r>
            <w:r>
              <w:rPr>
                <w:rFonts w:hint="default" w:ascii="Times New Roman" w:hAnsi="Times New Roman" w:eastAsia="宋体" w:cs="Times New Roman"/>
                <w:color w:val="auto"/>
                <w:kern w:val="0"/>
                <w:szCs w:val="24"/>
                <w:highlight w:val="none"/>
                <w:lang w:eastAsia="zh-CN"/>
              </w:rPr>
              <w:t>是一单级冷却装置，为减少回收装置的运行能耗，现已开发出一种使用冷量回用的技术，使进入回收装置的气体温度从环境温度下降至4℃左右，使气体中大部分水汽凝结为水而除去。气体离开预冷器后进入浅冷级。可将气体温度冷却至－30℃～－50℃，根据需要设定，可回收油气中近一半的烃类物质。离开浅冷的油气进入深冷级，可冷却至－73℃到－110℃，根据不同的要求设定温度和进行</w:t>
            </w:r>
            <w:r>
              <w:rPr>
                <w:rFonts w:hint="default" w:ascii="Times New Roman" w:hAnsi="Times New Roman" w:eastAsia="宋体" w:cs="Times New Roman"/>
                <w:color w:val="auto"/>
                <w:kern w:val="0"/>
                <w:szCs w:val="24"/>
                <w:highlight w:val="none"/>
                <w:lang w:eastAsia="zh-CN"/>
              </w:rPr>
              <w:fldChar w:fldCharType="begin"/>
            </w:r>
            <w:r>
              <w:rPr>
                <w:rFonts w:hint="default" w:ascii="Times New Roman" w:hAnsi="Times New Roman" w:eastAsia="宋体" w:cs="Times New Roman"/>
                <w:color w:val="auto"/>
                <w:kern w:val="0"/>
                <w:szCs w:val="24"/>
                <w:highlight w:val="none"/>
                <w:lang w:eastAsia="zh-CN"/>
              </w:rPr>
              <w:instrText xml:space="preserve"> HYPERLINK "https://baike.baidu.com/item/%E5%8E%8B%E7%BC%A9%E6%9C%BA?fromModule=lemma_inlink" \t "https://baike.baidu.com/item/%E6%B2%B9%E6%B0%94%E5%9B%9E%E6%94%B6/_blank" </w:instrText>
            </w:r>
            <w:r>
              <w:rPr>
                <w:rFonts w:hint="default" w:ascii="Times New Roman" w:hAnsi="Times New Roman" w:eastAsia="宋体" w:cs="Times New Roman"/>
                <w:color w:val="auto"/>
                <w:kern w:val="0"/>
                <w:szCs w:val="24"/>
                <w:highlight w:val="none"/>
                <w:lang w:eastAsia="zh-CN"/>
              </w:rPr>
              <w:fldChar w:fldCharType="separate"/>
            </w:r>
            <w:r>
              <w:rPr>
                <w:rFonts w:hint="default" w:ascii="Times New Roman" w:hAnsi="Times New Roman" w:eastAsia="宋体" w:cs="Times New Roman"/>
                <w:color w:val="auto"/>
                <w:kern w:val="0"/>
                <w:szCs w:val="24"/>
                <w:highlight w:val="none"/>
                <w:lang w:eastAsia="zh-CN"/>
              </w:rPr>
              <w:t>压缩机</w:t>
            </w:r>
            <w:r>
              <w:rPr>
                <w:rFonts w:hint="default" w:ascii="Times New Roman" w:hAnsi="Times New Roman" w:eastAsia="宋体" w:cs="Times New Roman"/>
                <w:color w:val="auto"/>
                <w:kern w:val="0"/>
                <w:szCs w:val="24"/>
                <w:highlight w:val="none"/>
                <w:lang w:eastAsia="zh-CN"/>
              </w:rPr>
              <w:fldChar w:fldCharType="end"/>
            </w:r>
            <w:r>
              <w:rPr>
                <w:rFonts w:hint="default" w:ascii="Times New Roman" w:hAnsi="Times New Roman" w:eastAsia="宋体" w:cs="Times New Roman"/>
                <w:color w:val="auto"/>
                <w:kern w:val="0"/>
                <w:szCs w:val="24"/>
                <w:highlight w:val="none"/>
                <w:lang w:eastAsia="zh-CN"/>
              </w:rPr>
              <w:t>的配置。</w:t>
            </w:r>
          </w:p>
          <w:p>
            <w:pPr>
              <w:pStyle w:val="77"/>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eastAsia" w:ascii="Times New Roman" w:hAnsi="Times New Roman" w:eastAsia="宋体" w:cs="Times New Roman"/>
                <w:color w:val="auto"/>
                <w:kern w:val="0"/>
                <w:szCs w:val="24"/>
                <w:highlight w:val="none"/>
                <w:lang w:val="en-US" w:eastAsia="zh-CN"/>
              </w:rPr>
            </w:pPr>
            <w:r>
              <w:rPr>
                <w:rFonts w:hint="eastAsia" w:ascii="Times New Roman" w:hAnsi="Times New Roman" w:eastAsia="宋体" w:cs="Times New Roman"/>
                <w:color w:val="auto"/>
                <w:kern w:val="0"/>
                <w:szCs w:val="24"/>
                <w:highlight w:val="none"/>
                <w:lang w:val="en-US" w:eastAsia="zh-CN"/>
              </w:rPr>
              <w:t>④RTO废气处理装置原理</w:t>
            </w:r>
          </w:p>
          <w:p>
            <w:pPr>
              <w:pStyle w:val="77"/>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default" w:ascii="Times New Roman" w:hAnsi="Times New Roman" w:eastAsia="宋体" w:cs="Times New Roman"/>
                <w:color w:val="auto"/>
                <w:kern w:val="0"/>
                <w:szCs w:val="24"/>
                <w:highlight w:val="none"/>
                <w:lang w:eastAsia="zh-CN"/>
              </w:rPr>
            </w:pPr>
            <w:r>
              <w:rPr>
                <w:rFonts w:hint="eastAsia" w:ascii="Times New Roman" w:hAnsi="Times New Roman" w:eastAsia="宋体" w:cs="Times New Roman"/>
                <w:color w:val="auto"/>
                <w:kern w:val="0"/>
                <w:szCs w:val="24"/>
                <w:highlight w:val="none"/>
                <w:lang w:val="en-US" w:eastAsia="zh-CN"/>
              </w:rPr>
              <w:t>RTO废气处理装置是一种高效的有机废气处理设备，其工作原理是，把有机废气加热到760摄氏度以上，使废气中的挥发性有机物（VOCs）氧化分解为二氧化碳和水。氧化过程产生的热量存储在特制的蓄热体，使蓄热体升温“蓄热”。蓄热体内储存的热量用于预热后续进入的有机废气，该过程为陶瓷蓄热体的“放热”过程，从而节省废气升温过程的燃料消耗。</w:t>
            </w:r>
            <w:bookmarkEnd w:id="7"/>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二、主要污染工序</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1、废气</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本项目废气排放源主要包括储罐</w:t>
            </w:r>
            <w:r>
              <w:rPr>
                <w:rFonts w:hint="eastAsia" w:cs="Times New Roman"/>
                <w:color w:val="auto"/>
                <w:sz w:val="24"/>
                <w:lang w:val="en-US" w:eastAsia="zh-CN"/>
              </w:rPr>
              <w:t>VOCs</w:t>
            </w:r>
            <w:r>
              <w:rPr>
                <w:rFonts w:hint="eastAsia" w:ascii="Times New Roman" w:hAnsi="Times New Roman" w:eastAsia="宋体" w:cs="Times New Roman"/>
                <w:color w:val="auto"/>
                <w:sz w:val="24"/>
                <w:lang w:val="en-US" w:eastAsia="zh-CN"/>
              </w:rPr>
              <w:t>废气、装卸车</w:t>
            </w:r>
            <w:r>
              <w:rPr>
                <w:rFonts w:hint="eastAsia" w:cs="Times New Roman"/>
                <w:color w:val="auto"/>
                <w:sz w:val="24"/>
                <w:lang w:val="en-US" w:eastAsia="zh-CN"/>
              </w:rPr>
              <w:t>VOCs</w:t>
            </w:r>
            <w:r>
              <w:rPr>
                <w:rFonts w:hint="eastAsia" w:ascii="Times New Roman" w:hAnsi="Times New Roman" w:eastAsia="宋体" w:cs="Times New Roman"/>
                <w:color w:val="auto"/>
                <w:sz w:val="24"/>
                <w:lang w:val="en-US" w:eastAsia="zh-CN"/>
              </w:rPr>
              <w:t>废气、</w:t>
            </w:r>
            <w:r>
              <w:rPr>
                <w:rFonts w:hint="eastAsia" w:cs="Times New Roman"/>
                <w:color w:val="auto"/>
                <w:sz w:val="24"/>
                <w:lang w:val="en-US" w:eastAsia="zh-CN"/>
              </w:rPr>
              <w:t>沥青存储及装卸车产生的沥青烟、</w:t>
            </w:r>
            <w:r>
              <w:rPr>
                <w:rFonts w:hint="eastAsia" w:ascii="Times New Roman" w:hAnsi="Times New Roman" w:eastAsia="宋体" w:cs="Times New Roman"/>
                <w:color w:val="auto"/>
                <w:sz w:val="24"/>
                <w:lang w:val="en-US" w:eastAsia="zh-CN"/>
              </w:rPr>
              <w:t>设备动静密封处泄漏</w:t>
            </w:r>
            <w:r>
              <w:rPr>
                <w:rFonts w:hint="eastAsia" w:cs="Times New Roman"/>
                <w:color w:val="auto"/>
                <w:sz w:val="24"/>
                <w:lang w:val="en-US" w:eastAsia="zh-CN"/>
              </w:rPr>
              <w:t>、RTO助燃废气、导热油锅炉天然气燃烧废气、蒸汽锅炉天然气燃烧废气、污水处理站恶臭</w:t>
            </w:r>
            <w:r>
              <w:rPr>
                <w:rFonts w:hint="eastAsia" w:ascii="Times New Roman" w:hAnsi="Times New Roman" w:eastAsia="宋体"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2、废水</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b w:val="0"/>
                <w:bCs w:val="0"/>
                <w:color w:val="auto"/>
                <w:sz w:val="24"/>
                <w:szCs w:val="24"/>
              </w:rPr>
              <w:t>本项目废水主要</w:t>
            </w:r>
            <w:r>
              <w:rPr>
                <w:rFonts w:hint="eastAsia" w:cs="Times New Roman"/>
                <w:b w:val="0"/>
                <w:bCs w:val="0"/>
                <w:color w:val="auto"/>
                <w:sz w:val="24"/>
                <w:szCs w:val="24"/>
                <w:lang w:eastAsia="zh-CN"/>
              </w:rPr>
              <w:t>包括职工</w:t>
            </w:r>
            <w:r>
              <w:rPr>
                <w:rFonts w:hint="default" w:ascii="Times New Roman" w:hAnsi="Times New Roman" w:cs="Times New Roman"/>
                <w:b w:val="0"/>
                <w:bCs w:val="0"/>
                <w:color w:val="auto"/>
                <w:sz w:val="24"/>
                <w:szCs w:val="24"/>
              </w:rPr>
              <w:t>生活污水</w:t>
            </w:r>
            <w:r>
              <w:rPr>
                <w:rFonts w:hint="eastAsia" w:ascii="Times New Roman" w:hAnsi="Times New Roman" w:eastAsia="宋体" w:cs="Times New Roman"/>
                <w:b w:val="0"/>
                <w:bCs w:val="0"/>
                <w:color w:val="auto"/>
                <w:sz w:val="24"/>
                <w:szCs w:val="24"/>
              </w:rPr>
              <w:t>、</w:t>
            </w:r>
            <w:r>
              <w:rPr>
                <w:rFonts w:hint="eastAsia" w:cs="Times New Roman"/>
                <w:color w:val="auto"/>
                <w:sz w:val="24"/>
                <w:szCs w:val="24"/>
                <w:lang w:val="zh-CN" w:eastAsia="zh-CN"/>
              </w:rPr>
              <w:t>蒸汽锅炉排污水、软水制备排污水</w:t>
            </w:r>
            <w:r>
              <w:rPr>
                <w:rFonts w:hint="eastAsia" w:ascii="Times New Roman" w:hAnsi="Times New Roman" w:eastAsia="宋体" w:cs="Times New Roman"/>
                <w:b w:val="0"/>
                <w:bCs w:val="0"/>
                <w:color w:val="auto"/>
                <w:sz w:val="24"/>
                <w:szCs w:val="24"/>
              </w:rPr>
              <w:t>、</w:t>
            </w:r>
            <w:r>
              <w:rPr>
                <w:rFonts w:hint="eastAsia" w:cs="Times New Roman"/>
                <w:color w:val="auto"/>
                <w:sz w:val="24"/>
                <w:szCs w:val="24"/>
                <w:lang w:val="zh-CN" w:eastAsia="zh-CN"/>
              </w:rPr>
              <w:t>罐区及装卸车区</w:t>
            </w:r>
            <w:r>
              <w:rPr>
                <w:rFonts w:hint="eastAsia" w:ascii="Times New Roman" w:hAnsi="Times New Roman" w:cs="Times New Roman"/>
                <w:color w:val="auto"/>
                <w:sz w:val="24"/>
                <w:szCs w:val="24"/>
                <w:lang w:val="zh-CN" w:eastAsia="zh-CN"/>
              </w:rPr>
              <w:t>地面清洗废水</w:t>
            </w:r>
            <w:r>
              <w:rPr>
                <w:rFonts w:hint="eastAsia" w:ascii="Times New Roman" w:hAnsi="Times New Roman" w:eastAsia="宋体" w:cs="Times New Roman"/>
                <w:b w:val="0"/>
                <w:bCs w:val="0"/>
                <w:color w:val="auto"/>
                <w:sz w:val="24"/>
                <w:szCs w:val="24"/>
                <w:lang w:eastAsia="zh-CN"/>
              </w:rPr>
              <w:t>、</w:t>
            </w:r>
            <w:r>
              <w:rPr>
                <w:rFonts w:hint="eastAsia" w:cs="Times New Roman"/>
                <w:b w:val="0"/>
                <w:bCs w:val="0"/>
                <w:color w:val="auto"/>
                <w:sz w:val="24"/>
                <w:szCs w:val="24"/>
                <w:lang w:eastAsia="zh-CN"/>
              </w:rPr>
              <w:t>储罐</w:t>
            </w:r>
            <w:r>
              <w:rPr>
                <w:rFonts w:hint="eastAsia" w:ascii="Times New Roman" w:hAnsi="Times New Roman" w:eastAsia="宋体" w:cs="Times New Roman"/>
                <w:b w:val="0"/>
                <w:bCs w:val="0"/>
                <w:color w:val="auto"/>
                <w:sz w:val="24"/>
                <w:szCs w:val="24"/>
                <w:lang w:eastAsia="zh-CN"/>
              </w:rPr>
              <w:t>冲洗</w:t>
            </w:r>
            <w:r>
              <w:rPr>
                <w:rFonts w:hint="eastAsia" w:cs="Times New Roman"/>
                <w:b w:val="0"/>
                <w:bCs w:val="0"/>
                <w:color w:val="auto"/>
                <w:sz w:val="24"/>
                <w:szCs w:val="24"/>
                <w:lang w:eastAsia="zh-CN"/>
              </w:rPr>
              <w:t>废</w:t>
            </w:r>
            <w:r>
              <w:rPr>
                <w:rFonts w:hint="eastAsia" w:ascii="Times New Roman" w:hAnsi="Times New Roman" w:eastAsia="宋体" w:cs="Times New Roman"/>
                <w:b w:val="0"/>
                <w:bCs w:val="0"/>
                <w:color w:val="auto"/>
                <w:sz w:val="24"/>
                <w:szCs w:val="24"/>
                <w:lang w:eastAsia="zh-CN"/>
              </w:rPr>
              <w:t>水、初期雨水</w:t>
            </w:r>
            <w:r>
              <w:rPr>
                <w:rFonts w:hint="eastAsia" w:ascii="Times New Roman" w:hAnsi="Times New Roman"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3、噪声</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本项目噪声源主要为各种机泵、风机等，源强约为</w:t>
            </w:r>
            <w:r>
              <w:rPr>
                <w:rFonts w:hint="default" w:ascii="Times New Roman" w:hAnsi="Times New Roman" w:cs="Times New Roman"/>
                <w:color w:val="auto"/>
                <w:sz w:val="24"/>
                <w:lang w:val="en-US" w:eastAsia="zh-CN"/>
              </w:rPr>
              <w:t>8</w:t>
            </w:r>
            <w:r>
              <w:rPr>
                <w:rFonts w:hint="eastAsia" w:ascii="Times New Roman" w:hAnsi="Times New Roman" w:cs="Times New Roman"/>
                <w:color w:val="auto"/>
                <w:sz w:val="24"/>
                <w:lang w:val="en-US" w:eastAsia="zh-CN"/>
              </w:rPr>
              <w:t>0</w:t>
            </w:r>
            <w:r>
              <w:rPr>
                <w:rFonts w:hint="default" w:ascii="Times New Roman" w:hAnsi="Times New Roman" w:cs="Times New Roman"/>
                <w:color w:val="auto"/>
                <w:sz w:val="24"/>
                <w:lang w:val="en-US" w:eastAsia="zh-CN"/>
              </w:rPr>
              <w:t>-90</w:t>
            </w:r>
            <w:r>
              <w:rPr>
                <w:rFonts w:hint="eastAsia" w:ascii="Times New Roman" w:hAnsi="Times New Roman" w:cs="Times New Roman"/>
                <w:color w:val="auto"/>
                <w:sz w:val="24"/>
                <w:lang w:val="en-US" w:eastAsia="zh-CN"/>
              </w:rPr>
              <w:t>dB（A）</w:t>
            </w:r>
            <w:r>
              <w:rPr>
                <w:rFonts w:hint="default" w:ascii="Times New Roman" w:hAnsi="Times New Roman"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4、固体废物</w:t>
            </w:r>
          </w:p>
          <w:p>
            <w:pPr>
              <w:adjustRightInd w:val="0"/>
              <w:snapToGrid w:val="0"/>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项目产生的固体废物包括</w:t>
            </w:r>
            <w:r>
              <w:rPr>
                <w:rFonts w:hint="default" w:ascii="Times New Roman" w:hAnsi="Times New Roman" w:cs="Times New Roman"/>
                <w:color w:val="auto"/>
                <w:sz w:val="24"/>
                <w:lang w:val="en-US" w:eastAsia="zh-CN"/>
              </w:rPr>
              <w:t>一般</w:t>
            </w:r>
            <w:r>
              <w:rPr>
                <w:rFonts w:hint="eastAsia" w:cs="Times New Roman"/>
                <w:color w:val="auto"/>
                <w:sz w:val="24"/>
                <w:lang w:val="en-US" w:eastAsia="zh-CN"/>
              </w:rPr>
              <w:t>工业</w:t>
            </w:r>
            <w:r>
              <w:rPr>
                <w:rFonts w:hint="default" w:ascii="Times New Roman" w:hAnsi="Times New Roman" w:cs="Times New Roman"/>
                <w:color w:val="auto"/>
                <w:sz w:val="24"/>
                <w:lang w:val="en-US" w:eastAsia="zh-CN"/>
              </w:rPr>
              <w:t>固体废物、</w:t>
            </w:r>
            <w:r>
              <w:rPr>
                <w:rFonts w:hint="default" w:ascii="Times New Roman" w:hAnsi="Times New Roman" w:cs="Times New Roman"/>
                <w:color w:val="auto"/>
                <w:sz w:val="24"/>
                <w:szCs w:val="24"/>
                <w:lang w:val="en-US" w:eastAsia="zh-CN"/>
              </w:rPr>
              <w:t>生活垃圾和危险废物。</w:t>
            </w:r>
            <w:r>
              <w:rPr>
                <w:rFonts w:hint="default" w:ascii="Times New Roman" w:hAnsi="Times New Roman" w:cs="Times New Roman"/>
                <w:color w:val="auto"/>
                <w:sz w:val="24"/>
                <w:lang w:val="en-US" w:eastAsia="zh-CN"/>
              </w:rPr>
              <w:t>一般</w:t>
            </w:r>
            <w:r>
              <w:rPr>
                <w:rFonts w:hint="eastAsia" w:cs="Times New Roman"/>
                <w:color w:val="auto"/>
                <w:sz w:val="24"/>
                <w:lang w:val="en-US" w:eastAsia="zh-CN"/>
              </w:rPr>
              <w:t>工业</w:t>
            </w:r>
            <w:r>
              <w:rPr>
                <w:rFonts w:hint="default" w:ascii="Times New Roman" w:hAnsi="Times New Roman" w:cs="Times New Roman"/>
                <w:color w:val="auto"/>
                <w:sz w:val="24"/>
                <w:lang w:val="en-US" w:eastAsia="zh-CN"/>
              </w:rPr>
              <w:t>固体废物</w:t>
            </w:r>
            <w:r>
              <w:rPr>
                <w:rFonts w:hint="eastAsia" w:cs="Times New Roman"/>
                <w:color w:val="auto"/>
                <w:sz w:val="24"/>
                <w:lang w:val="en-US" w:eastAsia="zh-CN"/>
              </w:rPr>
              <w:t>主要为污水处理站污泥</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szCs w:val="24"/>
                <w:lang w:val="en-US" w:eastAsia="zh-CN"/>
              </w:rPr>
              <w:t>危险废物</w:t>
            </w:r>
            <w:r>
              <w:rPr>
                <w:rFonts w:hint="eastAsia" w:ascii="Times New Roman" w:hAnsi="Times New Roman" w:cs="Times New Roman"/>
                <w:color w:val="auto"/>
                <w:sz w:val="24"/>
                <w:szCs w:val="24"/>
                <w:lang w:val="en-US" w:eastAsia="zh-CN"/>
              </w:rPr>
              <w:t>主要包括清罐含油残渣、废导热油等</w:t>
            </w:r>
            <w:r>
              <w:rPr>
                <w:rFonts w:hint="eastAsia" w:cs="Times New Roman"/>
                <w:color w:val="auto"/>
                <w:sz w:val="24"/>
                <w:szCs w:val="24"/>
                <w:lang w:val="en-US" w:eastAsia="zh-CN"/>
              </w:rPr>
              <w:t>、污水处理站污油</w:t>
            </w:r>
            <w:r>
              <w:rPr>
                <w:rFonts w:hint="default" w:ascii="Times New Roman" w:hAnsi="Times New Roman"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color w:val="auto"/>
                <w:sz w:val="24"/>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21" w:hRule="atLeast"/>
          <w:jc w:val="center"/>
        </w:trPr>
        <w:tc>
          <w:tcPr>
            <w:tcW w:w="256" w:type="pct"/>
            <w:vAlign w:val="center"/>
          </w:tcPr>
          <w:p>
            <w:pPr>
              <w:pStyle w:val="22"/>
              <w:adjustRightInd w:val="0"/>
              <w:snapToGrid w:val="0"/>
              <w:spacing w:before="0" w:beforeAutospacing="0" w:after="0" w:afterAutospacing="0"/>
              <w:jc w:val="center"/>
              <w:rPr>
                <w:rFonts w:hint="default" w:ascii="Times New Roman" w:hAnsi="Times New Roman" w:cs="Times New Roman"/>
                <w:bCs/>
                <w:color w:val="auto"/>
                <w:sz w:val="24"/>
                <w:szCs w:val="24"/>
              </w:rPr>
            </w:pPr>
            <w:r>
              <w:rPr>
                <w:rFonts w:hint="default" w:ascii="黑体" w:hAnsi="黑体" w:eastAsia="黑体" w:cs="黑体"/>
                <w:color w:val="auto"/>
                <w:sz w:val="24"/>
                <w:szCs w:val="24"/>
                <w:highlight w:val="none"/>
                <w:lang w:val="en-US" w:eastAsia="zh-CN"/>
              </w:rPr>
              <w:t>与项目有关的原有环境污染问题</w:t>
            </w:r>
          </w:p>
        </w:tc>
        <w:tc>
          <w:tcPr>
            <w:tcW w:w="4743" w:type="pct"/>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color w:val="auto"/>
              </w:rPr>
            </w:pPr>
            <w:r>
              <w:rPr>
                <w:color w:val="auto"/>
                <w:sz w:val="24"/>
              </w:rPr>
              <w:t>本项目为新建项目，不存在与本项目有关的原有污染情况及主要环境问题</w:t>
            </w:r>
            <w:r>
              <w:rPr>
                <w:rFonts w:hint="default" w:ascii="Times New Roman" w:hAnsi="Times New Roman" w:cs="Times New Roman"/>
                <w:color w:val="auto"/>
                <w:sz w:val="24"/>
                <w:szCs w:val="24"/>
              </w:rPr>
              <w:t>。</w:t>
            </w:r>
          </w:p>
        </w:tc>
      </w:tr>
    </w:tbl>
    <w:p>
      <w:pPr>
        <w:pStyle w:val="22"/>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三、区域环境质量现状、环境保护目标及评价标准</w:t>
      </w:r>
    </w:p>
    <w:tbl>
      <w:tblPr>
        <w:tblStyle w:val="26"/>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00"/>
        <w:gridCol w:w="845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pct"/>
            <w:vAlign w:val="center"/>
          </w:tcPr>
          <w:p>
            <w:pPr>
              <w:adjustRightInd w:val="0"/>
              <w:snapToGrid w:val="0"/>
              <w:jc w:val="center"/>
              <w:rPr>
                <w:rFonts w:hint="default" w:ascii="黑体" w:hAnsi="黑体" w:eastAsia="黑体" w:cs="黑体"/>
                <w:color w:val="auto"/>
                <w:kern w:val="0"/>
                <w:sz w:val="24"/>
                <w:szCs w:val="24"/>
                <w:highlight w:val="none"/>
              </w:rPr>
            </w:pPr>
            <w:r>
              <w:rPr>
                <w:rFonts w:hint="default" w:ascii="黑体" w:hAnsi="黑体" w:eastAsia="黑体" w:cs="黑体"/>
                <w:color w:val="auto"/>
                <w:kern w:val="0"/>
                <w:sz w:val="24"/>
                <w:szCs w:val="24"/>
                <w:highlight w:val="none"/>
              </w:rPr>
              <w:t>区域</w:t>
            </w:r>
          </w:p>
          <w:p>
            <w:pPr>
              <w:adjustRightInd w:val="0"/>
              <w:snapToGrid w:val="0"/>
              <w:jc w:val="center"/>
              <w:rPr>
                <w:rFonts w:hint="default" w:ascii="黑体" w:hAnsi="黑体" w:eastAsia="黑体" w:cs="黑体"/>
                <w:color w:val="auto"/>
                <w:kern w:val="0"/>
                <w:sz w:val="24"/>
                <w:szCs w:val="24"/>
                <w:highlight w:val="none"/>
              </w:rPr>
            </w:pPr>
            <w:r>
              <w:rPr>
                <w:rFonts w:hint="default" w:ascii="黑体" w:hAnsi="黑体" w:eastAsia="黑体" w:cs="黑体"/>
                <w:color w:val="auto"/>
                <w:kern w:val="0"/>
                <w:sz w:val="24"/>
                <w:szCs w:val="24"/>
                <w:highlight w:val="none"/>
              </w:rPr>
              <w:t>环境</w:t>
            </w:r>
          </w:p>
          <w:p>
            <w:pPr>
              <w:adjustRightInd w:val="0"/>
              <w:snapToGrid w:val="0"/>
              <w:jc w:val="center"/>
              <w:rPr>
                <w:rFonts w:hint="default" w:ascii="黑体" w:hAnsi="黑体" w:eastAsia="黑体" w:cs="黑体"/>
                <w:color w:val="auto"/>
                <w:kern w:val="0"/>
                <w:sz w:val="24"/>
                <w:szCs w:val="24"/>
                <w:highlight w:val="none"/>
              </w:rPr>
            </w:pPr>
            <w:r>
              <w:rPr>
                <w:rFonts w:hint="default" w:ascii="黑体" w:hAnsi="黑体" w:eastAsia="黑体" w:cs="黑体"/>
                <w:color w:val="auto"/>
                <w:kern w:val="0"/>
                <w:sz w:val="24"/>
                <w:szCs w:val="24"/>
                <w:highlight w:val="none"/>
              </w:rPr>
              <w:t>质量</w:t>
            </w:r>
          </w:p>
          <w:p>
            <w:pPr>
              <w:adjustRightInd w:val="0"/>
              <w:snapToGrid w:val="0"/>
              <w:jc w:val="center"/>
              <w:rPr>
                <w:rFonts w:hint="default" w:ascii="Times New Roman" w:hAnsi="Times New Roman" w:cs="Times New Roman"/>
                <w:color w:val="auto"/>
                <w:kern w:val="0"/>
                <w:szCs w:val="21"/>
              </w:rPr>
            </w:pPr>
            <w:r>
              <w:rPr>
                <w:rFonts w:hint="default" w:ascii="黑体" w:hAnsi="黑体" w:eastAsia="黑体" w:cs="黑体"/>
                <w:color w:val="auto"/>
                <w:kern w:val="0"/>
                <w:sz w:val="24"/>
                <w:szCs w:val="24"/>
                <w:highlight w:val="none"/>
              </w:rPr>
              <w:t>现状</w:t>
            </w:r>
          </w:p>
        </w:tc>
        <w:tc>
          <w:tcPr>
            <w:tcW w:w="4668" w:type="pct"/>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黑体" w:hAnsi="黑体" w:eastAsia="黑体" w:cs="黑体"/>
                <w:color w:val="auto"/>
                <w:sz w:val="24"/>
                <w:szCs w:val="24"/>
                <w:highlight w:val="none"/>
                <w:lang w:val="en-US" w:eastAsia="zh-CN"/>
              </w:rPr>
            </w:pPr>
            <w:r>
              <w:rPr>
                <w:rFonts w:hint="default" w:ascii="黑体" w:hAnsi="黑体" w:eastAsia="黑体" w:cs="黑体"/>
                <w:color w:val="auto"/>
                <w:sz w:val="24"/>
                <w:szCs w:val="24"/>
                <w:highlight w:val="none"/>
                <w:lang w:val="en-US" w:eastAsia="zh-CN"/>
              </w:rPr>
              <w:t>1、环境空气质量</w:t>
            </w:r>
          </w:p>
          <w:p>
            <w:pPr>
              <w:pStyle w:val="78"/>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eastAsia="宋体"/>
                <w:color w:val="auto"/>
                <w:sz w:val="24"/>
                <w:lang w:val="en-US" w:eastAsia="zh-CN"/>
              </w:rPr>
            </w:pPr>
            <w:r>
              <w:rPr>
                <w:rFonts w:hint="default" w:ascii="Times New Roman" w:hAnsi="Times New Roman" w:eastAsia="宋体"/>
                <w:color w:val="auto"/>
                <w:sz w:val="24"/>
                <w:lang w:val="en-US" w:eastAsia="zh-CN"/>
              </w:rPr>
              <w:t>（1）基本污染物环境质量现状调查与评价</w:t>
            </w:r>
          </w:p>
          <w:p>
            <w:pPr>
              <w:pStyle w:val="78"/>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eastAsia="宋体"/>
                <w:color w:val="auto"/>
                <w:sz w:val="24"/>
              </w:rPr>
            </w:pPr>
            <w:r>
              <w:rPr>
                <w:rFonts w:ascii="Times New Roman" w:hAnsi="Times New Roman" w:eastAsia="宋体"/>
                <w:color w:val="auto"/>
                <w:sz w:val="24"/>
              </w:rPr>
              <w:t>据</w:t>
            </w:r>
            <w:r>
              <w:rPr>
                <w:rFonts w:hint="default" w:ascii="Times New Roman" w:hAnsi="Times New Roman" w:eastAsia="宋体"/>
                <w:color w:val="auto"/>
                <w:sz w:val="24"/>
              </w:rPr>
              <w:t>淄博市生态环境委员会办公室</w:t>
            </w:r>
            <w:r>
              <w:rPr>
                <w:rFonts w:ascii="Times New Roman" w:hAnsi="Times New Roman" w:eastAsia="宋体"/>
                <w:color w:val="auto"/>
                <w:sz w:val="24"/>
              </w:rPr>
              <w:t>202</w:t>
            </w:r>
            <w:r>
              <w:rPr>
                <w:rFonts w:hint="eastAsia" w:ascii="Times New Roman" w:hAnsi="Times New Roman" w:eastAsia="宋体"/>
                <w:color w:val="auto"/>
                <w:sz w:val="24"/>
                <w:lang w:val="en-US" w:eastAsia="zh-CN"/>
              </w:rPr>
              <w:t>3</w:t>
            </w:r>
            <w:r>
              <w:rPr>
                <w:rFonts w:ascii="Times New Roman" w:hAnsi="Times New Roman" w:eastAsia="宋体"/>
                <w:color w:val="auto"/>
                <w:sz w:val="24"/>
              </w:rPr>
              <w:t>年1月</w:t>
            </w:r>
            <w:r>
              <w:rPr>
                <w:rFonts w:hint="eastAsia" w:ascii="Times New Roman" w:hAnsi="Times New Roman" w:eastAsia="宋体"/>
                <w:color w:val="auto"/>
                <w:sz w:val="24"/>
                <w:lang w:val="en-US" w:eastAsia="zh-CN"/>
              </w:rPr>
              <w:t>17</w:t>
            </w:r>
            <w:r>
              <w:rPr>
                <w:rFonts w:ascii="Times New Roman" w:hAnsi="Times New Roman" w:eastAsia="宋体"/>
                <w:color w:val="auto"/>
                <w:sz w:val="24"/>
              </w:rPr>
              <w:t>日发布的《生态淄博建设工作简报202</w:t>
            </w:r>
            <w:r>
              <w:rPr>
                <w:rFonts w:hint="eastAsia" w:ascii="Times New Roman" w:hAnsi="Times New Roman" w:eastAsia="宋体"/>
                <w:color w:val="auto"/>
                <w:sz w:val="24"/>
                <w:lang w:val="en-US" w:eastAsia="zh-CN"/>
              </w:rPr>
              <w:t>3</w:t>
            </w:r>
            <w:r>
              <w:rPr>
                <w:rFonts w:ascii="Times New Roman" w:hAnsi="Times New Roman" w:eastAsia="宋体"/>
                <w:color w:val="auto"/>
                <w:sz w:val="24"/>
              </w:rPr>
              <w:t>年第1期》（淄简33号）202</w:t>
            </w:r>
            <w:r>
              <w:rPr>
                <w:rFonts w:hint="eastAsia"/>
                <w:color w:val="auto"/>
                <w:sz w:val="24"/>
                <w:lang w:val="en-US" w:eastAsia="zh-CN"/>
              </w:rPr>
              <w:t>2</w:t>
            </w:r>
            <w:r>
              <w:rPr>
                <w:rFonts w:ascii="Times New Roman" w:hAnsi="Times New Roman" w:eastAsia="宋体"/>
                <w:color w:val="auto"/>
                <w:sz w:val="24"/>
              </w:rPr>
              <w:t>年12月份及全年环境质量情况通报，202</w:t>
            </w:r>
            <w:r>
              <w:rPr>
                <w:rFonts w:hint="eastAsia"/>
                <w:color w:val="auto"/>
                <w:sz w:val="24"/>
                <w:lang w:val="en-US" w:eastAsia="zh-CN"/>
              </w:rPr>
              <w:t>2</w:t>
            </w:r>
            <w:r>
              <w:rPr>
                <w:rFonts w:ascii="Times New Roman" w:hAnsi="Times New Roman" w:eastAsia="宋体"/>
                <w:color w:val="auto"/>
                <w:sz w:val="24"/>
              </w:rPr>
              <w:t>年，全市良好天数2</w:t>
            </w:r>
            <w:r>
              <w:rPr>
                <w:rFonts w:hint="eastAsia"/>
                <w:color w:val="auto"/>
                <w:sz w:val="24"/>
                <w:lang w:val="en-US" w:eastAsia="zh-CN"/>
              </w:rPr>
              <w:t>36</w:t>
            </w:r>
            <w:r>
              <w:rPr>
                <w:rFonts w:ascii="Times New Roman" w:hAnsi="Times New Roman" w:eastAsia="宋体"/>
                <w:color w:val="auto"/>
                <w:sz w:val="24"/>
              </w:rPr>
              <w:t>天（国控），同比增加</w:t>
            </w:r>
            <w:r>
              <w:rPr>
                <w:rFonts w:hint="eastAsia"/>
                <w:color w:val="auto"/>
                <w:sz w:val="24"/>
                <w:lang w:val="en-US" w:eastAsia="zh-CN"/>
              </w:rPr>
              <w:t>1</w:t>
            </w:r>
            <w:r>
              <w:rPr>
                <w:rFonts w:ascii="Times New Roman" w:hAnsi="Times New Roman" w:eastAsia="宋体"/>
                <w:color w:val="auto"/>
                <w:sz w:val="24"/>
              </w:rPr>
              <w:t>4天。重污染天数</w:t>
            </w:r>
            <w:r>
              <w:rPr>
                <w:rFonts w:hint="eastAsia"/>
                <w:color w:val="auto"/>
                <w:sz w:val="24"/>
                <w:lang w:val="en-US" w:eastAsia="zh-CN"/>
              </w:rPr>
              <w:t>6</w:t>
            </w:r>
            <w:r>
              <w:rPr>
                <w:rFonts w:ascii="Times New Roman" w:hAnsi="Times New Roman" w:eastAsia="宋体"/>
                <w:color w:val="auto"/>
                <w:sz w:val="24"/>
              </w:rPr>
              <w:t>天，同比</w:t>
            </w:r>
            <w:r>
              <w:rPr>
                <w:rFonts w:hint="eastAsia"/>
                <w:color w:val="auto"/>
                <w:sz w:val="24"/>
                <w:lang w:eastAsia="zh-CN"/>
              </w:rPr>
              <w:t>减少</w:t>
            </w:r>
            <w:r>
              <w:rPr>
                <w:rFonts w:hint="eastAsia"/>
                <w:color w:val="auto"/>
                <w:sz w:val="24"/>
                <w:lang w:val="en-US" w:eastAsia="zh-CN"/>
              </w:rPr>
              <w:t>2</w:t>
            </w:r>
            <w:r>
              <w:rPr>
                <w:rFonts w:ascii="Times New Roman" w:hAnsi="Times New Roman" w:eastAsia="宋体"/>
                <w:color w:val="auto"/>
                <w:sz w:val="24"/>
              </w:rPr>
              <w:t>天。</w:t>
            </w:r>
            <w:r>
              <w:rPr>
                <w:rFonts w:hint="default" w:ascii="Times New Roman" w:hAnsi="Times New Roman" w:eastAsia="宋体"/>
                <w:color w:val="auto"/>
                <w:sz w:val="24"/>
                <w:lang w:eastAsia="zh-CN"/>
              </w:rPr>
              <w:t>其中，二氧化硫（SO</w:t>
            </w:r>
            <w:r>
              <w:rPr>
                <w:rFonts w:hint="default" w:ascii="Times New Roman" w:hAnsi="Times New Roman" w:eastAsia="宋体"/>
                <w:color w:val="auto"/>
                <w:sz w:val="24"/>
                <w:vertAlign w:val="subscript"/>
                <w:lang w:eastAsia="zh-CN"/>
              </w:rPr>
              <w:t>2</w:t>
            </w:r>
            <w:r>
              <w:rPr>
                <w:rFonts w:hint="default" w:ascii="Times New Roman" w:hAnsi="Times New Roman" w:eastAsia="宋体"/>
                <w:color w:val="auto"/>
                <w:sz w:val="24"/>
                <w:lang w:eastAsia="zh-CN"/>
              </w:rPr>
              <w:t>）14微克/立方米，</w:t>
            </w:r>
            <w:r>
              <w:rPr>
                <w:rFonts w:hint="eastAsia" w:ascii="Times New Roman" w:hAnsi="Times New Roman" w:eastAsia="宋体"/>
                <w:color w:val="auto"/>
                <w:sz w:val="24"/>
                <w:lang w:val="en-US" w:eastAsia="zh-CN"/>
              </w:rPr>
              <w:t>同比持平</w:t>
            </w:r>
            <w:r>
              <w:rPr>
                <w:rFonts w:hint="default" w:ascii="Times New Roman" w:hAnsi="Times New Roman" w:eastAsia="宋体"/>
                <w:color w:val="auto"/>
                <w:sz w:val="24"/>
                <w:lang w:val="en-US" w:eastAsia="zh-CN"/>
              </w:rPr>
              <w:t>；</w:t>
            </w:r>
            <w:r>
              <w:rPr>
                <w:rFonts w:hint="default" w:ascii="Times New Roman" w:hAnsi="Times New Roman" w:eastAsia="宋体"/>
                <w:color w:val="auto"/>
                <w:sz w:val="24"/>
                <w:lang w:eastAsia="zh-CN"/>
              </w:rPr>
              <w:t>二氧化氮（NO</w:t>
            </w:r>
            <w:r>
              <w:rPr>
                <w:rFonts w:hint="default" w:ascii="Times New Roman" w:hAnsi="Times New Roman" w:eastAsia="宋体"/>
                <w:color w:val="auto"/>
                <w:sz w:val="24"/>
                <w:vertAlign w:val="subscript"/>
                <w:lang w:eastAsia="zh-CN"/>
              </w:rPr>
              <w:t>2</w:t>
            </w:r>
            <w:r>
              <w:rPr>
                <w:rFonts w:hint="default" w:ascii="Times New Roman" w:hAnsi="Times New Roman" w:eastAsia="宋体"/>
                <w:color w:val="auto"/>
                <w:sz w:val="24"/>
                <w:lang w:eastAsia="zh-CN"/>
              </w:rPr>
              <w:t>）</w:t>
            </w:r>
            <w:r>
              <w:rPr>
                <w:rFonts w:hint="default" w:ascii="Times New Roman" w:hAnsi="Times New Roman" w:eastAsia="宋体"/>
                <w:color w:val="auto"/>
                <w:sz w:val="24"/>
                <w:lang w:val="en-US" w:eastAsia="zh-CN"/>
              </w:rPr>
              <w:t>3</w:t>
            </w:r>
            <w:r>
              <w:rPr>
                <w:rFonts w:hint="eastAsia" w:ascii="Times New Roman" w:hAnsi="Times New Roman" w:eastAsia="宋体"/>
                <w:color w:val="auto"/>
                <w:sz w:val="24"/>
                <w:lang w:val="en-US" w:eastAsia="zh-CN"/>
              </w:rPr>
              <w:t>3</w:t>
            </w:r>
            <w:r>
              <w:rPr>
                <w:rFonts w:hint="default" w:ascii="Times New Roman" w:hAnsi="Times New Roman" w:eastAsia="宋体"/>
                <w:color w:val="auto"/>
                <w:sz w:val="24"/>
                <w:lang w:eastAsia="zh-CN"/>
              </w:rPr>
              <w:t>微克/立方米，同比改善</w:t>
            </w:r>
            <w:r>
              <w:rPr>
                <w:rFonts w:hint="eastAsia" w:ascii="Times New Roman" w:hAnsi="Times New Roman" w:eastAsia="宋体"/>
                <w:color w:val="auto"/>
                <w:sz w:val="24"/>
                <w:lang w:val="en-US" w:eastAsia="zh-CN"/>
              </w:rPr>
              <w:t>5.7</w:t>
            </w:r>
            <w:r>
              <w:rPr>
                <w:rFonts w:hint="default" w:ascii="Times New Roman" w:hAnsi="Times New Roman" w:eastAsia="宋体"/>
                <w:color w:val="auto"/>
                <w:sz w:val="24"/>
                <w:lang w:eastAsia="zh-CN"/>
              </w:rPr>
              <w:t>%；可吸入颗粒物（PM</w:t>
            </w:r>
            <w:r>
              <w:rPr>
                <w:rFonts w:hint="default" w:ascii="Times New Roman" w:hAnsi="Times New Roman" w:eastAsia="宋体"/>
                <w:color w:val="auto"/>
                <w:sz w:val="24"/>
                <w:vertAlign w:val="subscript"/>
                <w:lang w:eastAsia="zh-CN"/>
              </w:rPr>
              <w:t>10</w:t>
            </w:r>
            <w:r>
              <w:rPr>
                <w:rFonts w:hint="default" w:ascii="Times New Roman" w:hAnsi="Times New Roman" w:eastAsia="宋体"/>
                <w:color w:val="auto"/>
                <w:sz w:val="24"/>
                <w:lang w:eastAsia="zh-CN"/>
              </w:rPr>
              <w:t>）</w:t>
            </w:r>
            <w:r>
              <w:rPr>
                <w:rFonts w:hint="default" w:ascii="Times New Roman" w:hAnsi="Times New Roman" w:eastAsia="宋体"/>
                <w:color w:val="auto"/>
                <w:sz w:val="24"/>
                <w:lang w:val="en-US" w:eastAsia="zh-CN"/>
              </w:rPr>
              <w:t>7</w:t>
            </w:r>
            <w:r>
              <w:rPr>
                <w:rFonts w:hint="eastAsia" w:ascii="Times New Roman" w:hAnsi="Times New Roman" w:eastAsia="宋体"/>
                <w:color w:val="auto"/>
                <w:sz w:val="24"/>
                <w:lang w:val="en-US" w:eastAsia="zh-CN"/>
              </w:rPr>
              <w:t>5</w:t>
            </w:r>
            <w:r>
              <w:rPr>
                <w:rFonts w:hint="default" w:ascii="Times New Roman" w:hAnsi="Times New Roman" w:eastAsia="宋体"/>
                <w:color w:val="auto"/>
                <w:sz w:val="24"/>
                <w:lang w:eastAsia="zh-CN"/>
              </w:rPr>
              <w:t>微克/立方米，同比改善</w:t>
            </w:r>
            <w:r>
              <w:rPr>
                <w:rFonts w:hint="default" w:ascii="Times New Roman" w:hAnsi="Times New Roman" w:eastAsia="宋体"/>
                <w:color w:val="auto"/>
                <w:sz w:val="24"/>
                <w:lang w:val="en-US" w:eastAsia="zh-CN"/>
              </w:rPr>
              <w:t>2.</w:t>
            </w:r>
            <w:r>
              <w:rPr>
                <w:rFonts w:hint="eastAsia" w:ascii="Times New Roman" w:hAnsi="Times New Roman" w:eastAsia="宋体"/>
                <w:color w:val="auto"/>
                <w:sz w:val="24"/>
                <w:lang w:val="en-US" w:eastAsia="zh-CN"/>
              </w:rPr>
              <w:t>6</w:t>
            </w:r>
            <w:r>
              <w:rPr>
                <w:rFonts w:hint="default" w:ascii="Times New Roman" w:hAnsi="Times New Roman" w:eastAsia="宋体"/>
                <w:color w:val="auto"/>
                <w:sz w:val="24"/>
                <w:lang w:eastAsia="zh-CN"/>
              </w:rPr>
              <w:t>%；细颗粒物（PM</w:t>
            </w:r>
            <w:r>
              <w:rPr>
                <w:rFonts w:hint="default" w:ascii="Times New Roman" w:hAnsi="Times New Roman" w:eastAsia="宋体"/>
                <w:color w:val="auto"/>
                <w:sz w:val="24"/>
                <w:vertAlign w:val="subscript"/>
                <w:lang w:eastAsia="zh-CN"/>
              </w:rPr>
              <w:t>2.5</w:t>
            </w:r>
            <w:r>
              <w:rPr>
                <w:rFonts w:hint="default" w:ascii="Times New Roman" w:hAnsi="Times New Roman" w:eastAsia="宋体"/>
                <w:color w:val="auto"/>
                <w:sz w:val="24"/>
                <w:lang w:eastAsia="zh-CN"/>
              </w:rPr>
              <w:t>）4</w:t>
            </w:r>
            <w:r>
              <w:rPr>
                <w:rFonts w:hint="eastAsia" w:ascii="Times New Roman" w:hAnsi="Times New Roman" w:eastAsia="宋体"/>
                <w:color w:val="auto"/>
                <w:sz w:val="24"/>
                <w:lang w:val="en-US" w:eastAsia="zh-CN"/>
              </w:rPr>
              <w:t>3</w:t>
            </w:r>
            <w:r>
              <w:rPr>
                <w:rFonts w:hint="default" w:ascii="Times New Roman" w:hAnsi="Times New Roman" w:eastAsia="宋体"/>
                <w:color w:val="auto"/>
                <w:sz w:val="24"/>
                <w:lang w:eastAsia="zh-CN"/>
              </w:rPr>
              <w:t>微克/立方米</w:t>
            </w:r>
            <w:r>
              <w:rPr>
                <w:rFonts w:hint="default" w:ascii="Times New Roman" w:hAnsi="Times New Roman" w:eastAsia="宋体"/>
                <w:color w:val="auto"/>
                <w:sz w:val="24"/>
                <w:lang w:val="en-US" w:eastAsia="zh-CN"/>
              </w:rPr>
              <w:t>，</w:t>
            </w:r>
            <w:r>
              <w:rPr>
                <w:rFonts w:hint="default" w:ascii="Times New Roman" w:hAnsi="Times New Roman" w:eastAsia="宋体"/>
                <w:color w:val="auto"/>
                <w:sz w:val="24"/>
                <w:lang w:eastAsia="zh-CN"/>
              </w:rPr>
              <w:t>同比改善</w:t>
            </w:r>
            <w:r>
              <w:rPr>
                <w:rFonts w:hint="default" w:ascii="Times New Roman" w:hAnsi="Times New Roman" w:eastAsia="宋体"/>
                <w:color w:val="auto"/>
                <w:sz w:val="24"/>
                <w:lang w:val="en-US" w:eastAsia="zh-CN"/>
              </w:rPr>
              <w:t>8.</w:t>
            </w:r>
            <w:r>
              <w:rPr>
                <w:rFonts w:hint="eastAsia" w:ascii="Times New Roman" w:hAnsi="Times New Roman" w:eastAsia="宋体"/>
                <w:color w:val="auto"/>
                <w:sz w:val="24"/>
                <w:lang w:val="en-US" w:eastAsia="zh-CN"/>
              </w:rPr>
              <w:t>5</w:t>
            </w:r>
            <w:r>
              <w:rPr>
                <w:rFonts w:hint="default" w:ascii="Times New Roman" w:hAnsi="Times New Roman" w:eastAsia="宋体"/>
                <w:color w:val="auto"/>
                <w:sz w:val="24"/>
                <w:lang w:eastAsia="zh-CN"/>
              </w:rPr>
              <w:t>%；一氧化碳（CO）1.</w:t>
            </w:r>
            <w:r>
              <w:rPr>
                <w:rFonts w:hint="default" w:ascii="Times New Roman" w:hAnsi="Times New Roman" w:eastAsia="宋体"/>
                <w:color w:val="auto"/>
                <w:sz w:val="24"/>
                <w:lang w:val="en-US" w:eastAsia="zh-CN"/>
              </w:rPr>
              <w:t>3</w:t>
            </w:r>
            <w:r>
              <w:rPr>
                <w:rFonts w:hint="default" w:ascii="Times New Roman" w:hAnsi="Times New Roman" w:eastAsia="宋体"/>
                <w:color w:val="auto"/>
                <w:sz w:val="24"/>
                <w:lang w:eastAsia="zh-CN"/>
              </w:rPr>
              <w:t>毫克/立方米，同比改善</w:t>
            </w:r>
            <w:r>
              <w:rPr>
                <w:rFonts w:hint="default" w:ascii="Times New Roman" w:hAnsi="Times New Roman" w:eastAsia="宋体"/>
                <w:color w:val="auto"/>
                <w:sz w:val="24"/>
                <w:lang w:val="en-US" w:eastAsia="zh-CN"/>
              </w:rPr>
              <w:t>1</w:t>
            </w:r>
            <w:r>
              <w:rPr>
                <w:rFonts w:hint="eastAsia" w:ascii="Times New Roman" w:hAnsi="Times New Roman" w:eastAsia="宋体"/>
                <w:color w:val="auto"/>
                <w:sz w:val="24"/>
                <w:lang w:val="en-US" w:eastAsia="zh-CN"/>
              </w:rPr>
              <w:t>8.8</w:t>
            </w:r>
            <w:r>
              <w:rPr>
                <w:rFonts w:hint="default" w:ascii="Times New Roman" w:hAnsi="Times New Roman" w:eastAsia="宋体"/>
                <w:color w:val="auto"/>
                <w:sz w:val="24"/>
                <w:lang w:eastAsia="zh-CN"/>
              </w:rPr>
              <w:t>%；</w:t>
            </w:r>
            <w:r>
              <w:rPr>
                <w:rFonts w:hint="default" w:ascii="Times New Roman" w:hAnsi="Times New Roman" w:eastAsia="宋体"/>
                <w:color w:val="auto"/>
                <w:sz w:val="24"/>
              </w:rPr>
              <w:t>臭氧（O</w:t>
            </w:r>
            <w:r>
              <w:rPr>
                <w:rFonts w:hint="default" w:ascii="Times New Roman" w:hAnsi="Times New Roman" w:eastAsia="宋体"/>
                <w:color w:val="auto"/>
                <w:sz w:val="24"/>
                <w:vertAlign w:val="subscript"/>
              </w:rPr>
              <w:t>3</w:t>
            </w:r>
            <w:r>
              <w:rPr>
                <w:rFonts w:hint="default" w:ascii="Times New Roman" w:hAnsi="Times New Roman" w:eastAsia="宋体"/>
                <w:color w:val="auto"/>
                <w:sz w:val="24"/>
              </w:rPr>
              <w:t>）</w:t>
            </w:r>
            <w:r>
              <w:rPr>
                <w:rFonts w:hint="default" w:ascii="Times New Roman" w:hAnsi="Times New Roman" w:eastAsia="宋体"/>
                <w:color w:val="auto"/>
                <w:sz w:val="24"/>
                <w:lang w:val="en-US" w:eastAsia="zh-CN"/>
              </w:rPr>
              <w:t>19</w:t>
            </w:r>
            <w:r>
              <w:rPr>
                <w:rFonts w:hint="eastAsia" w:ascii="Times New Roman" w:hAnsi="Times New Roman" w:eastAsia="宋体"/>
                <w:color w:val="auto"/>
                <w:sz w:val="24"/>
                <w:lang w:val="en-US" w:eastAsia="zh-CN"/>
              </w:rPr>
              <w:t>2</w:t>
            </w:r>
            <w:r>
              <w:rPr>
                <w:rFonts w:hint="default" w:ascii="Times New Roman" w:hAnsi="Times New Roman" w:eastAsia="宋体"/>
                <w:color w:val="auto"/>
                <w:sz w:val="24"/>
              </w:rPr>
              <w:t>微克/立方米，同比</w:t>
            </w:r>
            <w:r>
              <w:rPr>
                <w:rFonts w:hint="default" w:ascii="Times New Roman" w:hAnsi="Times New Roman" w:eastAsia="宋体"/>
                <w:color w:val="auto"/>
                <w:sz w:val="24"/>
                <w:lang w:eastAsia="zh-CN"/>
              </w:rPr>
              <w:t>恶化</w:t>
            </w:r>
            <w:r>
              <w:rPr>
                <w:rFonts w:hint="default" w:ascii="Times New Roman" w:hAnsi="Times New Roman" w:eastAsia="宋体"/>
                <w:color w:val="auto"/>
                <w:sz w:val="24"/>
                <w:lang w:val="en-US" w:eastAsia="zh-CN"/>
              </w:rPr>
              <w:t>4.</w:t>
            </w:r>
            <w:r>
              <w:rPr>
                <w:rFonts w:hint="eastAsia" w:ascii="Times New Roman" w:hAnsi="Times New Roman" w:eastAsia="宋体"/>
                <w:color w:val="auto"/>
                <w:sz w:val="24"/>
                <w:lang w:val="en-US" w:eastAsia="zh-CN"/>
              </w:rPr>
              <w:t>9</w:t>
            </w:r>
            <w:r>
              <w:rPr>
                <w:rFonts w:hint="default" w:ascii="Times New Roman" w:hAnsi="Times New Roman" w:eastAsia="宋体"/>
                <w:color w:val="auto"/>
                <w:sz w:val="24"/>
              </w:rPr>
              <w:t>%</w:t>
            </w:r>
            <w:r>
              <w:rPr>
                <w:rFonts w:hint="default" w:ascii="Times New Roman" w:hAnsi="Times New Roman" w:eastAsia="宋体"/>
                <w:color w:val="auto"/>
                <w:sz w:val="24"/>
                <w:lang w:eastAsia="zh-CN"/>
              </w:rPr>
              <w:t>。全市综合指数为</w:t>
            </w:r>
            <w:r>
              <w:rPr>
                <w:rFonts w:hint="default" w:ascii="Times New Roman" w:hAnsi="Times New Roman" w:eastAsia="宋体"/>
                <w:color w:val="auto"/>
                <w:sz w:val="24"/>
                <w:lang w:val="en-US" w:eastAsia="zh-CN"/>
              </w:rPr>
              <w:t>4.</w:t>
            </w:r>
            <w:r>
              <w:rPr>
                <w:rFonts w:hint="eastAsia" w:ascii="Times New Roman" w:hAnsi="Times New Roman" w:eastAsia="宋体"/>
                <w:color w:val="auto"/>
                <w:sz w:val="24"/>
                <w:lang w:val="en-US" w:eastAsia="zh-CN"/>
              </w:rPr>
              <w:t>87</w:t>
            </w:r>
            <w:r>
              <w:rPr>
                <w:rFonts w:hint="default" w:ascii="Times New Roman" w:hAnsi="Times New Roman" w:eastAsia="宋体"/>
                <w:color w:val="auto"/>
                <w:sz w:val="24"/>
                <w:lang w:val="en-US" w:eastAsia="zh-CN"/>
              </w:rPr>
              <w:t>，</w:t>
            </w:r>
            <w:r>
              <w:rPr>
                <w:rFonts w:hint="default" w:ascii="Times New Roman" w:hAnsi="Times New Roman" w:eastAsia="宋体"/>
                <w:color w:val="auto"/>
                <w:sz w:val="24"/>
                <w:lang w:eastAsia="zh-CN"/>
              </w:rPr>
              <w:t>同比改善</w:t>
            </w:r>
            <w:r>
              <w:rPr>
                <w:rFonts w:hint="eastAsia" w:ascii="Times New Roman" w:hAnsi="Times New Roman" w:eastAsia="宋体"/>
                <w:color w:val="auto"/>
                <w:sz w:val="24"/>
                <w:lang w:val="en-US" w:eastAsia="zh-CN"/>
              </w:rPr>
              <w:t>4.3</w:t>
            </w:r>
            <w:r>
              <w:rPr>
                <w:rFonts w:hint="default" w:ascii="Times New Roman" w:hAnsi="Times New Roman" w:eastAsia="宋体"/>
                <w:color w:val="auto"/>
                <w:sz w:val="24"/>
                <w:lang w:eastAsia="zh-CN"/>
              </w:rPr>
              <w:t>%</w:t>
            </w:r>
            <w:r>
              <w:rPr>
                <w:rFonts w:hint="default" w:ascii="Times New Roman" w:hAnsi="Times New Roman" w:eastAsia="宋体"/>
                <w:color w:val="auto"/>
                <w:sz w:val="24"/>
                <w:lang w:val="en-US" w:eastAsia="zh-CN"/>
              </w:rPr>
              <w:t>。</w:t>
            </w:r>
          </w:p>
          <w:p>
            <w:pPr>
              <w:pStyle w:val="78"/>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ascii="Times New Roman" w:hAnsi="Times New Roman" w:eastAsia="宋体"/>
                <w:color w:val="auto"/>
                <w:sz w:val="24"/>
              </w:rPr>
            </w:pPr>
            <w:r>
              <w:rPr>
                <w:rFonts w:hint="eastAsia"/>
                <w:color w:val="auto"/>
                <w:sz w:val="24"/>
                <w:lang w:eastAsia="zh-CN"/>
              </w:rPr>
              <w:t>淄川区</w:t>
            </w:r>
            <w:r>
              <w:rPr>
                <w:rFonts w:hint="eastAsia" w:ascii="Times New Roman" w:hAnsi="Times New Roman" w:eastAsia="宋体"/>
                <w:color w:val="auto"/>
                <w:sz w:val="24"/>
              </w:rPr>
              <w:t>主要污染物二氧化硫（SO</w:t>
            </w:r>
            <w:r>
              <w:rPr>
                <w:rFonts w:hint="eastAsia" w:ascii="Times New Roman" w:hAnsi="Times New Roman" w:eastAsia="宋体"/>
                <w:color w:val="auto"/>
                <w:sz w:val="24"/>
                <w:vertAlign w:val="subscript"/>
              </w:rPr>
              <w:t>2</w:t>
            </w:r>
            <w:r>
              <w:rPr>
                <w:rFonts w:hint="eastAsia" w:ascii="Times New Roman" w:hAnsi="Times New Roman" w:eastAsia="宋体"/>
                <w:color w:val="auto"/>
                <w:sz w:val="24"/>
              </w:rPr>
              <w:t>）、二氧化氮（NO</w:t>
            </w:r>
            <w:r>
              <w:rPr>
                <w:rFonts w:hint="eastAsia" w:ascii="Times New Roman" w:hAnsi="Times New Roman" w:eastAsia="宋体"/>
                <w:color w:val="auto"/>
                <w:sz w:val="24"/>
                <w:vertAlign w:val="subscript"/>
              </w:rPr>
              <w:t>2</w:t>
            </w:r>
            <w:r>
              <w:rPr>
                <w:rFonts w:hint="eastAsia" w:ascii="Times New Roman" w:hAnsi="Times New Roman" w:eastAsia="宋体"/>
                <w:color w:val="auto"/>
                <w:sz w:val="24"/>
              </w:rPr>
              <w:t>）、可吸入颗粒物（PM</w:t>
            </w:r>
            <w:r>
              <w:rPr>
                <w:rFonts w:hint="eastAsia" w:ascii="Times New Roman" w:hAnsi="Times New Roman" w:eastAsia="宋体"/>
                <w:color w:val="auto"/>
                <w:sz w:val="24"/>
                <w:vertAlign w:val="subscript"/>
              </w:rPr>
              <w:t>10</w:t>
            </w:r>
            <w:r>
              <w:rPr>
                <w:rFonts w:hint="eastAsia" w:ascii="Times New Roman" w:hAnsi="Times New Roman" w:eastAsia="宋体"/>
                <w:color w:val="auto"/>
                <w:sz w:val="24"/>
              </w:rPr>
              <w:t>）、细颗粒物（PM</w:t>
            </w:r>
            <w:r>
              <w:rPr>
                <w:rFonts w:hint="eastAsia" w:ascii="Times New Roman" w:hAnsi="Times New Roman" w:eastAsia="宋体"/>
                <w:color w:val="auto"/>
                <w:sz w:val="24"/>
                <w:vertAlign w:val="subscript"/>
              </w:rPr>
              <w:t>2.5</w:t>
            </w:r>
            <w:r>
              <w:rPr>
                <w:rFonts w:hint="eastAsia" w:ascii="Times New Roman" w:hAnsi="Times New Roman" w:eastAsia="宋体"/>
                <w:color w:val="auto"/>
                <w:sz w:val="24"/>
              </w:rPr>
              <w:t>）年均浓度如下：</w:t>
            </w:r>
          </w:p>
          <w:p>
            <w:pPr>
              <w:pStyle w:val="79"/>
              <w:adjustRightInd w:val="0"/>
              <w:snapToGrid w:val="0"/>
              <w:spacing w:before="120" w:beforeLines="50" w:line="240" w:lineRule="auto"/>
              <w:rPr>
                <w:rFonts w:ascii="Times New Roman" w:hAnsi="Times New Roman" w:eastAsia="宋体"/>
                <w:b/>
                <w:bCs/>
                <w:color w:val="auto"/>
                <w:vertAlign w:val="superscript"/>
              </w:rPr>
            </w:pPr>
            <w:r>
              <w:rPr>
                <w:rFonts w:hint="default" w:ascii="Times New Roman" w:hAnsi="Times New Roman" w:eastAsia="黑体" w:cs="Times New Roman"/>
                <w:b w:val="0"/>
                <w:bCs w:val="0"/>
                <w:color w:val="auto"/>
                <w:kern w:val="0"/>
                <w:sz w:val="24"/>
                <w:szCs w:val="24"/>
                <w:lang w:val="en-US" w:eastAsia="zh-CN" w:bidi="ar-SA"/>
              </w:rPr>
              <w:t>表3-1 环境空气质量状况一览表</w:t>
            </w:r>
          </w:p>
          <w:tbl>
            <w:tblPr>
              <w:tblStyle w:val="26"/>
              <w:tblW w:w="4995"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28" w:type="dxa"/>
                <w:bottom w:w="0" w:type="dxa"/>
                <w:right w:w="28" w:type="dxa"/>
              </w:tblCellMar>
            </w:tblPr>
            <w:tblGrid>
              <w:gridCol w:w="1032"/>
              <w:gridCol w:w="1279"/>
              <w:gridCol w:w="1139"/>
              <w:gridCol w:w="1155"/>
              <w:gridCol w:w="1154"/>
              <w:gridCol w:w="1307"/>
              <w:gridCol w:w="115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trPr>
              <w:tc>
                <w:tcPr>
                  <w:tcW w:w="628" w:type="pct"/>
                  <w:tcBorders>
                    <w:tl2br w:val="nil"/>
                    <w:tr2bl w:val="nil"/>
                  </w:tcBorders>
                  <w:noWrap w:val="0"/>
                  <w:vAlign w:val="center"/>
                </w:tcPr>
                <w:p>
                  <w:pPr>
                    <w:pStyle w:val="80"/>
                    <w:rPr>
                      <w:rFonts w:ascii="Times New Roman" w:hAnsi="Times New Roman" w:eastAsia="宋体"/>
                      <w:color w:val="auto"/>
                    </w:rPr>
                  </w:pPr>
                  <w:r>
                    <w:rPr>
                      <w:rFonts w:ascii="Times New Roman" w:hAnsi="Times New Roman" w:eastAsia="宋体"/>
                      <w:color w:val="auto"/>
                    </w:rPr>
                    <w:t>项目</w:t>
                  </w:r>
                </w:p>
              </w:tc>
              <w:tc>
                <w:tcPr>
                  <w:tcW w:w="777" w:type="pct"/>
                  <w:tcBorders>
                    <w:tl2br w:val="nil"/>
                    <w:tr2bl w:val="nil"/>
                  </w:tcBorders>
                  <w:noWrap w:val="0"/>
                  <w:vAlign w:val="center"/>
                </w:tcPr>
                <w:p>
                  <w:pPr>
                    <w:pStyle w:val="80"/>
                    <w:rPr>
                      <w:rFonts w:ascii="Times New Roman" w:hAnsi="Times New Roman" w:eastAsia="宋体"/>
                      <w:color w:val="auto"/>
                      <w:vertAlign w:val="subscript"/>
                    </w:rPr>
                  </w:pPr>
                  <w:r>
                    <w:rPr>
                      <w:rFonts w:ascii="Times New Roman" w:hAnsi="Times New Roman" w:eastAsia="宋体"/>
                      <w:color w:val="auto"/>
                    </w:rPr>
                    <w:t>PM</w:t>
                  </w:r>
                  <w:r>
                    <w:rPr>
                      <w:rFonts w:ascii="Times New Roman" w:hAnsi="Times New Roman" w:eastAsia="宋体"/>
                      <w:color w:val="auto"/>
                      <w:vertAlign w:val="subscript"/>
                    </w:rPr>
                    <w:t>2.5</w:t>
                  </w:r>
                </w:p>
                <w:p>
                  <w:pPr>
                    <w:pStyle w:val="80"/>
                    <w:rPr>
                      <w:rFonts w:ascii="Times New Roman" w:hAnsi="Times New Roman" w:eastAsia="宋体"/>
                      <w:color w:val="auto"/>
                    </w:rPr>
                  </w:pPr>
                  <w:r>
                    <w:rPr>
                      <w:rFonts w:hint="default" w:ascii="Times New Roman" w:hAnsi="Times New Roman" w:eastAsia="宋体"/>
                      <w:color w:val="auto"/>
                      <w:lang w:val="en-US" w:eastAsia="zh-CN"/>
                    </w:rPr>
                    <w:t>(µg/m</w:t>
                  </w:r>
                  <w:r>
                    <w:rPr>
                      <w:rFonts w:hint="default" w:ascii="Times New Roman" w:hAnsi="Times New Roman" w:eastAsia="宋体"/>
                      <w:color w:val="auto"/>
                      <w:vertAlign w:val="superscript"/>
                      <w:lang w:val="en-US" w:eastAsia="zh-CN"/>
                    </w:rPr>
                    <w:t>3</w:t>
                  </w:r>
                  <w:r>
                    <w:rPr>
                      <w:rFonts w:hint="default" w:ascii="Times New Roman" w:hAnsi="Times New Roman" w:eastAsia="宋体"/>
                      <w:color w:val="auto"/>
                      <w:lang w:val="en-US" w:eastAsia="zh-CN"/>
                    </w:rPr>
                    <w:t>)</w:t>
                  </w:r>
                </w:p>
              </w:tc>
              <w:tc>
                <w:tcPr>
                  <w:tcW w:w="692" w:type="pct"/>
                  <w:tcBorders>
                    <w:tl2br w:val="nil"/>
                    <w:tr2bl w:val="nil"/>
                  </w:tcBorders>
                  <w:noWrap w:val="0"/>
                  <w:vAlign w:val="center"/>
                </w:tcPr>
                <w:p>
                  <w:pPr>
                    <w:pStyle w:val="80"/>
                    <w:rPr>
                      <w:rFonts w:ascii="Times New Roman" w:hAnsi="Times New Roman" w:eastAsia="宋体"/>
                      <w:color w:val="auto"/>
                      <w:vertAlign w:val="subscript"/>
                    </w:rPr>
                  </w:pPr>
                  <w:r>
                    <w:rPr>
                      <w:rFonts w:ascii="Times New Roman" w:hAnsi="Times New Roman" w:eastAsia="宋体"/>
                      <w:color w:val="auto"/>
                    </w:rPr>
                    <w:t>PM</w:t>
                  </w:r>
                  <w:r>
                    <w:rPr>
                      <w:rFonts w:ascii="Times New Roman" w:hAnsi="Times New Roman" w:eastAsia="宋体"/>
                      <w:color w:val="auto"/>
                      <w:vertAlign w:val="subscript"/>
                    </w:rPr>
                    <w:t>10</w:t>
                  </w:r>
                </w:p>
                <w:p>
                  <w:pPr>
                    <w:pStyle w:val="80"/>
                    <w:rPr>
                      <w:rFonts w:ascii="Times New Roman" w:hAnsi="Times New Roman" w:eastAsia="宋体"/>
                      <w:color w:val="auto"/>
                    </w:rPr>
                  </w:pPr>
                  <w:r>
                    <w:rPr>
                      <w:rFonts w:hint="default" w:ascii="Times New Roman" w:hAnsi="Times New Roman" w:eastAsia="宋体"/>
                      <w:color w:val="auto"/>
                      <w:lang w:val="en-US" w:eastAsia="zh-CN"/>
                    </w:rPr>
                    <w:t>(µg/m</w:t>
                  </w:r>
                  <w:r>
                    <w:rPr>
                      <w:rFonts w:hint="default" w:ascii="Times New Roman" w:hAnsi="Times New Roman" w:eastAsia="宋体"/>
                      <w:color w:val="auto"/>
                      <w:vertAlign w:val="superscript"/>
                      <w:lang w:val="en-US" w:eastAsia="zh-CN"/>
                    </w:rPr>
                    <w:t>3</w:t>
                  </w:r>
                  <w:r>
                    <w:rPr>
                      <w:rFonts w:hint="default" w:ascii="Times New Roman" w:hAnsi="Times New Roman" w:eastAsia="宋体"/>
                      <w:color w:val="auto"/>
                      <w:lang w:val="en-US" w:eastAsia="zh-CN"/>
                    </w:rPr>
                    <w:t>)</w:t>
                  </w:r>
                </w:p>
              </w:tc>
              <w:tc>
                <w:tcPr>
                  <w:tcW w:w="702" w:type="pct"/>
                  <w:tcBorders>
                    <w:tl2br w:val="nil"/>
                    <w:tr2bl w:val="nil"/>
                  </w:tcBorders>
                  <w:noWrap w:val="0"/>
                  <w:vAlign w:val="center"/>
                </w:tcPr>
                <w:p>
                  <w:pPr>
                    <w:pStyle w:val="80"/>
                    <w:rPr>
                      <w:rFonts w:ascii="Times New Roman" w:hAnsi="Times New Roman" w:eastAsia="宋体"/>
                      <w:color w:val="auto"/>
                      <w:vertAlign w:val="subscript"/>
                    </w:rPr>
                  </w:pPr>
                  <w:r>
                    <w:rPr>
                      <w:rFonts w:ascii="Times New Roman" w:hAnsi="Times New Roman" w:eastAsia="宋体"/>
                      <w:color w:val="auto"/>
                    </w:rPr>
                    <w:t>SO</w:t>
                  </w:r>
                  <w:r>
                    <w:rPr>
                      <w:rFonts w:ascii="Times New Roman" w:hAnsi="Times New Roman" w:eastAsia="宋体"/>
                      <w:color w:val="auto"/>
                      <w:vertAlign w:val="subscript"/>
                    </w:rPr>
                    <w:t>2</w:t>
                  </w:r>
                </w:p>
                <w:p>
                  <w:pPr>
                    <w:pStyle w:val="80"/>
                    <w:rPr>
                      <w:rFonts w:ascii="Times New Roman" w:hAnsi="Times New Roman" w:eastAsia="宋体"/>
                      <w:color w:val="auto"/>
                    </w:rPr>
                  </w:pPr>
                  <w:r>
                    <w:rPr>
                      <w:rFonts w:hint="default" w:ascii="Times New Roman" w:hAnsi="Times New Roman" w:eastAsia="宋体"/>
                      <w:color w:val="auto"/>
                      <w:lang w:val="en-US" w:eastAsia="zh-CN"/>
                    </w:rPr>
                    <w:t>(µg/m</w:t>
                  </w:r>
                  <w:r>
                    <w:rPr>
                      <w:rFonts w:hint="default" w:ascii="Times New Roman" w:hAnsi="Times New Roman" w:eastAsia="宋体"/>
                      <w:color w:val="auto"/>
                      <w:vertAlign w:val="superscript"/>
                      <w:lang w:val="en-US" w:eastAsia="zh-CN"/>
                    </w:rPr>
                    <w:t>3</w:t>
                  </w:r>
                  <w:r>
                    <w:rPr>
                      <w:rFonts w:hint="default" w:ascii="Times New Roman" w:hAnsi="Times New Roman" w:eastAsia="宋体"/>
                      <w:color w:val="auto"/>
                      <w:lang w:val="en-US" w:eastAsia="zh-CN"/>
                    </w:rPr>
                    <w:t>)</w:t>
                  </w:r>
                </w:p>
              </w:tc>
              <w:tc>
                <w:tcPr>
                  <w:tcW w:w="701" w:type="pct"/>
                  <w:tcBorders>
                    <w:tl2br w:val="nil"/>
                    <w:tr2bl w:val="nil"/>
                  </w:tcBorders>
                  <w:noWrap w:val="0"/>
                  <w:vAlign w:val="center"/>
                </w:tcPr>
                <w:p>
                  <w:pPr>
                    <w:pStyle w:val="80"/>
                    <w:rPr>
                      <w:rFonts w:ascii="Times New Roman" w:hAnsi="Times New Roman" w:eastAsia="宋体"/>
                      <w:color w:val="auto"/>
                      <w:vertAlign w:val="subscript"/>
                    </w:rPr>
                  </w:pPr>
                  <w:r>
                    <w:rPr>
                      <w:rFonts w:ascii="Times New Roman" w:hAnsi="Times New Roman" w:eastAsia="宋体"/>
                      <w:color w:val="auto"/>
                    </w:rPr>
                    <w:t>NO</w:t>
                  </w:r>
                  <w:r>
                    <w:rPr>
                      <w:rFonts w:ascii="Times New Roman" w:hAnsi="Times New Roman" w:eastAsia="宋体"/>
                      <w:color w:val="auto"/>
                      <w:vertAlign w:val="subscript"/>
                    </w:rPr>
                    <w:t>2</w:t>
                  </w:r>
                </w:p>
                <w:p>
                  <w:pPr>
                    <w:pStyle w:val="80"/>
                    <w:rPr>
                      <w:rFonts w:ascii="Times New Roman" w:hAnsi="Times New Roman" w:eastAsia="宋体"/>
                      <w:color w:val="auto"/>
                    </w:rPr>
                  </w:pPr>
                  <w:r>
                    <w:rPr>
                      <w:rFonts w:hint="default" w:ascii="Times New Roman" w:hAnsi="Times New Roman" w:eastAsia="宋体"/>
                      <w:color w:val="auto"/>
                      <w:lang w:val="en-US" w:eastAsia="zh-CN"/>
                    </w:rPr>
                    <w:t>(µg/m</w:t>
                  </w:r>
                  <w:r>
                    <w:rPr>
                      <w:rFonts w:hint="default" w:ascii="Times New Roman" w:hAnsi="Times New Roman" w:eastAsia="宋体"/>
                      <w:color w:val="auto"/>
                      <w:vertAlign w:val="superscript"/>
                      <w:lang w:val="en-US" w:eastAsia="zh-CN"/>
                    </w:rPr>
                    <w:t>3</w:t>
                  </w:r>
                  <w:r>
                    <w:rPr>
                      <w:rFonts w:hint="default" w:ascii="Times New Roman" w:hAnsi="Times New Roman" w:eastAsia="宋体"/>
                      <w:color w:val="auto"/>
                      <w:lang w:val="en-US" w:eastAsia="zh-CN"/>
                    </w:rPr>
                    <w:t>)</w:t>
                  </w:r>
                </w:p>
              </w:tc>
              <w:tc>
                <w:tcPr>
                  <w:tcW w:w="794" w:type="pct"/>
                  <w:tcBorders>
                    <w:tl2br w:val="nil"/>
                    <w:tr2bl w:val="nil"/>
                  </w:tcBorders>
                  <w:noWrap w:val="0"/>
                  <w:vAlign w:val="center"/>
                </w:tcPr>
                <w:p>
                  <w:pPr>
                    <w:pStyle w:val="80"/>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t>O</w:t>
                  </w:r>
                  <w:r>
                    <w:rPr>
                      <w:rFonts w:hint="default" w:ascii="Times New Roman" w:hAnsi="Times New Roman" w:eastAsia="宋体"/>
                      <w:color w:val="auto"/>
                      <w:vertAlign w:val="subscript"/>
                      <w:lang w:val="en-US" w:eastAsia="zh-CN"/>
                    </w:rPr>
                    <w:t>3</w:t>
                  </w:r>
                  <w:r>
                    <w:rPr>
                      <w:rFonts w:hint="default" w:ascii="Times New Roman" w:hAnsi="Times New Roman" w:eastAsia="宋体"/>
                      <w:color w:val="auto"/>
                      <w:lang w:val="en-US" w:eastAsia="zh-CN"/>
                    </w:rPr>
                    <w:t>-8H-90per</w:t>
                  </w:r>
                </w:p>
                <w:p>
                  <w:pPr>
                    <w:pStyle w:val="80"/>
                    <w:rPr>
                      <w:rFonts w:ascii="Times New Roman" w:hAnsi="Times New Roman" w:eastAsia="宋体"/>
                      <w:color w:val="auto"/>
                    </w:rPr>
                  </w:pPr>
                  <w:r>
                    <w:rPr>
                      <w:rFonts w:hint="default" w:ascii="Times New Roman" w:hAnsi="Times New Roman" w:eastAsia="宋体"/>
                      <w:color w:val="auto"/>
                      <w:lang w:val="en-US" w:eastAsia="zh-CN"/>
                    </w:rPr>
                    <w:t>(µg/m</w:t>
                  </w:r>
                  <w:r>
                    <w:rPr>
                      <w:rFonts w:hint="default" w:ascii="Times New Roman" w:hAnsi="Times New Roman" w:eastAsia="宋体"/>
                      <w:color w:val="auto"/>
                      <w:vertAlign w:val="superscript"/>
                      <w:lang w:val="en-US" w:eastAsia="zh-CN"/>
                    </w:rPr>
                    <w:t>3</w:t>
                  </w:r>
                  <w:r>
                    <w:rPr>
                      <w:rFonts w:hint="default" w:ascii="Times New Roman" w:hAnsi="Times New Roman" w:eastAsia="宋体"/>
                      <w:color w:val="auto"/>
                      <w:lang w:val="en-US" w:eastAsia="zh-CN"/>
                    </w:rPr>
                    <w:t>)</w:t>
                  </w:r>
                </w:p>
              </w:tc>
              <w:tc>
                <w:tcPr>
                  <w:tcW w:w="701" w:type="pct"/>
                  <w:tcBorders>
                    <w:tl2br w:val="nil"/>
                    <w:tr2bl w:val="nil"/>
                  </w:tcBorders>
                  <w:noWrap w:val="0"/>
                  <w:vAlign w:val="center"/>
                </w:tcPr>
                <w:p>
                  <w:pPr>
                    <w:pStyle w:val="80"/>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t>CO-95per</w:t>
                  </w:r>
                </w:p>
                <w:p>
                  <w:pPr>
                    <w:pStyle w:val="80"/>
                    <w:rPr>
                      <w:rFonts w:ascii="Times New Roman" w:hAnsi="Times New Roman" w:eastAsia="宋体"/>
                      <w:color w:val="auto"/>
                    </w:rPr>
                  </w:pPr>
                  <w:r>
                    <w:rPr>
                      <w:rFonts w:hint="default" w:ascii="Times New Roman" w:hAnsi="Times New Roman" w:eastAsia="宋体"/>
                      <w:color w:val="auto"/>
                      <w:lang w:val="en-US" w:eastAsia="zh-CN"/>
                    </w:rPr>
                    <w:t>(mg/m</w:t>
                  </w:r>
                  <w:r>
                    <w:rPr>
                      <w:rFonts w:hint="default" w:ascii="Times New Roman" w:hAnsi="Times New Roman" w:eastAsia="宋体"/>
                      <w:color w:val="auto"/>
                      <w:vertAlign w:val="superscript"/>
                      <w:lang w:val="en-US" w:eastAsia="zh-CN"/>
                    </w:rPr>
                    <w:t>3</w:t>
                  </w:r>
                  <w:r>
                    <w:rPr>
                      <w:rFonts w:hint="default" w:ascii="Times New Roman" w:hAnsi="Times New Roman" w:eastAsia="宋体"/>
                      <w:color w:val="auto"/>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628" w:type="pct"/>
                  <w:tcBorders>
                    <w:tl2br w:val="nil"/>
                    <w:tr2bl w:val="nil"/>
                  </w:tcBorders>
                  <w:noWrap w:val="0"/>
                  <w:vAlign w:val="center"/>
                </w:tcPr>
                <w:p>
                  <w:pPr>
                    <w:pStyle w:val="80"/>
                    <w:rPr>
                      <w:rFonts w:ascii="Times New Roman" w:hAnsi="Times New Roman" w:eastAsia="宋体"/>
                      <w:color w:val="auto"/>
                    </w:rPr>
                  </w:pPr>
                  <w:r>
                    <w:rPr>
                      <w:rFonts w:ascii="Times New Roman" w:hAnsi="Times New Roman" w:eastAsia="宋体"/>
                      <w:color w:val="auto"/>
                    </w:rPr>
                    <w:t>数值</w:t>
                  </w:r>
                </w:p>
              </w:tc>
              <w:tc>
                <w:tcPr>
                  <w:tcW w:w="777" w:type="pct"/>
                  <w:tcBorders>
                    <w:tl2br w:val="nil"/>
                    <w:tr2bl w:val="nil"/>
                  </w:tcBorders>
                  <w:noWrap w:val="0"/>
                  <w:vAlign w:val="center"/>
                </w:tcPr>
                <w:p>
                  <w:pPr>
                    <w:pStyle w:val="80"/>
                    <w:rPr>
                      <w:rFonts w:hint="default" w:ascii="Times New Roman" w:hAnsi="Times New Roman" w:eastAsia="宋体"/>
                      <w:color w:val="auto"/>
                      <w:lang w:val="en-US" w:eastAsia="zh-CN"/>
                    </w:rPr>
                  </w:pPr>
                  <w:r>
                    <w:rPr>
                      <w:rFonts w:hint="eastAsia"/>
                      <w:color w:val="auto"/>
                      <w:lang w:val="en-US" w:eastAsia="zh-CN"/>
                    </w:rPr>
                    <w:t>42</w:t>
                  </w:r>
                </w:p>
              </w:tc>
              <w:tc>
                <w:tcPr>
                  <w:tcW w:w="692" w:type="pct"/>
                  <w:tcBorders>
                    <w:tl2br w:val="nil"/>
                    <w:tr2bl w:val="nil"/>
                  </w:tcBorders>
                  <w:noWrap w:val="0"/>
                  <w:vAlign w:val="center"/>
                </w:tcPr>
                <w:p>
                  <w:pPr>
                    <w:pStyle w:val="80"/>
                    <w:rPr>
                      <w:rFonts w:hint="default" w:ascii="Times New Roman" w:hAnsi="Times New Roman" w:eastAsia="宋体"/>
                      <w:color w:val="auto"/>
                      <w:lang w:val="en-US" w:eastAsia="zh-CN"/>
                    </w:rPr>
                  </w:pPr>
                  <w:r>
                    <w:rPr>
                      <w:rFonts w:hint="eastAsia"/>
                      <w:color w:val="auto"/>
                      <w:lang w:val="en-US" w:eastAsia="zh-CN"/>
                    </w:rPr>
                    <w:t>78</w:t>
                  </w:r>
                </w:p>
              </w:tc>
              <w:tc>
                <w:tcPr>
                  <w:tcW w:w="702" w:type="pct"/>
                  <w:tcBorders>
                    <w:tl2br w:val="nil"/>
                    <w:tr2bl w:val="nil"/>
                  </w:tcBorders>
                  <w:noWrap w:val="0"/>
                  <w:vAlign w:val="center"/>
                </w:tcPr>
                <w:p>
                  <w:pPr>
                    <w:pStyle w:val="80"/>
                    <w:rPr>
                      <w:rFonts w:hint="default" w:ascii="Times New Roman" w:hAnsi="Times New Roman" w:eastAsia="宋体"/>
                      <w:color w:val="auto"/>
                      <w:lang w:val="en-US" w:eastAsia="zh-CN"/>
                    </w:rPr>
                  </w:pPr>
                  <w:r>
                    <w:rPr>
                      <w:rFonts w:hint="eastAsia"/>
                      <w:color w:val="auto"/>
                      <w:lang w:val="en-US" w:eastAsia="zh-CN"/>
                    </w:rPr>
                    <w:t>15</w:t>
                  </w:r>
                </w:p>
              </w:tc>
              <w:tc>
                <w:tcPr>
                  <w:tcW w:w="701" w:type="pct"/>
                  <w:tcBorders>
                    <w:tl2br w:val="nil"/>
                    <w:tr2bl w:val="nil"/>
                  </w:tcBorders>
                  <w:noWrap w:val="0"/>
                  <w:vAlign w:val="center"/>
                </w:tcPr>
                <w:p>
                  <w:pPr>
                    <w:pStyle w:val="80"/>
                    <w:rPr>
                      <w:rFonts w:hint="default" w:ascii="Times New Roman" w:hAnsi="Times New Roman" w:eastAsia="宋体"/>
                      <w:color w:val="auto"/>
                      <w:lang w:val="en-US" w:eastAsia="zh-CN"/>
                    </w:rPr>
                  </w:pPr>
                  <w:r>
                    <w:rPr>
                      <w:rFonts w:hint="eastAsia"/>
                      <w:color w:val="auto"/>
                      <w:lang w:val="en-US" w:eastAsia="zh-CN"/>
                    </w:rPr>
                    <w:t>32</w:t>
                  </w:r>
                </w:p>
              </w:tc>
              <w:tc>
                <w:tcPr>
                  <w:tcW w:w="794" w:type="pct"/>
                  <w:tcBorders>
                    <w:tl2br w:val="nil"/>
                    <w:tr2bl w:val="nil"/>
                  </w:tcBorders>
                  <w:noWrap w:val="0"/>
                  <w:vAlign w:val="center"/>
                </w:tcPr>
                <w:p>
                  <w:pPr>
                    <w:pStyle w:val="80"/>
                    <w:rPr>
                      <w:rFonts w:hint="eastAsia"/>
                      <w:color w:val="auto"/>
                      <w:lang w:val="en-US" w:eastAsia="zh-CN"/>
                    </w:rPr>
                  </w:pPr>
                  <w:r>
                    <w:rPr>
                      <w:rFonts w:hint="default" w:ascii="Times New Roman" w:hAnsi="Times New Roman" w:eastAsia="仿宋_GB2312" w:cs="Times New Roman"/>
                      <w:i w:val="0"/>
                      <w:iCs w:val="0"/>
                      <w:color w:val="auto"/>
                      <w:kern w:val="0"/>
                      <w:sz w:val="21"/>
                      <w:szCs w:val="21"/>
                      <w:u w:val="none"/>
                      <w:lang w:val="en-US" w:eastAsia="zh-CN" w:bidi="ar"/>
                    </w:rPr>
                    <w:t>194</w:t>
                  </w:r>
                </w:p>
              </w:tc>
              <w:tc>
                <w:tcPr>
                  <w:tcW w:w="701" w:type="pct"/>
                  <w:tcBorders>
                    <w:tl2br w:val="nil"/>
                    <w:tr2bl w:val="nil"/>
                  </w:tcBorders>
                  <w:noWrap w:val="0"/>
                  <w:vAlign w:val="center"/>
                </w:tcPr>
                <w:p>
                  <w:pPr>
                    <w:pStyle w:val="80"/>
                    <w:rPr>
                      <w:rFonts w:hint="default"/>
                      <w:color w:val="auto"/>
                      <w:lang w:val="en-US" w:eastAsia="zh-CN"/>
                    </w:rPr>
                  </w:pPr>
                  <w:r>
                    <w:rPr>
                      <w:rFonts w:hint="eastAsia"/>
                      <w:color w:val="auto"/>
                      <w:lang w:val="en-US" w:eastAsia="zh-CN"/>
                    </w:rPr>
                    <w:t>1.3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628" w:type="pct"/>
                  <w:tcBorders>
                    <w:tl2br w:val="nil"/>
                    <w:tr2bl w:val="nil"/>
                  </w:tcBorders>
                  <w:noWrap w:val="0"/>
                  <w:vAlign w:val="center"/>
                </w:tcPr>
                <w:p>
                  <w:pPr>
                    <w:pStyle w:val="80"/>
                    <w:rPr>
                      <w:rFonts w:ascii="Times New Roman" w:hAnsi="Times New Roman" w:eastAsia="宋体"/>
                      <w:color w:val="auto"/>
                    </w:rPr>
                  </w:pPr>
                  <w:r>
                    <w:rPr>
                      <w:rFonts w:ascii="Times New Roman" w:hAnsi="Times New Roman" w:eastAsia="宋体"/>
                      <w:color w:val="auto"/>
                    </w:rPr>
                    <w:t>浓度限值</w:t>
                  </w:r>
                </w:p>
              </w:tc>
              <w:tc>
                <w:tcPr>
                  <w:tcW w:w="777" w:type="pct"/>
                  <w:tcBorders>
                    <w:tl2br w:val="nil"/>
                    <w:tr2bl w:val="nil"/>
                  </w:tcBorders>
                  <w:noWrap w:val="0"/>
                  <w:vAlign w:val="center"/>
                </w:tcPr>
                <w:p>
                  <w:pPr>
                    <w:pStyle w:val="80"/>
                    <w:rPr>
                      <w:rFonts w:ascii="Times New Roman" w:hAnsi="Times New Roman" w:eastAsia="宋体"/>
                      <w:color w:val="auto"/>
                    </w:rPr>
                  </w:pPr>
                  <w:r>
                    <w:rPr>
                      <w:rFonts w:ascii="Times New Roman" w:hAnsi="Times New Roman" w:eastAsia="宋体"/>
                      <w:color w:val="auto"/>
                    </w:rPr>
                    <w:t>35</w:t>
                  </w:r>
                </w:p>
              </w:tc>
              <w:tc>
                <w:tcPr>
                  <w:tcW w:w="692" w:type="pct"/>
                  <w:tcBorders>
                    <w:tl2br w:val="nil"/>
                    <w:tr2bl w:val="nil"/>
                  </w:tcBorders>
                  <w:noWrap w:val="0"/>
                  <w:vAlign w:val="center"/>
                </w:tcPr>
                <w:p>
                  <w:pPr>
                    <w:pStyle w:val="80"/>
                    <w:rPr>
                      <w:rFonts w:ascii="Times New Roman" w:hAnsi="Times New Roman" w:eastAsia="宋体"/>
                      <w:color w:val="auto"/>
                    </w:rPr>
                  </w:pPr>
                  <w:r>
                    <w:rPr>
                      <w:rFonts w:ascii="Times New Roman" w:hAnsi="Times New Roman" w:eastAsia="宋体"/>
                      <w:color w:val="auto"/>
                    </w:rPr>
                    <w:t>70</w:t>
                  </w:r>
                </w:p>
              </w:tc>
              <w:tc>
                <w:tcPr>
                  <w:tcW w:w="702" w:type="pct"/>
                  <w:tcBorders>
                    <w:tl2br w:val="nil"/>
                    <w:tr2bl w:val="nil"/>
                  </w:tcBorders>
                  <w:noWrap w:val="0"/>
                  <w:vAlign w:val="center"/>
                </w:tcPr>
                <w:p>
                  <w:pPr>
                    <w:pStyle w:val="80"/>
                    <w:rPr>
                      <w:rFonts w:ascii="Times New Roman" w:hAnsi="Times New Roman" w:eastAsia="宋体"/>
                      <w:color w:val="auto"/>
                    </w:rPr>
                  </w:pPr>
                  <w:r>
                    <w:rPr>
                      <w:rFonts w:ascii="Times New Roman" w:hAnsi="Times New Roman" w:eastAsia="宋体"/>
                      <w:color w:val="auto"/>
                    </w:rPr>
                    <w:t>60</w:t>
                  </w:r>
                </w:p>
              </w:tc>
              <w:tc>
                <w:tcPr>
                  <w:tcW w:w="701" w:type="pct"/>
                  <w:tcBorders>
                    <w:tl2br w:val="nil"/>
                    <w:tr2bl w:val="nil"/>
                  </w:tcBorders>
                  <w:noWrap w:val="0"/>
                  <w:vAlign w:val="center"/>
                </w:tcPr>
                <w:p>
                  <w:pPr>
                    <w:pStyle w:val="80"/>
                    <w:rPr>
                      <w:rFonts w:ascii="Times New Roman" w:hAnsi="Times New Roman" w:eastAsia="宋体"/>
                      <w:color w:val="auto"/>
                    </w:rPr>
                  </w:pPr>
                  <w:r>
                    <w:rPr>
                      <w:rFonts w:ascii="Times New Roman" w:hAnsi="Times New Roman" w:eastAsia="宋体"/>
                      <w:color w:val="auto"/>
                    </w:rPr>
                    <w:t>40</w:t>
                  </w:r>
                </w:p>
              </w:tc>
              <w:tc>
                <w:tcPr>
                  <w:tcW w:w="794" w:type="pct"/>
                  <w:tcBorders>
                    <w:tl2br w:val="nil"/>
                    <w:tr2bl w:val="nil"/>
                  </w:tcBorders>
                  <w:noWrap w:val="0"/>
                  <w:vAlign w:val="center"/>
                </w:tcPr>
                <w:p>
                  <w:pPr>
                    <w:pStyle w:val="80"/>
                    <w:rPr>
                      <w:rFonts w:hint="default" w:ascii="Times New Roman" w:hAnsi="Times New Roman" w:eastAsia="宋体"/>
                      <w:color w:val="auto"/>
                      <w:lang w:val="en-US" w:eastAsia="zh-CN"/>
                    </w:rPr>
                  </w:pPr>
                  <w:r>
                    <w:rPr>
                      <w:rFonts w:hint="eastAsia"/>
                      <w:color w:val="auto"/>
                      <w:lang w:val="en-US" w:eastAsia="zh-CN"/>
                    </w:rPr>
                    <w:t>160</w:t>
                  </w:r>
                </w:p>
              </w:tc>
              <w:tc>
                <w:tcPr>
                  <w:tcW w:w="701" w:type="pct"/>
                  <w:tcBorders>
                    <w:tl2br w:val="nil"/>
                    <w:tr2bl w:val="nil"/>
                  </w:tcBorders>
                  <w:noWrap w:val="0"/>
                  <w:vAlign w:val="center"/>
                </w:tcPr>
                <w:p>
                  <w:pPr>
                    <w:pStyle w:val="80"/>
                    <w:rPr>
                      <w:rFonts w:hint="eastAsia" w:ascii="Times New Roman" w:hAnsi="Times New Roman" w:eastAsia="宋体"/>
                      <w:color w:val="auto"/>
                      <w:lang w:val="en-US" w:eastAsia="zh-CN"/>
                    </w:rPr>
                  </w:pPr>
                  <w:r>
                    <w:rPr>
                      <w:rFonts w:hint="eastAsia"/>
                      <w:color w:val="auto"/>
                      <w:lang w:val="en-US" w:eastAsia="zh-CN"/>
                    </w:rPr>
                    <w:t>4</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从上表可以看出，</w:t>
            </w:r>
            <w:r>
              <w:rPr>
                <w:rFonts w:hint="eastAsia" w:cs="Times New Roman"/>
                <w:color w:val="auto"/>
                <w:sz w:val="24"/>
                <w:szCs w:val="24"/>
                <w:lang w:eastAsia="zh-CN"/>
              </w:rPr>
              <w:t>淄川区</w:t>
            </w:r>
            <w:r>
              <w:rPr>
                <w:rFonts w:hint="default" w:ascii="Times New Roman" w:hAnsi="Times New Roman" w:cs="Times New Roman"/>
                <w:b w:val="0"/>
                <w:bCs w:val="0"/>
                <w:color w:val="auto"/>
                <w:sz w:val="24"/>
                <w:szCs w:val="24"/>
              </w:rPr>
              <w:t>PM</w:t>
            </w:r>
            <w:r>
              <w:rPr>
                <w:rFonts w:hint="eastAsia" w:cs="Times New Roman"/>
                <w:b w:val="0"/>
                <w:bCs w:val="0"/>
                <w:color w:val="auto"/>
                <w:sz w:val="24"/>
                <w:szCs w:val="24"/>
                <w:vertAlign w:val="subscript"/>
                <w:lang w:val="en-US" w:eastAsia="zh-CN"/>
              </w:rPr>
              <w:t>10</w:t>
            </w:r>
            <w:r>
              <w:rPr>
                <w:rFonts w:hint="eastAsia" w:cs="Times New Roman"/>
                <w:color w:val="auto"/>
                <w:sz w:val="24"/>
                <w:szCs w:val="24"/>
                <w:lang w:eastAsia="zh-CN"/>
              </w:rPr>
              <w:t>、</w:t>
            </w:r>
            <w:r>
              <w:rPr>
                <w:rFonts w:hint="default" w:ascii="Times New Roman" w:hAnsi="Times New Roman" w:cs="Times New Roman"/>
                <w:b w:val="0"/>
                <w:bCs w:val="0"/>
                <w:color w:val="auto"/>
                <w:sz w:val="24"/>
                <w:szCs w:val="24"/>
              </w:rPr>
              <w:t>PM</w:t>
            </w:r>
            <w:r>
              <w:rPr>
                <w:rFonts w:hint="default" w:ascii="Times New Roman" w:hAnsi="Times New Roman" w:cs="Times New Roman"/>
                <w:b w:val="0"/>
                <w:bCs w:val="0"/>
                <w:color w:val="auto"/>
                <w:sz w:val="24"/>
                <w:szCs w:val="24"/>
                <w:vertAlign w:val="subscript"/>
              </w:rPr>
              <w:t>2.5</w:t>
            </w:r>
            <w:r>
              <w:rPr>
                <w:rFonts w:hint="eastAsia" w:cs="Times New Roman"/>
                <w:b w:val="0"/>
                <w:bCs w:val="0"/>
                <w:color w:val="auto"/>
                <w:sz w:val="24"/>
                <w:szCs w:val="24"/>
                <w:vertAlign w:val="baseline"/>
                <w:lang w:eastAsia="zh-CN"/>
              </w:rPr>
              <w:t>、</w:t>
            </w:r>
            <w:r>
              <w:rPr>
                <w:rFonts w:hint="default" w:ascii="Times New Roman" w:hAnsi="Times New Roman" w:eastAsia="宋体"/>
                <w:color w:val="auto"/>
                <w:sz w:val="24"/>
              </w:rPr>
              <w:t>O</w:t>
            </w:r>
            <w:r>
              <w:rPr>
                <w:rFonts w:hint="default" w:ascii="Times New Roman" w:hAnsi="Times New Roman" w:eastAsia="宋体"/>
                <w:color w:val="auto"/>
                <w:sz w:val="24"/>
                <w:vertAlign w:val="subscript"/>
              </w:rPr>
              <w:t>3</w:t>
            </w:r>
            <w:r>
              <w:rPr>
                <w:rFonts w:hint="default" w:ascii="Times New Roman" w:hAnsi="Times New Roman" w:cs="Times New Roman"/>
                <w:color w:val="auto"/>
                <w:sz w:val="24"/>
                <w:szCs w:val="24"/>
              </w:rPr>
              <w:t>不能满足《环境空气质量标准》（GB3095-2012）</w:t>
            </w:r>
            <w:r>
              <w:rPr>
                <w:rFonts w:hint="default" w:ascii="Times New Roman" w:hAnsi="Times New Roman" w:cs="Times New Roman"/>
                <w:color w:val="auto"/>
                <w:sz w:val="24"/>
                <w:szCs w:val="24"/>
                <w:lang w:eastAsia="zh-CN"/>
              </w:rPr>
              <w:t>及其修改单</w:t>
            </w:r>
            <w:r>
              <w:rPr>
                <w:rFonts w:hint="default" w:ascii="Times New Roman" w:hAnsi="Times New Roman" w:cs="Times New Roman"/>
                <w:color w:val="auto"/>
                <w:sz w:val="24"/>
                <w:szCs w:val="24"/>
              </w:rPr>
              <w:t>中二级标准要求。</w:t>
            </w:r>
          </w:p>
          <w:p>
            <w:pPr>
              <w:pStyle w:val="78"/>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eastAsia" w:ascii="Times New Roman" w:hAnsi="Times New Roman" w:eastAsia="宋体"/>
                <w:color w:val="auto"/>
                <w:sz w:val="24"/>
              </w:rPr>
            </w:pPr>
            <w:r>
              <w:rPr>
                <w:rFonts w:hint="eastAsia" w:ascii="Times New Roman" w:hAnsi="Times New Roman" w:eastAsia="宋体"/>
                <w:color w:val="auto"/>
                <w:sz w:val="24"/>
              </w:rPr>
              <w:t>（2）特征污染物</w:t>
            </w:r>
          </w:p>
          <w:p>
            <w:pPr>
              <w:pStyle w:val="78"/>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eastAsia" w:ascii="Times New Roman" w:hAnsi="Times New Roman" w:eastAsia="宋体"/>
                <w:color w:val="auto"/>
                <w:sz w:val="24"/>
              </w:rPr>
            </w:pPr>
            <w:r>
              <w:rPr>
                <w:rFonts w:hint="eastAsia" w:ascii="Times New Roman" w:hAnsi="Times New Roman" w:eastAsia="宋体"/>
                <w:color w:val="auto"/>
                <w:sz w:val="24"/>
              </w:rPr>
              <w:t>本项目建成后排放的特征大气污染物为VOCs</w:t>
            </w:r>
            <w:r>
              <w:rPr>
                <w:rFonts w:hint="eastAsia"/>
                <w:color w:val="auto"/>
                <w:sz w:val="24"/>
                <w:lang w:eastAsia="zh-CN"/>
              </w:rPr>
              <w:t>、沥青烟</w:t>
            </w:r>
            <w:r>
              <w:rPr>
                <w:rFonts w:hint="eastAsia" w:ascii="Times New Roman" w:hAnsi="Times New Roman" w:eastAsia="宋体"/>
                <w:color w:val="auto"/>
                <w:sz w:val="24"/>
              </w:rPr>
              <w:t>。根据《建设项目环境影响报告表编制技术指南（试行）》中要求：“排放国家、地方环境空气质量标准中有标准限值要求的特征污染物时，引用建设项目周边5千米范围内近3年的现有监测数据，无相关数据的选择当季主导风向下风向1个点位补充不少于3天的监测数据。”</w:t>
            </w:r>
          </w:p>
          <w:p>
            <w:pPr>
              <w:pStyle w:val="78"/>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ascii="Times New Roman" w:hAnsi="Times New Roman" w:eastAsia="宋体"/>
                <w:color w:val="auto"/>
                <w:sz w:val="24"/>
              </w:rPr>
            </w:pPr>
            <w:r>
              <w:rPr>
                <w:rFonts w:hint="eastAsia" w:ascii="Times New Roman" w:hAnsi="Times New Roman" w:eastAsia="宋体"/>
                <w:color w:val="auto"/>
                <w:sz w:val="24"/>
              </w:rPr>
              <w:t>《环境空气质量标准》（GB3095-2012）中无VOCs</w:t>
            </w:r>
            <w:r>
              <w:rPr>
                <w:rFonts w:hint="eastAsia"/>
                <w:color w:val="auto"/>
                <w:sz w:val="24"/>
                <w:lang w:eastAsia="zh-CN"/>
              </w:rPr>
              <w:t>、沥青烟</w:t>
            </w:r>
            <w:r>
              <w:rPr>
                <w:rFonts w:hint="eastAsia" w:ascii="Times New Roman" w:hAnsi="Times New Roman" w:eastAsia="宋体"/>
                <w:color w:val="auto"/>
                <w:sz w:val="24"/>
              </w:rPr>
              <w:t>的环境空气质量标准。且目前项目所在省市暂无地方环境空气质量标准。因此，本项目特征污染物不属于“国家、地方环境空气质量标准中有标准限值要求的特征污染物”，无需开展现状监测。</w:t>
            </w:r>
          </w:p>
          <w:p>
            <w:pPr>
              <w:snapToGrid w:val="0"/>
              <w:spacing w:line="360" w:lineRule="auto"/>
              <w:ind w:firstLine="480" w:firstLineChars="200"/>
              <w:rPr>
                <w:rFonts w:hint="default" w:ascii="Times New Roman" w:hAnsi="Times New Roman" w:cs="Times New Roman"/>
                <w:color w:val="auto"/>
                <w:sz w:val="24"/>
                <w:szCs w:val="24"/>
                <w:lang w:eastAsia="zh-CN"/>
              </w:rPr>
            </w:pPr>
            <w:r>
              <w:rPr>
                <w:rFonts w:hint="eastAsia" w:ascii="Times New Roman" w:hAnsi="Times New Roman" w:eastAsia="宋体"/>
                <w:color w:val="auto"/>
                <w:sz w:val="24"/>
              </w:rPr>
              <w:t>（3）</w:t>
            </w:r>
            <w:r>
              <w:rPr>
                <w:rFonts w:hint="default" w:ascii="Times New Roman" w:hAnsi="Times New Roman" w:cs="Times New Roman"/>
                <w:color w:val="auto"/>
                <w:sz w:val="24"/>
                <w:szCs w:val="24"/>
                <w:lang w:eastAsia="zh-CN"/>
              </w:rPr>
              <w:t>区域环境空气质量提升措施</w:t>
            </w:r>
          </w:p>
          <w:p>
            <w:pPr>
              <w:pStyle w:val="78"/>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eastAsia" w:ascii="Times New Roman" w:hAnsi="Times New Roman" w:eastAsia="宋体" w:cs="宋体"/>
                <w:color w:val="auto"/>
                <w:sz w:val="24"/>
              </w:rPr>
            </w:pPr>
            <w:r>
              <w:rPr>
                <w:rFonts w:hint="eastAsia" w:ascii="Times New Roman" w:hAnsi="Times New Roman" w:eastAsia="宋体" w:cs="宋体"/>
                <w:color w:val="auto"/>
                <w:sz w:val="24"/>
                <w:lang w:val="en-US" w:eastAsia="zh-CN"/>
              </w:rPr>
              <w:t>为了不断改善区域环境质量，淄博市采取了一系列大气污染治理措施。淄博市生态环境委员会办公室下发了《关于印发</w:t>
            </w:r>
            <w:r>
              <w:rPr>
                <w:rFonts w:hint="default" w:ascii="Times New Roman" w:hAnsi="Times New Roman" w:eastAsia="宋体" w:cs="宋体"/>
                <w:color w:val="auto"/>
                <w:sz w:val="24"/>
                <w:lang w:val="en-US" w:eastAsia="zh-CN"/>
              </w:rPr>
              <w:t>2021</w:t>
            </w:r>
            <w:r>
              <w:rPr>
                <w:rFonts w:hint="eastAsia" w:ascii="Times New Roman" w:hAnsi="Times New Roman" w:eastAsia="宋体" w:cs="宋体"/>
                <w:color w:val="auto"/>
                <w:sz w:val="24"/>
                <w:lang w:val="en-US" w:eastAsia="zh-CN"/>
              </w:rPr>
              <w:t>年全市生态环境保护综合治理工程任务清单的通知》（淄环委办</w:t>
            </w:r>
            <w:r>
              <w:rPr>
                <w:rFonts w:hint="default" w:ascii="Times New Roman" w:hAnsi="Times New Roman" w:eastAsia="宋体" w:cs="宋体"/>
                <w:color w:val="auto"/>
                <w:sz w:val="24"/>
                <w:lang w:val="en-US" w:eastAsia="zh-CN"/>
              </w:rPr>
              <w:t>[2021]2</w:t>
            </w:r>
            <w:r>
              <w:rPr>
                <w:rFonts w:hint="eastAsia" w:ascii="Times New Roman" w:hAnsi="Times New Roman" w:eastAsia="宋体" w:cs="宋体"/>
                <w:color w:val="auto"/>
                <w:sz w:val="24"/>
                <w:lang w:val="en-US" w:eastAsia="zh-CN"/>
              </w:rPr>
              <w:t>号），不断加强环境空气污染治理和环境空气质量考核，连续几年均能够完成年度空气质量改善目标，区域环境空气质量将持续改善。</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2、声</w:t>
            </w:r>
            <w:r>
              <w:rPr>
                <w:rFonts w:hint="default" w:ascii="黑体" w:hAnsi="黑体" w:eastAsia="黑体" w:cs="黑体"/>
                <w:color w:val="auto"/>
                <w:sz w:val="24"/>
                <w:szCs w:val="24"/>
                <w:highlight w:val="none"/>
                <w:lang w:val="en-US" w:eastAsia="zh-CN"/>
              </w:rPr>
              <w:t>环境</w:t>
            </w:r>
            <w:r>
              <w:rPr>
                <w:rFonts w:hint="default" w:ascii="Times New Roman" w:hAnsi="Times New Roman" w:eastAsia="黑体" w:cs="Times New Roman"/>
                <w:color w:val="auto"/>
                <w:sz w:val="24"/>
                <w:szCs w:val="24"/>
                <w:highlight w:val="none"/>
              </w:rPr>
              <w:t>质量</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本项目所在区域执行《声环境质量标准》（GB3096-2008）</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类标准，项目厂界周边50m范围内</w:t>
            </w:r>
            <w:r>
              <w:rPr>
                <w:rFonts w:hint="eastAsia" w:ascii="Times New Roman" w:hAnsi="Times New Roman" w:cs="Times New Roman"/>
                <w:color w:val="auto"/>
                <w:sz w:val="24"/>
                <w:szCs w:val="24"/>
                <w:highlight w:val="none"/>
                <w:lang w:eastAsia="zh-CN"/>
              </w:rPr>
              <w:t>不存在</w:t>
            </w:r>
            <w:r>
              <w:rPr>
                <w:rFonts w:hint="default" w:ascii="Times New Roman" w:hAnsi="Times New Roman" w:cs="Times New Roman"/>
                <w:color w:val="auto"/>
                <w:sz w:val="24"/>
                <w:szCs w:val="24"/>
                <w:highlight w:val="none"/>
              </w:rPr>
              <w:t>声环境保护目标</w:t>
            </w:r>
            <w:r>
              <w:rPr>
                <w:rFonts w:hint="eastAsia" w:ascii="Times New Roman" w:hAnsi="Times New Roman" w:cs="Times New Roman"/>
                <w:color w:val="auto"/>
                <w:sz w:val="24"/>
                <w:szCs w:val="24"/>
                <w:highlight w:val="none"/>
                <w:lang w:eastAsia="zh-CN"/>
              </w:rPr>
              <w:t>，不进行声环境现状调查</w:t>
            </w:r>
            <w:r>
              <w:rPr>
                <w:rFonts w:hint="default" w:ascii="Times New Roman" w:hAnsi="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3、地表水环境质量</w:t>
            </w:r>
          </w:p>
          <w:p>
            <w:pPr>
              <w:pStyle w:val="78"/>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宋体"/>
                <w:color w:val="auto"/>
                <w:sz w:val="24"/>
                <w:lang w:val="en-US" w:eastAsia="zh-CN"/>
              </w:rPr>
              <w:t>本项目距离最近地表水体为</w:t>
            </w:r>
            <w:r>
              <w:rPr>
                <w:rFonts w:hint="eastAsia" w:ascii="Times New Roman" w:hAnsi="Times New Roman" w:eastAsia="宋体" w:cs="宋体"/>
                <w:color w:val="auto"/>
                <w:sz w:val="24"/>
                <w:lang w:val="en-US" w:eastAsia="zh-CN"/>
              </w:rPr>
              <w:t>淄河，</w:t>
            </w:r>
            <w:r>
              <w:rPr>
                <w:rFonts w:hint="default" w:ascii="Times New Roman" w:hAnsi="Times New Roman" w:eastAsia="宋体" w:cs="宋体"/>
                <w:color w:val="auto"/>
                <w:sz w:val="24"/>
                <w:lang w:val="en-US" w:eastAsia="zh-CN"/>
              </w:rPr>
              <w:t>根据淄博市生态环境局</w:t>
            </w:r>
            <w:r>
              <w:rPr>
                <w:rFonts w:hint="eastAsia" w:ascii="Times New Roman" w:hAnsi="Times New Roman" w:eastAsia="宋体" w:cs="宋体"/>
                <w:color w:val="auto"/>
                <w:sz w:val="24"/>
                <w:lang w:val="en-US" w:eastAsia="zh-CN"/>
              </w:rPr>
              <w:t>“2022年1-11月全市地表水环境质量状况”</w:t>
            </w:r>
            <w:r>
              <w:rPr>
                <w:rFonts w:hint="default" w:ascii="Times New Roman" w:hAnsi="Times New Roman" w:eastAsia="宋体" w:cs="宋体"/>
                <w:color w:val="auto"/>
                <w:sz w:val="24"/>
                <w:lang w:val="en-US" w:eastAsia="zh-CN"/>
              </w:rPr>
              <w:t>，1-11月，全市15个省控以上河流断面优良水体比例为80%，达标率93.3%。其中，7个国控断面优良水体比例为85.7%，达标率85.7%，水环境质量指数为4.5577，位居全省第2位，同比改善率为8.14%，位居全省第4，其中高青县支脉河道旭渡断面水质类别为Ⅳ类（年度考核目标为Ⅲ类）。8个省控断面优良水体比例为75%，达标率100%。1-11月份，水环境污染负荷较重的河流是支脉河</w:t>
            </w:r>
            <w:r>
              <w:rPr>
                <w:rFonts w:hint="eastAsia" w:ascii="Times New Roman" w:hAnsi="Times New Roman" w:eastAsia="宋体" w:cs="宋体"/>
                <w:color w:val="auto"/>
                <w:sz w:val="24"/>
                <w:lang w:val="en-US" w:eastAsia="zh-CN"/>
              </w:rPr>
              <w:t>。</w:t>
            </w:r>
            <w:r>
              <w:rPr>
                <w:rFonts w:hint="default" w:ascii="Times New Roman" w:hAnsi="Times New Roman" w:eastAsia="宋体" w:cs="宋体"/>
                <w:color w:val="auto"/>
                <w:sz w:val="24"/>
                <w:lang w:val="en-US" w:eastAsia="zh-CN"/>
              </w:rPr>
              <w:t>本项目距离最近地表水体为</w:t>
            </w:r>
            <w:r>
              <w:rPr>
                <w:rFonts w:hint="eastAsia" w:ascii="Times New Roman" w:hAnsi="Times New Roman" w:eastAsia="宋体" w:cs="宋体"/>
                <w:color w:val="auto"/>
                <w:sz w:val="24"/>
                <w:lang w:val="en-US" w:eastAsia="zh-CN"/>
              </w:rPr>
              <w:t>淄河，</w:t>
            </w:r>
            <w:r>
              <w:rPr>
                <w:rFonts w:hint="default" w:ascii="Times New Roman" w:hAnsi="Times New Roman" w:eastAsia="宋体" w:cs="Times New Roman"/>
                <w:color w:val="auto"/>
                <w:sz w:val="24"/>
                <w:szCs w:val="24"/>
                <w:highlight w:val="none"/>
                <w:lang w:val="en-US" w:eastAsia="zh-CN"/>
              </w:rPr>
              <w:t>水质满足《地表水环境质量标准</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（GB3838-2002）</w:t>
            </w: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 3 \* ROMAN \* MERGEFORMAT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eastAsia="宋体" w:cs="Times New Roman"/>
                <w:color w:val="auto"/>
                <w:sz w:val="24"/>
                <w:szCs w:val="24"/>
                <w:highlight w:val="none"/>
                <w:lang w:val="en-US" w:eastAsia="zh-CN"/>
              </w:rPr>
              <w:t>III</w:t>
            </w:r>
            <w:r>
              <w:rPr>
                <w:rFonts w:hint="default" w:ascii="Times New Roman" w:hAnsi="Times New Roman" w:eastAsia="宋体" w:cs="Times New Roman"/>
                <w:color w:val="auto"/>
                <w:sz w:val="24"/>
                <w:szCs w:val="24"/>
                <w:highlight w:val="none"/>
                <w:lang w:val="en-US" w:eastAsia="zh-CN"/>
              </w:rPr>
              <w:fldChar w:fldCharType="end"/>
            </w:r>
            <w:r>
              <w:rPr>
                <w:rFonts w:hint="default" w:ascii="Times New Roman" w:hAnsi="Times New Roman" w:eastAsia="宋体" w:cs="Times New Roman"/>
                <w:color w:val="auto"/>
                <w:sz w:val="24"/>
                <w:szCs w:val="24"/>
                <w:highlight w:val="none"/>
                <w:lang w:val="en-US" w:eastAsia="zh-CN"/>
              </w:rPr>
              <w:t>类标准要求。</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4、生态环境</w:t>
            </w:r>
          </w:p>
          <w:p>
            <w:pPr>
              <w:pStyle w:val="8"/>
              <w:keepNext w:val="0"/>
              <w:keepLines w:val="0"/>
              <w:pageBreakBefore w:val="0"/>
              <w:kinsoku/>
              <w:wordWrap/>
              <w:overflowPunct/>
              <w:topLinePunct w:val="0"/>
              <w:autoSpaceDE/>
              <w:autoSpaceDN/>
              <w:bidi w:val="0"/>
              <w:adjustRightInd/>
              <w:snapToGrid/>
              <w:spacing w:before="0" w:after="0" w:line="360" w:lineRule="auto"/>
              <w:ind w:right="0" w:firstLine="480" w:firstLineChars="200"/>
              <w:jc w:val="both"/>
              <w:textAlignment w:val="auto"/>
              <w:rPr>
                <w:rFonts w:hint="default" w:ascii="Times New Roman" w:hAnsi="Times New Roman" w:eastAsia="宋体" w:cs="Times New Roman"/>
                <w:b w:val="0"/>
                <w:bCs/>
                <w:color w:val="auto"/>
                <w:spacing w:val="0"/>
                <w:sz w:val="24"/>
                <w:szCs w:val="24"/>
              </w:rPr>
            </w:pPr>
            <w:r>
              <w:rPr>
                <w:rFonts w:hint="eastAsia" w:cs="Times New Roman"/>
                <w:color w:val="auto"/>
                <w:sz w:val="24"/>
                <w:szCs w:val="24"/>
                <w:lang w:eastAsia="zh-CN"/>
              </w:rPr>
              <w:t>本项目位于</w:t>
            </w:r>
            <w:r>
              <w:rPr>
                <w:rFonts w:hint="eastAsia" w:cs="Times New Roman"/>
                <w:color w:val="auto"/>
                <w:sz w:val="24"/>
                <w:szCs w:val="24"/>
                <w:lang w:val="en-US" w:eastAsia="zh-CN"/>
              </w:rPr>
              <w:t>原淄博正晋特钢有限公司厂区内</w:t>
            </w:r>
            <w:r>
              <w:rPr>
                <w:rFonts w:hint="eastAsia" w:ascii="Times New Roman" w:hAnsi="Times New Roman" w:cs="Times New Roman"/>
                <w:color w:val="auto"/>
                <w:sz w:val="24"/>
                <w:szCs w:val="24"/>
                <w:lang w:eastAsia="zh-CN"/>
              </w:rPr>
              <w:t>，不新增占地</w:t>
            </w:r>
            <w:r>
              <w:rPr>
                <w:rFonts w:hint="default" w:ascii="Times New Roman" w:hAnsi="Times New Roman" w:eastAsia="宋体" w:cs="Times New Roman"/>
                <w:b w:val="0"/>
                <w:bCs/>
                <w:color w:val="auto"/>
                <w:spacing w:val="0"/>
                <w:sz w:val="24"/>
                <w:szCs w:val="24"/>
              </w:rPr>
              <w:t>，本项目不需要对区域生态环境质量进行评价。</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5、电磁辐射</w:t>
            </w:r>
          </w:p>
          <w:p>
            <w:pPr>
              <w:adjustRightInd w:val="0"/>
              <w:snapToGrid w:val="0"/>
              <w:spacing w:line="360" w:lineRule="auto"/>
              <w:ind w:firstLine="480" w:firstLineChars="200"/>
              <w:jc w:val="left"/>
              <w:rPr>
                <w:rFonts w:hint="eastAsia" w:ascii="Times New Roman" w:hAnsi="Times New Roman" w:eastAsia="宋体" w:cs="Times New Roman"/>
                <w:b w:val="0"/>
                <w:bCs/>
                <w:color w:val="auto"/>
                <w:kern w:val="0"/>
                <w:sz w:val="24"/>
                <w:szCs w:val="24"/>
                <w:lang w:val="en-US" w:eastAsia="zh-CN" w:bidi="ar-SA"/>
              </w:rPr>
            </w:pPr>
            <w:r>
              <w:rPr>
                <w:rFonts w:hint="eastAsia" w:ascii="Times New Roman" w:hAnsi="Times New Roman" w:eastAsia="宋体" w:cs="Times New Roman"/>
                <w:b w:val="0"/>
                <w:bCs/>
                <w:color w:val="auto"/>
                <w:kern w:val="0"/>
                <w:sz w:val="24"/>
                <w:szCs w:val="24"/>
                <w:lang w:val="en-US" w:eastAsia="zh-CN" w:bidi="ar-SA"/>
              </w:rPr>
              <w:t>本项目不属于广播电台、差转台、电视塔台、卫星地球上行站、雷达等</w:t>
            </w:r>
          </w:p>
          <w:p>
            <w:pPr>
              <w:adjustRightInd w:val="0"/>
              <w:snapToGrid w:val="0"/>
              <w:spacing w:line="360" w:lineRule="auto"/>
              <w:jc w:val="left"/>
              <w:rPr>
                <w:rFonts w:hint="eastAsia" w:ascii="Times New Roman" w:hAnsi="Times New Roman" w:eastAsia="宋体" w:cs="Times New Roman"/>
                <w:b w:val="0"/>
                <w:bCs/>
                <w:color w:val="auto"/>
                <w:kern w:val="0"/>
                <w:sz w:val="24"/>
                <w:szCs w:val="24"/>
                <w:lang w:val="en-US" w:eastAsia="zh-CN" w:bidi="ar-SA"/>
              </w:rPr>
            </w:pPr>
            <w:r>
              <w:rPr>
                <w:rFonts w:hint="eastAsia" w:ascii="Times New Roman" w:hAnsi="Times New Roman" w:eastAsia="宋体" w:cs="Times New Roman"/>
                <w:b w:val="0"/>
                <w:bCs/>
                <w:color w:val="auto"/>
                <w:kern w:val="0"/>
                <w:sz w:val="24"/>
                <w:szCs w:val="24"/>
                <w:lang w:val="en-US" w:eastAsia="zh-CN" w:bidi="ar-SA"/>
              </w:rPr>
              <w:t>电磁辐射类项目，本评价不再开展电磁环境影响分析。</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val="0"/>
                <w:bCs/>
                <w:color w:val="auto"/>
                <w:kern w:val="0"/>
                <w:sz w:val="24"/>
                <w:szCs w:val="24"/>
                <w:lang w:val="en-US" w:eastAsia="zh-CN" w:bidi="ar-SA"/>
              </w:rPr>
            </w:pPr>
            <w:r>
              <w:rPr>
                <w:rFonts w:hint="eastAsia" w:ascii="Times New Roman" w:hAnsi="Times New Roman" w:eastAsia="黑体" w:cs="Times New Roman"/>
                <w:color w:val="auto"/>
                <w:sz w:val="24"/>
                <w:szCs w:val="24"/>
                <w:highlight w:val="none"/>
                <w:lang w:val="en-US" w:eastAsia="zh-CN"/>
              </w:rPr>
              <w:t>6、地下水</w:t>
            </w:r>
          </w:p>
          <w:p>
            <w:pPr>
              <w:adjustRightInd w:val="0"/>
              <w:snapToGrid w:val="0"/>
              <w:spacing w:line="360" w:lineRule="auto"/>
              <w:ind w:firstLine="480" w:firstLineChars="200"/>
              <w:jc w:val="left"/>
              <w:rPr>
                <w:rFonts w:hint="eastAsia" w:ascii="Times New Roman" w:hAnsi="Times New Roman" w:eastAsia="宋体"/>
                <w:color w:val="auto"/>
                <w:sz w:val="24"/>
              </w:rPr>
            </w:pPr>
            <w:r>
              <w:rPr>
                <w:rFonts w:hint="eastAsia" w:ascii="Times New Roman" w:hAnsi="Times New Roman" w:eastAsia="宋体" w:cs="Times New Roman"/>
                <w:b w:val="0"/>
                <w:bCs/>
                <w:color w:val="auto"/>
                <w:kern w:val="0"/>
                <w:sz w:val="24"/>
                <w:szCs w:val="24"/>
                <w:lang w:val="en-US" w:eastAsia="zh-CN" w:bidi="ar-SA"/>
              </w:rPr>
              <w:t>根据淄博市生态环境局发布的《淄博市2022年8月集中式生活饮用水水源水质状况报告》，6-7月份监测的2个</w:t>
            </w:r>
            <w:r>
              <w:rPr>
                <w:rFonts w:hint="default" w:ascii="Times New Roman" w:hAnsi="Times New Roman" w:eastAsia="宋体" w:cs="Times New Roman"/>
                <w:b w:val="0"/>
                <w:bCs/>
                <w:color w:val="auto"/>
                <w:kern w:val="0"/>
                <w:sz w:val="24"/>
                <w:szCs w:val="24"/>
                <w:lang w:val="en-US" w:eastAsia="zh-CN" w:bidi="ar-SA"/>
              </w:rPr>
              <w:t>地级及以上城市湖库型地表水水源，17个（1个地表水水源地、16个地下水水源地）县级行政单位所在城镇水源全分析监测项目全部达标，达标率为100%。</w:t>
            </w:r>
            <w:r>
              <w:rPr>
                <w:rFonts w:hint="eastAsia" w:ascii="Times New Roman" w:hAnsi="Times New Roman" w:eastAsia="宋体" w:cs="Times New Roman"/>
                <w:b w:val="0"/>
                <w:bCs/>
                <w:color w:val="auto"/>
                <w:kern w:val="0"/>
                <w:sz w:val="24"/>
                <w:szCs w:val="24"/>
                <w:lang w:val="en-US" w:eastAsia="zh-CN" w:bidi="ar-SA"/>
              </w:rPr>
              <w:t>区域地下水满足《地下水质量标准》</w:t>
            </w:r>
            <w:r>
              <w:rPr>
                <w:rFonts w:hint="default" w:ascii="Times New Roman" w:hAnsi="Times New Roman" w:eastAsia="宋体" w:cs="Times New Roman"/>
                <w:b w:val="0"/>
                <w:bCs/>
                <w:color w:val="auto"/>
                <w:kern w:val="0"/>
                <w:sz w:val="24"/>
                <w:szCs w:val="24"/>
                <w:lang w:val="en-US" w:eastAsia="zh-CN" w:bidi="ar-SA"/>
              </w:rPr>
              <w:t>（GB/T14848-</w:t>
            </w:r>
            <w:r>
              <w:rPr>
                <w:rFonts w:hint="eastAsia" w:ascii="Times New Roman" w:hAnsi="Times New Roman" w:eastAsia="宋体" w:cs="Times New Roman"/>
                <w:b w:val="0"/>
                <w:bCs/>
                <w:color w:val="auto"/>
                <w:kern w:val="0"/>
                <w:sz w:val="24"/>
                <w:szCs w:val="24"/>
                <w:lang w:val="en-US" w:eastAsia="zh-CN" w:bidi="ar-SA"/>
              </w:rPr>
              <w:t>2017</w:t>
            </w:r>
            <w:r>
              <w:rPr>
                <w:rFonts w:hint="default" w:ascii="Times New Roman" w:hAnsi="Times New Roman" w:eastAsia="宋体" w:cs="Times New Roman"/>
                <w:b w:val="0"/>
                <w:bCs/>
                <w:color w:val="auto"/>
                <w:kern w:val="0"/>
                <w:sz w:val="24"/>
                <w:szCs w:val="24"/>
                <w:lang w:val="en-US" w:eastAsia="zh-CN" w:bidi="ar-SA"/>
              </w:rPr>
              <w:t>）中的Ⅲ类标准</w:t>
            </w:r>
            <w:r>
              <w:rPr>
                <w:rFonts w:hint="eastAsia" w:ascii="Times New Roman" w:hAnsi="Times New Roman" w:eastAsia="宋体" w:cs="Times New Roman"/>
                <w:b w:val="0"/>
                <w:bCs/>
                <w:color w:val="auto"/>
                <w:kern w:val="0"/>
                <w:sz w:val="24"/>
                <w:szCs w:val="24"/>
                <w:lang w:val="en-US" w:eastAsia="zh-CN" w:bidi="ar-SA"/>
              </w:rPr>
              <w:t>要求</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7、土壤</w:t>
            </w:r>
          </w:p>
          <w:p>
            <w:pPr>
              <w:spacing w:line="360" w:lineRule="auto"/>
              <w:ind w:firstLine="480" w:firstLineChars="200"/>
              <w:rPr>
                <w:rFonts w:ascii="宋体" w:hAnsi="宋体"/>
                <w:color w:val="auto"/>
              </w:rPr>
            </w:pPr>
            <w:r>
              <w:rPr>
                <w:rFonts w:hint="eastAsia" w:ascii="Times New Roman" w:hAnsi="Times New Roman" w:eastAsia="宋体" w:cs="Times New Roman"/>
                <w:b w:val="0"/>
                <w:bCs/>
                <w:color w:val="auto"/>
                <w:kern w:val="0"/>
                <w:sz w:val="24"/>
                <w:szCs w:val="24"/>
                <w:lang w:val="en-US" w:eastAsia="zh-CN" w:bidi="ar-SA"/>
              </w:rPr>
              <w:t>项目于</w:t>
            </w:r>
            <w:r>
              <w:rPr>
                <w:rFonts w:hint="default" w:ascii="Times New Roman" w:hAnsi="Times New Roman" w:eastAsia="宋体" w:cs="Times New Roman"/>
                <w:b w:val="0"/>
                <w:bCs/>
                <w:color w:val="auto"/>
                <w:kern w:val="0"/>
                <w:sz w:val="24"/>
                <w:szCs w:val="24"/>
                <w:lang w:val="en-US" w:eastAsia="zh-CN" w:bidi="ar-SA"/>
              </w:rPr>
              <w:t>202</w:t>
            </w:r>
            <w:r>
              <w:rPr>
                <w:rFonts w:hint="eastAsia" w:ascii="Times New Roman" w:hAnsi="Times New Roman" w:eastAsia="宋体" w:cs="Times New Roman"/>
                <w:b w:val="0"/>
                <w:bCs/>
                <w:color w:val="auto"/>
                <w:kern w:val="0"/>
                <w:sz w:val="24"/>
                <w:szCs w:val="24"/>
                <w:lang w:val="en-US" w:eastAsia="zh-CN" w:bidi="ar-SA"/>
              </w:rPr>
              <w:t>3</w:t>
            </w:r>
            <w:r>
              <w:rPr>
                <w:rFonts w:hint="default" w:ascii="Times New Roman" w:hAnsi="Times New Roman" w:eastAsia="宋体" w:cs="Times New Roman"/>
                <w:b w:val="0"/>
                <w:bCs/>
                <w:color w:val="auto"/>
                <w:kern w:val="0"/>
                <w:sz w:val="24"/>
                <w:szCs w:val="24"/>
                <w:lang w:val="en-US" w:eastAsia="zh-CN" w:bidi="ar-SA"/>
              </w:rPr>
              <w:t>年</w:t>
            </w:r>
            <w:r>
              <w:rPr>
                <w:rFonts w:hint="eastAsia" w:ascii="Times New Roman" w:hAnsi="Times New Roman" w:eastAsia="宋体" w:cs="Times New Roman"/>
                <w:b w:val="0"/>
                <w:bCs/>
                <w:color w:val="auto"/>
                <w:kern w:val="0"/>
                <w:sz w:val="24"/>
                <w:szCs w:val="24"/>
                <w:lang w:val="en-US" w:eastAsia="zh-CN" w:bidi="ar-SA"/>
              </w:rPr>
              <w:t>01月18</w:t>
            </w:r>
            <w:r>
              <w:rPr>
                <w:rFonts w:hint="default" w:ascii="Times New Roman" w:hAnsi="Times New Roman" w:eastAsia="宋体" w:cs="Times New Roman"/>
                <w:b w:val="0"/>
                <w:bCs/>
                <w:color w:val="auto"/>
                <w:kern w:val="0"/>
                <w:sz w:val="24"/>
                <w:szCs w:val="24"/>
                <w:lang w:val="en-US" w:eastAsia="zh-CN" w:bidi="ar-SA"/>
              </w:rPr>
              <w:t>日</w:t>
            </w:r>
            <w:r>
              <w:rPr>
                <w:rFonts w:hint="eastAsia" w:ascii="Times New Roman" w:hAnsi="Times New Roman" w:eastAsia="宋体" w:cs="Times New Roman"/>
                <w:b w:val="0"/>
                <w:bCs/>
                <w:color w:val="auto"/>
                <w:kern w:val="0"/>
                <w:sz w:val="24"/>
                <w:szCs w:val="24"/>
                <w:lang w:val="en-US" w:eastAsia="zh-CN" w:bidi="ar-SA"/>
              </w:rPr>
              <w:t>对厂区进行了采样检测，在罐区设置三个监测点，位于厂区北部、南部及西南部，监测结果具体见下表。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color w:val="auto"/>
              </w:rPr>
            </w:pPr>
            <w:r>
              <w:rPr>
                <w:rFonts w:hint="eastAsia" w:ascii="Times New Roman" w:hAnsi="Times New Roman" w:eastAsia="黑体" w:cs="Times New Roman"/>
                <w:b w:val="0"/>
                <w:bCs w:val="0"/>
                <w:color w:val="auto"/>
                <w:kern w:val="0"/>
                <w:sz w:val="24"/>
                <w:szCs w:val="24"/>
                <w:lang w:val="en-US" w:eastAsia="zh-CN" w:bidi="ar-SA"/>
              </w:rPr>
              <w:t>表</w:t>
            </w:r>
            <w:r>
              <w:rPr>
                <w:rFonts w:hint="eastAsia" w:ascii="Times New Roman" w:hAnsi="Times New Roman" w:cs="Times New Roman"/>
                <w:b w:val="0"/>
                <w:bCs w:val="0"/>
                <w:color w:val="auto"/>
                <w:kern w:val="0"/>
                <w:sz w:val="24"/>
                <w:szCs w:val="24"/>
                <w:lang w:val="en-US" w:eastAsia="zh-CN" w:bidi="ar-SA"/>
              </w:rPr>
              <w:t xml:space="preserve">3-2 </w:t>
            </w:r>
            <w:r>
              <w:rPr>
                <w:rFonts w:hint="eastAsia" w:ascii="Times New Roman" w:hAnsi="Times New Roman" w:eastAsia="黑体" w:cs="Times New Roman"/>
                <w:b w:val="0"/>
                <w:bCs w:val="0"/>
                <w:color w:val="auto"/>
                <w:kern w:val="0"/>
                <w:sz w:val="24"/>
                <w:szCs w:val="24"/>
                <w:lang w:val="en-US" w:eastAsia="zh-CN" w:bidi="ar-SA"/>
              </w:rPr>
              <w:t>土壤环境质量现状监测结果</w:t>
            </w:r>
          </w:p>
          <w:tbl>
            <w:tblPr>
              <w:tblStyle w:val="26"/>
              <w:tblW w:w="498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578"/>
              <w:gridCol w:w="1930"/>
              <w:gridCol w:w="1468"/>
              <w:gridCol w:w="1481"/>
              <w:gridCol w:w="1258"/>
              <w:gridCol w:w="657"/>
              <w:gridCol w:w="83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2" w:type="pct"/>
                  <w:vMerge w:val="restar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序号</w:t>
                  </w:r>
                </w:p>
              </w:tc>
              <w:tc>
                <w:tcPr>
                  <w:tcW w:w="1175" w:type="pct"/>
                  <w:vMerge w:val="restar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检测项目</w:t>
                  </w:r>
                </w:p>
              </w:tc>
              <w:tc>
                <w:tcPr>
                  <w:tcW w:w="2562" w:type="pct"/>
                  <w:gridSpan w:val="3"/>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w:t>
                  </w:r>
                  <w:r>
                    <w:rPr>
                      <w:rFonts w:hint="default" w:ascii="Times New Roman" w:hAnsi="Times New Roman" w:cs="Times New Roman"/>
                      <w:color w:val="auto"/>
                      <w:sz w:val="21"/>
                      <w:szCs w:val="21"/>
                      <w:highlight w:val="none"/>
                      <w:lang w:eastAsia="zh-CN"/>
                    </w:rPr>
                    <w:t>点位</w:t>
                  </w:r>
                  <w:r>
                    <w:rPr>
                      <w:rFonts w:hint="eastAsia" w:ascii="Times New Roman" w:hAnsi="Times New Roman" w:cs="Times New Roman"/>
                      <w:color w:val="auto"/>
                      <w:sz w:val="21"/>
                      <w:szCs w:val="21"/>
                      <w:highlight w:val="none"/>
                      <w:lang w:val="en-US" w:eastAsia="zh-CN"/>
                    </w:rPr>
                    <w:t>/采样深度/</w:t>
                  </w:r>
                  <w:r>
                    <w:rPr>
                      <w:rFonts w:hint="eastAsia" w:ascii="Times New Roman" w:hAnsi="Times New Roman" w:cs="Times New Roman"/>
                      <w:color w:val="auto"/>
                      <w:sz w:val="21"/>
                      <w:szCs w:val="21"/>
                      <w:highlight w:val="none"/>
                      <w:lang w:eastAsia="zh-CN"/>
                    </w:rPr>
                    <w:t>样品编号</w:t>
                  </w:r>
                </w:p>
              </w:tc>
              <w:tc>
                <w:tcPr>
                  <w:tcW w:w="400" w:type="pct"/>
                  <w:vMerge w:val="restar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限值</w:t>
                  </w:r>
                </w:p>
              </w:tc>
              <w:tc>
                <w:tcPr>
                  <w:tcW w:w="509" w:type="pct"/>
                  <w:vMerge w:val="restar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单位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2" w:type="pct"/>
                  <w:vMerge w:val="continue"/>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color w:val="auto"/>
                      <w:sz w:val="21"/>
                      <w:szCs w:val="21"/>
                      <w:highlight w:val="none"/>
                    </w:rPr>
                  </w:pPr>
                </w:p>
              </w:tc>
              <w:tc>
                <w:tcPr>
                  <w:tcW w:w="1175" w:type="pct"/>
                  <w:vMerge w:val="continue"/>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color w:val="auto"/>
                      <w:sz w:val="21"/>
                      <w:szCs w:val="21"/>
                      <w:highlight w:val="none"/>
                    </w:rPr>
                  </w:pP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1#厂区北部</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2#厂区西南部</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eastAsia"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3#厂区南部</w:t>
                  </w:r>
                </w:p>
              </w:tc>
              <w:tc>
                <w:tcPr>
                  <w:tcW w:w="400" w:type="pct"/>
                  <w:vMerge w:val="continue"/>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color w:val="auto"/>
                      <w:kern w:val="2"/>
                      <w:sz w:val="21"/>
                      <w:szCs w:val="21"/>
                      <w:highlight w:val="none"/>
                      <w:vertAlign w:val="baseline"/>
                      <w:lang w:val="en-US" w:eastAsia="zh-CN" w:bidi="ar-SA"/>
                    </w:rPr>
                  </w:pPr>
                </w:p>
              </w:tc>
              <w:tc>
                <w:tcPr>
                  <w:tcW w:w="509" w:type="pct"/>
                  <w:vMerge w:val="continue"/>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color w:val="auto"/>
                      <w:sz w:val="21"/>
                      <w:szCs w:val="21"/>
                      <w:highlight w:val="none"/>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52" w:type="pct"/>
                  <w:vMerge w:val="continue"/>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color w:val="auto"/>
                      <w:sz w:val="21"/>
                      <w:szCs w:val="21"/>
                      <w:highlight w:val="none"/>
                    </w:rPr>
                  </w:pPr>
                </w:p>
              </w:tc>
              <w:tc>
                <w:tcPr>
                  <w:tcW w:w="1175" w:type="pct"/>
                  <w:vMerge w:val="continue"/>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color w:val="auto"/>
                      <w:sz w:val="21"/>
                      <w:szCs w:val="21"/>
                      <w:highlight w:val="none"/>
                    </w:rPr>
                  </w:pP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0-0.5</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0-0.5</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0-0.5</w:t>
                  </w:r>
                </w:p>
              </w:tc>
              <w:tc>
                <w:tcPr>
                  <w:tcW w:w="400" w:type="pct"/>
                  <w:vMerge w:val="continue"/>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color w:val="auto"/>
                      <w:kern w:val="2"/>
                      <w:sz w:val="21"/>
                      <w:szCs w:val="21"/>
                      <w:highlight w:val="none"/>
                      <w:vertAlign w:val="baseline"/>
                      <w:lang w:val="en-US" w:eastAsia="zh-CN" w:bidi="ar-SA"/>
                    </w:rPr>
                  </w:pP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镉</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1.96</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0.31</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0.16</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65</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砷</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9.95</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6.66</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8.42</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铜</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85</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26</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41</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18000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铅</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276</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41</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30</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汞</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0.139</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0.090</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0.098</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38</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镍</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62</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29</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38</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900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铬（六价）</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5.7</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四氯化碳</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2.8</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氯仿</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0.9</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氯甲烷</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37</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11</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1,1-二氯乙烷</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9</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12</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1,2-二氯乙烷</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13</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1,1-二氯乙烯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66</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14</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顺1,2-二氯乙烯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596</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15</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反1,2-二氯乙烯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54</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16</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二氯甲烷</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616</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17</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1,2-二氯丙烷</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18</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1,1,1,2-四氯乙烷</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19</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1,1,2,2-四氯乙烷</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6.8</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四氯乙烯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53</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21</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1,1,1-三氯乙烷</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840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22</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1,1,2-三氯乙烷</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2.8</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23</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三氯乙烯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2.8</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24</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1,2,3-三氯丙烷</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0.5</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氯乙烯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0.43</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26</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27</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氯苯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270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28</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1,2-二氯苯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560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29</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1,4-二氯苯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30</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乙苯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28</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31</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苯乙烯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1290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32</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甲苯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1200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33</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间、</w:t>
                  </w:r>
                  <w:r>
                    <w:rPr>
                      <w:rFonts w:hint="default" w:ascii="Times New Roman" w:hAnsi="Times New Roman" w:eastAsia="宋体" w:cs="Times New Roman"/>
                      <w:color w:val="auto"/>
                      <w:sz w:val="21"/>
                      <w:szCs w:val="21"/>
                      <w:highlight w:val="none"/>
                      <w:lang w:val="en-US" w:eastAsia="zh-CN"/>
                    </w:rPr>
                    <w:t>对二甲苯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570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34</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bidi="ar"/>
                    </w:rPr>
                    <w:t>邻二甲苯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vertAlign w:val="superscript"/>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640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r>
                    <w:rPr>
                      <w:rFonts w:hint="default" w:ascii="Times New Roman" w:hAnsi="Times New Roman" w:cs="Times New Roman"/>
                      <w:color w:val="auto"/>
                      <w:kern w:val="2"/>
                      <w:sz w:val="21"/>
                      <w:szCs w:val="21"/>
                      <w:highlight w:val="none"/>
                      <w:lang w:val="en-US" w:eastAsia="zh-CN" w:bidi="ar-SA"/>
                    </w:rPr>
                    <w:t>5</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2-氯酚</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2256</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硝基苯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76</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lang w:val="en-US" w:eastAsia="zh-CN"/>
                    </w:rPr>
                    <w:t>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37</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苯并[a]蒽</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15</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38</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苯并[a]芘</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1.5</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39</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苯并[b]荧蒽</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15</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40</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rPr>
                    <w:t>苯并[k]荧蒽</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151</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41</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䓛</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0.2</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1293</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42</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二苯并[a，h]蒽</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1.5</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43</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茚并[1,2,3-cd]芘</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15</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44</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萘</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0.26</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70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苊烯</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46</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苊</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47</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芴</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48</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蒽</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49</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菲</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0.2</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0.4</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50</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荧蒽</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51</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芘</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0.3</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52</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苯并[ghi]苝</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53</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spacing w:val="-11"/>
                      <w:kern w:val="0"/>
                      <w:sz w:val="21"/>
                      <w:szCs w:val="21"/>
                      <w:u w:val="none"/>
                      <w:lang w:val="en-US" w:eastAsia="zh-CN" w:bidi="ar"/>
                    </w:rPr>
                    <w:t>石油烃（C</w:t>
                  </w:r>
                  <w:r>
                    <w:rPr>
                      <w:rFonts w:hint="eastAsia" w:ascii="Times New Roman" w:hAnsi="Times New Roman" w:eastAsia="宋体" w:cs="Times New Roman"/>
                      <w:i w:val="0"/>
                      <w:color w:val="auto"/>
                      <w:spacing w:val="-11"/>
                      <w:kern w:val="0"/>
                      <w:sz w:val="21"/>
                      <w:szCs w:val="21"/>
                      <w:u w:val="none"/>
                      <w:vertAlign w:val="subscript"/>
                      <w:lang w:val="en-US" w:eastAsia="zh-CN" w:bidi="ar"/>
                    </w:rPr>
                    <w:t>6</w:t>
                  </w:r>
                  <w:r>
                    <w:rPr>
                      <w:rFonts w:hint="default" w:ascii="Times New Roman" w:hAnsi="Times New Roman" w:eastAsia="宋体" w:cs="Times New Roman"/>
                      <w:i w:val="0"/>
                      <w:color w:val="auto"/>
                      <w:spacing w:val="-11"/>
                      <w:kern w:val="0"/>
                      <w:sz w:val="21"/>
                      <w:szCs w:val="21"/>
                      <w:u w:val="none"/>
                      <w:lang w:val="en-US" w:eastAsia="zh-CN" w:bidi="ar"/>
                    </w:rPr>
                    <w:t>-C</w:t>
                  </w:r>
                  <w:r>
                    <w:rPr>
                      <w:rFonts w:hint="eastAsia" w:ascii="Times New Roman" w:hAnsi="Times New Roman" w:eastAsia="宋体" w:cs="Times New Roman"/>
                      <w:i w:val="0"/>
                      <w:color w:val="auto"/>
                      <w:spacing w:val="-11"/>
                      <w:kern w:val="0"/>
                      <w:sz w:val="21"/>
                      <w:szCs w:val="21"/>
                      <w:u w:val="none"/>
                      <w:vertAlign w:val="subscript"/>
                      <w:lang w:val="en-US" w:eastAsia="zh-CN" w:bidi="ar"/>
                    </w:rPr>
                    <w:t>9</w:t>
                  </w:r>
                  <w:r>
                    <w:rPr>
                      <w:rFonts w:hint="default" w:ascii="Times New Roman" w:hAnsi="Times New Roman" w:eastAsia="宋体" w:cs="Times New Roman"/>
                      <w:i w:val="0"/>
                      <w:color w:val="auto"/>
                      <w:spacing w:val="-11"/>
                      <w:kern w:val="0"/>
                      <w:sz w:val="21"/>
                      <w:szCs w:val="21"/>
                      <w:u w:val="none"/>
                      <w:lang w:val="en-US" w:eastAsia="zh-CN" w:bidi="ar"/>
                    </w:rPr>
                    <w:t>）</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54</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spacing w:val="-11"/>
                      <w:kern w:val="0"/>
                      <w:sz w:val="21"/>
                      <w:szCs w:val="21"/>
                      <w:u w:val="none"/>
                      <w:lang w:val="en-US" w:eastAsia="zh-CN" w:bidi="ar"/>
                    </w:rPr>
                    <w:t>石油烃（C</w:t>
                  </w:r>
                  <w:r>
                    <w:rPr>
                      <w:rFonts w:hint="default" w:ascii="Times New Roman" w:hAnsi="Times New Roman" w:eastAsia="宋体" w:cs="Times New Roman"/>
                      <w:i w:val="0"/>
                      <w:color w:val="auto"/>
                      <w:spacing w:val="-11"/>
                      <w:kern w:val="0"/>
                      <w:sz w:val="21"/>
                      <w:szCs w:val="21"/>
                      <w:u w:val="none"/>
                      <w:vertAlign w:val="subscript"/>
                      <w:lang w:val="en-US" w:eastAsia="zh-CN" w:bidi="ar"/>
                    </w:rPr>
                    <w:t>10</w:t>
                  </w:r>
                  <w:r>
                    <w:rPr>
                      <w:rFonts w:hint="default" w:ascii="Times New Roman" w:hAnsi="Times New Roman" w:eastAsia="宋体" w:cs="Times New Roman"/>
                      <w:i w:val="0"/>
                      <w:color w:val="auto"/>
                      <w:spacing w:val="-11"/>
                      <w:kern w:val="0"/>
                      <w:sz w:val="21"/>
                      <w:szCs w:val="21"/>
                      <w:u w:val="none"/>
                      <w:lang w:val="en-US" w:eastAsia="zh-CN" w:bidi="ar"/>
                    </w:rPr>
                    <w:t>-C</w:t>
                  </w:r>
                  <w:r>
                    <w:rPr>
                      <w:rFonts w:hint="default" w:ascii="Times New Roman" w:hAnsi="Times New Roman" w:eastAsia="宋体" w:cs="Times New Roman"/>
                      <w:i w:val="0"/>
                      <w:color w:val="auto"/>
                      <w:spacing w:val="-11"/>
                      <w:kern w:val="0"/>
                      <w:sz w:val="21"/>
                      <w:szCs w:val="21"/>
                      <w:u w:val="none"/>
                      <w:vertAlign w:val="subscript"/>
                      <w:lang w:val="en-US" w:eastAsia="zh-CN" w:bidi="ar"/>
                    </w:rPr>
                    <w:t>40</w:t>
                  </w:r>
                  <w:r>
                    <w:rPr>
                      <w:rFonts w:hint="default" w:ascii="Times New Roman" w:hAnsi="Times New Roman" w:eastAsia="宋体" w:cs="Times New Roman"/>
                      <w:i w:val="0"/>
                      <w:color w:val="auto"/>
                      <w:spacing w:val="-11"/>
                      <w:kern w:val="0"/>
                      <w:sz w:val="21"/>
                      <w:szCs w:val="21"/>
                      <w:u w:val="none"/>
                      <w:lang w:val="en-US" w:eastAsia="zh-CN" w:bidi="ar"/>
                    </w:rPr>
                    <w:t>）</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53</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vertAlign w:val="superscript"/>
                      <w:lang w:val="en-US" w:eastAsia="zh-CN" w:bidi="ar-SA"/>
                    </w:rPr>
                  </w:pPr>
                  <w:r>
                    <w:rPr>
                      <w:rFonts w:hint="eastAsia" w:ascii="Times New Roman" w:hAnsi="Times New Roman" w:eastAsia="宋体" w:cs="Times New Roman"/>
                      <w:color w:val="auto"/>
                      <w:kern w:val="2"/>
                      <w:sz w:val="21"/>
                      <w:szCs w:val="21"/>
                      <w:highlight w:val="none"/>
                      <w:lang w:val="en-US" w:eastAsia="zh-CN" w:bidi="ar-SA"/>
                    </w:rPr>
                    <w:t>1.78</w:t>
                  </w:r>
                  <w:r>
                    <w:rPr>
                      <w:rFonts w:hint="default" w:ascii="Arial" w:hAnsi="Arial" w:eastAsia="宋体" w:cs="Arial"/>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10</w:t>
                  </w:r>
                  <w:r>
                    <w:rPr>
                      <w:rFonts w:hint="eastAsia" w:ascii="Times New Roman" w:hAnsi="Times New Roman" w:eastAsia="宋体" w:cs="Times New Roman"/>
                      <w:color w:val="auto"/>
                      <w:kern w:val="2"/>
                      <w:sz w:val="21"/>
                      <w:szCs w:val="21"/>
                      <w:highlight w:val="none"/>
                      <w:vertAlign w:val="superscript"/>
                      <w:lang w:val="en-US" w:eastAsia="zh-CN" w:bidi="ar-SA"/>
                    </w:rPr>
                    <w:t>3</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22</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4500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55</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bidi="ar"/>
                    </w:rPr>
                    <w:t>pH</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无量纲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52"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56</w:t>
                  </w:r>
                </w:p>
              </w:tc>
              <w:tc>
                <w:tcPr>
                  <w:tcW w:w="1175" w:type="pct"/>
                  <w:tcBorders>
                    <w:tl2br w:val="nil"/>
                    <w:tr2bl w:val="nil"/>
                  </w:tcBorders>
                  <w:noWrap w:val="0"/>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top"/>
                    <w:outlineLvl w:val="9"/>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苯胺</w:t>
                  </w:r>
                </w:p>
              </w:tc>
              <w:tc>
                <w:tcPr>
                  <w:tcW w:w="894"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902"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765"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ND</w:t>
                  </w:r>
                </w:p>
              </w:tc>
              <w:tc>
                <w:tcPr>
                  <w:tcW w:w="400" w:type="pct"/>
                  <w:tcBorders>
                    <w:tl2br w:val="nil"/>
                    <w:tr2bl w:val="nil"/>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260</w:t>
                  </w:r>
                </w:p>
              </w:tc>
              <w:tc>
                <w:tcPr>
                  <w:tcW w:w="509" w:type="pct"/>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27" w:type="pct"/>
                  <w:gridSpan w:val="2"/>
                  <w:tcBorders>
                    <w:tl2br w:val="nil"/>
                    <w:tr2bl w:val="nil"/>
                  </w:tcBorders>
                  <w:noWrap w:val="0"/>
                  <w:tcMar>
                    <w:top w:w="0" w:type="dxa"/>
                    <w:left w:w="28" w:type="dxa"/>
                    <w:bottom w:w="0"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outlineLvl w:val="9"/>
                    <w:rPr>
                      <w:rFonts w:hint="eastAsia" w:ascii="Times New Roman" w:hAnsi="Times New Roman"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备注</w:t>
                  </w:r>
                </w:p>
              </w:tc>
              <w:tc>
                <w:tcPr>
                  <w:tcW w:w="3472" w:type="pct"/>
                  <w:gridSpan w:val="5"/>
                  <w:tcBorders>
                    <w:tl2br w:val="nil"/>
                    <w:tr2bl w:val="nil"/>
                  </w:tcBorders>
                  <w:noWrap w:val="0"/>
                  <w:tcMar>
                    <w:top w:w="0" w:type="dxa"/>
                    <w:left w:w="28" w:type="dxa"/>
                    <w:bottom w:w="0" w:type="dxa"/>
                    <w:right w:w="28" w:type="dxa"/>
                  </w:tcMar>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val="en-US" w:eastAsia="zh-CN"/>
                    </w:rPr>
                    <w:t>“ND”表示未检出或小于检出限</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cs="Times New Roman"/>
                      <w:color w:val="auto"/>
                      <w:sz w:val="21"/>
                      <w:szCs w:val="21"/>
                      <w:highlight w:val="none"/>
                      <w:lang w:val="en-US" w:eastAsia="zh-CN"/>
                    </w:rPr>
                    <w:t>本次土壤检测项目执行</w:t>
                  </w:r>
                  <w:r>
                    <w:rPr>
                      <w:rFonts w:hint="default" w:ascii="Times New Roman" w:hAnsi="Times New Roman" w:eastAsia="宋体" w:cs="Times New Roman"/>
                      <w:color w:val="auto"/>
                      <w:sz w:val="21"/>
                      <w:szCs w:val="21"/>
                      <w:highlight w:val="none"/>
                      <w:lang w:val="en-US" w:eastAsia="zh-CN"/>
                    </w:rPr>
                    <w:t>《土壤环境质量 建设用地土壤污染风险管控标准》（试行）GB 36600-2018</w:t>
                  </w:r>
                  <w:r>
                    <w:rPr>
                      <w:rFonts w:hint="default" w:ascii="Times New Roman" w:hAnsi="Times New Roman" w:cs="Times New Roman"/>
                      <w:color w:val="auto"/>
                      <w:sz w:val="21"/>
                      <w:szCs w:val="21"/>
                      <w:highlight w:val="none"/>
                      <w:lang w:val="en-US" w:eastAsia="zh-CN"/>
                    </w:rPr>
                    <w:t>表1筛选值第</w:t>
                  </w:r>
                  <w:r>
                    <w:rPr>
                      <w:rFonts w:hint="eastAsia" w:ascii="Times New Roman" w:hAnsi="Times New Roman" w:cs="Times New Roman"/>
                      <w:color w:val="auto"/>
                      <w:sz w:val="21"/>
                      <w:szCs w:val="21"/>
                      <w:highlight w:val="none"/>
                      <w:lang w:val="en-US" w:eastAsia="zh-CN"/>
                    </w:rPr>
                    <w:t>二</w:t>
                  </w:r>
                  <w:r>
                    <w:rPr>
                      <w:rFonts w:hint="default" w:ascii="Times New Roman" w:hAnsi="Times New Roman" w:cs="Times New Roman"/>
                      <w:color w:val="auto"/>
                      <w:sz w:val="21"/>
                      <w:szCs w:val="21"/>
                      <w:highlight w:val="none"/>
                      <w:lang w:val="en-US" w:eastAsia="zh-CN"/>
                    </w:rPr>
                    <w:t>类用地限值</w:t>
                  </w:r>
                  <w:r>
                    <w:rPr>
                      <w:rFonts w:hint="eastAsia" w:ascii="Times New Roman" w:hAnsi="Times New Roman" w:cs="Times New Roman"/>
                      <w:color w:val="auto"/>
                      <w:sz w:val="21"/>
                      <w:szCs w:val="21"/>
                      <w:highlight w:val="none"/>
                      <w:lang w:val="en-US" w:eastAsia="zh-CN"/>
                    </w:rPr>
                    <w:t>。</w:t>
                  </w:r>
                </w:p>
              </w:tc>
            </w:tr>
          </w:tbl>
          <w:p>
            <w:pPr>
              <w:spacing w:line="500" w:lineRule="exact"/>
              <w:ind w:firstLine="480"/>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kern w:val="2"/>
                <w:sz w:val="24"/>
                <w:szCs w:val="24"/>
                <w:lang w:val="en-US" w:eastAsia="zh-CN" w:bidi="ar-SA"/>
              </w:rPr>
              <w:t>由上表可知，监测点各项土壤监测因子均能满足《土壤环境质量 建设用地土壤污染风险管控标准》（GB36600-2018）筛选值第二类用地要求，区域土壤环境质量现状较好。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pct"/>
            <w:vAlign w:val="center"/>
          </w:tcPr>
          <w:p>
            <w:pPr>
              <w:adjustRightInd w:val="0"/>
              <w:snapToGrid w:val="0"/>
              <w:jc w:val="center"/>
              <w:rPr>
                <w:rFonts w:hint="default" w:ascii="黑体" w:hAnsi="黑体" w:eastAsia="黑体" w:cs="黑体"/>
                <w:color w:val="auto"/>
                <w:kern w:val="0"/>
                <w:sz w:val="24"/>
                <w:szCs w:val="24"/>
                <w:highlight w:val="none"/>
              </w:rPr>
            </w:pPr>
            <w:r>
              <w:rPr>
                <w:rFonts w:hint="default" w:ascii="黑体" w:hAnsi="黑体" w:eastAsia="黑体" w:cs="黑体"/>
                <w:color w:val="auto"/>
                <w:kern w:val="0"/>
                <w:sz w:val="24"/>
                <w:szCs w:val="24"/>
                <w:highlight w:val="none"/>
              </w:rPr>
              <w:t>环境</w:t>
            </w:r>
          </w:p>
          <w:p>
            <w:pPr>
              <w:adjustRightInd w:val="0"/>
              <w:snapToGrid w:val="0"/>
              <w:jc w:val="center"/>
              <w:rPr>
                <w:rFonts w:hint="default" w:ascii="黑体" w:hAnsi="黑体" w:eastAsia="黑体" w:cs="黑体"/>
                <w:color w:val="auto"/>
                <w:kern w:val="0"/>
                <w:sz w:val="24"/>
                <w:szCs w:val="24"/>
                <w:highlight w:val="none"/>
              </w:rPr>
            </w:pPr>
            <w:r>
              <w:rPr>
                <w:rFonts w:hint="default" w:ascii="黑体" w:hAnsi="黑体" w:eastAsia="黑体" w:cs="黑体"/>
                <w:color w:val="auto"/>
                <w:kern w:val="0"/>
                <w:sz w:val="24"/>
                <w:szCs w:val="24"/>
                <w:highlight w:val="none"/>
              </w:rPr>
              <w:t>保护</w:t>
            </w:r>
          </w:p>
          <w:p>
            <w:pPr>
              <w:adjustRightInd w:val="0"/>
              <w:snapToGrid w:val="0"/>
              <w:jc w:val="center"/>
              <w:rPr>
                <w:rFonts w:hint="default" w:ascii="Times New Roman" w:hAnsi="Times New Roman" w:cs="Times New Roman"/>
                <w:color w:val="auto"/>
                <w:kern w:val="0"/>
                <w:szCs w:val="21"/>
              </w:rPr>
            </w:pPr>
            <w:r>
              <w:rPr>
                <w:rFonts w:hint="default" w:ascii="黑体" w:hAnsi="黑体" w:eastAsia="黑体" w:cs="黑体"/>
                <w:color w:val="auto"/>
                <w:kern w:val="0"/>
                <w:sz w:val="24"/>
                <w:szCs w:val="24"/>
                <w:highlight w:val="none"/>
              </w:rPr>
              <w:t>目标</w:t>
            </w:r>
          </w:p>
        </w:tc>
        <w:tc>
          <w:tcPr>
            <w:tcW w:w="4668" w:type="pct"/>
          </w:tcPr>
          <w:p>
            <w:pPr>
              <w:spacing w:line="500" w:lineRule="exact"/>
              <w:ind w:firstLine="480"/>
              <w:rPr>
                <w:rFonts w:hint="default" w:ascii="Times New Roman" w:hAnsi="Times New Roman" w:cs="Times New Roman"/>
                <w:color w:val="auto"/>
                <w:sz w:val="24"/>
              </w:rPr>
            </w:pPr>
            <w:r>
              <w:rPr>
                <w:rFonts w:hint="default" w:ascii="Times New Roman" w:hAnsi="Times New Roman" w:cs="Times New Roman"/>
                <w:color w:val="auto"/>
                <w:sz w:val="24"/>
              </w:rPr>
              <w:t>主要环境保护目标见下表。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表3-</w:t>
            </w:r>
            <w:r>
              <w:rPr>
                <w:rFonts w:hint="eastAsia" w:eastAsia="黑体" w:cs="Times New Roman"/>
                <w:b w:val="0"/>
                <w:bCs w:val="0"/>
                <w:color w:val="auto"/>
                <w:kern w:val="0"/>
                <w:sz w:val="24"/>
                <w:szCs w:val="24"/>
                <w:lang w:val="en-US" w:eastAsia="zh-CN"/>
              </w:rPr>
              <w:t>3</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lang w:val="en-US" w:eastAsia="zh-CN"/>
              </w:rPr>
              <w:t>主要环境保护目标</w:t>
            </w:r>
          </w:p>
          <w:tbl>
            <w:tblPr>
              <w:tblStyle w:val="26"/>
              <w:tblW w:w="4988" w:type="pct"/>
              <w:tblInd w:w="11"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315"/>
              <w:gridCol w:w="1853"/>
              <w:gridCol w:w="1143"/>
              <w:gridCol w:w="1210"/>
              <w:gridCol w:w="1088"/>
              <w:gridCol w:w="159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01" w:type="pct"/>
                  <w:vMerge w:val="restart"/>
                  <w:tcBorders>
                    <w:tl2br w:val="nil"/>
                    <w:tr2bl w:val="nil"/>
                  </w:tcBorders>
                  <w:noWrap w:val="0"/>
                  <w:vAlign w:val="center"/>
                </w:tcPr>
                <w:p>
                  <w:pPr>
                    <w:pStyle w:val="81"/>
                    <w:adjustRightInd w:val="0"/>
                    <w:snapToGrid w:val="0"/>
                    <w:spacing w:line="240" w:lineRule="auto"/>
                    <w:rPr>
                      <w:b w:val="0"/>
                      <w:bCs w:val="0"/>
                      <w:color w:val="auto"/>
                    </w:rPr>
                  </w:pPr>
                  <w:r>
                    <w:rPr>
                      <w:b w:val="0"/>
                      <w:bCs w:val="0"/>
                      <w:color w:val="auto"/>
                    </w:rPr>
                    <w:t>名称</w:t>
                  </w:r>
                </w:p>
              </w:tc>
              <w:tc>
                <w:tcPr>
                  <w:tcW w:w="1129" w:type="pct"/>
                  <w:vMerge w:val="restart"/>
                  <w:tcBorders>
                    <w:tl2br w:val="nil"/>
                    <w:tr2bl w:val="nil"/>
                  </w:tcBorders>
                  <w:noWrap w:val="0"/>
                  <w:vAlign w:val="center"/>
                </w:tcPr>
                <w:p>
                  <w:pPr>
                    <w:pStyle w:val="81"/>
                    <w:adjustRightInd w:val="0"/>
                    <w:snapToGrid w:val="0"/>
                    <w:spacing w:line="240" w:lineRule="auto"/>
                    <w:rPr>
                      <w:b w:val="0"/>
                      <w:bCs w:val="0"/>
                      <w:color w:val="auto"/>
                    </w:rPr>
                  </w:pPr>
                  <w:r>
                    <w:rPr>
                      <w:b w:val="0"/>
                      <w:bCs w:val="0"/>
                      <w:color w:val="auto"/>
                    </w:rPr>
                    <w:t>保护对象</w:t>
                  </w:r>
                </w:p>
              </w:tc>
              <w:tc>
                <w:tcPr>
                  <w:tcW w:w="696" w:type="pct"/>
                  <w:vMerge w:val="restart"/>
                  <w:tcBorders>
                    <w:tl2br w:val="nil"/>
                    <w:tr2bl w:val="nil"/>
                  </w:tcBorders>
                  <w:noWrap w:val="0"/>
                  <w:vAlign w:val="center"/>
                </w:tcPr>
                <w:p>
                  <w:pPr>
                    <w:pStyle w:val="81"/>
                    <w:adjustRightInd w:val="0"/>
                    <w:snapToGrid w:val="0"/>
                    <w:spacing w:line="240" w:lineRule="auto"/>
                    <w:rPr>
                      <w:b w:val="0"/>
                      <w:bCs w:val="0"/>
                      <w:color w:val="auto"/>
                    </w:rPr>
                  </w:pPr>
                  <w:r>
                    <w:rPr>
                      <w:b w:val="0"/>
                      <w:bCs w:val="0"/>
                      <w:color w:val="auto"/>
                    </w:rPr>
                    <w:t>保护内容</w:t>
                  </w:r>
                </w:p>
              </w:tc>
              <w:tc>
                <w:tcPr>
                  <w:tcW w:w="736" w:type="pct"/>
                  <w:vMerge w:val="restart"/>
                  <w:tcBorders>
                    <w:tl2br w:val="nil"/>
                    <w:tr2bl w:val="nil"/>
                  </w:tcBorders>
                  <w:noWrap w:val="0"/>
                  <w:vAlign w:val="center"/>
                </w:tcPr>
                <w:p>
                  <w:pPr>
                    <w:pStyle w:val="81"/>
                    <w:adjustRightInd w:val="0"/>
                    <w:snapToGrid w:val="0"/>
                    <w:spacing w:line="240" w:lineRule="auto"/>
                    <w:rPr>
                      <w:b w:val="0"/>
                      <w:bCs w:val="0"/>
                      <w:color w:val="auto"/>
                    </w:rPr>
                  </w:pPr>
                  <w:r>
                    <w:rPr>
                      <w:b w:val="0"/>
                      <w:bCs w:val="0"/>
                      <w:color w:val="auto"/>
                    </w:rPr>
                    <w:t>环境</w:t>
                  </w:r>
                </w:p>
                <w:p>
                  <w:pPr>
                    <w:pStyle w:val="81"/>
                    <w:adjustRightInd w:val="0"/>
                    <w:snapToGrid w:val="0"/>
                    <w:spacing w:line="240" w:lineRule="auto"/>
                    <w:rPr>
                      <w:b w:val="0"/>
                      <w:bCs w:val="0"/>
                      <w:color w:val="auto"/>
                    </w:rPr>
                  </w:pPr>
                  <w:r>
                    <w:rPr>
                      <w:b w:val="0"/>
                      <w:bCs w:val="0"/>
                      <w:color w:val="auto"/>
                    </w:rPr>
                    <w:t>功能区</w:t>
                  </w:r>
                </w:p>
              </w:tc>
              <w:tc>
                <w:tcPr>
                  <w:tcW w:w="663" w:type="pct"/>
                  <w:vMerge w:val="restart"/>
                  <w:tcBorders>
                    <w:tl2br w:val="nil"/>
                    <w:tr2bl w:val="nil"/>
                  </w:tcBorders>
                  <w:noWrap w:val="0"/>
                  <w:vAlign w:val="center"/>
                </w:tcPr>
                <w:p>
                  <w:pPr>
                    <w:pStyle w:val="81"/>
                    <w:adjustRightInd w:val="0"/>
                    <w:snapToGrid w:val="0"/>
                    <w:spacing w:line="240" w:lineRule="auto"/>
                    <w:rPr>
                      <w:b w:val="0"/>
                      <w:bCs w:val="0"/>
                      <w:color w:val="auto"/>
                    </w:rPr>
                  </w:pPr>
                  <w:r>
                    <w:rPr>
                      <w:b w:val="0"/>
                      <w:bCs w:val="0"/>
                      <w:color w:val="auto"/>
                    </w:rPr>
                    <w:t>相对厂</w:t>
                  </w:r>
                </w:p>
                <w:p>
                  <w:pPr>
                    <w:pStyle w:val="81"/>
                    <w:adjustRightInd w:val="0"/>
                    <w:snapToGrid w:val="0"/>
                    <w:spacing w:line="240" w:lineRule="auto"/>
                    <w:rPr>
                      <w:b w:val="0"/>
                      <w:bCs w:val="0"/>
                      <w:color w:val="auto"/>
                    </w:rPr>
                  </w:pPr>
                  <w:r>
                    <w:rPr>
                      <w:b w:val="0"/>
                      <w:bCs w:val="0"/>
                      <w:color w:val="auto"/>
                    </w:rPr>
                    <w:t>址方位</w:t>
                  </w:r>
                </w:p>
              </w:tc>
              <w:tc>
                <w:tcPr>
                  <w:tcW w:w="973" w:type="pct"/>
                  <w:vMerge w:val="restart"/>
                  <w:tcBorders>
                    <w:tl2br w:val="nil"/>
                    <w:tr2bl w:val="nil"/>
                  </w:tcBorders>
                  <w:noWrap w:val="0"/>
                  <w:vAlign w:val="center"/>
                </w:tcPr>
                <w:p>
                  <w:pPr>
                    <w:pStyle w:val="81"/>
                    <w:adjustRightInd w:val="0"/>
                    <w:snapToGrid w:val="0"/>
                    <w:spacing w:line="240" w:lineRule="auto"/>
                    <w:rPr>
                      <w:b w:val="0"/>
                      <w:bCs w:val="0"/>
                      <w:color w:val="auto"/>
                    </w:rPr>
                  </w:pPr>
                  <w:r>
                    <w:rPr>
                      <w:b w:val="0"/>
                      <w:bCs w:val="0"/>
                      <w:color w:val="auto"/>
                    </w:rPr>
                    <w:t>相对厂</w:t>
                  </w:r>
                </w:p>
                <w:p>
                  <w:pPr>
                    <w:pStyle w:val="81"/>
                    <w:adjustRightInd w:val="0"/>
                    <w:snapToGrid w:val="0"/>
                    <w:spacing w:line="240" w:lineRule="auto"/>
                    <w:rPr>
                      <w:b w:val="0"/>
                      <w:bCs w:val="0"/>
                      <w:color w:val="auto"/>
                    </w:rPr>
                  </w:pPr>
                  <w:r>
                    <w:rPr>
                      <w:b w:val="0"/>
                      <w:bCs w:val="0"/>
                      <w:color w:val="auto"/>
                    </w:rPr>
                    <w:t>界距离/m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01" w:type="pct"/>
                  <w:vMerge w:val="continue"/>
                  <w:tcBorders>
                    <w:tl2br w:val="nil"/>
                    <w:tr2bl w:val="nil"/>
                  </w:tcBorders>
                  <w:noWrap w:val="0"/>
                  <w:vAlign w:val="center"/>
                </w:tcPr>
                <w:p>
                  <w:pPr>
                    <w:pStyle w:val="81"/>
                    <w:adjustRightInd w:val="0"/>
                    <w:snapToGrid w:val="0"/>
                    <w:spacing w:line="240" w:lineRule="auto"/>
                    <w:rPr>
                      <w:color w:val="auto"/>
                    </w:rPr>
                  </w:pPr>
                </w:p>
              </w:tc>
              <w:tc>
                <w:tcPr>
                  <w:tcW w:w="1129" w:type="pct"/>
                  <w:vMerge w:val="continue"/>
                  <w:tcBorders>
                    <w:tl2br w:val="nil"/>
                    <w:tr2bl w:val="nil"/>
                  </w:tcBorders>
                  <w:noWrap w:val="0"/>
                  <w:vAlign w:val="center"/>
                </w:tcPr>
                <w:p>
                  <w:pPr>
                    <w:pStyle w:val="81"/>
                    <w:adjustRightInd w:val="0"/>
                    <w:snapToGrid w:val="0"/>
                    <w:spacing w:line="240" w:lineRule="auto"/>
                    <w:rPr>
                      <w:color w:val="auto"/>
                    </w:rPr>
                  </w:pPr>
                </w:p>
              </w:tc>
              <w:tc>
                <w:tcPr>
                  <w:tcW w:w="696" w:type="pct"/>
                  <w:vMerge w:val="continue"/>
                  <w:tcBorders>
                    <w:tl2br w:val="nil"/>
                    <w:tr2bl w:val="nil"/>
                  </w:tcBorders>
                  <w:noWrap w:val="0"/>
                  <w:vAlign w:val="center"/>
                </w:tcPr>
                <w:p>
                  <w:pPr>
                    <w:pStyle w:val="81"/>
                    <w:adjustRightInd w:val="0"/>
                    <w:snapToGrid w:val="0"/>
                    <w:spacing w:line="240" w:lineRule="auto"/>
                    <w:rPr>
                      <w:color w:val="auto"/>
                    </w:rPr>
                  </w:pPr>
                </w:p>
              </w:tc>
              <w:tc>
                <w:tcPr>
                  <w:tcW w:w="736" w:type="pct"/>
                  <w:vMerge w:val="continue"/>
                  <w:tcBorders>
                    <w:tl2br w:val="nil"/>
                    <w:tr2bl w:val="nil"/>
                  </w:tcBorders>
                  <w:noWrap w:val="0"/>
                  <w:vAlign w:val="center"/>
                </w:tcPr>
                <w:p>
                  <w:pPr>
                    <w:pStyle w:val="81"/>
                    <w:adjustRightInd w:val="0"/>
                    <w:snapToGrid w:val="0"/>
                    <w:spacing w:line="240" w:lineRule="auto"/>
                    <w:rPr>
                      <w:color w:val="auto"/>
                    </w:rPr>
                  </w:pPr>
                </w:p>
              </w:tc>
              <w:tc>
                <w:tcPr>
                  <w:tcW w:w="663" w:type="pct"/>
                  <w:vMerge w:val="continue"/>
                  <w:tcBorders>
                    <w:tl2br w:val="nil"/>
                    <w:tr2bl w:val="nil"/>
                  </w:tcBorders>
                  <w:noWrap w:val="0"/>
                  <w:vAlign w:val="center"/>
                </w:tcPr>
                <w:p>
                  <w:pPr>
                    <w:pStyle w:val="81"/>
                    <w:adjustRightInd w:val="0"/>
                    <w:snapToGrid w:val="0"/>
                    <w:spacing w:line="240" w:lineRule="auto"/>
                    <w:rPr>
                      <w:color w:val="auto"/>
                    </w:rPr>
                  </w:pPr>
                </w:p>
              </w:tc>
              <w:tc>
                <w:tcPr>
                  <w:tcW w:w="973" w:type="pct"/>
                  <w:vMerge w:val="continue"/>
                  <w:tcBorders>
                    <w:tl2br w:val="nil"/>
                    <w:tr2bl w:val="nil"/>
                  </w:tcBorders>
                  <w:noWrap w:val="0"/>
                  <w:vAlign w:val="center"/>
                </w:tcPr>
                <w:p>
                  <w:pPr>
                    <w:pStyle w:val="81"/>
                    <w:adjustRightInd w:val="0"/>
                    <w:snapToGrid w:val="0"/>
                    <w:spacing w:line="240" w:lineRule="auto"/>
                    <w:rPr>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01" w:type="pct"/>
                  <w:vMerge w:val="restart"/>
                  <w:tcBorders>
                    <w:tl2br w:val="nil"/>
                    <w:tr2bl w:val="nil"/>
                  </w:tcBorders>
                  <w:noWrap w:val="0"/>
                  <w:vAlign w:val="center"/>
                </w:tcPr>
                <w:p>
                  <w:pPr>
                    <w:pStyle w:val="81"/>
                    <w:adjustRightInd w:val="0"/>
                    <w:snapToGrid w:val="0"/>
                    <w:spacing w:line="240" w:lineRule="auto"/>
                    <w:rPr>
                      <w:color w:val="auto"/>
                    </w:rPr>
                  </w:pPr>
                  <w:r>
                    <w:rPr>
                      <w:color w:val="auto"/>
                    </w:rPr>
                    <w:t>环境空气</w:t>
                  </w: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黑旺村</w:t>
                  </w:r>
                </w:p>
              </w:tc>
              <w:tc>
                <w:tcPr>
                  <w:tcW w:w="696" w:type="pct"/>
                  <w:tcBorders>
                    <w:tl2br w:val="nil"/>
                    <w:tr2bl w:val="nil"/>
                  </w:tcBorders>
                  <w:noWrap w:val="0"/>
                  <w:vAlign w:val="center"/>
                </w:tcPr>
                <w:p>
                  <w:pPr>
                    <w:pStyle w:val="81"/>
                    <w:adjustRightInd w:val="0"/>
                    <w:snapToGrid w:val="0"/>
                    <w:spacing w:line="240" w:lineRule="auto"/>
                    <w:rPr>
                      <w:color w:val="auto"/>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color w:val="auto"/>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ESE</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1046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01" w:type="pct"/>
                  <w:vMerge w:val="continue"/>
                  <w:tcBorders>
                    <w:tl2br w:val="nil"/>
                    <w:tr2bl w:val="nil"/>
                  </w:tcBorders>
                  <w:noWrap w:val="0"/>
                  <w:vAlign w:val="center"/>
                </w:tcPr>
                <w:p>
                  <w:pPr>
                    <w:pStyle w:val="81"/>
                    <w:adjustRightInd w:val="0"/>
                    <w:snapToGrid w:val="0"/>
                    <w:spacing w:line="240" w:lineRule="auto"/>
                    <w:rPr>
                      <w:color w:val="auto"/>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土湾村</w:t>
                  </w:r>
                </w:p>
              </w:tc>
              <w:tc>
                <w:tcPr>
                  <w:tcW w:w="696" w:type="pct"/>
                  <w:tcBorders>
                    <w:tl2br w:val="nil"/>
                    <w:tr2bl w:val="nil"/>
                  </w:tcBorders>
                  <w:noWrap w:val="0"/>
                  <w:vAlign w:val="center"/>
                </w:tcPr>
                <w:p>
                  <w:pPr>
                    <w:pStyle w:val="81"/>
                    <w:adjustRightInd w:val="0"/>
                    <w:snapToGrid w:val="0"/>
                    <w:spacing w:line="240" w:lineRule="auto"/>
                    <w:rPr>
                      <w:rFonts w:hint="eastAsia"/>
                      <w:color w:val="auto"/>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color w:val="auto"/>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W</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1061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trPr>
              <w:tc>
                <w:tcPr>
                  <w:tcW w:w="801" w:type="pct"/>
                  <w:vMerge w:val="continue"/>
                  <w:tcBorders>
                    <w:tl2br w:val="nil"/>
                    <w:tr2bl w:val="nil"/>
                  </w:tcBorders>
                  <w:noWrap w:val="0"/>
                  <w:vAlign w:val="center"/>
                </w:tcPr>
                <w:p>
                  <w:pPr>
                    <w:pStyle w:val="81"/>
                    <w:adjustRightInd w:val="0"/>
                    <w:snapToGrid w:val="0"/>
                    <w:spacing w:line="240" w:lineRule="auto"/>
                    <w:rPr>
                      <w:color w:val="auto"/>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葫芦台村</w:t>
                  </w:r>
                </w:p>
              </w:tc>
              <w:tc>
                <w:tcPr>
                  <w:tcW w:w="696" w:type="pct"/>
                  <w:tcBorders>
                    <w:tl2br w:val="nil"/>
                    <w:tr2bl w:val="nil"/>
                  </w:tcBorders>
                  <w:noWrap w:val="0"/>
                  <w:vAlign w:val="center"/>
                </w:tcPr>
                <w:p>
                  <w:pPr>
                    <w:pStyle w:val="81"/>
                    <w:adjustRightInd w:val="0"/>
                    <w:snapToGrid w:val="0"/>
                    <w:spacing w:line="240" w:lineRule="auto"/>
                    <w:rPr>
                      <w:rFonts w:hint="eastAsia" w:ascii="Times New Roman" w:hAnsi="Times New Roman" w:eastAsia="宋体" w:cs="Times New Roman"/>
                      <w:color w:val="auto"/>
                      <w:kern w:val="2"/>
                      <w:sz w:val="21"/>
                      <w:szCs w:val="21"/>
                      <w:lang w:val="en-US" w:eastAsia="zh-CN" w:bidi="ar-SA"/>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ascii="Times New Roman" w:hAnsi="Times New Roman" w:eastAsia="宋体" w:cs="Times New Roman"/>
                      <w:color w:val="auto"/>
                      <w:kern w:val="2"/>
                      <w:sz w:val="21"/>
                      <w:szCs w:val="21"/>
                      <w:lang w:val="en-US" w:eastAsia="zh-CN" w:bidi="ar-SA"/>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WSW</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1076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 w:hRule="atLeast"/>
              </w:trPr>
              <w:tc>
                <w:tcPr>
                  <w:tcW w:w="801" w:type="pct"/>
                  <w:vMerge w:val="continue"/>
                  <w:tcBorders>
                    <w:tl2br w:val="nil"/>
                    <w:tr2bl w:val="nil"/>
                  </w:tcBorders>
                  <w:noWrap w:val="0"/>
                  <w:vAlign w:val="center"/>
                </w:tcPr>
                <w:p>
                  <w:pPr>
                    <w:pStyle w:val="81"/>
                    <w:adjustRightInd w:val="0"/>
                    <w:snapToGrid w:val="0"/>
                    <w:spacing w:line="240" w:lineRule="auto"/>
                    <w:rPr>
                      <w:color w:val="auto"/>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西崖头村</w:t>
                  </w:r>
                </w:p>
              </w:tc>
              <w:tc>
                <w:tcPr>
                  <w:tcW w:w="696" w:type="pct"/>
                  <w:tcBorders>
                    <w:tl2br w:val="nil"/>
                    <w:tr2bl w:val="nil"/>
                  </w:tcBorders>
                  <w:noWrap w:val="0"/>
                  <w:vAlign w:val="center"/>
                </w:tcPr>
                <w:p>
                  <w:pPr>
                    <w:pStyle w:val="81"/>
                    <w:adjustRightInd w:val="0"/>
                    <w:snapToGrid w:val="0"/>
                    <w:spacing w:line="240" w:lineRule="auto"/>
                    <w:rPr>
                      <w:rFonts w:hint="eastAsia"/>
                      <w:color w:val="auto"/>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color w:val="auto"/>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S</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1453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 w:hRule="atLeast"/>
              </w:trPr>
              <w:tc>
                <w:tcPr>
                  <w:tcW w:w="801" w:type="pct"/>
                  <w:vMerge w:val="continue"/>
                  <w:tcBorders>
                    <w:tl2br w:val="nil"/>
                    <w:tr2bl w:val="nil"/>
                  </w:tcBorders>
                  <w:noWrap w:val="0"/>
                  <w:vAlign w:val="center"/>
                </w:tcPr>
                <w:p>
                  <w:pPr>
                    <w:pStyle w:val="81"/>
                    <w:adjustRightInd w:val="0"/>
                    <w:snapToGrid w:val="0"/>
                    <w:spacing w:line="240" w:lineRule="auto"/>
                    <w:rPr>
                      <w:color w:val="auto"/>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东苑社区</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ENE</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1500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西坡村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ENE</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2040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color w:val="auto"/>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马岭杭村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ESE</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2300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东井村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NNW</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2404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上庄村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SSE</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2586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西井村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NW</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2626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蓼坞村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W</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2645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长秋村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S</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2957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朱崖村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ENE</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3046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李新庄村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SE</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3153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赵家村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SW</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3664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杨家庵村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ESE</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3867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庙子村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NE</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3874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西太平村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NNE</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4352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北马鹿村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SSW</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4467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姚家台村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NE</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4900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 w:hRule="atLeast"/>
              </w:trPr>
              <w:tc>
                <w:tcPr>
                  <w:tcW w:w="801" w:type="pct"/>
                  <w:vMerge w:val="continue"/>
                  <w:tcBorders>
                    <w:tl2br w:val="nil"/>
                    <w:tr2bl w:val="nil"/>
                  </w:tcBorders>
                  <w:noWrap w:val="0"/>
                  <w:vAlign w:val="center"/>
                </w:tcPr>
                <w:p>
                  <w:pPr>
                    <w:pStyle w:val="81"/>
                    <w:adjustRightInd w:val="0"/>
                    <w:snapToGrid w:val="0"/>
                    <w:spacing w:line="240" w:lineRule="auto"/>
                    <w:rPr>
                      <w:rFonts w:hint="eastAsia"/>
                      <w:color w:val="auto"/>
                      <w:lang w:eastAsia="zh-CN"/>
                    </w:rPr>
                  </w:pPr>
                </w:p>
              </w:tc>
              <w:tc>
                <w:tcPr>
                  <w:tcW w:w="11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南马鹿村</w:t>
                  </w:r>
                </w:p>
              </w:tc>
              <w:tc>
                <w:tcPr>
                  <w:tcW w:w="696"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color w:val="auto"/>
                    </w:rPr>
                    <w:t>居民</w:t>
                  </w:r>
                </w:p>
              </w:tc>
              <w:tc>
                <w:tcPr>
                  <w:tcW w:w="736" w:type="pct"/>
                  <w:tcBorders>
                    <w:tl2br w:val="nil"/>
                    <w:tr2bl w:val="nil"/>
                  </w:tcBorders>
                  <w:noWrap w:val="0"/>
                  <w:vAlign w:val="center"/>
                </w:tcPr>
                <w:p>
                  <w:pPr>
                    <w:pStyle w:val="81"/>
                    <w:adjustRightInd w:val="0"/>
                    <w:snapToGrid w:val="0"/>
                    <w:spacing w:line="240" w:lineRule="auto"/>
                    <w:rPr>
                      <w:rFonts w:hint="eastAsia"/>
                      <w:color w:val="auto"/>
                      <w:lang w:eastAsia="zh-CN"/>
                    </w:rPr>
                  </w:pPr>
                  <w:r>
                    <w:rPr>
                      <w:color w:val="auto"/>
                    </w:rPr>
                    <w:t>二类</w:t>
                  </w:r>
                </w:p>
              </w:tc>
              <w:tc>
                <w:tcPr>
                  <w:tcW w:w="66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SSW</w:t>
                  </w:r>
                </w:p>
              </w:tc>
              <w:tc>
                <w:tcPr>
                  <w:tcW w:w="9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rPr>
                    <w:t>5000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01" w:type="pct"/>
                  <w:tcBorders>
                    <w:tl2br w:val="nil"/>
                    <w:tr2bl w:val="nil"/>
                  </w:tcBorders>
                  <w:noWrap w:val="0"/>
                  <w:vAlign w:val="center"/>
                </w:tcPr>
                <w:p>
                  <w:pPr>
                    <w:pStyle w:val="81"/>
                    <w:adjustRightInd w:val="0"/>
                    <w:snapToGrid w:val="0"/>
                    <w:spacing w:line="240" w:lineRule="auto"/>
                    <w:rPr>
                      <w:color w:val="auto"/>
                    </w:rPr>
                  </w:pPr>
                  <w:r>
                    <w:rPr>
                      <w:color w:val="auto"/>
                    </w:rPr>
                    <w:t>声环境</w:t>
                  </w:r>
                </w:p>
              </w:tc>
              <w:tc>
                <w:tcPr>
                  <w:tcW w:w="4198" w:type="pct"/>
                  <w:gridSpan w:val="5"/>
                  <w:tcBorders>
                    <w:tl2br w:val="nil"/>
                    <w:tr2bl w:val="nil"/>
                  </w:tcBorders>
                  <w:noWrap w:val="0"/>
                  <w:vAlign w:val="center"/>
                </w:tcPr>
                <w:p>
                  <w:pPr>
                    <w:pStyle w:val="81"/>
                    <w:adjustRightInd w:val="0"/>
                    <w:snapToGrid w:val="0"/>
                    <w:spacing w:line="240" w:lineRule="auto"/>
                    <w:rPr>
                      <w:color w:val="auto"/>
                    </w:rPr>
                  </w:pPr>
                  <w:r>
                    <w:rPr>
                      <w:rFonts w:hint="eastAsia" w:ascii="Times New Roman" w:hAnsi="Times New Roman" w:eastAsia="宋体" w:cs="Times New Roman"/>
                      <w:color w:val="auto"/>
                      <w:sz w:val="21"/>
                      <w:szCs w:val="21"/>
                      <w:highlight w:val="none"/>
                      <w:lang w:val="en-US" w:eastAsia="zh-CN"/>
                    </w:rPr>
                    <w:t>厂界外</w:t>
                  </w:r>
                  <w:r>
                    <w:rPr>
                      <w:rFonts w:hint="default" w:ascii="Times New Roman" w:hAnsi="Times New Roman" w:eastAsia="宋体" w:cs="Times New Roman"/>
                      <w:color w:val="auto"/>
                      <w:sz w:val="21"/>
                      <w:szCs w:val="21"/>
                      <w:highlight w:val="none"/>
                      <w:lang w:val="en-US" w:eastAsia="zh-CN"/>
                    </w:rPr>
                    <w:t>50</w:t>
                  </w:r>
                  <w:r>
                    <w:rPr>
                      <w:rFonts w:hint="eastAsia" w:ascii="Times New Roman" w:hAnsi="Times New Roman" w:eastAsia="宋体" w:cs="Times New Roman"/>
                      <w:color w:val="auto"/>
                      <w:sz w:val="21"/>
                      <w:szCs w:val="21"/>
                      <w:highlight w:val="none"/>
                      <w:lang w:val="en-US" w:eastAsia="zh-CN"/>
                    </w:rPr>
                    <w:t>米范围内无声环境保护目标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01" w:type="pct"/>
                  <w:tcBorders>
                    <w:tl2br w:val="nil"/>
                    <w:tr2bl w:val="nil"/>
                  </w:tcBorders>
                  <w:noWrap w:val="0"/>
                  <w:vAlign w:val="center"/>
                </w:tcPr>
                <w:p>
                  <w:pPr>
                    <w:pStyle w:val="81"/>
                    <w:adjustRightInd w:val="0"/>
                    <w:snapToGrid w:val="0"/>
                    <w:spacing w:line="240" w:lineRule="auto"/>
                    <w:rPr>
                      <w:color w:val="auto"/>
                    </w:rPr>
                  </w:pPr>
                  <w:r>
                    <w:rPr>
                      <w:rFonts w:hint="eastAsia"/>
                      <w:color w:val="auto"/>
                    </w:rPr>
                    <w:t>地表水</w:t>
                  </w:r>
                </w:p>
              </w:tc>
              <w:tc>
                <w:tcPr>
                  <w:tcW w:w="1129" w:type="pct"/>
                  <w:tcBorders>
                    <w:tl2br w:val="nil"/>
                    <w:tr2bl w:val="nil"/>
                  </w:tcBorders>
                  <w:noWrap w:val="0"/>
                  <w:vAlign w:val="center"/>
                </w:tcPr>
                <w:p>
                  <w:pPr>
                    <w:pStyle w:val="81"/>
                    <w:adjustRightInd w:val="0"/>
                    <w:snapToGrid w:val="0"/>
                    <w:spacing w:line="240" w:lineRule="auto"/>
                    <w:rPr>
                      <w:rFonts w:hint="eastAsia"/>
                      <w:color w:val="auto"/>
                      <w:lang w:eastAsia="zh-CN"/>
                    </w:rPr>
                  </w:pPr>
                  <w:r>
                    <w:rPr>
                      <w:rFonts w:hint="eastAsia" w:ascii="Times New Roman" w:hAnsi="Times New Roman" w:eastAsia="宋体" w:cs="Times New Roman"/>
                      <w:b w:val="0"/>
                      <w:bCs w:val="0"/>
                      <w:color w:val="auto"/>
                      <w:kern w:val="0"/>
                      <w:sz w:val="21"/>
                      <w:szCs w:val="21"/>
                      <w:lang w:val="en-US" w:eastAsia="zh-CN"/>
                    </w:rPr>
                    <w:t>淄河</w:t>
                  </w:r>
                </w:p>
              </w:tc>
              <w:tc>
                <w:tcPr>
                  <w:tcW w:w="1433" w:type="pct"/>
                  <w:gridSpan w:val="2"/>
                  <w:tcBorders>
                    <w:tl2br w:val="nil"/>
                    <w:tr2bl w:val="nil"/>
                  </w:tcBorders>
                  <w:noWrap w:val="0"/>
                  <w:vAlign w:val="center"/>
                </w:tcPr>
                <w:p>
                  <w:pPr>
                    <w:pStyle w:val="81"/>
                    <w:adjustRightInd w:val="0"/>
                    <w:snapToGrid w:val="0"/>
                    <w:spacing w:line="240" w:lineRule="auto"/>
                    <w:rPr>
                      <w:color w:val="auto"/>
                    </w:rPr>
                  </w:pPr>
                  <w:r>
                    <w:rPr>
                      <w:color w:val="auto"/>
                    </w:rPr>
                    <w:t>《地表水环境质量标准》（GB3838-2002）</w:t>
                  </w: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 3 \* ROMAN \* MERGEFORMAT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eastAsia="宋体" w:cs="Times New Roman"/>
                      <w:color w:val="auto"/>
                      <w:sz w:val="24"/>
                      <w:szCs w:val="24"/>
                      <w:highlight w:val="none"/>
                      <w:lang w:val="en-US" w:eastAsia="zh-CN"/>
                    </w:rPr>
                    <w:t>III</w:t>
                  </w:r>
                  <w:r>
                    <w:rPr>
                      <w:rFonts w:hint="default" w:ascii="Times New Roman" w:hAnsi="Times New Roman" w:eastAsia="宋体" w:cs="Times New Roman"/>
                      <w:color w:val="auto"/>
                      <w:sz w:val="24"/>
                      <w:szCs w:val="24"/>
                      <w:highlight w:val="none"/>
                      <w:lang w:val="en-US" w:eastAsia="zh-CN"/>
                    </w:rPr>
                    <w:fldChar w:fldCharType="end"/>
                  </w:r>
                  <w:r>
                    <w:rPr>
                      <w:rFonts w:hint="eastAsia"/>
                      <w:color w:val="auto"/>
                    </w:rPr>
                    <w:t>类</w:t>
                  </w:r>
                  <w:r>
                    <w:rPr>
                      <w:color w:val="auto"/>
                    </w:rPr>
                    <w:t>标准</w:t>
                  </w:r>
                </w:p>
              </w:tc>
              <w:tc>
                <w:tcPr>
                  <w:tcW w:w="108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eastAsia="宋体"/>
                      <w:color w:val="auto"/>
                      <w:lang w:val="en-US" w:eastAsia="zh-CN"/>
                    </w:rPr>
                  </w:pPr>
                  <w:r>
                    <w:rPr>
                      <w:rFonts w:hint="eastAsia" w:ascii="Times New Roman" w:hAnsi="Times New Roman" w:eastAsia="宋体" w:cs="Times New Roman"/>
                      <w:b w:val="0"/>
                      <w:bCs w:val="0"/>
                      <w:color w:val="auto"/>
                      <w:kern w:val="0"/>
                      <w:sz w:val="21"/>
                      <w:szCs w:val="21"/>
                      <w:lang w:val="en-US" w:eastAsia="zh-CN"/>
                    </w:rPr>
                    <w:t>SE</w:t>
                  </w:r>
                </w:p>
              </w:tc>
              <w:tc>
                <w:tcPr>
                  <w:tcW w:w="1599"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color w:val="auto"/>
                      <w:lang w:val="en-US" w:eastAsia="zh-CN"/>
                    </w:rPr>
                  </w:pPr>
                  <w:r>
                    <w:rPr>
                      <w:rFonts w:hint="eastAsia" w:ascii="Times New Roman" w:hAnsi="Times New Roman" w:eastAsia="宋体" w:cs="Times New Roman"/>
                      <w:b w:val="0"/>
                      <w:bCs w:val="0"/>
                      <w:color w:val="auto"/>
                      <w:kern w:val="0"/>
                      <w:sz w:val="21"/>
                      <w:szCs w:val="21"/>
                      <w:lang w:val="en-US" w:eastAsia="zh-CN"/>
                    </w:rPr>
                    <w:t>1665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01" w:type="pct"/>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ind w:left="0" w:leftChars="0" w:right="0" w:rightChars="0" w:firstLine="0" w:firstLineChars="0"/>
                    <w:jc w:val="center"/>
                    <w:textAlignment w:val="auto"/>
                    <w:rPr>
                      <w:color w:val="auto"/>
                    </w:rPr>
                  </w:pPr>
                  <w:r>
                    <w:rPr>
                      <w:rFonts w:hint="default" w:ascii="Times New Roman" w:hAnsi="Times New Roman" w:cs="Times New Roman"/>
                      <w:color w:val="auto"/>
                      <w:sz w:val="21"/>
                      <w:szCs w:val="21"/>
                    </w:rPr>
                    <w:t>地下水环境</w:t>
                  </w:r>
                </w:p>
              </w:tc>
              <w:tc>
                <w:tcPr>
                  <w:tcW w:w="4198" w:type="pct"/>
                  <w:gridSpan w:val="5"/>
                  <w:tcBorders>
                    <w:tl2br w:val="nil"/>
                    <w:tr2bl w:val="nil"/>
                  </w:tcBorders>
                  <w:noWrap w:val="0"/>
                  <w:vAlign w:val="center"/>
                </w:tcPr>
                <w:p>
                  <w:pPr>
                    <w:pStyle w:val="81"/>
                    <w:adjustRightInd w:val="0"/>
                    <w:snapToGrid w:val="0"/>
                    <w:spacing w:line="240" w:lineRule="auto"/>
                    <w:rPr>
                      <w:color w:val="auto"/>
                    </w:rPr>
                  </w:pPr>
                  <w:r>
                    <w:rPr>
                      <w:rFonts w:hint="eastAsia"/>
                      <w:color w:val="auto"/>
                    </w:rPr>
                    <w:t>厂界周边500m范围内无地下水集中式饮用水水源和热水、矿泉水、温泉等特殊地下水资源。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01" w:type="pct"/>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ind w:left="0" w:leftChars="0" w:right="0" w:rightChars="0" w:firstLine="0" w:firstLineChars="0"/>
                    <w:jc w:val="center"/>
                    <w:textAlignment w:val="auto"/>
                    <w:rPr>
                      <w:rFonts w:hint="eastAsia"/>
                      <w:color w:val="auto"/>
                    </w:rPr>
                  </w:pPr>
                  <w:r>
                    <w:rPr>
                      <w:rFonts w:hint="default" w:ascii="Times New Roman" w:hAnsi="Times New Roman" w:cs="Times New Roman"/>
                      <w:color w:val="auto"/>
                      <w:sz w:val="21"/>
                      <w:szCs w:val="21"/>
                    </w:rPr>
                    <w:t>生态环境</w:t>
                  </w:r>
                </w:p>
              </w:tc>
              <w:tc>
                <w:tcPr>
                  <w:tcW w:w="4198" w:type="pct"/>
                  <w:gridSpan w:val="5"/>
                  <w:tcBorders>
                    <w:tl2br w:val="nil"/>
                    <w:tr2bl w:val="nil"/>
                  </w:tcBorders>
                  <w:noWrap w:val="0"/>
                  <w:vAlign w:val="center"/>
                </w:tcPr>
                <w:p>
                  <w:pPr>
                    <w:pStyle w:val="81"/>
                    <w:adjustRightInd w:val="0"/>
                    <w:snapToGrid w:val="0"/>
                    <w:spacing w:line="240" w:lineRule="auto"/>
                    <w:rPr>
                      <w:color w:val="auto"/>
                    </w:rPr>
                  </w:pPr>
                  <w:r>
                    <w:rPr>
                      <w:rFonts w:hint="default" w:ascii="Times New Roman" w:hAnsi="Times New Roman" w:cs="Times New Roman"/>
                      <w:color w:val="auto"/>
                      <w:sz w:val="21"/>
                      <w:szCs w:val="21"/>
                    </w:rPr>
                    <w:t>项目用地范围内无生态环境保护目标</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eastAsia="黑体" w:cs="Times New Roman"/>
                <w:b w:val="0"/>
                <w:bCs w:val="0"/>
                <w:color w:val="auto"/>
                <w:kern w:val="0"/>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eastAsia="黑体" w:cs="Times New Roman"/>
                <w:b w:val="0"/>
                <w:bCs w:val="0"/>
                <w:color w:val="auto"/>
                <w:kern w:val="0"/>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eastAsia="黑体" w:cs="Times New Roman"/>
                <w:b w:val="0"/>
                <w:bCs w:val="0"/>
                <w:color w:val="auto"/>
                <w:kern w:val="0"/>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eastAsia="黑体" w:cs="Times New Roman"/>
                <w:b w:val="0"/>
                <w:bCs w:val="0"/>
                <w:color w:val="auto"/>
                <w:kern w:val="0"/>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eastAsia="黑体" w:cs="Times New Roman"/>
                <w:b w:val="0"/>
                <w:bCs w:val="0"/>
                <w:color w:val="auto"/>
                <w:kern w:val="0"/>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eastAsia="黑体" w:cs="Times New Roman"/>
                <w:b w:val="0"/>
                <w:bCs w:val="0"/>
                <w:color w:val="auto"/>
                <w:kern w:val="0"/>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eastAsia="黑体" w:cs="Times New Roman"/>
                <w:b w:val="0"/>
                <w:bCs w:val="0"/>
                <w:color w:val="auto"/>
                <w:kern w:val="0"/>
                <w:sz w:val="24"/>
                <w:szCs w:val="24"/>
                <w:lang w:val="en-US" w:eastAsia="zh-CN"/>
              </w:rPr>
            </w:pPr>
          </w:p>
          <w:p>
            <w:pPr>
              <w:widowControl/>
              <w:rPr>
                <w:rFonts w:hint="eastAsia" w:ascii="Times New Roman" w:hAnsi="Times New Roman" w:eastAsia="宋体" w:cs="Times New Roman"/>
                <w:color w:val="auto"/>
                <w:kern w:val="0"/>
                <w:sz w:val="24"/>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pct"/>
            <w:tcMar>
              <w:left w:w="28" w:type="dxa"/>
              <w:right w:w="28" w:type="dxa"/>
            </w:tcMar>
            <w:vAlign w:val="center"/>
          </w:tcPr>
          <w:p>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污</w:t>
            </w:r>
          </w:p>
          <w:p>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染</w:t>
            </w:r>
          </w:p>
          <w:p>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物</w:t>
            </w:r>
          </w:p>
          <w:p>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排</w:t>
            </w:r>
          </w:p>
          <w:p>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放</w:t>
            </w:r>
          </w:p>
          <w:p>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控</w:t>
            </w:r>
          </w:p>
          <w:p>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制</w:t>
            </w:r>
          </w:p>
          <w:p>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标</w:t>
            </w:r>
          </w:p>
          <w:p>
            <w:pPr>
              <w:adjustRightInd w:val="0"/>
              <w:snapToGrid w:val="0"/>
              <w:jc w:val="center"/>
              <w:rPr>
                <w:rFonts w:hint="default" w:ascii="Times New Roman" w:hAnsi="Times New Roman" w:cs="Times New Roman"/>
                <w:b w:val="0"/>
                <w:bCs w:val="0"/>
                <w:color w:val="auto"/>
                <w:kern w:val="0"/>
                <w:szCs w:val="21"/>
              </w:rPr>
            </w:pPr>
            <w:r>
              <w:rPr>
                <w:rFonts w:hint="default" w:ascii="黑体" w:hAnsi="黑体" w:eastAsia="黑体" w:cs="黑体"/>
                <w:b w:val="0"/>
                <w:bCs w:val="0"/>
                <w:color w:val="auto"/>
                <w:kern w:val="0"/>
                <w:sz w:val="24"/>
                <w:szCs w:val="24"/>
                <w:highlight w:val="none"/>
              </w:rPr>
              <w:t>准</w:t>
            </w:r>
          </w:p>
        </w:tc>
        <w:tc>
          <w:tcPr>
            <w:tcW w:w="4668" w:type="pct"/>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b w:val="0"/>
                <w:bCs w:val="0"/>
                <w:color w:val="auto"/>
                <w:sz w:val="24"/>
                <w:szCs w:val="24"/>
                <w:highlight w:val="none"/>
                <w:lang w:val="en-US" w:eastAsia="zh-CN"/>
              </w:rPr>
            </w:pPr>
            <w:r>
              <w:rPr>
                <w:rFonts w:hint="default" w:ascii="Times New Roman" w:hAnsi="Times New Roman" w:eastAsia="黑体" w:cs="Times New Roman"/>
                <w:b w:val="0"/>
                <w:bCs w:val="0"/>
                <w:color w:val="auto"/>
                <w:sz w:val="24"/>
                <w:szCs w:val="24"/>
                <w:highlight w:val="none"/>
                <w:lang w:val="en-US" w:eastAsia="zh-CN"/>
              </w:rPr>
              <w:t>1、</w:t>
            </w:r>
            <w:r>
              <w:rPr>
                <w:rFonts w:hint="default" w:ascii="Times New Roman" w:hAnsi="Times New Roman" w:eastAsia="黑体" w:cs="Times New Roman"/>
                <w:color w:val="auto"/>
                <w:sz w:val="24"/>
                <w:szCs w:val="24"/>
                <w:highlight w:val="none"/>
                <w:lang w:val="en-US" w:eastAsia="zh-CN"/>
              </w:rPr>
              <w:t>废气</w:t>
            </w:r>
          </w:p>
          <w:p>
            <w:pPr>
              <w:adjustRightInd w:val="0"/>
              <w:snapToGrid w:val="0"/>
              <w:spacing w:line="360" w:lineRule="auto"/>
              <w:ind w:firstLine="480" w:firstLineChars="200"/>
              <w:jc w:val="both"/>
              <w:rPr>
                <w:rFonts w:hint="default" w:ascii="Times New Roman" w:hAnsi="Times New Roman" w:eastAsia="宋体" w:cs="Times New Roman"/>
                <w:b w:val="0"/>
                <w:bCs w:val="0"/>
                <w:color w:val="auto"/>
                <w:sz w:val="24"/>
                <w:szCs w:val="24"/>
              </w:rPr>
            </w:pPr>
            <w:r>
              <w:rPr>
                <w:rFonts w:hint="eastAsia" w:ascii="Times New Roman" w:hAnsi="Times New Roman" w:eastAsia="宋体" w:cs="Times New Roman"/>
                <w:b w:val="0"/>
                <w:bCs w:val="0"/>
                <w:color w:val="auto"/>
                <w:sz w:val="24"/>
                <w:szCs w:val="24"/>
                <w:lang w:eastAsia="zh-CN"/>
              </w:rPr>
              <w:t>项目施工期</w:t>
            </w:r>
            <w:r>
              <w:rPr>
                <w:rFonts w:hint="default" w:ascii="Times New Roman" w:hAnsi="Times New Roman" w:eastAsia="宋体" w:cs="Times New Roman"/>
                <w:b w:val="0"/>
                <w:bCs w:val="0"/>
                <w:color w:val="auto"/>
                <w:sz w:val="24"/>
                <w:szCs w:val="24"/>
                <w:lang w:eastAsia="zh-CN"/>
              </w:rPr>
              <w:t>无组织颗粒物排放执行《大气污染物综合排放标准》（</w:t>
            </w:r>
            <w:r>
              <w:rPr>
                <w:rFonts w:hint="default" w:ascii="Times New Roman" w:hAnsi="Times New Roman" w:eastAsia="宋体" w:cs="Times New Roman"/>
                <w:b w:val="0"/>
                <w:bCs w:val="0"/>
                <w:color w:val="auto"/>
                <w:sz w:val="24"/>
                <w:szCs w:val="24"/>
                <w:lang w:val="en-US" w:eastAsia="zh-CN"/>
              </w:rPr>
              <w:t>GB16297</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1996</w:t>
            </w:r>
            <w:r>
              <w:rPr>
                <w:rFonts w:hint="default" w:ascii="Times New Roman" w:hAnsi="Times New Roman" w:eastAsia="宋体"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eastAsia="zh-CN"/>
              </w:rPr>
              <w:t>要求。</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w:t>
            </w:r>
            <w:r>
              <w:rPr>
                <w:rFonts w:hint="eastAsia" w:ascii="Times New Roman" w:hAnsi="Times New Roman" w:eastAsia="黑体" w:cs="Times New Roman"/>
                <w:b w:val="0"/>
                <w:bCs w:val="0"/>
                <w:color w:val="auto"/>
                <w:kern w:val="0"/>
                <w:sz w:val="24"/>
                <w:szCs w:val="24"/>
                <w:lang w:val="en-US" w:eastAsia="zh-CN"/>
              </w:rPr>
              <w:t xml:space="preserve">3-4 </w:t>
            </w:r>
            <w:r>
              <w:rPr>
                <w:rFonts w:hint="default" w:ascii="Times New Roman" w:hAnsi="Times New Roman" w:eastAsia="黑体" w:cs="Times New Roman"/>
                <w:b w:val="0"/>
                <w:bCs w:val="0"/>
                <w:color w:val="auto"/>
                <w:kern w:val="0"/>
                <w:sz w:val="24"/>
                <w:szCs w:val="24"/>
                <w:lang w:val="en-US" w:eastAsia="zh-CN"/>
              </w:rPr>
              <w:t>《大气污染物综合排放标准》（GB16297-1996）</w:t>
            </w:r>
          </w:p>
          <w:tbl>
            <w:tblPr>
              <w:tblStyle w:val="2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1"/>
              <w:gridCol w:w="53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62" w:type="pct"/>
                  <w:tcBorders>
                    <w:tl2br w:val="nil"/>
                    <w:tr2bl w:val="nil"/>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污染物</w:t>
                  </w:r>
                </w:p>
              </w:tc>
              <w:tc>
                <w:tcPr>
                  <w:tcW w:w="3237" w:type="pct"/>
                  <w:tcBorders>
                    <w:tl2br w:val="nil"/>
                    <w:tr2bl w:val="nil"/>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无组织排放限值</w:t>
                  </w:r>
                  <w:r>
                    <w:rPr>
                      <w:rFonts w:hint="default" w:ascii="Times New Roman" w:hAnsi="Times New Roman" w:eastAsia="宋体" w:cs="Times New Roman"/>
                      <w:b w:val="0"/>
                      <w:bCs w:val="0"/>
                      <w:color w:val="auto"/>
                      <w:sz w:val="21"/>
                      <w:szCs w:val="21"/>
                    </w:rPr>
                    <w:t>（mg/m</w:t>
                  </w:r>
                  <w:r>
                    <w:rPr>
                      <w:rFonts w:hint="default" w:ascii="Times New Roman" w:hAnsi="Times New Roman" w:eastAsia="宋体" w:cs="Times New Roman"/>
                      <w:b w:val="0"/>
                      <w:bCs w:val="0"/>
                      <w:color w:val="auto"/>
                      <w:sz w:val="21"/>
                      <w:szCs w:val="21"/>
                      <w:vertAlign w:val="superscript"/>
                    </w:rPr>
                    <w:t>3</w:t>
                  </w:r>
                  <w:r>
                    <w:rPr>
                      <w:rFonts w:hint="default" w:ascii="Times New Roman" w:hAnsi="Times New Roman" w:eastAsia="宋体" w:cs="Times New Roman"/>
                      <w:b w:val="0"/>
                      <w:bCs w:val="0"/>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62" w:type="pct"/>
                  <w:tcBorders>
                    <w:tl2br w:val="nil"/>
                    <w:tr2bl w:val="nil"/>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颗粒物</w:t>
                  </w:r>
                </w:p>
              </w:tc>
              <w:tc>
                <w:tcPr>
                  <w:tcW w:w="3237" w:type="pct"/>
                  <w:tcBorders>
                    <w:tl2br w:val="nil"/>
                    <w:tr2bl w:val="nil"/>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1.0</w:t>
                  </w:r>
                </w:p>
              </w:tc>
            </w:tr>
          </w:tbl>
          <w:p>
            <w:pPr>
              <w:adjustRightInd w:val="0"/>
              <w:snapToGrid w:val="0"/>
              <w:spacing w:line="360" w:lineRule="auto"/>
              <w:ind w:firstLine="480" w:firstLineChars="200"/>
              <w:jc w:val="both"/>
              <w:rPr>
                <w:b w:val="0"/>
                <w:bCs w:val="0"/>
                <w:color w:val="auto"/>
                <w:sz w:val="24"/>
                <w:szCs w:val="24"/>
                <w:highlight w:val="none"/>
              </w:rPr>
            </w:pPr>
            <w:r>
              <w:rPr>
                <w:rFonts w:hint="eastAsia" w:ascii="宋体" w:hAnsi="宋体" w:cs="宋体"/>
                <w:b w:val="0"/>
                <w:bCs w:val="0"/>
                <w:i w:val="0"/>
                <w:iCs w:val="0"/>
                <w:color w:val="auto"/>
                <w:kern w:val="0"/>
                <w:sz w:val="24"/>
                <w:szCs w:val="24"/>
                <w:lang w:val="en-US" w:eastAsia="zh-CN" w:bidi="ar"/>
              </w:rPr>
              <w:t>项目</w:t>
            </w:r>
            <w:r>
              <w:rPr>
                <w:rFonts w:ascii="宋体" w:hAnsi="宋体" w:eastAsia="宋体" w:cs="宋体"/>
                <w:b w:val="0"/>
                <w:bCs w:val="0"/>
                <w:i w:val="0"/>
                <w:iCs w:val="0"/>
                <w:color w:val="auto"/>
                <w:kern w:val="0"/>
                <w:sz w:val="24"/>
                <w:szCs w:val="24"/>
                <w:lang w:val="en-US" w:eastAsia="zh-CN" w:bidi="ar"/>
              </w:rPr>
              <w:t>营运期有组织</w:t>
            </w:r>
            <w:r>
              <w:rPr>
                <w:rFonts w:ascii="TimesNewRomanPSMT" w:hAnsi="TimesNewRomanPSMT" w:eastAsia="TimesNewRomanPSMT" w:cs="TimesNewRomanPSMT"/>
                <w:b w:val="0"/>
                <w:bCs w:val="0"/>
                <w:i w:val="0"/>
                <w:iCs w:val="0"/>
                <w:color w:val="auto"/>
                <w:kern w:val="0"/>
                <w:sz w:val="24"/>
                <w:szCs w:val="24"/>
                <w:lang w:val="en-US" w:eastAsia="zh-CN" w:bidi="ar"/>
              </w:rPr>
              <w:t>VOCs</w:t>
            </w:r>
            <w:r>
              <w:rPr>
                <w:rFonts w:ascii="宋体" w:hAnsi="宋体" w:eastAsia="宋体" w:cs="宋体"/>
                <w:b w:val="0"/>
                <w:bCs w:val="0"/>
                <w:i w:val="0"/>
                <w:iCs w:val="0"/>
                <w:color w:val="auto"/>
                <w:kern w:val="0"/>
                <w:sz w:val="24"/>
                <w:szCs w:val="24"/>
                <w:lang w:val="en-US" w:eastAsia="zh-CN" w:bidi="ar"/>
              </w:rPr>
              <w:t>执行</w:t>
            </w:r>
            <w:r>
              <w:rPr>
                <w:rFonts w:hint="eastAsia" w:ascii="Times New Roman" w:hAnsi="Times New Roman" w:eastAsia="宋体" w:cs="Times New Roman"/>
                <w:color w:val="auto"/>
                <w:sz w:val="24"/>
                <w:lang w:val="en-US" w:eastAsia="zh-CN"/>
              </w:rPr>
              <w:t>《挥发性有机物排放标准 第7部分：其他行业》（DB 37/2801.7-2019）表1中Ⅱ时段排放标准限值；有组织沥青烟执行《大气污染物综合排放标准》（GB16297-1996）表2中二级标准；</w:t>
            </w:r>
            <w:r>
              <w:rPr>
                <w:rFonts w:hint="eastAsia" w:cs="Times New Roman"/>
                <w:color w:val="auto"/>
                <w:sz w:val="24"/>
                <w:lang w:val="en-US" w:eastAsia="zh-CN"/>
              </w:rPr>
              <w:t>RTO助燃废气</w:t>
            </w:r>
            <w:r>
              <w:rPr>
                <w:rFonts w:hint="eastAsia" w:ascii="宋体" w:hAnsi="宋体" w:cs="宋体"/>
                <w:b w:val="0"/>
                <w:bCs w:val="0"/>
                <w:i w:val="0"/>
                <w:iCs w:val="0"/>
                <w:color w:val="auto"/>
                <w:kern w:val="0"/>
                <w:sz w:val="24"/>
                <w:szCs w:val="24"/>
                <w:lang w:val="en-US" w:eastAsia="zh-CN" w:bidi="ar"/>
              </w:rPr>
              <w:t>有组织颗粒物、二氧化硫、氮氧化物执行</w:t>
            </w:r>
            <w:r>
              <w:rPr>
                <w:rFonts w:hint="default" w:ascii="Times New Roman" w:hAnsi="Times New Roman" w:eastAsia="宋体" w:cs="Times New Roman"/>
                <w:color w:val="auto"/>
                <w:sz w:val="24"/>
                <w:szCs w:val="24"/>
              </w:rPr>
              <w:t>《区域性大气污染物综合排放标准》（DB37/2376-2019）中表1中重点控制区大气污染物排放浓度限值</w:t>
            </w:r>
            <w:r>
              <w:rPr>
                <w:rFonts w:ascii="宋体" w:hAnsi="宋体" w:eastAsia="宋体" w:cs="宋体"/>
                <w:b w:val="0"/>
                <w:bCs w:val="0"/>
                <w:i w:val="0"/>
                <w:iCs w:val="0"/>
                <w:color w:val="auto"/>
                <w:kern w:val="0"/>
                <w:sz w:val="24"/>
                <w:szCs w:val="24"/>
                <w:lang w:val="en-US" w:eastAsia="zh-CN" w:bidi="ar"/>
              </w:rPr>
              <w:t>；</w:t>
            </w:r>
            <w:r>
              <w:rPr>
                <w:rFonts w:hint="eastAsia" w:ascii="宋体" w:hAnsi="宋体" w:cs="宋体"/>
                <w:b w:val="0"/>
                <w:bCs w:val="0"/>
                <w:i w:val="0"/>
                <w:iCs w:val="0"/>
                <w:color w:val="auto"/>
                <w:kern w:val="0"/>
                <w:sz w:val="24"/>
                <w:szCs w:val="24"/>
                <w:lang w:val="en-US" w:eastAsia="zh-CN" w:bidi="ar"/>
              </w:rPr>
              <w:t>导热油锅炉及蒸汽锅炉天然气燃烧废气有组织颗粒物、二氧化硫、氮氧化物执行</w:t>
            </w:r>
            <w:r>
              <w:rPr>
                <w:rFonts w:hint="default" w:ascii="Times New Roman" w:hAnsi="Times New Roman" w:eastAsia="宋体" w:cs="Times New Roman"/>
                <w:color w:val="auto"/>
                <w:sz w:val="24"/>
                <w:szCs w:val="24"/>
              </w:rPr>
              <w:t>《锅炉大气污染物排放标准》（DB37/2374-2018）表2大气污染物排放浓度限值重点控制区标准要求及《淄博市锅炉氮氧化物专项整治工作方案》中的标准要求</w:t>
            </w:r>
            <w:r>
              <w:rPr>
                <w:rFonts w:hint="eastAsia" w:cs="Times New Roman"/>
                <w:color w:val="auto"/>
                <w:sz w:val="24"/>
                <w:szCs w:val="24"/>
                <w:lang w:eastAsia="zh-CN"/>
              </w:rPr>
              <w:t>；</w:t>
            </w:r>
            <w:r>
              <w:rPr>
                <w:rFonts w:hint="default" w:ascii="Times New Roman" w:hAnsi="Times New Roman" w:eastAsia="宋体" w:cs="Times New Roman"/>
                <w:b w:val="0"/>
                <w:bCs/>
                <w:color w:val="auto"/>
                <w:sz w:val="24"/>
                <w:szCs w:val="24"/>
                <w:highlight w:val="none"/>
                <w:lang w:val="en-US" w:eastAsia="zh-CN"/>
              </w:rPr>
              <w:t>污水处理站硫化氢、氨气、臭气浓度</w:t>
            </w:r>
            <w:r>
              <w:rPr>
                <w:rFonts w:hint="eastAsia" w:cs="Times New Roman"/>
                <w:b w:val="0"/>
                <w:bCs/>
                <w:color w:val="auto"/>
                <w:sz w:val="24"/>
                <w:szCs w:val="24"/>
                <w:highlight w:val="none"/>
                <w:lang w:val="en-US" w:eastAsia="zh-CN"/>
              </w:rPr>
              <w:t>执行</w:t>
            </w:r>
            <w:r>
              <w:rPr>
                <w:rFonts w:hint="default" w:ascii="Times New Roman" w:hAnsi="Times New Roman" w:cs="Times New Roman"/>
                <w:b w:val="0"/>
                <w:bCs/>
                <w:color w:val="auto"/>
                <w:sz w:val="24"/>
                <w:szCs w:val="24"/>
                <w:highlight w:val="none"/>
                <w:lang w:val="en-US" w:eastAsia="zh-CN"/>
              </w:rPr>
              <w:t>《恶臭污染物排放标准》（GB14554-93）表2恶臭污染物排放标准值要求</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厂界</w:t>
            </w:r>
            <w:r>
              <w:rPr>
                <w:rFonts w:hint="default" w:ascii="Times New Roman" w:hAnsi="Times New Roman" w:eastAsia="宋体" w:cs="Times New Roman"/>
                <w:color w:val="auto"/>
                <w:sz w:val="24"/>
                <w:szCs w:val="24"/>
                <w:lang w:val="en-US" w:eastAsia="zh-CN"/>
              </w:rPr>
              <w:t>无组织VOCs执行</w:t>
            </w:r>
            <w:r>
              <w:rPr>
                <w:rFonts w:hint="eastAsia" w:ascii="Times New Roman" w:hAnsi="Times New Roman" w:eastAsia="宋体" w:cs="Times New Roman"/>
                <w:color w:val="auto"/>
                <w:sz w:val="24"/>
                <w:szCs w:val="24"/>
                <w:lang w:val="en-US" w:eastAsia="zh-CN"/>
              </w:rPr>
              <w:t>《挥发性有机物排放标准 第7部分：其他行业》（DB 37/2801.7-2019）表2厂界监控点浓度限值。</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表3-5 运营期有组织废气污染物排放标准</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299"/>
              <w:gridCol w:w="1250"/>
              <w:gridCol w:w="1202"/>
              <w:gridCol w:w="32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排放源</w:t>
                  </w:r>
                </w:p>
              </w:tc>
              <w:tc>
                <w:tcPr>
                  <w:tcW w:w="789"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污染物</w:t>
                  </w:r>
                </w:p>
              </w:tc>
              <w:tc>
                <w:tcPr>
                  <w:tcW w:w="759"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排放浓度mg/m</w:t>
                  </w:r>
                  <w:r>
                    <w:rPr>
                      <w:rFonts w:hint="eastAsia" w:ascii="Times New Roman" w:hAnsi="Times New Roman" w:eastAsia="宋体" w:cs="Times New Roman"/>
                      <w:b w:val="0"/>
                      <w:bCs w:val="0"/>
                      <w:color w:val="auto"/>
                      <w:sz w:val="21"/>
                      <w:szCs w:val="21"/>
                      <w:vertAlign w:val="superscript"/>
                    </w:rPr>
                    <w:t>3</w:t>
                  </w:r>
                </w:p>
              </w:tc>
              <w:tc>
                <w:tcPr>
                  <w:tcW w:w="730"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排放速率kg/</w:t>
                  </w:r>
                  <w:r>
                    <w:rPr>
                      <w:rFonts w:hint="default" w:ascii="Times New Roman" w:hAnsi="Times New Roman" w:eastAsia="宋体" w:cs="Times New Roman"/>
                      <w:b w:val="0"/>
                      <w:bCs w:val="0"/>
                      <w:color w:val="auto"/>
                      <w:sz w:val="21"/>
                      <w:szCs w:val="21"/>
                    </w:rPr>
                    <w:t>h</w:t>
                  </w:r>
                </w:p>
              </w:tc>
              <w:tc>
                <w:tcPr>
                  <w:tcW w:w="1981"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pct"/>
                  <w:vMerge w:val="restar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color w:val="auto"/>
                      <w:szCs w:val="21"/>
                      <w:lang w:val="en-US" w:eastAsia="zh-CN"/>
                    </w:rPr>
                    <w:t>RTO废气处理装置</w:t>
                  </w:r>
                  <w:r>
                    <w:rPr>
                      <w:rFonts w:hint="eastAsia" w:ascii="Times New Roman" w:hAnsi="Times New Roman"/>
                      <w:color w:val="auto"/>
                    </w:rPr>
                    <w:t>排气筒</w:t>
                  </w:r>
                </w:p>
              </w:tc>
              <w:tc>
                <w:tcPr>
                  <w:tcW w:w="789"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VOCs</w:t>
                  </w:r>
                </w:p>
              </w:tc>
              <w:tc>
                <w:tcPr>
                  <w:tcW w:w="759"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6</w:t>
                  </w:r>
                  <w:r>
                    <w:rPr>
                      <w:rFonts w:hint="default" w:ascii="Times New Roman" w:hAnsi="Times New Roman" w:eastAsia="宋体" w:cs="Times New Roman"/>
                      <w:b w:val="0"/>
                      <w:bCs w:val="0"/>
                      <w:color w:val="auto"/>
                      <w:sz w:val="21"/>
                      <w:szCs w:val="21"/>
                      <w:lang w:val="en-US" w:eastAsia="zh-CN"/>
                    </w:rPr>
                    <w:t>0</w:t>
                  </w:r>
                </w:p>
              </w:tc>
              <w:tc>
                <w:tcPr>
                  <w:tcW w:w="730"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3</w:t>
                  </w:r>
                </w:p>
              </w:tc>
              <w:tc>
                <w:tcPr>
                  <w:tcW w:w="1981"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《挥发性有机物排放标准 第7部分：其他行业》（DB 37/2801.7-2019）表</w:t>
                  </w:r>
                  <w:r>
                    <w:rPr>
                      <w:rFonts w:hint="eastAsia" w:cs="Times New Roman"/>
                      <w:b w:val="0"/>
                      <w:bCs w:val="0"/>
                      <w:color w:val="auto"/>
                      <w:sz w:val="21"/>
                      <w:szCs w:val="21"/>
                      <w:lang w:val="en-US" w:eastAsia="zh-CN"/>
                    </w:rPr>
                    <w:t>1</w:t>
                  </w:r>
                  <w:r>
                    <w:rPr>
                      <w:rFonts w:hint="eastAsia" w:ascii="Times New Roman" w:hAnsi="Times New Roman" w:eastAsia="宋体" w:cs="Times New Roman"/>
                      <w:b w:val="0"/>
                      <w:bCs w:val="0"/>
                      <w:color w:val="auto"/>
                      <w:sz w:val="21"/>
                      <w:szCs w:val="21"/>
                      <w:lang w:val="en-US" w:eastAsia="zh-CN"/>
                    </w:rPr>
                    <w:t>中Ⅱ时段排放标准限值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pct"/>
                  <w:vMerge w:val="continue"/>
                  <w:vAlign w:val="center"/>
                </w:tcPr>
                <w:p>
                  <w:pPr>
                    <w:spacing w:line="360" w:lineRule="exact"/>
                    <w:jc w:val="center"/>
                    <w:rPr>
                      <w:rFonts w:ascii="宋体" w:hAnsi="宋体"/>
                      <w:color w:val="auto"/>
                      <w:kern w:val="0"/>
                      <w:sz w:val="18"/>
                      <w:szCs w:val="18"/>
                    </w:rPr>
                  </w:pPr>
                </w:p>
              </w:tc>
              <w:tc>
                <w:tcPr>
                  <w:tcW w:w="789" w:type="pct"/>
                  <w:vAlign w:val="center"/>
                </w:tcPr>
                <w:p>
                  <w:pPr>
                    <w:widowControl/>
                    <w:adjustRightInd w:val="0"/>
                    <w:snapToGrid w:val="0"/>
                    <w:jc w:val="center"/>
                    <w:rPr>
                      <w:rFonts w:hint="eastAsia" w:ascii="Times New Roman" w:hAnsi="Times New Roman" w:eastAsia="宋体" w:cs="Times New Roman"/>
                      <w:b w:val="0"/>
                      <w:bCs w:val="0"/>
                      <w:color w:val="auto"/>
                      <w:sz w:val="21"/>
                      <w:szCs w:val="21"/>
                    </w:rPr>
                  </w:pPr>
                  <w:r>
                    <w:rPr>
                      <w:rFonts w:hint="eastAsia" w:ascii="Times New Roman" w:hAnsi="Times New Roman" w:cs="Times New Roman"/>
                      <w:color w:val="auto"/>
                      <w:szCs w:val="21"/>
                      <w:lang w:val="en-US" w:eastAsia="zh-CN"/>
                    </w:rPr>
                    <w:t>沥青烟</w:t>
                  </w:r>
                </w:p>
              </w:tc>
              <w:tc>
                <w:tcPr>
                  <w:tcW w:w="759"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40</w:t>
                  </w:r>
                </w:p>
              </w:tc>
              <w:tc>
                <w:tcPr>
                  <w:tcW w:w="730"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1.8</w:t>
                  </w:r>
                </w:p>
              </w:tc>
              <w:tc>
                <w:tcPr>
                  <w:tcW w:w="1981" w:type="pct"/>
                  <w:vAlign w:val="center"/>
                </w:tcPr>
                <w:p>
                  <w:pPr>
                    <w:widowControl/>
                    <w:tabs>
                      <w:tab w:val="left" w:pos="5420"/>
                    </w:tabs>
                    <w:adjustRightInd w:val="0"/>
                    <w:snapToGrid w:val="0"/>
                    <w:jc w:val="center"/>
                    <w:rPr>
                      <w:rFonts w:hint="eastAsia"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《区域性大气污染物综合排放标准》（DB37/2376-2019）中表1中重点控制区大气污染物排放浓度限值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pct"/>
                  <w:vMerge w:val="continue"/>
                  <w:vAlign w:val="center"/>
                </w:tcPr>
                <w:p>
                  <w:pPr>
                    <w:spacing w:line="360" w:lineRule="exact"/>
                    <w:jc w:val="center"/>
                    <w:rPr>
                      <w:rFonts w:ascii="宋体" w:hAnsi="宋体"/>
                      <w:color w:val="auto"/>
                      <w:kern w:val="0"/>
                      <w:sz w:val="18"/>
                      <w:szCs w:val="18"/>
                    </w:rPr>
                  </w:pPr>
                </w:p>
              </w:tc>
              <w:tc>
                <w:tcPr>
                  <w:tcW w:w="789" w:type="pct"/>
                  <w:vAlign w:val="center"/>
                </w:tcPr>
                <w:p>
                  <w:pPr>
                    <w:widowControl/>
                    <w:adjustRightInd w:val="0"/>
                    <w:snapToGrid w:val="0"/>
                    <w:jc w:val="center"/>
                    <w:rPr>
                      <w:rFonts w:hint="eastAsia" w:ascii="Times New Roman" w:hAnsi="Times New Roman" w:eastAsia="宋体" w:cs="Times New Roman"/>
                      <w:b w:val="0"/>
                      <w:bCs w:val="0"/>
                      <w:color w:val="auto"/>
                      <w:sz w:val="21"/>
                      <w:szCs w:val="21"/>
                    </w:rPr>
                  </w:pPr>
                  <w:r>
                    <w:rPr>
                      <w:rFonts w:hint="eastAsia" w:ascii="Times New Roman" w:hAnsi="Times New Roman" w:cs="Times New Roman"/>
                      <w:color w:val="auto"/>
                      <w:szCs w:val="21"/>
                      <w:lang w:val="en-US" w:eastAsia="zh-CN"/>
                    </w:rPr>
                    <w:t>颗粒物</w:t>
                  </w:r>
                </w:p>
              </w:tc>
              <w:tc>
                <w:tcPr>
                  <w:tcW w:w="759"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w:t>
                  </w:r>
                </w:p>
              </w:tc>
              <w:tc>
                <w:tcPr>
                  <w:tcW w:w="730" w:type="pct"/>
                  <w:vAlign w:val="center"/>
                </w:tcPr>
                <w:p>
                  <w:pPr>
                    <w:widowControl/>
                    <w:tabs>
                      <w:tab w:val="left" w:pos="5420"/>
                    </w:tabs>
                    <w:adjustRightInd w:val="0"/>
                    <w:snapToGrid w:val="0"/>
                    <w:jc w:val="center"/>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val="en-US" w:eastAsia="zh-CN"/>
                    </w:rPr>
                    <w:t>/</w:t>
                  </w:r>
                </w:p>
              </w:tc>
              <w:tc>
                <w:tcPr>
                  <w:tcW w:w="1981" w:type="pct"/>
                  <w:vMerge w:val="restar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《区域性大气污染物综合排放标准》（DB37/2376-2019）中表1中重点控制区大气污染物排放浓度限值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pct"/>
                  <w:vMerge w:val="continue"/>
                  <w:vAlign w:val="center"/>
                </w:tcPr>
                <w:p>
                  <w:pPr>
                    <w:spacing w:line="360" w:lineRule="exact"/>
                    <w:jc w:val="center"/>
                    <w:rPr>
                      <w:rFonts w:ascii="宋体" w:hAnsi="宋体"/>
                      <w:color w:val="auto"/>
                      <w:kern w:val="0"/>
                      <w:sz w:val="18"/>
                      <w:szCs w:val="18"/>
                    </w:rPr>
                  </w:pPr>
                </w:p>
              </w:tc>
              <w:tc>
                <w:tcPr>
                  <w:tcW w:w="789" w:type="pct"/>
                  <w:vAlign w:val="center"/>
                </w:tcPr>
                <w:p>
                  <w:pPr>
                    <w:widowControl/>
                    <w:adjustRightInd w:val="0"/>
                    <w:snapToGrid w:val="0"/>
                    <w:jc w:val="center"/>
                    <w:rPr>
                      <w:rFonts w:hint="eastAsia" w:ascii="Times New Roman" w:hAnsi="Times New Roman" w:eastAsia="宋体" w:cs="Times New Roman"/>
                      <w:b w:val="0"/>
                      <w:bCs w:val="0"/>
                      <w:color w:val="auto"/>
                      <w:sz w:val="21"/>
                      <w:szCs w:val="21"/>
                    </w:rPr>
                  </w:pPr>
                  <w:r>
                    <w:rPr>
                      <w:rFonts w:hint="eastAsia" w:ascii="Times New Roman" w:hAnsi="Times New Roman" w:cs="Times New Roman"/>
                      <w:color w:val="auto"/>
                      <w:szCs w:val="21"/>
                      <w:lang w:val="en-US" w:eastAsia="zh-CN"/>
                    </w:rPr>
                    <w:t>二氧化硫</w:t>
                  </w:r>
                </w:p>
              </w:tc>
              <w:tc>
                <w:tcPr>
                  <w:tcW w:w="759"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50</w:t>
                  </w:r>
                </w:p>
              </w:tc>
              <w:tc>
                <w:tcPr>
                  <w:tcW w:w="730" w:type="pct"/>
                  <w:vAlign w:val="center"/>
                </w:tcPr>
                <w:p>
                  <w:pPr>
                    <w:widowControl/>
                    <w:tabs>
                      <w:tab w:val="left" w:pos="5420"/>
                    </w:tabs>
                    <w:adjustRightInd w:val="0"/>
                    <w:snapToGrid w:val="0"/>
                    <w:jc w:val="center"/>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val="en-US" w:eastAsia="zh-CN"/>
                    </w:rPr>
                    <w:t>/</w:t>
                  </w:r>
                </w:p>
              </w:tc>
              <w:tc>
                <w:tcPr>
                  <w:tcW w:w="1981" w:type="pct"/>
                  <w:vMerge w:val="continue"/>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pct"/>
                  <w:vMerge w:val="continue"/>
                  <w:vAlign w:val="center"/>
                </w:tcPr>
                <w:p>
                  <w:pPr>
                    <w:spacing w:line="360" w:lineRule="exact"/>
                    <w:jc w:val="center"/>
                    <w:rPr>
                      <w:rFonts w:ascii="宋体" w:hAnsi="宋体"/>
                      <w:color w:val="auto"/>
                      <w:kern w:val="0"/>
                      <w:sz w:val="18"/>
                      <w:szCs w:val="18"/>
                    </w:rPr>
                  </w:pPr>
                </w:p>
              </w:tc>
              <w:tc>
                <w:tcPr>
                  <w:tcW w:w="789" w:type="pct"/>
                  <w:vAlign w:val="center"/>
                </w:tcPr>
                <w:p>
                  <w:pPr>
                    <w:widowControl/>
                    <w:adjustRightInd w:val="0"/>
                    <w:snapToGrid w:val="0"/>
                    <w:jc w:val="center"/>
                    <w:rPr>
                      <w:rFonts w:hint="eastAsia" w:ascii="Times New Roman" w:hAnsi="Times New Roman" w:eastAsia="宋体" w:cs="Times New Roman"/>
                      <w:b w:val="0"/>
                      <w:bCs w:val="0"/>
                      <w:color w:val="auto"/>
                      <w:sz w:val="21"/>
                      <w:szCs w:val="21"/>
                    </w:rPr>
                  </w:pPr>
                  <w:r>
                    <w:rPr>
                      <w:rFonts w:hint="eastAsia" w:ascii="Times New Roman" w:hAnsi="Times New Roman" w:cs="Times New Roman"/>
                      <w:color w:val="auto"/>
                      <w:szCs w:val="21"/>
                      <w:lang w:val="en-US" w:eastAsia="zh-CN"/>
                    </w:rPr>
                    <w:t>氮氧化物</w:t>
                  </w:r>
                </w:p>
              </w:tc>
              <w:tc>
                <w:tcPr>
                  <w:tcW w:w="759"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100</w:t>
                  </w:r>
                </w:p>
              </w:tc>
              <w:tc>
                <w:tcPr>
                  <w:tcW w:w="730" w:type="pct"/>
                  <w:vAlign w:val="center"/>
                </w:tcPr>
                <w:p>
                  <w:pPr>
                    <w:widowControl/>
                    <w:tabs>
                      <w:tab w:val="left" w:pos="5420"/>
                    </w:tabs>
                    <w:adjustRightInd w:val="0"/>
                    <w:snapToGrid w:val="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1981" w:type="pct"/>
                  <w:vMerge w:val="continue"/>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pct"/>
                  <w:vMerge w:val="restart"/>
                  <w:vAlign w:val="center"/>
                </w:tcPr>
                <w:p>
                  <w:pPr>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olor w:val="auto"/>
                      <w:lang w:val="en-US" w:eastAsia="zh-CN"/>
                    </w:rPr>
                    <w:t>导热油锅炉</w:t>
                  </w:r>
                  <w:r>
                    <w:rPr>
                      <w:rFonts w:hint="eastAsia" w:ascii="Times New Roman" w:hAnsi="Times New Roman"/>
                      <w:color w:val="auto"/>
                    </w:rPr>
                    <w:t>排气筒</w:t>
                  </w:r>
                  <w:r>
                    <w:rPr>
                      <w:rFonts w:hint="eastAsia" w:ascii="Times New Roman" w:hAnsi="Times New Roman"/>
                      <w:color w:val="auto"/>
                      <w:lang w:eastAsia="zh-CN"/>
                    </w:rPr>
                    <w:t>、</w:t>
                  </w:r>
                  <w:r>
                    <w:rPr>
                      <w:rFonts w:hint="eastAsia" w:ascii="Times New Roman" w:hAnsi="Times New Roman"/>
                      <w:color w:val="auto"/>
                      <w:lang w:val="en-US" w:eastAsia="zh-CN"/>
                    </w:rPr>
                    <w:t>蒸汽锅炉</w:t>
                  </w:r>
                  <w:r>
                    <w:rPr>
                      <w:rFonts w:hint="eastAsia" w:ascii="Times New Roman" w:hAnsi="Times New Roman"/>
                      <w:color w:val="auto"/>
                    </w:rPr>
                    <w:t>排气筒</w:t>
                  </w:r>
                </w:p>
              </w:tc>
              <w:tc>
                <w:tcPr>
                  <w:tcW w:w="789" w:type="pct"/>
                  <w:vAlign w:val="center"/>
                </w:tcPr>
                <w:p>
                  <w:pPr>
                    <w:widowControl/>
                    <w:adjustRightInd w:val="0"/>
                    <w:snapToGrid w:val="0"/>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颗粒物</w:t>
                  </w:r>
                </w:p>
              </w:tc>
              <w:tc>
                <w:tcPr>
                  <w:tcW w:w="759" w:type="pct"/>
                  <w:vAlign w:val="center"/>
                </w:tcPr>
                <w:p>
                  <w:pPr>
                    <w:widowControl/>
                    <w:tabs>
                      <w:tab w:val="left" w:pos="5420"/>
                    </w:tabs>
                    <w:adjustRightInd w:val="0"/>
                    <w:snapToGrid w:val="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10</w:t>
                  </w:r>
                </w:p>
              </w:tc>
              <w:tc>
                <w:tcPr>
                  <w:tcW w:w="730" w:type="pct"/>
                  <w:vAlign w:val="center"/>
                </w:tcPr>
                <w:p>
                  <w:pPr>
                    <w:widowControl/>
                    <w:tabs>
                      <w:tab w:val="left" w:pos="5420"/>
                    </w:tabs>
                    <w:adjustRightInd w:val="0"/>
                    <w:snapToGrid w:val="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w:t>
                  </w:r>
                </w:p>
              </w:tc>
              <w:tc>
                <w:tcPr>
                  <w:tcW w:w="1981" w:type="pct"/>
                  <w:vMerge w:val="restar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《锅炉大气污染物排放标准》（DB37/2374-2018）表2大气污染物排放浓度限值重点控制区标准要求及《淄博市锅炉氮氧化物专项整治工作方案》中的标准要求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pct"/>
                  <w:vMerge w:val="continue"/>
                  <w:vAlign w:val="center"/>
                </w:tcPr>
                <w:p>
                  <w:pPr>
                    <w:spacing w:line="240" w:lineRule="atLeast"/>
                    <w:jc w:val="center"/>
                    <w:rPr>
                      <w:rFonts w:hint="eastAsia" w:ascii="Times New Roman" w:hAnsi="Times New Roman" w:eastAsia="宋体" w:cs="Times New Roman"/>
                      <w:color w:val="auto"/>
                      <w:kern w:val="2"/>
                      <w:sz w:val="21"/>
                      <w:szCs w:val="21"/>
                      <w:lang w:val="en-US" w:eastAsia="zh-CN" w:bidi="ar-SA"/>
                    </w:rPr>
                  </w:pPr>
                </w:p>
              </w:tc>
              <w:tc>
                <w:tcPr>
                  <w:tcW w:w="789" w:type="pct"/>
                  <w:vAlign w:val="center"/>
                </w:tcPr>
                <w:p>
                  <w:pPr>
                    <w:widowControl/>
                    <w:adjustRightInd w:val="0"/>
                    <w:snapToGrid w:val="0"/>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二氧化硫</w:t>
                  </w:r>
                </w:p>
              </w:tc>
              <w:tc>
                <w:tcPr>
                  <w:tcW w:w="759" w:type="pct"/>
                  <w:vAlign w:val="center"/>
                </w:tcPr>
                <w:p>
                  <w:pPr>
                    <w:widowControl/>
                    <w:tabs>
                      <w:tab w:val="left" w:pos="5420"/>
                    </w:tabs>
                    <w:adjustRightInd w:val="0"/>
                    <w:snapToGrid w:val="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50</w:t>
                  </w:r>
                </w:p>
              </w:tc>
              <w:tc>
                <w:tcPr>
                  <w:tcW w:w="730" w:type="pct"/>
                  <w:vAlign w:val="center"/>
                </w:tcPr>
                <w:p>
                  <w:pPr>
                    <w:widowControl/>
                    <w:tabs>
                      <w:tab w:val="left" w:pos="5420"/>
                    </w:tabs>
                    <w:adjustRightInd w:val="0"/>
                    <w:snapToGrid w:val="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w:t>
                  </w:r>
                </w:p>
              </w:tc>
              <w:tc>
                <w:tcPr>
                  <w:tcW w:w="1981" w:type="pct"/>
                  <w:vMerge w:val="continue"/>
                  <w:vAlign w:val="center"/>
                </w:tcPr>
                <w:p>
                  <w:pPr>
                    <w:spacing w:line="360" w:lineRule="exact"/>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pct"/>
                  <w:vMerge w:val="continue"/>
                  <w:vAlign w:val="center"/>
                </w:tcPr>
                <w:p>
                  <w:pPr>
                    <w:spacing w:line="360" w:lineRule="exact"/>
                    <w:jc w:val="center"/>
                    <w:rPr>
                      <w:rFonts w:ascii="宋体" w:hAnsi="宋体"/>
                      <w:color w:val="auto"/>
                      <w:kern w:val="0"/>
                      <w:sz w:val="18"/>
                      <w:szCs w:val="18"/>
                    </w:rPr>
                  </w:pPr>
                </w:p>
              </w:tc>
              <w:tc>
                <w:tcPr>
                  <w:tcW w:w="789" w:type="pct"/>
                  <w:vAlign w:val="center"/>
                </w:tcPr>
                <w:p>
                  <w:pPr>
                    <w:widowControl/>
                    <w:adjustRightInd w:val="0"/>
                    <w:snapToGrid w:val="0"/>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氮氧化物</w:t>
                  </w:r>
                </w:p>
              </w:tc>
              <w:tc>
                <w:tcPr>
                  <w:tcW w:w="759" w:type="pct"/>
                  <w:vAlign w:val="center"/>
                </w:tcPr>
                <w:p>
                  <w:pPr>
                    <w:widowControl/>
                    <w:tabs>
                      <w:tab w:val="left" w:pos="5420"/>
                    </w:tabs>
                    <w:adjustRightInd w:val="0"/>
                    <w:snapToGrid w:val="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50</w:t>
                  </w:r>
                </w:p>
              </w:tc>
              <w:tc>
                <w:tcPr>
                  <w:tcW w:w="730" w:type="pct"/>
                  <w:vAlign w:val="center"/>
                </w:tcPr>
                <w:p>
                  <w:pPr>
                    <w:widowControl/>
                    <w:tabs>
                      <w:tab w:val="left" w:pos="5420"/>
                    </w:tabs>
                    <w:adjustRightInd w:val="0"/>
                    <w:snapToGrid w:val="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w:t>
                  </w:r>
                </w:p>
              </w:tc>
              <w:tc>
                <w:tcPr>
                  <w:tcW w:w="1981" w:type="pct"/>
                  <w:vMerge w:val="continue"/>
                  <w:vAlign w:val="center"/>
                </w:tcPr>
                <w:p>
                  <w:pPr>
                    <w:spacing w:line="360" w:lineRule="exact"/>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pct"/>
                  <w:vMerge w:val="restart"/>
                  <w:vAlign w:val="center"/>
                </w:tcPr>
                <w:p>
                  <w:pPr>
                    <w:spacing w:line="360" w:lineRule="exact"/>
                    <w:jc w:val="center"/>
                    <w:rPr>
                      <w:rFonts w:ascii="宋体" w:hAnsi="宋体"/>
                      <w:color w:val="auto"/>
                      <w:kern w:val="0"/>
                      <w:sz w:val="18"/>
                      <w:szCs w:val="18"/>
                    </w:rPr>
                  </w:pPr>
                  <w:r>
                    <w:rPr>
                      <w:rFonts w:hint="default" w:ascii="Times New Roman" w:hAnsi="Times New Roman" w:eastAsia="宋体" w:cs="Times New Roman"/>
                      <w:color w:val="auto"/>
                      <w:lang w:val="en-US" w:eastAsia="zh-CN"/>
                    </w:rPr>
                    <w:t>生物滤塔</w:t>
                  </w:r>
                  <w:r>
                    <w:rPr>
                      <w:rFonts w:hint="eastAsia" w:ascii="Times New Roman" w:hAnsi="Times New Roman" w:eastAsia="宋体" w:cs="Times New Roman"/>
                      <w:color w:val="auto"/>
                    </w:rPr>
                    <w:t>排气筒</w:t>
                  </w:r>
                </w:p>
              </w:tc>
              <w:tc>
                <w:tcPr>
                  <w:tcW w:w="789" w:type="pct"/>
                  <w:vAlign w:val="center"/>
                </w:tcPr>
                <w:p>
                  <w:pPr>
                    <w:widowControl/>
                    <w:adjustRightInd w:val="0"/>
                    <w:snapToGrid w:val="0"/>
                    <w:jc w:val="center"/>
                    <w:rPr>
                      <w:rFonts w:hint="eastAsia" w:ascii="Times New Roman" w:hAnsi="Times New Roman" w:cs="Times New Roman"/>
                      <w:color w:val="auto"/>
                      <w:szCs w:val="21"/>
                      <w:lang w:val="en-US" w:eastAsia="zh-CN"/>
                    </w:rPr>
                  </w:pPr>
                  <w:r>
                    <w:rPr>
                      <w:rFonts w:hint="eastAsia" w:cs="Times New Roman"/>
                      <w:color w:val="auto"/>
                      <w:szCs w:val="21"/>
                      <w:lang w:val="en-US" w:eastAsia="zh-CN"/>
                    </w:rPr>
                    <w:t>氨</w:t>
                  </w:r>
                </w:p>
              </w:tc>
              <w:tc>
                <w:tcPr>
                  <w:tcW w:w="759" w:type="pct"/>
                  <w:vAlign w:val="center"/>
                </w:tcPr>
                <w:p>
                  <w:pPr>
                    <w:widowControl/>
                    <w:tabs>
                      <w:tab w:val="left" w:pos="5420"/>
                    </w:tabs>
                    <w:adjustRightInd w:val="0"/>
                    <w:snapToGrid w:val="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w:t>
                  </w:r>
                </w:p>
              </w:tc>
              <w:tc>
                <w:tcPr>
                  <w:tcW w:w="730"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4.9</w:t>
                  </w:r>
                </w:p>
              </w:tc>
              <w:tc>
                <w:tcPr>
                  <w:tcW w:w="1981" w:type="pct"/>
                  <w:vMerge w:val="restart"/>
                  <w:vAlign w:val="center"/>
                </w:tcPr>
                <w:p>
                  <w:pPr>
                    <w:spacing w:line="360" w:lineRule="exact"/>
                    <w:jc w:val="center"/>
                    <w:rPr>
                      <w:rFonts w:ascii="宋体" w:hAnsi="宋体"/>
                      <w:color w:val="auto"/>
                      <w:sz w:val="18"/>
                      <w:szCs w:val="18"/>
                    </w:rPr>
                  </w:pPr>
                  <w:r>
                    <w:rPr>
                      <w:rFonts w:hint="default" w:ascii="Times New Roman" w:hAnsi="Times New Roman" w:eastAsia="宋体" w:cs="Times New Roman"/>
                      <w:b w:val="0"/>
                      <w:bCs w:val="0"/>
                      <w:color w:val="auto"/>
                      <w:sz w:val="21"/>
                      <w:szCs w:val="21"/>
                      <w:lang w:val="en-US" w:eastAsia="zh-CN"/>
                    </w:rPr>
                    <w:t>《恶臭污染物排放标准》（GB14554-93）表2恶臭污染物排放标准值要求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pct"/>
                  <w:vMerge w:val="continue"/>
                  <w:vAlign w:val="center"/>
                </w:tcPr>
                <w:p>
                  <w:pPr>
                    <w:spacing w:line="360" w:lineRule="exact"/>
                    <w:jc w:val="center"/>
                    <w:rPr>
                      <w:rFonts w:ascii="宋体" w:hAnsi="宋体"/>
                      <w:color w:val="auto"/>
                      <w:kern w:val="0"/>
                      <w:sz w:val="18"/>
                      <w:szCs w:val="18"/>
                    </w:rPr>
                  </w:pPr>
                </w:p>
              </w:tc>
              <w:tc>
                <w:tcPr>
                  <w:tcW w:w="789" w:type="pct"/>
                  <w:vAlign w:val="center"/>
                </w:tcPr>
                <w:p>
                  <w:pPr>
                    <w:widowControl/>
                    <w:adjustRightInd w:val="0"/>
                    <w:snapToGrid w:val="0"/>
                    <w:jc w:val="center"/>
                    <w:rPr>
                      <w:rFonts w:hint="eastAsia" w:ascii="Times New Roman" w:hAnsi="Times New Roman" w:cs="Times New Roman"/>
                      <w:color w:val="auto"/>
                      <w:szCs w:val="21"/>
                      <w:lang w:val="en-US" w:eastAsia="zh-CN"/>
                    </w:rPr>
                  </w:pPr>
                  <w:r>
                    <w:rPr>
                      <w:rFonts w:hint="eastAsia" w:cs="Times New Roman"/>
                      <w:color w:val="auto"/>
                      <w:szCs w:val="21"/>
                      <w:lang w:val="en-US" w:eastAsia="zh-CN"/>
                    </w:rPr>
                    <w:t>硫化氢</w:t>
                  </w:r>
                </w:p>
              </w:tc>
              <w:tc>
                <w:tcPr>
                  <w:tcW w:w="759" w:type="pct"/>
                  <w:vAlign w:val="center"/>
                </w:tcPr>
                <w:p>
                  <w:pPr>
                    <w:widowControl/>
                    <w:tabs>
                      <w:tab w:val="left" w:pos="5420"/>
                    </w:tabs>
                    <w:adjustRightInd w:val="0"/>
                    <w:snapToGrid w:val="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w:t>
                  </w:r>
                </w:p>
              </w:tc>
              <w:tc>
                <w:tcPr>
                  <w:tcW w:w="730" w:type="pct"/>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0.33</w:t>
                  </w:r>
                </w:p>
              </w:tc>
              <w:tc>
                <w:tcPr>
                  <w:tcW w:w="1981" w:type="pct"/>
                  <w:vMerge w:val="continue"/>
                  <w:vAlign w:val="center"/>
                </w:tcPr>
                <w:p>
                  <w:pPr>
                    <w:spacing w:line="360" w:lineRule="exact"/>
                    <w:jc w:val="center"/>
                    <w:rPr>
                      <w:rFonts w:ascii="宋体" w:hAnsi="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9" w:type="pct"/>
                  <w:vMerge w:val="continue"/>
                  <w:vAlign w:val="center"/>
                </w:tcPr>
                <w:p>
                  <w:pPr>
                    <w:spacing w:line="360" w:lineRule="exact"/>
                    <w:jc w:val="center"/>
                    <w:rPr>
                      <w:rFonts w:ascii="宋体" w:hAnsi="宋体"/>
                      <w:color w:val="auto"/>
                      <w:kern w:val="0"/>
                      <w:sz w:val="18"/>
                      <w:szCs w:val="18"/>
                    </w:rPr>
                  </w:pPr>
                </w:p>
              </w:tc>
              <w:tc>
                <w:tcPr>
                  <w:tcW w:w="789" w:type="pct"/>
                  <w:vAlign w:val="center"/>
                </w:tcPr>
                <w:p>
                  <w:pPr>
                    <w:widowControl/>
                    <w:adjustRightInd w:val="0"/>
                    <w:snapToGrid w:val="0"/>
                    <w:jc w:val="center"/>
                    <w:rPr>
                      <w:rFonts w:hint="eastAsia" w:ascii="Times New Roman" w:hAnsi="Times New Roman" w:cs="Times New Roman"/>
                      <w:color w:val="auto"/>
                      <w:szCs w:val="21"/>
                      <w:lang w:val="en-US" w:eastAsia="zh-CN"/>
                    </w:rPr>
                  </w:pPr>
                  <w:r>
                    <w:rPr>
                      <w:rFonts w:hint="eastAsia" w:cs="Times New Roman"/>
                      <w:color w:val="auto"/>
                      <w:szCs w:val="21"/>
                      <w:lang w:val="en-US" w:eastAsia="zh-CN"/>
                    </w:rPr>
                    <w:t>臭气浓度</w:t>
                  </w:r>
                </w:p>
              </w:tc>
              <w:tc>
                <w:tcPr>
                  <w:tcW w:w="1489" w:type="pct"/>
                  <w:gridSpan w:val="2"/>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2000（无量纲）</w:t>
                  </w:r>
                </w:p>
              </w:tc>
              <w:tc>
                <w:tcPr>
                  <w:tcW w:w="1981" w:type="pct"/>
                  <w:vMerge w:val="continue"/>
                  <w:vAlign w:val="center"/>
                </w:tcPr>
                <w:p>
                  <w:pPr>
                    <w:spacing w:line="360" w:lineRule="exact"/>
                    <w:jc w:val="center"/>
                    <w:rPr>
                      <w:rFonts w:ascii="宋体" w:hAnsi="宋体"/>
                      <w:color w:val="auto"/>
                      <w:sz w:val="18"/>
                      <w:szCs w:val="18"/>
                    </w:rPr>
                  </w:pP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表3-6 运营期无组织废气污染物排放标准   单位：mg/m</w:t>
            </w:r>
            <w:r>
              <w:rPr>
                <w:rFonts w:hint="eastAsia" w:ascii="Times New Roman" w:hAnsi="Times New Roman" w:eastAsia="黑体" w:cs="Times New Roman"/>
                <w:b w:val="0"/>
                <w:bCs w:val="0"/>
                <w:color w:val="auto"/>
                <w:kern w:val="0"/>
                <w:sz w:val="24"/>
                <w:szCs w:val="24"/>
                <w:vertAlign w:val="superscript"/>
                <w:lang w:val="en-US" w:eastAsia="zh-CN"/>
              </w:rPr>
              <w:t>3</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6"/>
              <w:gridCol w:w="901"/>
              <w:gridCol w:w="59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54" w:type="pct"/>
                  <w:vAlign w:val="center"/>
                </w:tcPr>
                <w:p>
                  <w:pPr>
                    <w:widowControl/>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污染物项目</w:t>
                  </w:r>
                </w:p>
              </w:tc>
              <w:tc>
                <w:tcPr>
                  <w:tcW w:w="547" w:type="pct"/>
                  <w:vAlign w:val="center"/>
                </w:tcPr>
                <w:p>
                  <w:pPr>
                    <w:widowControl/>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限值</w:t>
                  </w:r>
                </w:p>
              </w:tc>
              <w:tc>
                <w:tcPr>
                  <w:tcW w:w="3597" w:type="pct"/>
                  <w:vAlign w:val="center"/>
                </w:tcPr>
                <w:p>
                  <w:pPr>
                    <w:widowControl/>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4" w:type="pct"/>
                  <w:vAlign w:val="center"/>
                </w:tcPr>
                <w:p>
                  <w:pPr>
                    <w:widowControl/>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VOCs</w:t>
                  </w:r>
                </w:p>
              </w:tc>
              <w:tc>
                <w:tcPr>
                  <w:tcW w:w="547" w:type="pct"/>
                  <w:vAlign w:val="center"/>
                </w:tcPr>
                <w:p>
                  <w:pPr>
                    <w:widowControl/>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2.0</w:t>
                  </w:r>
                </w:p>
              </w:tc>
              <w:tc>
                <w:tcPr>
                  <w:tcW w:w="3597" w:type="pct"/>
                  <w:vAlign w:val="center"/>
                </w:tcPr>
                <w:p>
                  <w:pPr>
                    <w:widowControl/>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《挥发性有机物排放标准 第7部分：其他行业》（DB 37/ 2801.7-2019）表2厂界监控点浓度限值</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2、废水</w:t>
            </w:r>
          </w:p>
          <w:p>
            <w:pPr>
              <w:adjustRightInd w:val="0"/>
              <w:snapToGrid w:val="0"/>
              <w:spacing w:line="360" w:lineRule="auto"/>
              <w:ind w:firstLine="480" w:firstLineChars="200"/>
              <w:jc w:val="both"/>
              <w:rPr>
                <w:color w:val="auto"/>
                <w:sz w:val="24"/>
              </w:rPr>
            </w:pPr>
            <w:r>
              <w:rPr>
                <w:color w:val="auto"/>
                <w:sz w:val="24"/>
              </w:rPr>
              <w:t>项目营运期</w:t>
            </w:r>
            <w:r>
              <w:rPr>
                <w:rFonts w:hint="eastAsia"/>
                <w:color w:val="auto"/>
                <w:sz w:val="24"/>
                <w:lang w:eastAsia="zh-CN"/>
              </w:rPr>
              <w:t>废水执行</w:t>
            </w:r>
            <w:r>
              <w:rPr>
                <w:rFonts w:hint="eastAsia" w:ascii="Times New Roman" w:hAnsi="Times New Roman" w:eastAsia="宋体" w:cs="Times New Roman"/>
                <w:b w:val="0"/>
                <w:bCs w:val="0"/>
                <w:color w:val="auto"/>
                <w:sz w:val="24"/>
                <w:szCs w:val="24"/>
                <w:lang w:val="en-US" w:eastAsia="zh-CN"/>
              </w:rPr>
              <w:t>《城市污水再生利用 工业用水水质》（GBT19923-2005）</w:t>
            </w:r>
            <w:r>
              <w:rPr>
                <w:color w:val="auto"/>
                <w:sz w:val="24"/>
              </w:rPr>
              <w:t>。</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w:t>
            </w:r>
            <w:r>
              <w:rPr>
                <w:rFonts w:hint="default" w:ascii="Times New Roman" w:hAnsi="Times New Roman" w:eastAsia="黑体" w:cs="Times New Roman"/>
                <w:b w:val="0"/>
                <w:bCs w:val="0"/>
                <w:color w:val="auto"/>
                <w:kern w:val="0"/>
                <w:sz w:val="24"/>
                <w:szCs w:val="24"/>
                <w:lang w:val="en-US" w:eastAsia="zh-CN"/>
              </w:rPr>
              <w:t>3-</w:t>
            </w:r>
            <w:r>
              <w:rPr>
                <w:rFonts w:hint="eastAsia" w:eastAsia="黑体" w:cs="Times New Roman"/>
                <w:b w:val="0"/>
                <w:bCs w:val="0"/>
                <w:color w:val="auto"/>
                <w:kern w:val="0"/>
                <w:sz w:val="24"/>
                <w:szCs w:val="24"/>
                <w:lang w:val="en-US" w:eastAsia="zh-CN"/>
              </w:rPr>
              <w:t>7</w:t>
            </w:r>
            <w:r>
              <w:rPr>
                <w:rFonts w:hint="eastAsia" w:ascii="Times New Roman" w:hAnsi="Times New Roman" w:eastAsia="黑体" w:cs="Times New Roman"/>
                <w:b w:val="0"/>
                <w:bCs w:val="0"/>
                <w:color w:val="auto"/>
                <w:kern w:val="0"/>
                <w:sz w:val="24"/>
                <w:szCs w:val="24"/>
                <w:lang w:val="en-US" w:eastAsia="zh-CN"/>
              </w:rPr>
              <w:t xml:space="preserve"> 《城市污水再生利用 工业用水水质》（GBT19923-2005）</w:t>
            </w:r>
          </w:p>
          <w:tbl>
            <w:tblPr>
              <w:tblStyle w:val="26"/>
              <w:tblW w:w="4973" w:type="pct"/>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409"/>
              <w:gridCol w:w="3237"/>
              <w:gridCol w:w="3523"/>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ascii="Times New Roman" w:hAnsi="Times New Roman" w:eastAsia="宋体" w:cs="Times New Roman"/>
                      <w:b w:val="0"/>
                      <w:bCs w:val="0"/>
                      <w:color w:val="auto"/>
                      <w:kern w:val="2"/>
                      <w:sz w:val="21"/>
                      <w:szCs w:val="21"/>
                      <w:lang w:val="en-US" w:eastAsia="zh-CN" w:bidi="ar-SA"/>
                    </w:rPr>
                  </w:pPr>
                  <w:r>
                    <w:rPr>
                      <w:rFonts w:ascii="Times New Roman" w:hAnsi="Times New Roman" w:eastAsia="宋体" w:cs="Times New Roman"/>
                      <w:b w:val="0"/>
                      <w:bCs w:val="0"/>
                      <w:color w:val="auto"/>
                      <w:sz w:val="21"/>
                      <w:szCs w:val="21"/>
                    </w:rPr>
                    <w:t>序号</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kern w:val="2"/>
                      <w:sz w:val="21"/>
                      <w:szCs w:val="21"/>
                      <w:lang w:val="en-US" w:eastAsia="zh-CN" w:bidi="ar-SA"/>
                    </w:rPr>
                  </w:pPr>
                  <w:r>
                    <w:rPr>
                      <w:rFonts w:ascii="Times New Roman" w:hAnsi="Times New Roman" w:eastAsia="宋体" w:cs="Times New Roman"/>
                      <w:b w:val="0"/>
                      <w:bCs w:val="0"/>
                      <w:color w:val="auto"/>
                      <w:sz w:val="21"/>
                      <w:szCs w:val="21"/>
                    </w:rPr>
                    <w:t>项目</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kern w:val="2"/>
                      <w:sz w:val="21"/>
                      <w:szCs w:val="21"/>
                      <w:lang w:val="en-US" w:eastAsia="zh-CN" w:bidi="ar-SA"/>
                    </w:rPr>
                  </w:pPr>
                  <w:r>
                    <w:rPr>
                      <w:rFonts w:ascii="Times New Roman" w:hAnsi="Times New Roman" w:eastAsia="宋体" w:cs="Times New Roman"/>
                      <w:b w:val="0"/>
                      <w:bCs w:val="0"/>
                      <w:color w:val="auto"/>
                      <w:sz w:val="21"/>
                      <w:szCs w:val="21"/>
                    </w:rPr>
                    <w:t>数值</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ascii="Times New Roman" w:hAnsi="Times New Roman" w:eastAsia="宋体" w:cs="Times New Roman"/>
                      <w:b w:val="0"/>
                      <w:bCs w:val="0"/>
                      <w:color w:val="auto"/>
                      <w:kern w:val="2"/>
                      <w:sz w:val="21"/>
                      <w:szCs w:val="21"/>
                      <w:lang w:val="en-US" w:eastAsia="zh-CN" w:bidi="ar-SA"/>
                    </w:rPr>
                  </w:pPr>
                  <w:r>
                    <w:rPr>
                      <w:rFonts w:ascii="Times New Roman" w:hAnsi="Times New Roman" w:eastAsia="宋体" w:cs="Times New Roman"/>
                      <w:b w:val="0"/>
                      <w:bCs w:val="0"/>
                      <w:color w:val="auto"/>
                      <w:sz w:val="21"/>
                      <w:szCs w:val="21"/>
                    </w:rPr>
                    <w:t>1</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kern w:val="2"/>
                      <w:sz w:val="21"/>
                      <w:szCs w:val="21"/>
                      <w:lang w:val="en-US" w:eastAsia="zh-CN" w:bidi="ar-SA"/>
                    </w:rPr>
                  </w:pPr>
                  <w:r>
                    <w:rPr>
                      <w:rFonts w:ascii="Times New Roman" w:hAnsi="Times New Roman" w:eastAsia="宋体" w:cs="Times New Roman"/>
                      <w:b w:val="0"/>
                      <w:bCs w:val="0"/>
                      <w:color w:val="auto"/>
                      <w:sz w:val="21"/>
                      <w:szCs w:val="21"/>
                    </w:rPr>
                    <w:t>CODCr</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rPr>
                    <w:t>≤</w:t>
                  </w:r>
                  <w:r>
                    <w:rPr>
                      <w:rFonts w:hint="eastAsia" w:ascii="Times New Roman" w:hAnsi="Times New Roman" w:eastAsia="宋体" w:cs="Times New Roman"/>
                      <w:b w:val="0"/>
                      <w:bCs w:val="0"/>
                      <w:color w:val="auto"/>
                      <w:sz w:val="21"/>
                      <w:szCs w:val="21"/>
                      <w:lang w:val="en-US" w:eastAsia="zh-CN"/>
                    </w:rPr>
                    <w:t>6</w:t>
                  </w:r>
                  <w:r>
                    <w:rPr>
                      <w:rFonts w:ascii="Times New Roman" w:hAnsi="Times New Roman" w:eastAsia="宋体" w:cs="Times New Roman"/>
                      <w:b w:val="0"/>
                      <w:bCs w:val="0"/>
                      <w:color w:val="auto"/>
                      <w:sz w:val="21"/>
                      <w:szCs w:val="21"/>
                    </w:rPr>
                    <w:t>0mg/L</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val="en-US" w:eastAsia="zh-CN"/>
                    </w:rPr>
                    <w:t>2</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SS</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w:t>
                  </w:r>
                  <w:r>
                    <w:rPr>
                      <w:rFonts w:hint="eastAsia" w:cs="Times New Roman"/>
                      <w:b w:val="0"/>
                      <w:bCs w:val="0"/>
                      <w:color w:val="auto"/>
                      <w:sz w:val="21"/>
                      <w:szCs w:val="21"/>
                      <w:lang w:val="en-US" w:eastAsia="zh-CN"/>
                    </w:rPr>
                    <w:t>3</w:t>
                  </w:r>
                  <w:r>
                    <w:rPr>
                      <w:rFonts w:ascii="Times New Roman" w:hAnsi="Times New Roman" w:eastAsia="宋体" w:cs="Times New Roman"/>
                      <w:b w:val="0"/>
                      <w:bCs w:val="0"/>
                      <w:color w:val="auto"/>
                      <w:sz w:val="21"/>
                      <w:szCs w:val="21"/>
                    </w:rPr>
                    <w:t>0mg/L</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val="en-US" w:eastAsia="zh-CN"/>
                    </w:rPr>
                    <w:t>3</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NH</w:t>
                  </w:r>
                  <w:r>
                    <w:rPr>
                      <w:rFonts w:ascii="Times New Roman" w:hAnsi="Times New Roman" w:eastAsia="宋体" w:cs="Times New Roman"/>
                      <w:b w:val="0"/>
                      <w:bCs w:val="0"/>
                      <w:color w:val="auto"/>
                      <w:sz w:val="21"/>
                      <w:szCs w:val="21"/>
                      <w:vertAlign w:val="subscript"/>
                    </w:rPr>
                    <w:t>3</w:t>
                  </w:r>
                  <w:r>
                    <w:rPr>
                      <w:rFonts w:ascii="Times New Roman" w:hAnsi="Times New Roman" w:eastAsia="宋体" w:cs="Times New Roman"/>
                      <w:b w:val="0"/>
                      <w:bCs w:val="0"/>
                      <w:color w:val="auto"/>
                      <w:sz w:val="21"/>
                      <w:szCs w:val="21"/>
                    </w:rPr>
                    <w:t>-N</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w:t>
                  </w:r>
                  <w:r>
                    <w:rPr>
                      <w:rFonts w:hint="eastAsia" w:ascii="Times New Roman" w:hAnsi="Times New Roman" w:eastAsia="宋体" w:cs="Times New Roman"/>
                      <w:b w:val="0"/>
                      <w:bCs w:val="0"/>
                      <w:color w:val="auto"/>
                      <w:sz w:val="21"/>
                      <w:szCs w:val="21"/>
                      <w:lang w:val="en-US" w:eastAsia="zh-CN"/>
                    </w:rPr>
                    <w:t>10</w:t>
                  </w:r>
                  <w:r>
                    <w:rPr>
                      <w:rFonts w:ascii="Times New Roman" w:hAnsi="Times New Roman" w:eastAsia="宋体" w:cs="Times New Roman"/>
                      <w:b w:val="0"/>
                      <w:bCs w:val="0"/>
                      <w:color w:val="auto"/>
                      <w:sz w:val="21"/>
                      <w:szCs w:val="21"/>
                    </w:rPr>
                    <w:t>mg/L</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hint="eastAsia" w:ascii="Times New Roman" w:hAnsi="Times New Roman" w:eastAsia="宋体" w:cs="Times New Roman"/>
                      <w:b w:val="0"/>
                      <w:bCs w:val="0"/>
                      <w:color w:val="auto"/>
                      <w:sz w:val="21"/>
                      <w:szCs w:val="21"/>
                      <w:lang w:eastAsia="zh-CN"/>
                    </w:rPr>
                  </w:pPr>
                  <w:r>
                    <w:rPr>
                      <w:rFonts w:hint="eastAsia" w:cs="Times New Roman"/>
                      <w:b w:val="0"/>
                      <w:bCs w:val="0"/>
                      <w:color w:val="auto"/>
                      <w:sz w:val="21"/>
                      <w:szCs w:val="21"/>
                      <w:lang w:val="en-US" w:eastAsia="zh-CN"/>
                    </w:rPr>
                    <w:t>4</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pH</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6.5-8.5</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5</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石油类</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w:t>
                  </w:r>
                  <w:r>
                    <w:rPr>
                      <w:rFonts w:hint="eastAsia" w:ascii="Times New Roman" w:hAnsi="Times New Roman" w:eastAsia="宋体" w:cs="Times New Roman"/>
                      <w:b w:val="0"/>
                      <w:bCs w:val="0"/>
                      <w:color w:val="auto"/>
                      <w:sz w:val="21"/>
                      <w:szCs w:val="21"/>
                      <w:lang w:val="en-US" w:eastAsia="zh-CN"/>
                    </w:rPr>
                    <w:t>1</w:t>
                  </w:r>
                  <w:r>
                    <w:rPr>
                      <w:rFonts w:ascii="Times New Roman" w:hAnsi="Times New Roman" w:eastAsia="宋体" w:cs="Times New Roman"/>
                      <w:b w:val="0"/>
                      <w:bCs w:val="0"/>
                      <w:color w:val="auto"/>
                      <w:sz w:val="21"/>
                      <w:szCs w:val="21"/>
                    </w:rPr>
                    <w:t>mg/L</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3</w:t>
            </w:r>
            <w:r>
              <w:rPr>
                <w:rFonts w:hint="default" w:ascii="Times New Roman" w:hAnsi="Times New Roman" w:eastAsia="黑体" w:cs="Times New Roman"/>
                <w:b w:val="0"/>
                <w:bCs w:val="0"/>
                <w:color w:val="auto"/>
                <w:sz w:val="24"/>
                <w:szCs w:val="24"/>
                <w:highlight w:val="none"/>
                <w:lang w:val="en-US" w:eastAsia="zh-CN"/>
              </w:rPr>
              <w:t>、</w:t>
            </w:r>
            <w:r>
              <w:rPr>
                <w:rFonts w:hint="default" w:ascii="Times New Roman" w:hAnsi="Times New Roman" w:eastAsia="黑体" w:cs="Times New Roman"/>
                <w:color w:val="auto"/>
                <w:sz w:val="24"/>
                <w:szCs w:val="24"/>
                <w:highlight w:val="none"/>
                <w:lang w:val="en-US" w:eastAsia="zh-CN"/>
              </w:rPr>
              <w:t>噪声</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z w:val="24"/>
                <w:szCs w:val="24"/>
                <w:lang w:val="zh-CN" w:eastAsia="zh-CN"/>
              </w:rPr>
            </w:pPr>
            <w:r>
              <w:rPr>
                <w:rFonts w:hint="eastAsia" w:ascii="Times New Roman" w:hAnsi="Times New Roman" w:eastAsia="宋体" w:cs="Times New Roman"/>
                <w:b w:val="0"/>
                <w:bCs w:val="0"/>
                <w:color w:val="auto"/>
                <w:sz w:val="24"/>
                <w:szCs w:val="24"/>
                <w:lang w:val="zh-CN" w:eastAsia="zh-CN"/>
              </w:rPr>
              <w:t>施工期执行《建筑施工场界环境噪声排放标准》（GB12523-2011）；营运期执行《工业企业厂界环境噪声排放标准》（GB12348-2008）</w:t>
            </w:r>
            <w:r>
              <w:rPr>
                <w:rFonts w:hint="eastAsia" w:cs="Times New Roman"/>
                <w:b w:val="0"/>
                <w:bCs w:val="0"/>
                <w:color w:val="auto"/>
                <w:sz w:val="24"/>
                <w:szCs w:val="24"/>
                <w:lang w:val="zh-CN" w:eastAsia="zh-CN"/>
              </w:rPr>
              <w:t>2类</w:t>
            </w:r>
            <w:r>
              <w:rPr>
                <w:rFonts w:hint="eastAsia" w:ascii="Times New Roman" w:hAnsi="Times New Roman" w:eastAsia="宋体" w:cs="Times New Roman"/>
                <w:b w:val="0"/>
                <w:bCs w:val="0"/>
                <w:color w:val="auto"/>
                <w:sz w:val="24"/>
                <w:szCs w:val="24"/>
                <w:lang w:val="zh-CN" w:eastAsia="zh-CN"/>
              </w:rPr>
              <w:t>标准。</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zh-CN"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zh-CN" w:eastAsia="zh-CN"/>
              </w:rPr>
            </w:pPr>
            <w:r>
              <w:rPr>
                <w:rFonts w:hint="eastAsia" w:ascii="Times New Roman" w:hAnsi="Times New Roman" w:eastAsia="黑体" w:cs="Times New Roman"/>
                <w:b w:val="0"/>
                <w:bCs w:val="0"/>
                <w:color w:val="auto"/>
                <w:kern w:val="0"/>
                <w:sz w:val="24"/>
                <w:szCs w:val="24"/>
                <w:lang w:val="zh-CN" w:eastAsia="zh-CN"/>
              </w:rPr>
              <w:t>表3-</w:t>
            </w:r>
            <w:r>
              <w:rPr>
                <w:rFonts w:hint="eastAsia" w:ascii="Times New Roman" w:hAnsi="Times New Roman" w:eastAsia="黑体" w:cs="Times New Roman"/>
                <w:b w:val="0"/>
                <w:bCs w:val="0"/>
                <w:color w:val="auto"/>
                <w:kern w:val="0"/>
                <w:sz w:val="24"/>
                <w:szCs w:val="24"/>
                <w:lang w:val="en-US" w:eastAsia="zh-CN"/>
              </w:rPr>
              <w:t>8</w:t>
            </w:r>
            <w:r>
              <w:rPr>
                <w:rFonts w:hint="eastAsia" w:eastAsia="黑体" w:cs="Times New Roman"/>
                <w:b w:val="0"/>
                <w:bCs w:val="0"/>
                <w:color w:val="auto"/>
                <w:kern w:val="0"/>
                <w:sz w:val="24"/>
                <w:szCs w:val="24"/>
                <w:lang w:val="en-US" w:eastAsia="zh-CN"/>
              </w:rPr>
              <w:t xml:space="preserve"> </w:t>
            </w:r>
            <w:r>
              <w:rPr>
                <w:rFonts w:hint="eastAsia" w:ascii="Times New Roman" w:hAnsi="Times New Roman" w:eastAsia="黑体" w:cs="Times New Roman"/>
                <w:b w:val="0"/>
                <w:bCs w:val="0"/>
                <w:color w:val="auto"/>
                <w:kern w:val="0"/>
                <w:sz w:val="24"/>
                <w:szCs w:val="24"/>
                <w:lang w:val="zh-CN" w:eastAsia="zh-CN"/>
              </w:rPr>
              <w:t>《建筑施工场界环境噪声排放标准》（GB12523-2011）</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09"/>
              <w:gridCol w:w="1747"/>
              <w:gridCol w:w="1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9"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标准名称</w:t>
                  </w:r>
                </w:p>
              </w:tc>
              <w:tc>
                <w:tcPr>
                  <w:tcW w:w="1061"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昼间dB(A)</w:t>
                  </w:r>
                </w:p>
              </w:tc>
              <w:tc>
                <w:tcPr>
                  <w:tcW w:w="1138"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9"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《建筑施工场界环境噪声排放标准》</w:t>
                  </w:r>
                </w:p>
              </w:tc>
              <w:tc>
                <w:tcPr>
                  <w:tcW w:w="1061"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70</w:t>
                  </w:r>
                </w:p>
              </w:tc>
              <w:tc>
                <w:tcPr>
                  <w:tcW w:w="1138"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55</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zh-CN" w:eastAsia="zh-CN"/>
              </w:rPr>
            </w:pPr>
            <w:r>
              <w:rPr>
                <w:rFonts w:hint="eastAsia" w:ascii="Times New Roman" w:hAnsi="Times New Roman" w:eastAsia="黑体" w:cs="Times New Roman"/>
                <w:b w:val="0"/>
                <w:bCs w:val="0"/>
                <w:color w:val="auto"/>
                <w:kern w:val="0"/>
                <w:sz w:val="24"/>
                <w:szCs w:val="24"/>
                <w:lang w:val="zh-CN" w:eastAsia="zh-CN"/>
              </w:rPr>
              <w:t>表3-</w:t>
            </w:r>
            <w:r>
              <w:rPr>
                <w:rFonts w:hint="eastAsia" w:ascii="Times New Roman" w:hAnsi="Times New Roman" w:eastAsia="黑体" w:cs="Times New Roman"/>
                <w:b w:val="0"/>
                <w:bCs w:val="0"/>
                <w:color w:val="auto"/>
                <w:kern w:val="0"/>
                <w:sz w:val="24"/>
                <w:szCs w:val="24"/>
                <w:lang w:val="en-US" w:eastAsia="zh-CN"/>
              </w:rPr>
              <w:t>9</w:t>
            </w:r>
            <w:r>
              <w:rPr>
                <w:rFonts w:hint="eastAsia" w:eastAsia="黑体" w:cs="Times New Roman"/>
                <w:b w:val="0"/>
                <w:bCs w:val="0"/>
                <w:color w:val="auto"/>
                <w:kern w:val="0"/>
                <w:sz w:val="24"/>
                <w:szCs w:val="24"/>
                <w:lang w:val="en-US" w:eastAsia="zh-CN"/>
              </w:rPr>
              <w:t xml:space="preserve"> </w:t>
            </w:r>
            <w:r>
              <w:rPr>
                <w:rFonts w:hint="eastAsia" w:ascii="Times New Roman" w:hAnsi="Times New Roman" w:eastAsia="黑体" w:cs="Times New Roman"/>
                <w:b w:val="0"/>
                <w:bCs w:val="0"/>
                <w:color w:val="auto"/>
                <w:kern w:val="0"/>
                <w:sz w:val="24"/>
                <w:szCs w:val="24"/>
                <w:lang w:val="zh-CN" w:eastAsia="zh-CN"/>
              </w:rPr>
              <w:t>《工业企业厂界环境噪声排放标准》（GB12348-2008）</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8"/>
              <w:gridCol w:w="2390"/>
              <w:gridCol w:w="2148"/>
              <w:gridCol w:w="21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级别</w:t>
                  </w:r>
                </w:p>
              </w:tc>
              <w:tc>
                <w:tcPr>
                  <w:tcW w:w="1451" w:type="pct"/>
                  <w:tcBorders>
                    <w:tl2br w:val="nil"/>
                    <w:tr2bl w:val="nil"/>
                  </w:tcBorders>
                  <w:noWrap w:val="0"/>
                  <w:vAlign w:val="top"/>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等效声级</w:t>
                  </w:r>
                </w:p>
              </w:tc>
              <w:tc>
                <w:tcPr>
                  <w:tcW w:w="1304" w:type="pct"/>
                  <w:tcBorders>
                    <w:tl2br w:val="nil"/>
                    <w:tr2bl w:val="nil"/>
                  </w:tcBorders>
                  <w:noWrap w:val="0"/>
                  <w:vAlign w:val="top"/>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昼间</w:t>
                  </w:r>
                </w:p>
              </w:tc>
              <w:tc>
                <w:tcPr>
                  <w:tcW w:w="1308" w:type="pct"/>
                  <w:tcBorders>
                    <w:tl2br w:val="nil"/>
                    <w:tr2bl w:val="nil"/>
                  </w:tcBorders>
                  <w:noWrap w:val="0"/>
                  <w:vAlign w:val="top"/>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eastAsia="zh-CN"/>
                    </w:rPr>
                  </w:pPr>
                  <w:r>
                    <w:rPr>
                      <w:rFonts w:hint="eastAsia" w:cs="Times New Roman"/>
                      <w:b w:val="0"/>
                      <w:bCs w:val="0"/>
                      <w:color w:val="auto"/>
                      <w:sz w:val="21"/>
                      <w:szCs w:val="21"/>
                      <w:highlight w:val="none"/>
                      <w:lang w:val="en-US" w:eastAsia="zh-CN"/>
                    </w:rPr>
                    <w:t>2</w:t>
                  </w:r>
                </w:p>
              </w:tc>
              <w:tc>
                <w:tcPr>
                  <w:tcW w:w="1451"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dB（A）</w:t>
                  </w:r>
                </w:p>
              </w:tc>
              <w:tc>
                <w:tcPr>
                  <w:tcW w:w="1304"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6</w:t>
                  </w:r>
                  <w:r>
                    <w:rPr>
                      <w:rFonts w:hint="eastAsia" w:cs="Times New Roman"/>
                      <w:b w:val="0"/>
                      <w:bCs w:val="0"/>
                      <w:color w:val="auto"/>
                      <w:sz w:val="21"/>
                      <w:szCs w:val="21"/>
                      <w:highlight w:val="none"/>
                      <w:lang w:val="en-US" w:eastAsia="zh-CN"/>
                    </w:rPr>
                    <w:t>0</w:t>
                  </w:r>
                </w:p>
              </w:tc>
              <w:tc>
                <w:tcPr>
                  <w:tcW w:w="1308"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5</w:t>
                  </w:r>
                  <w:r>
                    <w:rPr>
                      <w:rFonts w:hint="eastAsia" w:cs="Times New Roman"/>
                      <w:b w:val="0"/>
                      <w:bCs w:val="0"/>
                      <w:color w:val="auto"/>
                      <w:sz w:val="21"/>
                      <w:szCs w:val="21"/>
                      <w:highlight w:val="none"/>
                      <w:lang w:val="en-US" w:eastAsia="zh-CN"/>
                    </w:rPr>
                    <w:t>0</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4</w:t>
            </w:r>
            <w:r>
              <w:rPr>
                <w:rFonts w:hint="default" w:ascii="Times New Roman" w:hAnsi="Times New Roman" w:eastAsia="黑体" w:cs="Times New Roman"/>
                <w:b w:val="0"/>
                <w:bCs w:val="0"/>
                <w:color w:val="auto"/>
                <w:sz w:val="24"/>
                <w:szCs w:val="24"/>
                <w:highlight w:val="none"/>
                <w:lang w:val="en-US" w:eastAsia="zh-CN"/>
              </w:rPr>
              <w:t>、固体废物</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cs="Times New Roman"/>
                <w:b w:val="0"/>
                <w:bCs w:val="0"/>
                <w:color w:val="auto"/>
                <w:sz w:val="24"/>
                <w:szCs w:val="24"/>
                <w:lang w:val="en-US" w:eastAsia="zh-CN"/>
              </w:rPr>
            </w:pPr>
            <w:r>
              <w:rPr>
                <w:rFonts w:ascii="Times New Roman" w:hAnsi="Times New Roman" w:eastAsia="宋体"/>
                <w:color w:val="auto"/>
                <w:sz w:val="24"/>
                <w:lang w:val="de-DE"/>
              </w:rPr>
              <w:t>一般工业</w:t>
            </w:r>
            <w:r>
              <w:rPr>
                <w:rFonts w:hint="eastAsia" w:ascii="Times New Roman" w:hAnsi="Times New Roman" w:eastAsia="宋体" w:cs="Times New Roman"/>
                <w:b w:val="0"/>
                <w:bCs w:val="0"/>
                <w:color w:val="auto"/>
                <w:sz w:val="24"/>
                <w:szCs w:val="24"/>
                <w:lang w:val="de-DE" w:eastAsia="zh-CN"/>
              </w:rPr>
              <w:t>固体废物执行</w:t>
            </w:r>
            <w:r>
              <w:rPr>
                <w:rFonts w:hint="eastAsia" w:ascii="Times New Roman" w:hAnsi="Times New Roman" w:eastAsia="宋体" w:cs="Times New Roman"/>
                <w:b w:val="0"/>
                <w:bCs w:val="0"/>
                <w:color w:val="auto"/>
                <w:sz w:val="24"/>
                <w:szCs w:val="24"/>
                <w:lang w:val="zh-CN" w:eastAsia="zh-CN"/>
              </w:rPr>
              <w:t>《一般工业固体废物贮存和填埋污染控制标准》（GB 18599-2020）。危险固废执行《危险废物贮存污染控制标准》（GB18597-2001）及其2013年修改单（公告2013年第36号）</w:t>
            </w:r>
            <w:r>
              <w:rPr>
                <w:rFonts w:hint="eastAsia" w:cs="Times New Roman"/>
                <w:b w:val="0"/>
                <w:bCs w:val="0"/>
                <w:color w:val="auto"/>
                <w:sz w:val="24"/>
                <w:szCs w:val="24"/>
                <w:lang w:val="zh-CN"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cs="Times New Roman"/>
                <w:b w:val="0"/>
                <w:bCs w:val="0"/>
                <w:color w:val="auto"/>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eastAsia" w:ascii="Times New Roman" w:hAnsi="Times New Roman" w:eastAsia="宋体" w:cs="Times New Roman"/>
                <w:b w:val="0"/>
                <w:bCs w:val="0"/>
                <w:color w:val="auto"/>
                <w:sz w:val="24"/>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pct"/>
            <w:vAlign w:val="center"/>
          </w:tcPr>
          <w:p>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总量</w:t>
            </w:r>
          </w:p>
          <w:p>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控制</w:t>
            </w:r>
          </w:p>
          <w:p>
            <w:pPr>
              <w:adjustRightInd w:val="0"/>
              <w:snapToGrid w:val="0"/>
              <w:jc w:val="center"/>
              <w:rPr>
                <w:rFonts w:hint="default" w:ascii="Times New Roman" w:hAnsi="Times New Roman" w:cs="Times New Roman"/>
                <w:color w:val="auto"/>
                <w:kern w:val="0"/>
                <w:szCs w:val="21"/>
              </w:rPr>
            </w:pPr>
            <w:r>
              <w:rPr>
                <w:rFonts w:hint="default" w:ascii="黑体" w:hAnsi="黑体" w:eastAsia="黑体" w:cs="黑体"/>
                <w:b w:val="0"/>
                <w:bCs w:val="0"/>
                <w:color w:val="auto"/>
                <w:kern w:val="0"/>
                <w:sz w:val="24"/>
                <w:szCs w:val="24"/>
                <w:highlight w:val="none"/>
              </w:rPr>
              <w:t>指标</w:t>
            </w:r>
          </w:p>
        </w:tc>
        <w:tc>
          <w:tcPr>
            <w:tcW w:w="4668" w:type="pct"/>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黑体" w:hAnsi="黑体" w:eastAsia="黑体" w:cs="黑体"/>
                <w:color w:val="auto"/>
                <w:sz w:val="24"/>
              </w:rPr>
            </w:pPr>
            <w:r>
              <w:rPr>
                <w:rFonts w:hint="eastAsia" w:ascii="黑体" w:hAnsi="黑体" w:eastAsia="黑体" w:cs="黑体"/>
                <w:color w:val="auto"/>
                <w:sz w:val="24"/>
              </w:rPr>
              <w:t>1、总量控制对象</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color w:val="auto"/>
                <w:sz w:val="24"/>
              </w:rPr>
            </w:pPr>
            <w:r>
              <w:rPr>
                <w:color w:val="auto"/>
                <w:sz w:val="24"/>
              </w:rPr>
              <w:t>根据《建设项目主要污染物排放总量指标审核及管理暂行办法》（鲁环发[2019]132号）、《山东省2013－2020年大气污染防治规划》</w:t>
            </w:r>
            <w:r>
              <w:rPr>
                <w:rFonts w:hint="eastAsia"/>
                <w:color w:val="auto"/>
                <w:sz w:val="24"/>
              </w:rPr>
              <w:t>、</w:t>
            </w:r>
            <w:r>
              <w:rPr>
                <w:color w:val="auto"/>
                <w:sz w:val="24"/>
              </w:rPr>
              <w:t>《关于印发&lt;淄博市建设项目主要大气污染物排放总量替代指标核算及管理办法&gt;的通知》（淄环发[2019]135号）以及《关于统筹使用“十四五”建设项目主要大气污染物总量指标的通知》（淄环函[2021]55号），淄博市将SO</w:t>
            </w:r>
            <w:r>
              <w:rPr>
                <w:color w:val="auto"/>
                <w:sz w:val="24"/>
                <w:vertAlign w:val="subscript"/>
              </w:rPr>
              <w:t>2</w:t>
            </w:r>
            <w:r>
              <w:rPr>
                <w:color w:val="auto"/>
                <w:sz w:val="24"/>
              </w:rPr>
              <w:t>、烟（粉）尘、NOx、COD、氨氮和</w:t>
            </w:r>
            <w:r>
              <w:rPr>
                <w:rFonts w:hint="eastAsia"/>
                <w:color w:val="auto"/>
                <w:sz w:val="24"/>
              </w:rPr>
              <w:t>挥发性有机物</w:t>
            </w:r>
            <w:r>
              <w:rPr>
                <w:color w:val="auto"/>
                <w:sz w:val="24"/>
              </w:rPr>
              <w:t>列为总量控制</w:t>
            </w:r>
            <w:r>
              <w:rPr>
                <w:rFonts w:hint="eastAsia"/>
                <w:color w:val="auto"/>
                <w:sz w:val="24"/>
              </w:rPr>
              <w:t>对象</w:t>
            </w:r>
            <w:r>
              <w:rPr>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黑体" w:hAnsi="黑体" w:eastAsia="黑体" w:cs="黑体"/>
                <w:color w:val="auto"/>
                <w:sz w:val="24"/>
              </w:rPr>
            </w:pPr>
            <w:r>
              <w:rPr>
                <w:rFonts w:hint="eastAsia" w:ascii="黑体" w:hAnsi="黑体" w:eastAsia="黑体" w:cs="黑体"/>
                <w:color w:val="auto"/>
                <w:sz w:val="24"/>
              </w:rPr>
              <w:t>2、总量控制指标</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color w:val="auto"/>
                <w:sz w:val="24"/>
              </w:rPr>
            </w:pPr>
            <w:r>
              <w:rPr>
                <w:rFonts w:hint="eastAsia" w:cs="Times New Roman"/>
                <w:b w:val="0"/>
                <w:bCs w:val="0"/>
                <w:color w:val="auto"/>
                <w:sz w:val="24"/>
                <w:szCs w:val="24"/>
                <w:lang w:eastAsia="zh-CN"/>
              </w:rPr>
              <w:t>项目职工</w:t>
            </w:r>
            <w:r>
              <w:rPr>
                <w:rFonts w:hint="default" w:ascii="Times New Roman" w:hAnsi="Times New Roman" w:cs="Times New Roman"/>
                <w:b w:val="0"/>
                <w:bCs w:val="0"/>
                <w:color w:val="auto"/>
                <w:sz w:val="24"/>
                <w:szCs w:val="24"/>
              </w:rPr>
              <w:t>生活污水</w:t>
            </w:r>
            <w:r>
              <w:rPr>
                <w:rFonts w:hint="eastAsia" w:ascii="Times New Roman" w:hAnsi="Times New Roman" w:eastAsia="宋体" w:cs="Times New Roman"/>
                <w:b w:val="0"/>
                <w:bCs w:val="0"/>
                <w:color w:val="auto"/>
                <w:sz w:val="24"/>
                <w:szCs w:val="24"/>
                <w:lang w:eastAsia="zh-CN"/>
              </w:rPr>
              <w:t>经化粪池收集后</w:t>
            </w:r>
            <w:r>
              <w:rPr>
                <w:rFonts w:hint="eastAsia" w:cs="Times New Roman"/>
                <w:b w:val="0"/>
                <w:bCs w:val="0"/>
                <w:color w:val="auto"/>
                <w:sz w:val="24"/>
                <w:szCs w:val="24"/>
                <w:lang w:eastAsia="zh-CN"/>
              </w:rPr>
              <w:t>定期清运外，</w:t>
            </w:r>
            <w:r>
              <w:rPr>
                <w:rFonts w:hint="eastAsia" w:cs="Times New Roman"/>
                <w:color w:val="auto"/>
                <w:sz w:val="24"/>
                <w:szCs w:val="24"/>
                <w:lang w:val="zh-CN" w:eastAsia="zh-CN"/>
              </w:rPr>
              <w:t>蒸汽锅炉排污水、软水制备排污水</w:t>
            </w:r>
            <w:r>
              <w:rPr>
                <w:rFonts w:hint="eastAsia" w:ascii="Times New Roman" w:hAnsi="Times New Roman" w:eastAsia="宋体" w:cs="Times New Roman"/>
                <w:b w:val="0"/>
                <w:bCs w:val="0"/>
                <w:color w:val="auto"/>
                <w:sz w:val="24"/>
                <w:szCs w:val="24"/>
              </w:rPr>
              <w:t>、</w:t>
            </w:r>
            <w:r>
              <w:rPr>
                <w:rFonts w:hint="eastAsia" w:cs="Times New Roman"/>
                <w:color w:val="auto"/>
                <w:sz w:val="24"/>
                <w:szCs w:val="24"/>
                <w:lang w:val="zh-CN" w:eastAsia="zh-CN"/>
              </w:rPr>
              <w:t>罐区及装卸车区</w:t>
            </w:r>
            <w:r>
              <w:rPr>
                <w:rFonts w:hint="eastAsia" w:ascii="Times New Roman" w:hAnsi="Times New Roman" w:cs="Times New Roman"/>
                <w:color w:val="auto"/>
                <w:sz w:val="24"/>
                <w:szCs w:val="24"/>
                <w:lang w:val="zh-CN" w:eastAsia="zh-CN"/>
              </w:rPr>
              <w:t>地面清洗废水</w:t>
            </w:r>
            <w:r>
              <w:rPr>
                <w:rFonts w:hint="eastAsia" w:ascii="Times New Roman" w:hAnsi="Times New Roman" w:eastAsia="宋体" w:cs="Times New Roman"/>
                <w:b w:val="0"/>
                <w:bCs w:val="0"/>
                <w:color w:val="auto"/>
                <w:sz w:val="24"/>
                <w:szCs w:val="24"/>
                <w:lang w:eastAsia="zh-CN"/>
              </w:rPr>
              <w:t>、</w:t>
            </w:r>
            <w:r>
              <w:rPr>
                <w:rFonts w:hint="eastAsia" w:cs="Times New Roman"/>
                <w:b w:val="0"/>
                <w:bCs w:val="0"/>
                <w:color w:val="auto"/>
                <w:sz w:val="24"/>
                <w:szCs w:val="24"/>
                <w:lang w:eastAsia="zh-CN"/>
              </w:rPr>
              <w:t>储罐</w:t>
            </w:r>
            <w:r>
              <w:rPr>
                <w:rFonts w:hint="eastAsia" w:ascii="Times New Roman" w:hAnsi="Times New Roman" w:eastAsia="宋体" w:cs="Times New Roman"/>
                <w:b w:val="0"/>
                <w:bCs w:val="0"/>
                <w:color w:val="auto"/>
                <w:sz w:val="24"/>
                <w:szCs w:val="24"/>
                <w:lang w:eastAsia="zh-CN"/>
              </w:rPr>
              <w:t>冲洗</w:t>
            </w:r>
            <w:r>
              <w:rPr>
                <w:rFonts w:hint="eastAsia" w:cs="Times New Roman"/>
                <w:b w:val="0"/>
                <w:bCs w:val="0"/>
                <w:color w:val="auto"/>
                <w:sz w:val="24"/>
                <w:szCs w:val="24"/>
                <w:lang w:eastAsia="zh-CN"/>
              </w:rPr>
              <w:t>废</w:t>
            </w:r>
            <w:r>
              <w:rPr>
                <w:rFonts w:hint="eastAsia" w:ascii="Times New Roman" w:hAnsi="Times New Roman" w:eastAsia="宋体" w:cs="Times New Roman"/>
                <w:b w:val="0"/>
                <w:bCs w:val="0"/>
                <w:color w:val="auto"/>
                <w:sz w:val="24"/>
                <w:szCs w:val="24"/>
                <w:lang w:eastAsia="zh-CN"/>
              </w:rPr>
              <w:t>水、初期雨水均进入厂区污水处理站处理后回用</w:t>
            </w:r>
            <w:r>
              <w:rPr>
                <w:rFonts w:ascii="Times New Roman" w:hAnsi="Times New Roman" w:eastAsia="宋体" w:cs="Times New Roman"/>
                <w:color w:val="auto"/>
                <w:sz w:val="24"/>
              </w:rPr>
              <w:t>，不需要申请总量控制指标。</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color w:val="auto"/>
                <w:sz w:val="24"/>
              </w:rPr>
            </w:pPr>
            <w:r>
              <w:rPr>
                <w:color w:val="auto"/>
                <w:sz w:val="24"/>
              </w:rPr>
              <w:t>根据《山东省建设项目主要大气污染物排放总量替代指标核算及管理办法》（鲁环发[2019]132号）、《关于印发&lt;淄博市建设项目主要大气污染物排放总量替代指标核算及管理办法&gt;的通知》（淄环发[2019]135号）以及《关于统筹使用“十四五”建设项目主要</w:t>
            </w:r>
            <w:r>
              <w:rPr>
                <w:rFonts w:hint="eastAsia"/>
                <w:color w:val="auto"/>
                <w:sz w:val="24"/>
              </w:rPr>
              <w:t>大气</w:t>
            </w:r>
            <w:r>
              <w:rPr>
                <w:color w:val="auto"/>
                <w:sz w:val="24"/>
              </w:rPr>
              <w:t>污染物总量指标的通知》（淄环函[2021]55号），若上一年度细颗粒物年平均浓度超标，实行二氧化硫、氮氧化物、颗粒物、挥发性有机物四项污染物排放总量指标2倍消减替代</w:t>
            </w:r>
            <w:r>
              <w:rPr>
                <w:rFonts w:hint="eastAsia"/>
                <w:color w:val="auto"/>
                <w:sz w:val="24"/>
              </w:rPr>
              <w:t>。</w:t>
            </w:r>
          </w:p>
          <w:p>
            <w:pPr>
              <w:spacing w:line="360" w:lineRule="auto"/>
              <w:ind w:firstLine="480" w:firstLineChars="200"/>
              <w:rPr>
                <w:color w:val="auto"/>
                <w:sz w:val="24"/>
              </w:rPr>
            </w:pPr>
            <w:r>
              <w:rPr>
                <w:color w:val="auto"/>
                <w:sz w:val="24"/>
              </w:rPr>
              <w:t>本项目生产过程中</w:t>
            </w:r>
            <w:r>
              <w:rPr>
                <w:rFonts w:hint="eastAsia"/>
                <w:color w:val="auto"/>
                <w:sz w:val="24"/>
              </w:rPr>
              <w:t>有</w:t>
            </w:r>
            <w:r>
              <w:rPr>
                <w:color w:val="auto"/>
                <w:sz w:val="24"/>
              </w:rPr>
              <w:t>二氧化硫、氮氧化物、颗粒物、挥发性有机物废气产生，需申请总量排放指标。</w:t>
            </w:r>
          </w:p>
          <w:p>
            <w:pPr>
              <w:spacing w:line="360" w:lineRule="auto"/>
              <w:ind w:firstLine="480" w:firstLineChars="200"/>
              <w:rPr>
                <w:color w:val="auto"/>
                <w:sz w:val="24"/>
              </w:rPr>
            </w:pPr>
            <w:r>
              <w:rPr>
                <w:color w:val="auto"/>
                <w:sz w:val="24"/>
              </w:rPr>
              <w:t>本项目污染物排放量及申请指标如下：</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eastAsia="黑体"/>
                <w:color w:val="auto"/>
                <w:kern w:val="0"/>
                <w:szCs w:val="21"/>
              </w:rPr>
            </w:pPr>
            <w:r>
              <w:rPr>
                <w:rFonts w:eastAsia="黑体"/>
                <w:color w:val="auto"/>
                <w:kern w:val="0"/>
                <w:sz w:val="24"/>
              </w:rPr>
              <w:t>表</w:t>
            </w:r>
            <w:r>
              <w:rPr>
                <w:rFonts w:hint="eastAsia" w:eastAsia="黑体"/>
                <w:color w:val="auto"/>
                <w:kern w:val="0"/>
                <w:sz w:val="24"/>
              </w:rPr>
              <w:t>3-</w:t>
            </w:r>
            <w:r>
              <w:rPr>
                <w:rFonts w:hint="eastAsia" w:eastAsia="黑体"/>
                <w:color w:val="auto"/>
                <w:kern w:val="0"/>
                <w:sz w:val="24"/>
                <w:lang w:val="en-US" w:eastAsia="zh-CN"/>
              </w:rPr>
              <w:t>10</w:t>
            </w:r>
            <w:r>
              <w:rPr>
                <w:rFonts w:hint="eastAsia" w:eastAsia="黑体"/>
                <w:color w:val="auto"/>
                <w:kern w:val="0"/>
                <w:sz w:val="24"/>
              </w:rPr>
              <w:t xml:space="preserve"> 污染物</w:t>
            </w:r>
            <w:r>
              <w:rPr>
                <w:rFonts w:hint="eastAsia" w:ascii="Times New Roman" w:hAnsi="Times New Roman" w:eastAsia="黑体" w:cs="Times New Roman"/>
                <w:b w:val="0"/>
                <w:bCs w:val="0"/>
                <w:color w:val="auto"/>
                <w:kern w:val="0"/>
                <w:sz w:val="24"/>
                <w:szCs w:val="24"/>
                <w:lang w:val="zh-CN" w:eastAsia="zh-CN"/>
              </w:rPr>
              <w:t>排放量</w:t>
            </w:r>
            <w:r>
              <w:rPr>
                <w:rFonts w:hint="eastAsia" w:eastAsia="黑体"/>
                <w:color w:val="auto"/>
                <w:kern w:val="0"/>
                <w:sz w:val="24"/>
              </w:rPr>
              <w:t>及申请指标</w:t>
            </w:r>
          </w:p>
          <w:tbl>
            <w:tblPr>
              <w:tblStyle w:val="26"/>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371"/>
              <w:gridCol w:w="2820"/>
              <w:gridCol w:w="303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40" w:type="pct"/>
                  <w:noWrap w:val="0"/>
                  <w:vAlign w:val="center"/>
                </w:tcPr>
                <w:p>
                  <w:pPr>
                    <w:jc w:val="center"/>
                    <w:rPr>
                      <w:color w:val="auto"/>
                      <w:szCs w:val="21"/>
                    </w:rPr>
                  </w:pPr>
                  <w:r>
                    <w:rPr>
                      <w:rFonts w:hint="eastAsia"/>
                      <w:color w:val="auto"/>
                      <w:szCs w:val="21"/>
                    </w:rPr>
                    <w:t>污染物</w:t>
                  </w:r>
                </w:p>
              </w:tc>
              <w:tc>
                <w:tcPr>
                  <w:tcW w:w="1713" w:type="pct"/>
                  <w:noWrap w:val="0"/>
                  <w:vAlign w:val="center"/>
                </w:tcPr>
                <w:p>
                  <w:pPr>
                    <w:jc w:val="center"/>
                    <w:rPr>
                      <w:color w:val="auto"/>
                      <w:szCs w:val="21"/>
                    </w:rPr>
                  </w:pPr>
                  <w:r>
                    <w:rPr>
                      <w:rFonts w:hint="eastAsia"/>
                      <w:color w:val="auto"/>
                      <w:szCs w:val="21"/>
                    </w:rPr>
                    <w:t>有组织排放量（t/a）</w:t>
                  </w:r>
                </w:p>
              </w:tc>
              <w:tc>
                <w:tcPr>
                  <w:tcW w:w="1846" w:type="pct"/>
                  <w:noWrap w:val="0"/>
                  <w:vAlign w:val="center"/>
                </w:tcPr>
                <w:p>
                  <w:pPr>
                    <w:jc w:val="center"/>
                    <w:rPr>
                      <w:color w:val="auto"/>
                      <w:szCs w:val="21"/>
                    </w:rPr>
                  </w:pPr>
                  <w:r>
                    <w:rPr>
                      <w:rFonts w:hint="eastAsia"/>
                      <w:color w:val="auto"/>
                      <w:szCs w:val="21"/>
                    </w:rPr>
                    <w:t>二倍消减替代指标（t/a）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40" w:type="pct"/>
                  <w:noWrap w:val="0"/>
                  <w:vAlign w:val="center"/>
                </w:tcPr>
                <w:p>
                  <w:pPr>
                    <w:jc w:val="center"/>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颗粒物</w:t>
                  </w:r>
                </w:p>
              </w:tc>
              <w:tc>
                <w:tcPr>
                  <w:tcW w:w="1713" w:type="pct"/>
                  <w:noWrap w:val="0"/>
                  <w:vAlign w:val="center"/>
                </w:tcPr>
                <w:p>
                  <w:pPr>
                    <w:jc w:val="center"/>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0.2848</w:t>
                  </w:r>
                </w:p>
              </w:tc>
              <w:tc>
                <w:tcPr>
                  <w:tcW w:w="1846" w:type="pct"/>
                  <w:noWrap w:val="0"/>
                  <w:vAlign w:val="center"/>
                </w:tcPr>
                <w:p>
                  <w:pPr>
                    <w:jc w:val="center"/>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0.5696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40" w:type="pct"/>
                  <w:noWrap w:val="0"/>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挥发性有机物</w:t>
                  </w:r>
                </w:p>
              </w:tc>
              <w:tc>
                <w:tcPr>
                  <w:tcW w:w="1713" w:type="pct"/>
                  <w:noWrap w:val="0"/>
                  <w:vAlign w:val="center"/>
                </w:tcPr>
                <w:p>
                  <w:pPr>
                    <w:jc w:val="center"/>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1.06</w:t>
                  </w:r>
                </w:p>
              </w:tc>
              <w:tc>
                <w:tcPr>
                  <w:tcW w:w="1846" w:type="pct"/>
                  <w:noWrap w:val="0"/>
                  <w:vAlign w:val="center"/>
                </w:tcPr>
                <w:p>
                  <w:pPr>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2.12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40" w:type="pct"/>
                  <w:noWrap w:val="0"/>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cs="Times New Roman"/>
                      <w:bCs/>
                      <w:color w:val="auto"/>
                      <w:kern w:val="2"/>
                      <w:sz w:val="21"/>
                      <w:szCs w:val="21"/>
                      <w:highlight w:val="none"/>
                      <w:lang w:val="en-US" w:eastAsia="zh-CN" w:bidi="ar-SA"/>
                    </w:rPr>
                    <w:t>二氧化硫</w:t>
                  </w:r>
                </w:p>
              </w:tc>
              <w:tc>
                <w:tcPr>
                  <w:tcW w:w="1713" w:type="pct"/>
                  <w:noWrap w:val="0"/>
                  <w:vAlign w:val="center"/>
                </w:tcPr>
                <w:p>
                  <w:pPr>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1.2659</w:t>
                  </w:r>
                </w:p>
              </w:tc>
              <w:tc>
                <w:tcPr>
                  <w:tcW w:w="1846" w:type="pct"/>
                  <w:noWrap w:val="0"/>
                  <w:vAlign w:val="center"/>
                </w:tcPr>
                <w:p>
                  <w:pPr>
                    <w:jc w:val="center"/>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2.5318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40" w:type="pct"/>
                  <w:noWrap w:val="0"/>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cs="Times New Roman"/>
                      <w:bCs/>
                      <w:color w:val="auto"/>
                      <w:kern w:val="2"/>
                      <w:sz w:val="21"/>
                      <w:szCs w:val="21"/>
                      <w:highlight w:val="none"/>
                      <w:lang w:val="en-US" w:eastAsia="zh-CN" w:bidi="ar-SA"/>
                    </w:rPr>
                    <w:t>氮氧化物</w:t>
                  </w:r>
                </w:p>
              </w:tc>
              <w:tc>
                <w:tcPr>
                  <w:tcW w:w="1713" w:type="pct"/>
                  <w:noWrap w:val="0"/>
                  <w:vAlign w:val="center"/>
                </w:tcPr>
                <w:p>
                  <w:pPr>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1.9179</w:t>
                  </w:r>
                </w:p>
              </w:tc>
              <w:tc>
                <w:tcPr>
                  <w:tcW w:w="1846" w:type="pct"/>
                  <w:noWrap w:val="0"/>
                  <w:vAlign w:val="center"/>
                </w:tcPr>
                <w:p>
                  <w:pPr>
                    <w:jc w:val="center"/>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3.8358</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eastAsia="黑体"/>
                <w:color w:val="auto"/>
                <w:kern w:val="0"/>
                <w:sz w:val="24"/>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eastAsia="黑体"/>
                <w:color w:val="auto"/>
                <w:kern w:val="0"/>
                <w:sz w:val="24"/>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eastAsia="黑体"/>
                <w:color w:val="auto"/>
                <w:kern w:val="0"/>
                <w:sz w:val="24"/>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eastAsia="宋体" w:cs="Times New Roman"/>
                <w:color w:val="auto"/>
                <w:sz w:val="24"/>
                <w:lang w:eastAsia="zh-CN"/>
              </w:rPr>
            </w:pPr>
          </w:p>
        </w:tc>
      </w:tr>
    </w:tbl>
    <w:p>
      <w:pPr>
        <w:pStyle w:val="22"/>
        <w:jc w:val="center"/>
        <w:outlineLvl w:val="0"/>
        <w:rPr>
          <w:rFonts w:hint="default" w:ascii="Times New Roman" w:hAnsi="Times New Roman" w:cs="Times New Roman"/>
          <w:snapToGrid w:val="0"/>
          <w:color w:val="auto"/>
          <w:sz w:val="36"/>
          <w:szCs w:val="36"/>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2"/>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四、主要环境影响和保护措施</w:t>
      </w:r>
    </w:p>
    <w:tbl>
      <w:tblPr>
        <w:tblStyle w:val="26"/>
        <w:tblW w:w="510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90"/>
        <w:gridCol w:w="87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213" w:type="pct"/>
            <w:tcMar>
              <w:left w:w="28" w:type="dxa"/>
              <w:right w:w="28" w:type="dxa"/>
            </w:tcMar>
            <w:vAlign w:val="center"/>
          </w:tcPr>
          <w:p>
            <w:pPr>
              <w:pStyle w:val="22"/>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施</w:t>
            </w:r>
          </w:p>
          <w:p>
            <w:pPr>
              <w:pStyle w:val="22"/>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工</w:t>
            </w:r>
          </w:p>
          <w:p>
            <w:pPr>
              <w:pStyle w:val="22"/>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期</w:t>
            </w:r>
          </w:p>
          <w:p>
            <w:pPr>
              <w:pStyle w:val="22"/>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环</w:t>
            </w:r>
          </w:p>
          <w:p>
            <w:pPr>
              <w:pStyle w:val="22"/>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境</w:t>
            </w:r>
          </w:p>
          <w:p>
            <w:pPr>
              <w:pStyle w:val="22"/>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保</w:t>
            </w:r>
          </w:p>
          <w:p>
            <w:pPr>
              <w:pStyle w:val="22"/>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护</w:t>
            </w:r>
          </w:p>
          <w:p>
            <w:pPr>
              <w:pStyle w:val="22"/>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措</w:t>
            </w:r>
          </w:p>
          <w:p>
            <w:pPr>
              <w:adjustRightInd w:val="0"/>
              <w:snapToGrid w:val="0"/>
              <w:jc w:val="center"/>
              <w:rPr>
                <w:rFonts w:hint="default" w:ascii="Times New Roman" w:hAnsi="Times New Roman" w:cs="Times New Roman"/>
                <w:b/>
                <w:bCs/>
                <w:color w:val="auto"/>
                <w:kern w:val="0"/>
                <w:sz w:val="24"/>
                <w:szCs w:val="24"/>
              </w:rPr>
            </w:pPr>
            <w:r>
              <w:rPr>
                <w:rFonts w:hint="eastAsia" w:ascii="黑体" w:hAnsi="黑体" w:eastAsia="黑体" w:cs="黑体"/>
                <w:color w:val="auto"/>
                <w:kern w:val="2"/>
                <w:sz w:val="24"/>
                <w:szCs w:val="24"/>
                <w:highlight w:val="none"/>
              </w:rPr>
              <w:t>施</w:t>
            </w:r>
          </w:p>
        </w:tc>
        <w:tc>
          <w:tcPr>
            <w:tcW w:w="4786" w:type="pct"/>
            <w:vAlign w:val="center"/>
          </w:tcPr>
          <w:p>
            <w:pPr>
              <w:adjustRightInd w:val="0"/>
              <w:snapToGrid w:val="0"/>
              <w:spacing w:line="360" w:lineRule="auto"/>
              <w:ind w:firstLine="480" w:firstLineChars="200"/>
              <w:rPr>
                <w:color w:val="auto"/>
                <w:sz w:val="24"/>
              </w:rPr>
            </w:pPr>
            <w:r>
              <w:rPr>
                <w:color w:val="auto"/>
                <w:sz w:val="24"/>
              </w:rPr>
              <w:t>本项目</w:t>
            </w:r>
            <w:r>
              <w:rPr>
                <w:rFonts w:hint="eastAsia"/>
                <w:color w:val="auto"/>
                <w:sz w:val="24"/>
                <w:lang w:eastAsia="zh-CN"/>
              </w:rPr>
              <w:t>综合楼重新装修、其余设施均需新建，施工工程包括场地开挖、基础工程及主体工程建设、综合楼装修等。</w:t>
            </w:r>
            <w:r>
              <w:rPr>
                <w:color w:val="auto"/>
                <w:sz w:val="24"/>
              </w:rPr>
              <w:t>施工期会对周围环境产生一定的影响，主要表现为施工扬尘、废水、噪声及弃渣等对环境的影响。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1、大气</w:t>
            </w:r>
            <w:r>
              <w:rPr>
                <w:rFonts w:hint="default" w:ascii="Times New Roman" w:hAnsi="Times New Roman" w:eastAsia="黑体" w:cs="Times New Roman"/>
                <w:color w:val="auto"/>
                <w:sz w:val="24"/>
                <w:szCs w:val="24"/>
                <w:highlight w:val="none"/>
                <w:lang w:eastAsia="zh-CN"/>
              </w:rPr>
              <w:t>污染</w:t>
            </w:r>
            <w:r>
              <w:rPr>
                <w:rFonts w:hint="default" w:ascii="Times New Roman" w:hAnsi="Times New Roman" w:eastAsia="黑体" w:cs="Times New Roman"/>
                <w:color w:val="auto"/>
                <w:sz w:val="24"/>
                <w:szCs w:val="24"/>
                <w:highlight w:val="none"/>
              </w:rPr>
              <w:t>防治措施</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施工期产生的废气主要为建筑材料运输、装卸过程中产生的扬尘，如水泥、建筑用砂等。</w:t>
            </w:r>
          </w:p>
          <w:p>
            <w:pPr>
              <w:spacing w:line="360" w:lineRule="auto"/>
              <w:ind w:firstLine="480" w:firstLineChars="200"/>
              <w:outlineLvl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bidi="ar"/>
              </w:rPr>
              <w:t>施工期要严格按照《关于印发山东省扬尘污染综合整治方案的通知》（鲁环发〔2019〕112号）、《山东省扬尘污染防治管理办法》(2018年修订本)要求进行。</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①使用围栏封闭施工区域</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根据规划红线范围，设置高度不低于2.0m的围墙，确保整个施工区域与外界充分隔离，围墙外侧作美化或绿化处理。</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②对运输车辆进行防尘控制</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在施工大门口设置冲洗设备、沉淀池及排水沟。施工运输车辆、挖掘机械等驶出工地前必须清除泥土作防尘处理，严禁将泥土、尘土带出工地。冲洗车辆产生的泥浆水应通过二级沉淀池</w:t>
            </w:r>
            <w:r>
              <w:rPr>
                <w:rFonts w:hint="default" w:ascii="Times New Roman" w:hAnsi="Times New Roman" w:cs="Times New Roman"/>
                <w:color w:val="auto"/>
                <w:sz w:val="24"/>
                <w:szCs w:val="24"/>
                <w:highlight w:val="none"/>
                <w:lang w:bidi="ar"/>
              </w:rPr>
              <w:t>沉淀以后回用于施工用水</w:t>
            </w:r>
            <w:r>
              <w:rPr>
                <w:rFonts w:hint="default" w:ascii="Times New Roman" w:hAnsi="Times New Roman" w:cs="Times New Roman"/>
                <w:color w:val="auto"/>
                <w:sz w:val="24"/>
                <w:szCs w:val="24"/>
                <w:highlight w:val="none"/>
              </w:rPr>
              <w:t>。</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③硬化处理施工场地</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施工现场按照平面布置要求做好主要道路、材料堆场区域铺设混凝土路面工作，实行场地的硬化或绿化处理，确保无一处漏土现象，以达到防尘控制要求。</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④定期清扫道路</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安排保洁人员每日对施工现场的道路进行1-2次清扫，清扫前对路面进行扫水。天气干燥或风力较大时，增加洒水频次，以保持路面的湿润。</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⑤建筑材料扬尘污染的控制</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砂石设置专用池槽进行堆放，控制进料数量，做到随到随用，不大量囤积；堆放时做到堆积方正、底脚整齐干净，并将周边及上方拍平压实，然后用密目网进行覆盖；砂石料如过于干燥，应及时进行洒水。施工用的砖、砌块必须在指定场地进行堆放；进场后及时进行洒水湿润，定时由专人对堆放场地进行清扫。其他易飞扬物、细颗粒散体材料必须进行严密的遮盖，运输车辆要有防止泄漏、飞扬装置，卸料时采取集中码放措施，以减少污染。</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⑥堆土防尘控制</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建筑工程施工现场的弃土、弃料及其他建筑垃圾应及时清运，若在工地内堆置超过48小时，应密闭存放或及时用网或膜进行覆盖，防止风蚀起尘及水蚀迁移。</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⑦重污染天气预警</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重污染天气应急期间，严格按照《淄博市重污染天气应急预案》要求，落实应急减排措施。当发布预警时，拆除施工单位停止房屋拆除作业等易产生扬尘的施工环节。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highlight w:val="none"/>
                <w:lang w:val="zh-CN"/>
              </w:rPr>
            </w:pPr>
            <w:r>
              <w:rPr>
                <w:rFonts w:hint="default" w:ascii="Times New Roman" w:hAnsi="Times New Roman" w:eastAsia="黑体" w:cs="Times New Roman"/>
                <w:color w:val="auto"/>
                <w:sz w:val="24"/>
                <w:szCs w:val="24"/>
                <w:highlight w:val="none"/>
                <w:lang w:val="zh-CN"/>
              </w:rPr>
              <w:t>2、废水防治措施</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bidi="ar"/>
              </w:rPr>
              <w:t>施工期产生的废水主要为施工用水和施工生活污水。施工用水主要为搅拌站、打桩钻孔、车辆冲洗等用水，主要污染物是悬浮物和少量COD，经沉淀池沉淀以后回用于施工用水。施工生活污水主要为工人盥洗用水，产生量较小，</w:t>
            </w:r>
            <w:r>
              <w:rPr>
                <w:rFonts w:hint="default" w:ascii="Times New Roman" w:hAnsi="Times New Roman" w:cs="Times New Roman"/>
                <w:color w:val="auto"/>
                <w:sz w:val="24"/>
                <w:szCs w:val="24"/>
                <w:highlight w:val="none"/>
                <w:lang w:eastAsia="zh-CN" w:bidi="ar"/>
              </w:rPr>
              <w:t>旱厕</w:t>
            </w:r>
            <w:r>
              <w:rPr>
                <w:rFonts w:hint="default" w:ascii="Times New Roman" w:hAnsi="Times New Roman" w:cs="Times New Roman"/>
                <w:color w:val="auto"/>
                <w:sz w:val="24"/>
                <w:szCs w:val="24"/>
                <w:highlight w:val="none"/>
                <w:lang w:bidi="ar"/>
              </w:rPr>
              <w:t>收集后由环卫部门清运，对区域水环境影响较小。</w:t>
            </w:r>
          </w:p>
          <w:p>
            <w:pPr>
              <w:widowControl/>
              <w:spacing w:line="360" w:lineRule="auto"/>
              <w:ind w:firstLine="42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施工期施工机械跑、冒、漏的污油，露天机械被雨水冲刷后产生的油污，施工营地的生活污水、生活垃圾，堆放的建筑材料被雨水冲刷漫流后，将会对周边地表水环境质量产生一定的影响。建设单位须加强环境管理，尽可能减少油污及物料的流失量；在综合施工场设置围墙，消除雨水对粉状建筑材料的影响，避免其随雨水随沟渠流入河流，而对区域水环境的质量造成影响。</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cs="Times New Roman"/>
                <w:color w:val="auto"/>
                <w:sz w:val="24"/>
                <w:szCs w:val="24"/>
                <w:highlight w:val="none"/>
              </w:rPr>
              <w:t>采取上述污染防治措施后，项目施工期的生产废水和生活污水均得到了合理的处置，</w:t>
            </w:r>
            <w:r>
              <w:rPr>
                <w:rFonts w:hint="default" w:ascii="Times New Roman" w:hAnsi="Times New Roman" w:cs="Times New Roman"/>
                <w:color w:val="auto"/>
                <w:sz w:val="24"/>
                <w:szCs w:val="24"/>
                <w:highlight w:val="none"/>
                <w:lang w:val="zh-CN"/>
              </w:rPr>
              <w:t>对地表水和地下水环境影响较小，且随着施工期的结束，污染情况随之结束。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3、噪声防治措施</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噪声是居民特别敏感的噪声源之一，根据目前的机械制造水平，只能通过加强施工产噪设备的管理，以减轻施工噪声对周围环境的影响。为了尽量减少因本项目施工而给周围人们生活等活动带来的不利影响，本次评价要求施工单位采取以下控制措施：</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①建设单位施工应从行政主管部门取得施工噪声许可，提前告之公众，禁止在夜间进行高噪声振动及打桩的施工工作；</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②合理布置施工作业区，高噪音施工设备尽量布置在远离敏感目标的位置；</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③土石方施工选择低噪声设备；</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④对周围居民有影响的施工，还应征求周围居民意见，设专人接待、处理公众对施工噪声的投诉和意见，取得公众谅解；</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⑤运输车辆降低车速，安排合理的运输路线，夜间严禁鸣笛；</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项目周围200m范围内无敏感目标，建设单位须采取有效的措施，精心设计、规范施工进度，确保施工噪声达到《建筑施工场界环境噪声排放标准》(GB12523-2011)要求。</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综上所述，施工期环境影响是局部的、短暂的，施工结束后影响消失。本项目采取以上有效的防治措施后对周围环境影响较小。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4、固废防治措施</w:t>
            </w:r>
          </w:p>
          <w:p>
            <w:pPr>
              <w:adjustRightInd w:val="0"/>
              <w:snapToGrid w:val="0"/>
              <w:spacing w:line="360" w:lineRule="auto"/>
              <w:ind w:firstLine="480" w:firstLineChars="200"/>
              <w:rPr>
                <w:rFonts w:hint="default" w:ascii="Times New Roman" w:hAnsi="Times New Roman" w:eastAsia="宋体" w:cs="Times New Roman"/>
                <w:color w:val="auto"/>
                <w:sz w:val="24"/>
                <w:lang w:val="zh-CN"/>
              </w:rPr>
            </w:pPr>
            <w:r>
              <w:rPr>
                <w:rFonts w:hint="default" w:ascii="Times New Roman" w:hAnsi="Times New Roman" w:cs="Times New Roman"/>
                <w:color w:val="auto"/>
                <w:sz w:val="24"/>
                <w:szCs w:val="24"/>
                <w:highlight w:val="none"/>
              </w:rPr>
              <w:t>施工期固体废物主要为开挖土方、包装材料和施工人员产生的生活垃圾。施工期的开挖土方临时堆放后，全部用于地势平整和地基回填；包装材料回收利用或外卖给废品收购站；</w:t>
            </w:r>
            <w:r>
              <w:rPr>
                <w:rFonts w:hint="eastAsia" w:ascii="Times New Roman" w:hAnsi="Times New Roman" w:cs="Times New Roman"/>
                <w:color w:val="auto"/>
                <w:sz w:val="24"/>
                <w:szCs w:val="24"/>
                <w:highlight w:val="none"/>
                <w:lang w:eastAsia="zh-CN"/>
              </w:rPr>
              <w:t>拆除废渣全部运往建筑垃圾填埋场处置；</w:t>
            </w:r>
            <w:r>
              <w:rPr>
                <w:rFonts w:hint="default" w:ascii="Times New Roman" w:hAnsi="Times New Roman" w:cs="Times New Roman"/>
                <w:color w:val="auto"/>
                <w:sz w:val="24"/>
                <w:szCs w:val="24"/>
                <w:highlight w:val="none"/>
              </w:rPr>
              <w:t>生活垃圾及时清运，由环卫部门统一收集处理。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5、生态环境影响防治措施</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施工期整个地表绝大部分处于裸露状态，再加上临时堆放的土方，因其结构疏松，空隙度大，在雨滴击打和水流的冲刷下，极易产生水土流失。</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为保护项目区生态环境，需采取以下措施：</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 1 \* GB3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①</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彩钢板拦挡：项目施工过程中采用彩钢板临时拦挡的形式，彩钢板可根据施工时序，合理重复利用。</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 2 \* GB3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②</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临时植草覆盖：为避免大风、降雨对临时堆土的影响，主体工程设计在施工过程中对临时堆土区进行撒播种草临时覆盖的措施。</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 3 \* GB3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③</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表土剥离及回填：在施工区及临时占地修筑前进行表土剥离，根据土壤厚度及肥力合理设计剥离深度，剥离后的土层可临时堆存在项目区闲置空地，待施工期结束后，可将剥离的土层绿化回</w:t>
            </w:r>
            <w:r>
              <w:rPr>
                <w:rFonts w:hint="default" w:ascii="Times New Roman" w:hAnsi="Times New Roman" w:eastAsia="宋体" w:cs="Times New Roman"/>
                <w:color w:val="auto"/>
                <w:sz w:val="24"/>
                <w:szCs w:val="24"/>
                <w:highlight w:val="none"/>
              </w:rPr>
              <w:t>填，</w:t>
            </w:r>
            <w:r>
              <w:rPr>
                <w:rFonts w:hint="default" w:ascii="Times New Roman" w:hAnsi="Times New Roman" w:eastAsia="宋体" w:cs="Times New Roman"/>
                <w:color w:val="auto"/>
                <w:sz w:val="24"/>
                <w:szCs w:val="24"/>
                <w:highlight w:val="none"/>
                <w:lang w:eastAsia="zh-CN"/>
              </w:rPr>
              <w:t>恢复植被，</w:t>
            </w:r>
            <w:r>
              <w:rPr>
                <w:rFonts w:hint="default" w:ascii="Times New Roman" w:hAnsi="Times New Roman" w:eastAsia="宋体" w:cs="Times New Roman"/>
                <w:color w:val="auto"/>
                <w:sz w:val="24"/>
                <w:szCs w:val="24"/>
                <w:highlight w:val="none"/>
              </w:rPr>
              <w:t>可以有效的保护土壤资源，同时也可以加快恢复土地生产力。</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采取上述治理措施后，本项目施工期对生态环境的影响较小。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6、施工振动防治措施</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基础施工阶段的振动会对周围建筑物存在一定影响，因此设计和施工过程必须严格执行规划要求，采取科学的措施减小施工振动对周围环境的影响。</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综上所述，通过加强作业管理和采取相关环保措施，可将施工过程对环境的影响降至最低。</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lang w:val="en-US" w:eastAsia="zh-CN"/>
              </w:rPr>
            </w:pP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p>
          <w:p>
            <w:pPr>
              <w:pStyle w:val="9"/>
              <w:rPr>
                <w:rFonts w:hint="default" w:ascii="Times New Roman" w:hAnsi="Times New Roman" w:eastAsia="宋体" w:cs="Times New Roman"/>
                <w:color w:val="auto"/>
                <w:sz w:val="24"/>
              </w:rPr>
            </w:pPr>
          </w:p>
          <w:p>
            <w:pPr>
              <w:pStyle w:val="11"/>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9"/>
              <w:rPr>
                <w:rFonts w:hint="default" w:ascii="Times New Roman" w:hAnsi="Times New Roman" w:eastAsia="宋体" w:cs="Times New Roman"/>
                <w:color w:val="auto"/>
                <w:sz w:val="24"/>
              </w:rPr>
            </w:pPr>
          </w:p>
          <w:p>
            <w:pPr>
              <w:pStyle w:val="11"/>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9"/>
              <w:rPr>
                <w:rFonts w:hint="default" w:ascii="Times New Roman" w:hAnsi="Times New Roman" w:eastAsia="宋体" w:cs="Times New Roman"/>
                <w:color w:val="auto"/>
                <w:sz w:val="24"/>
              </w:rPr>
            </w:pPr>
          </w:p>
          <w:p>
            <w:pPr>
              <w:pStyle w:val="11"/>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9"/>
              <w:rPr>
                <w:rFonts w:hint="default" w:ascii="Times New Roman" w:hAnsi="Times New Roman" w:eastAsia="宋体" w:cs="Times New Roman"/>
                <w:color w:val="auto"/>
                <w:sz w:val="24"/>
              </w:rPr>
            </w:pPr>
          </w:p>
          <w:p>
            <w:pPr>
              <w:pStyle w:val="11"/>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9"/>
              <w:rPr>
                <w:rFonts w:hint="default" w:ascii="Times New Roman" w:hAnsi="Times New Roman" w:eastAsia="宋体" w:cs="Times New Roman"/>
                <w:color w:val="auto"/>
                <w:sz w:val="24"/>
              </w:rPr>
            </w:pPr>
          </w:p>
          <w:p>
            <w:pPr>
              <w:pStyle w:val="11"/>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9"/>
              <w:rPr>
                <w:rFonts w:hint="default" w:ascii="Times New Roman" w:hAnsi="Times New Roman" w:eastAsia="宋体" w:cs="Times New Roman"/>
                <w:color w:val="auto"/>
                <w:sz w:val="24"/>
              </w:rPr>
            </w:pPr>
          </w:p>
          <w:p>
            <w:pPr>
              <w:pStyle w:val="11"/>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9"/>
              <w:rPr>
                <w:rFonts w:hint="default" w:ascii="Times New Roman" w:hAnsi="Times New Roman" w:eastAsia="宋体" w:cs="Times New Roman"/>
                <w:color w:val="auto"/>
                <w:sz w:val="24"/>
              </w:rPr>
            </w:pPr>
          </w:p>
          <w:p>
            <w:pPr>
              <w:pStyle w:val="11"/>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9"/>
              <w:rPr>
                <w:rFonts w:hint="default" w:ascii="Times New Roman" w:hAnsi="Times New Roman" w:eastAsia="宋体" w:cs="Times New Roman"/>
                <w:color w:val="auto"/>
                <w:sz w:val="24"/>
              </w:rPr>
            </w:pPr>
          </w:p>
          <w:p>
            <w:pPr>
              <w:pStyle w:val="11"/>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9"/>
              <w:rPr>
                <w:rFonts w:hint="default" w:ascii="Times New Roman" w:hAnsi="Times New Roman" w:eastAsia="宋体" w:cs="Times New Roman"/>
                <w:color w:val="auto"/>
                <w:sz w:val="24"/>
              </w:rPr>
            </w:pPr>
          </w:p>
          <w:p>
            <w:pPr>
              <w:pStyle w:val="11"/>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9"/>
              <w:rPr>
                <w:rFonts w:hint="default" w:ascii="Times New Roman" w:hAnsi="Times New Roman" w:eastAsia="宋体" w:cs="Times New Roman"/>
                <w:color w:val="auto"/>
                <w:sz w:val="24"/>
              </w:rPr>
            </w:pPr>
          </w:p>
          <w:p>
            <w:pPr>
              <w:pStyle w:val="11"/>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9"/>
              <w:rPr>
                <w:rFonts w:hint="default"/>
                <w:color w:val="auto"/>
              </w:rPr>
            </w:pP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p>
          <w:p>
            <w:pPr>
              <w:keepNext w:val="0"/>
              <w:keepLines w:val="0"/>
              <w:pageBreakBefore w:val="0"/>
              <w:widowControl w:val="0"/>
              <w:kinsoku/>
              <w:wordWrap/>
              <w:overflowPunct/>
              <w:topLinePunct w:val="0"/>
              <w:bidi w:val="0"/>
              <w:adjustRightInd w:val="0"/>
              <w:snapToGrid w:val="0"/>
              <w:spacing w:line="360" w:lineRule="auto"/>
              <w:textAlignment w:val="auto"/>
              <w:rPr>
                <w:rFonts w:hint="default"/>
                <w:color w:val="auto"/>
              </w:rPr>
            </w:pPr>
          </w:p>
        </w:tc>
      </w:tr>
    </w:tbl>
    <w:p>
      <w:pPr>
        <w:adjustRightInd w:val="0"/>
        <w:snapToGrid w:val="0"/>
        <w:jc w:val="center"/>
        <w:rPr>
          <w:rFonts w:hint="default" w:ascii="Times New Roman" w:hAnsi="Times New Roman" w:cs="Times New Roman"/>
          <w:b/>
          <w:bCs/>
          <w:color w:val="auto"/>
          <w:kern w:val="0"/>
          <w:sz w:val="28"/>
          <w:szCs w:val="28"/>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6"/>
        <w:tblW w:w="505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47"/>
        <w:gridCol w:w="1338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33" w:hRule="atLeast"/>
          <w:jc w:val="center"/>
        </w:trPr>
        <w:tc>
          <w:tcPr>
            <w:tcW w:w="126" w:type="pct"/>
            <w:tcMar>
              <w:left w:w="28" w:type="dxa"/>
              <w:right w:w="28" w:type="dxa"/>
            </w:tcMar>
            <w:vAlign w:val="center"/>
          </w:tcPr>
          <w:p>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运营</w:t>
            </w:r>
          </w:p>
          <w:p>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期环</w:t>
            </w:r>
          </w:p>
          <w:p>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境影</w:t>
            </w:r>
          </w:p>
          <w:p>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响和</w:t>
            </w:r>
          </w:p>
          <w:p>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保护</w:t>
            </w:r>
          </w:p>
          <w:p>
            <w:pPr>
              <w:adjustRightInd w:val="0"/>
              <w:snapToGrid w:val="0"/>
              <w:jc w:val="center"/>
              <w:rPr>
                <w:rFonts w:hint="default" w:ascii="Times New Roman" w:hAnsi="Times New Roman" w:cs="Times New Roman"/>
                <w:b/>
                <w:bCs/>
                <w:color w:val="auto"/>
                <w:kern w:val="0"/>
                <w:sz w:val="24"/>
                <w:szCs w:val="24"/>
              </w:rPr>
            </w:pPr>
            <w:r>
              <w:rPr>
                <w:rFonts w:hint="eastAsia" w:ascii="黑体" w:hAnsi="黑体" w:eastAsia="黑体" w:cs="黑体"/>
                <w:bCs/>
                <w:color w:val="auto"/>
                <w:sz w:val="24"/>
                <w:szCs w:val="24"/>
                <w:highlight w:val="none"/>
              </w:rPr>
              <w:t>措施</w:t>
            </w:r>
          </w:p>
        </w:tc>
        <w:tc>
          <w:tcPr>
            <w:tcW w:w="4873" w:type="pct"/>
          </w:tcPr>
          <w:p>
            <w:pPr>
              <w:spacing w:line="360" w:lineRule="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一、废气</w:t>
            </w:r>
          </w:p>
          <w:p>
            <w:pPr>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1、</w:t>
            </w:r>
            <w:r>
              <w:rPr>
                <w:rFonts w:hint="default" w:ascii="Times New Roman" w:hAnsi="Times New Roman" w:eastAsia="黑体" w:cs="Times New Roman"/>
                <w:color w:val="auto"/>
                <w:sz w:val="24"/>
                <w:szCs w:val="24"/>
                <w:highlight w:val="none"/>
                <w:lang w:val="en-US" w:eastAsia="zh-CN"/>
              </w:rPr>
              <w:t>产排污节点、污染物及污染治理设施</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lang w:val="zh-CN"/>
              </w:rPr>
            </w:pPr>
            <w:r>
              <w:rPr>
                <w:rFonts w:hint="default" w:ascii="Times New Roman" w:hAnsi="Times New Roman" w:cs="Times New Roman"/>
                <w:color w:val="auto"/>
                <w:kern w:val="0"/>
                <w:sz w:val="24"/>
                <w:lang w:val="zh-CN"/>
              </w:rPr>
              <w:t>废气有组织产排污节点、污染物及污染治理设施见下表。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表4-1</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lang w:val="en-US" w:eastAsia="zh-CN"/>
              </w:rPr>
              <w:t>有组织废气污染物排放源强核算结果一览表</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460"/>
              <w:gridCol w:w="977"/>
              <w:gridCol w:w="702"/>
              <w:gridCol w:w="540"/>
              <w:gridCol w:w="720"/>
              <w:gridCol w:w="571"/>
              <w:gridCol w:w="465"/>
              <w:gridCol w:w="585"/>
              <w:gridCol w:w="1020"/>
              <w:gridCol w:w="1035"/>
              <w:gridCol w:w="750"/>
              <w:gridCol w:w="660"/>
              <w:gridCol w:w="449"/>
              <w:gridCol w:w="570"/>
              <w:gridCol w:w="781"/>
              <w:gridCol w:w="463"/>
              <w:gridCol w:w="430"/>
              <w:gridCol w:w="584"/>
              <w:gridCol w:w="443"/>
              <w:gridCol w:w="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45" w:type="pct"/>
                  <w:vMerge w:val="restar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产污</w:t>
                  </w:r>
                </w:p>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环节</w:t>
                  </w:r>
                </w:p>
              </w:tc>
              <w:tc>
                <w:tcPr>
                  <w:tcW w:w="174" w:type="pct"/>
                  <w:vMerge w:val="restar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污染物种类</w:t>
                  </w:r>
                </w:p>
              </w:tc>
              <w:tc>
                <w:tcPr>
                  <w:tcW w:w="638" w:type="pct"/>
                  <w:gridSpan w:val="2"/>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污染物产生情况</w:t>
                  </w:r>
                </w:p>
              </w:tc>
              <w:tc>
                <w:tcPr>
                  <w:tcW w:w="872" w:type="pct"/>
                  <w:gridSpan w:val="4"/>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治理设施</w:t>
                  </w:r>
                </w:p>
              </w:tc>
              <w:tc>
                <w:tcPr>
                  <w:tcW w:w="1003" w:type="pct"/>
                  <w:gridSpan w:val="3"/>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污染物排放情况</w:t>
                  </w:r>
                </w:p>
              </w:tc>
              <w:tc>
                <w:tcPr>
                  <w:tcW w:w="1559" w:type="pct"/>
                  <w:gridSpan w:val="7"/>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排放口</w:t>
                  </w:r>
                </w:p>
              </w:tc>
              <w:tc>
                <w:tcPr>
                  <w:tcW w:w="390" w:type="pct"/>
                  <w:gridSpan w:val="2"/>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排放标准</w:t>
                  </w:r>
                </w:p>
              </w:tc>
              <w:tc>
                <w:tcPr>
                  <w:tcW w:w="114" w:type="pct"/>
                  <w:vMerge w:val="restar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45" w:type="pct"/>
                  <w:vMerge w:val="continue"/>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p>
              </w:tc>
              <w:tc>
                <w:tcPr>
                  <w:tcW w:w="174" w:type="pct"/>
                  <w:vMerge w:val="continue"/>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p>
              </w:tc>
              <w:tc>
                <w:tcPr>
                  <w:tcW w:w="371"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产生速率kg/h</w:t>
                  </w:r>
                </w:p>
              </w:tc>
              <w:tc>
                <w:tcPr>
                  <w:tcW w:w="266"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产生量</w:t>
                  </w:r>
                </w:p>
                <w:p>
                  <w:pPr>
                    <w:pStyle w:val="14"/>
                    <w:spacing w:line="240" w:lineRule="atLeast"/>
                    <w:jc w:val="center"/>
                    <w:rPr>
                      <w:rFonts w:hint="eastAsia" w:ascii="Times New Roman" w:hAnsi="Times New Roman" w:eastAsia="宋体"/>
                      <w:b w:val="0"/>
                      <w:bCs w:val="0"/>
                      <w:color w:val="auto"/>
                      <w:kern w:val="0"/>
                      <w:sz w:val="21"/>
                      <w:szCs w:val="21"/>
                      <w:highlight w:val="none"/>
                      <w:lang w:eastAsia="zh-CN"/>
                    </w:rPr>
                  </w:pPr>
                  <w:r>
                    <w:rPr>
                      <w:rFonts w:ascii="Times New Roman" w:hAnsi="Times New Roman"/>
                      <w:b w:val="0"/>
                      <w:bCs w:val="0"/>
                      <w:color w:val="auto"/>
                      <w:kern w:val="0"/>
                      <w:sz w:val="21"/>
                      <w:szCs w:val="21"/>
                      <w:highlight w:val="none"/>
                    </w:rPr>
                    <w:t>t/a</w:t>
                  </w:r>
                </w:p>
              </w:tc>
              <w:tc>
                <w:tcPr>
                  <w:tcW w:w="205"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收集效率</w:t>
                  </w:r>
                  <w:r>
                    <w:rPr>
                      <w:rFonts w:hint="eastAsia" w:ascii="Times New Roman" w:hAnsi="Times New Roman"/>
                      <w:b w:val="0"/>
                      <w:bCs w:val="0"/>
                      <w:color w:val="auto"/>
                      <w:kern w:val="0"/>
                      <w:sz w:val="21"/>
                      <w:szCs w:val="21"/>
                      <w:highlight w:val="none"/>
                    </w:rPr>
                    <w:t>%</w:t>
                  </w:r>
                </w:p>
              </w:tc>
              <w:tc>
                <w:tcPr>
                  <w:tcW w:w="273"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治理设施</w:t>
                  </w:r>
                </w:p>
              </w:tc>
              <w:tc>
                <w:tcPr>
                  <w:tcW w:w="217"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处理效率</w:t>
                  </w:r>
                  <w:r>
                    <w:rPr>
                      <w:rFonts w:hint="eastAsia" w:ascii="Times New Roman" w:hAnsi="Times New Roman"/>
                      <w:b w:val="0"/>
                      <w:bCs w:val="0"/>
                      <w:color w:val="auto"/>
                      <w:kern w:val="0"/>
                      <w:sz w:val="21"/>
                      <w:szCs w:val="21"/>
                      <w:highlight w:val="none"/>
                    </w:rPr>
                    <w:t>%</w:t>
                  </w:r>
                </w:p>
              </w:tc>
              <w:tc>
                <w:tcPr>
                  <w:tcW w:w="176"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是否为可行技术</w:t>
                  </w:r>
                </w:p>
              </w:tc>
              <w:tc>
                <w:tcPr>
                  <w:tcW w:w="222"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w:t>
                  </w:r>
                </w:p>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浓度mg/m</w:t>
                  </w:r>
                  <w:r>
                    <w:rPr>
                      <w:rFonts w:ascii="Times New Roman" w:hAnsi="Times New Roman"/>
                      <w:b w:val="0"/>
                      <w:bCs w:val="0"/>
                      <w:color w:val="auto"/>
                      <w:kern w:val="0"/>
                      <w:sz w:val="21"/>
                      <w:szCs w:val="21"/>
                      <w:highlight w:val="none"/>
                      <w:vertAlign w:val="superscript"/>
                    </w:rPr>
                    <w:t>3</w:t>
                  </w:r>
                </w:p>
              </w:tc>
              <w:tc>
                <w:tcPr>
                  <w:tcW w:w="387"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排放速率kg/h</w:t>
                  </w:r>
                </w:p>
              </w:tc>
              <w:tc>
                <w:tcPr>
                  <w:tcW w:w="393"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排放量t/a</w:t>
                  </w:r>
                </w:p>
              </w:tc>
              <w:tc>
                <w:tcPr>
                  <w:tcW w:w="285"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编号</w:t>
                  </w:r>
                </w:p>
              </w:tc>
              <w:tc>
                <w:tcPr>
                  <w:tcW w:w="250"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名称</w:t>
                  </w:r>
                </w:p>
                <w:p>
                  <w:pPr>
                    <w:pStyle w:val="14"/>
                    <w:spacing w:line="240" w:lineRule="atLeast"/>
                    <w:jc w:val="center"/>
                    <w:rPr>
                      <w:rFonts w:ascii="Times New Roman" w:hAnsi="Times New Roman"/>
                      <w:b w:val="0"/>
                      <w:bCs w:val="0"/>
                      <w:color w:val="auto"/>
                      <w:kern w:val="0"/>
                      <w:sz w:val="21"/>
                      <w:szCs w:val="21"/>
                      <w:highlight w:val="none"/>
                    </w:rPr>
                  </w:pPr>
                </w:p>
              </w:tc>
              <w:tc>
                <w:tcPr>
                  <w:tcW w:w="170"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高度</w:t>
                  </w:r>
                </w:p>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m</w:t>
                  </w:r>
                </w:p>
              </w:tc>
              <w:tc>
                <w:tcPr>
                  <w:tcW w:w="216"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出口内径m</w:t>
                  </w:r>
                </w:p>
              </w:tc>
              <w:tc>
                <w:tcPr>
                  <w:tcW w:w="296"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风量m</w:t>
                  </w:r>
                  <w:r>
                    <w:rPr>
                      <w:rFonts w:ascii="Times New Roman" w:hAnsi="Times New Roman"/>
                      <w:b w:val="0"/>
                      <w:bCs w:val="0"/>
                      <w:color w:val="auto"/>
                      <w:kern w:val="0"/>
                      <w:sz w:val="21"/>
                      <w:szCs w:val="21"/>
                      <w:highlight w:val="none"/>
                      <w:vertAlign w:val="superscript"/>
                    </w:rPr>
                    <w:t>3</w:t>
                  </w:r>
                  <w:r>
                    <w:rPr>
                      <w:rFonts w:ascii="Times New Roman" w:hAnsi="Times New Roman"/>
                      <w:b w:val="0"/>
                      <w:bCs w:val="0"/>
                      <w:color w:val="auto"/>
                      <w:kern w:val="0"/>
                      <w:sz w:val="21"/>
                      <w:szCs w:val="21"/>
                      <w:highlight w:val="none"/>
                    </w:rPr>
                    <w:t>/h</w:t>
                  </w:r>
                </w:p>
              </w:tc>
              <w:tc>
                <w:tcPr>
                  <w:tcW w:w="176"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排气温度℃</w:t>
                  </w:r>
                </w:p>
              </w:tc>
              <w:tc>
                <w:tcPr>
                  <w:tcW w:w="163"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年排放</w:t>
                  </w:r>
                  <w:r>
                    <w:rPr>
                      <w:rFonts w:hint="eastAsia" w:ascii="Times New Roman" w:hAnsi="Times New Roman"/>
                      <w:b w:val="0"/>
                      <w:bCs w:val="0"/>
                      <w:color w:val="auto"/>
                      <w:kern w:val="0"/>
                      <w:sz w:val="21"/>
                      <w:szCs w:val="21"/>
                      <w:highlight w:val="none"/>
                      <w:lang w:val="en-US" w:eastAsia="zh-CN"/>
                    </w:rPr>
                    <w:t>时间</w:t>
                  </w:r>
                  <w:r>
                    <w:rPr>
                      <w:rFonts w:ascii="Times New Roman" w:hAnsi="Times New Roman"/>
                      <w:b w:val="0"/>
                      <w:bCs w:val="0"/>
                      <w:color w:val="auto"/>
                      <w:kern w:val="0"/>
                      <w:sz w:val="21"/>
                      <w:szCs w:val="21"/>
                      <w:highlight w:val="none"/>
                    </w:rPr>
                    <w:t>/h</w:t>
                  </w:r>
                </w:p>
              </w:tc>
              <w:tc>
                <w:tcPr>
                  <w:tcW w:w="222"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浓度</w:t>
                  </w:r>
                </w:p>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限值mg/m</w:t>
                  </w:r>
                  <w:r>
                    <w:rPr>
                      <w:rFonts w:ascii="Times New Roman" w:hAnsi="Times New Roman"/>
                      <w:b w:val="0"/>
                      <w:bCs w:val="0"/>
                      <w:color w:val="auto"/>
                      <w:kern w:val="0"/>
                      <w:sz w:val="21"/>
                      <w:szCs w:val="21"/>
                      <w:highlight w:val="none"/>
                      <w:vertAlign w:val="superscript"/>
                    </w:rPr>
                    <w:t>3</w:t>
                  </w:r>
                </w:p>
              </w:tc>
              <w:tc>
                <w:tcPr>
                  <w:tcW w:w="168" w:type="pct"/>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速率限值kg/h</w:t>
                  </w:r>
                </w:p>
              </w:tc>
              <w:tc>
                <w:tcPr>
                  <w:tcW w:w="114" w:type="pct"/>
                  <w:vMerge w:val="continue"/>
                  <w:noWrap w:val="0"/>
                  <w:tcMar>
                    <w:top w:w="0" w:type="dxa"/>
                    <w:left w:w="0" w:type="dxa"/>
                    <w:bottom w:w="0" w:type="dxa"/>
                    <w:right w:w="0" w:type="dxa"/>
                  </w:tcMar>
                  <w:vAlign w:val="center"/>
                </w:tcPr>
                <w:p>
                  <w:pPr>
                    <w:pStyle w:val="14"/>
                    <w:spacing w:line="240" w:lineRule="atLeast"/>
                    <w:jc w:val="center"/>
                    <w:rPr>
                      <w:rFonts w:ascii="Times New Roman" w:hAnsi="Times New Roman"/>
                      <w:b w:val="0"/>
                      <w:bCs w:val="0"/>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45"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柴油、汽油、石脑油储罐大小呼吸及装载</w:t>
                  </w:r>
                </w:p>
              </w:tc>
              <w:tc>
                <w:tcPr>
                  <w:tcW w:w="17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挥发性有机物</w:t>
                  </w:r>
                </w:p>
              </w:tc>
              <w:tc>
                <w:tcPr>
                  <w:tcW w:w="371"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34.48</w:t>
                  </w:r>
                </w:p>
              </w:tc>
              <w:tc>
                <w:tcPr>
                  <w:tcW w:w="266"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275.85</w:t>
                  </w:r>
                </w:p>
              </w:tc>
              <w:tc>
                <w:tcPr>
                  <w:tcW w:w="205"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100</w:t>
                  </w:r>
                </w:p>
              </w:tc>
              <w:tc>
                <w:tcPr>
                  <w:tcW w:w="273"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油气回收装置+RTO废气处理装置</w:t>
                  </w:r>
                </w:p>
              </w:tc>
              <w:tc>
                <w:tcPr>
                  <w:tcW w:w="217"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99.65</w:t>
                  </w:r>
                </w:p>
              </w:tc>
              <w:tc>
                <w:tcPr>
                  <w:tcW w:w="17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是</w:t>
                  </w:r>
                </w:p>
              </w:tc>
              <w:tc>
                <w:tcPr>
                  <w:tcW w:w="222"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13.25</w:t>
                  </w:r>
                </w:p>
              </w:tc>
              <w:tc>
                <w:tcPr>
                  <w:tcW w:w="387" w:type="pct"/>
                  <w:vMerge w:val="restar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0.1325</w:t>
                  </w:r>
                </w:p>
              </w:tc>
              <w:tc>
                <w:tcPr>
                  <w:tcW w:w="393"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1.06</w:t>
                  </w:r>
                </w:p>
              </w:tc>
              <w:tc>
                <w:tcPr>
                  <w:tcW w:w="285" w:type="pct"/>
                  <w:vMerge w:val="restar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val="en-US" w:eastAsia="zh-CN"/>
                    </w:rPr>
                    <w:t>DA00</w:t>
                  </w:r>
                  <w:r>
                    <w:rPr>
                      <w:rFonts w:hint="eastAsia" w:ascii="Times New Roman" w:hAnsi="Times New Roman" w:cs="Times New Roman"/>
                      <w:color w:val="auto"/>
                      <w:szCs w:val="21"/>
                      <w:lang w:val="en-US" w:eastAsia="zh-CN"/>
                    </w:rPr>
                    <w:t>1</w:t>
                  </w:r>
                </w:p>
              </w:tc>
              <w:tc>
                <w:tcPr>
                  <w:tcW w:w="250" w:type="pct"/>
                  <w:vMerge w:val="restart"/>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rPr>
                  </w:pPr>
                  <w:r>
                    <w:rPr>
                      <w:rFonts w:hint="eastAsia" w:ascii="Times New Roman" w:hAnsi="Times New Roman" w:eastAsia="宋体" w:cs="Times New Roman"/>
                      <w:color w:val="auto"/>
                      <w:szCs w:val="21"/>
                      <w:lang w:val="en-US" w:eastAsia="zh-CN"/>
                    </w:rPr>
                    <w:t>RTO废气处理装置</w:t>
                  </w:r>
                  <w:r>
                    <w:rPr>
                      <w:rFonts w:hint="eastAsia" w:ascii="Times New Roman" w:hAnsi="Times New Roman"/>
                      <w:color w:val="auto"/>
                    </w:rPr>
                    <w:t>排气筒</w:t>
                  </w:r>
                </w:p>
              </w:tc>
              <w:tc>
                <w:tcPr>
                  <w:tcW w:w="170"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15</w:t>
                  </w:r>
                </w:p>
              </w:tc>
              <w:tc>
                <w:tcPr>
                  <w:tcW w:w="216"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0.5</w:t>
                  </w:r>
                </w:p>
              </w:tc>
              <w:tc>
                <w:tcPr>
                  <w:tcW w:w="296"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10000</w:t>
                  </w:r>
                </w:p>
              </w:tc>
              <w:tc>
                <w:tcPr>
                  <w:tcW w:w="176"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70</w:t>
                  </w:r>
                </w:p>
              </w:tc>
              <w:tc>
                <w:tcPr>
                  <w:tcW w:w="163"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8000</w:t>
                  </w:r>
                </w:p>
              </w:tc>
              <w:tc>
                <w:tcPr>
                  <w:tcW w:w="222"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60</w:t>
                  </w:r>
                </w:p>
              </w:tc>
              <w:tc>
                <w:tcPr>
                  <w:tcW w:w="168" w:type="pct"/>
                  <w:vMerge w:val="restart"/>
                  <w:noWrap w:val="0"/>
                  <w:tcMar>
                    <w:top w:w="0" w:type="dxa"/>
                    <w:left w:w="0" w:type="dxa"/>
                    <w:bottom w:w="0" w:type="dxa"/>
                    <w:right w:w="0" w:type="dxa"/>
                  </w:tcMar>
                  <w:vAlign w:val="center"/>
                </w:tcPr>
                <w:p>
                  <w:pPr>
                    <w:spacing w:line="240" w:lineRule="atLeast"/>
                    <w:jc w:val="center"/>
                    <w:rPr>
                      <w:rFonts w:hint="default" w:ascii="Times New Roman" w:hAnsi="Times New Roman" w:eastAsia="宋体"/>
                      <w:color w:val="auto"/>
                      <w:kern w:val="0"/>
                      <w:sz w:val="21"/>
                      <w:szCs w:val="21"/>
                      <w:highlight w:val="none"/>
                      <w:lang w:val="en-US" w:eastAsia="zh-CN"/>
                    </w:rPr>
                  </w:pPr>
                  <w:r>
                    <w:rPr>
                      <w:rFonts w:hint="eastAsia"/>
                      <w:color w:val="auto"/>
                      <w:kern w:val="0"/>
                      <w:sz w:val="21"/>
                      <w:szCs w:val="21"/>
                      <w:highlight w:val="none"/>
                      <w:lang w:val="en-US" w:eastAsia="zh-CN"/>
                    </w:rPr>
                    <w:t>3</w:t>
                  </w:r>
                </w:p>
              </w:tc>
              <w:tc>
                <w:tcPr>
                  <w:tcW w:w="114" w:type="pct"/>
                  <w:vMerge w:val="restar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45"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甲醇、沥青、重油、渣油储罐大小呼吸及装载</w:t>
                  </w:r>
                </w:p>
              </w:tc>
              <w:tc>
                <w:tcPr>
                  <w:tcW w:w="17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挥发性有机物</w:t>
                  </w:r>
                </w:p>
              </w:tc>
              <w:tc>
                <w:tcPr>
                  <w:tcW w:w="371"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1.18</w:t>
                  </w:r>
                </w:p>
              </w:tc>
              <w:tc>
                <w:tcPr>
                  <w:tcW w:w="266"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9.45</w:t>
                  </w:r>
                </w:p>
              </w:tc>
              <w:tc>
                <w:tcPr>
                  <w:tcW w:w="205"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100</w:t>
                  </w:r>
                </w:p>
              </w:tc>
              <w:tc>
                <w:tcPr>
                  <w:tcW w:w="27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RTO废气处理装置</w:t>
                  </w:r>
                </w:p>
              </w:tc>
              <w:tc>
                <w:tcPr>
                  <w:tcW w:w="21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99</w:t>
                  </w:r>
                </w:p>
              </w:tc>
              <w:tc>
                <w:tcPr>
                  <w:tcW w:w="17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eastAsia="zh-CN"/>
                    </w:rPr>
                    <w:t>是</w:t>
                  </w:r>
                </w:p>
              </w:tc>
              <w:tc>
                <w:tcPr>
                  <w:tcW w:w="222"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387"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eastAsia="zh-CN"/>
                    </w:rPr>
                  </w:pPr>
                </w:p>
              </w:tc>
              <w:tc>
                <w:tcPr>
                  <w:tcW w:w="393"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285"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p>
              </w:tc>
              <w:tc>
                <w:tcPr>
                  <w:tcW w:w="250"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p>
              </w:tc>
              <w:tc>
                <w:tcPr>
                  <w:tcW w:w="170"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1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9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3000</w:t>
                  </w:r>
                </w:p>
              </w:tc>
              <w:tc>
                <w:tcPr>
                  <w:tcW w:w="17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70</w:t>
                  </w:r>
                </w:p>
              </w:tc>
              <w:tc>
                <w:tcPr>
                  <w:tcW w:w="163"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8000</w:t>
                  </w:r>
                </w:p>
              </w:tc>
              <w:tc>
                <w:tcPr>
                  <w:tcW w:w="222"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60</w:t>
                  </w:r>
                </w:p>
              </w:tc>
              <w:tc>
                <w:tcPr>
                  <w:tcW w:w="168" w:type="pct"/>
                  <w:vMerge w:val="continue"/>
                  <w:noWrap w:val="0"/>
                  <w:tcMar>
                    <w:top w:w="0" w:type="dxa"/>
                    <w:left w:w="0" w:type="dxa"/>
                    <w:bottom w:w="0" w:type="dxa"/>
                    <w:right w:w="0" w:type="dxa"/>
                  </w:tcMar>
                  <w:vAlign w:val="center"/>
                </w:tcPr>
                <w:p>
                  <w:pPr>
                    <w:spacing w:line="240" w:lineRule="atLeast"/>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3.0</w:t>
                  </w:r>
                </w:p>
              </w:tc>
              <w:tc>
                <w:tcPr>
                  <w:tcW w:w="114"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45"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沥青储罐大小呼吸及装载</w:t>
                  </w:r>
                </w:p>
              </w:tc>
              <w:tc>
                <w:tcPr>
                  <w:tcW w:w="17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沥青烟</w:t>
                  </w:r>
                </w:p>
              </w:tc>
              <w:tc>
                <w:tcPr>
                  <w:tcW w:w="371"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0.013</w:t>
                  </w:r>
                </w:p>
              </w:tc>
              <w:tc>
                <w:tcPr>
                  <w:tcW w:w="266"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0.105</w:t>
                  </w:r>
                </w:p>
              </w:tc>
              <w:tc>
                <w:tcPr>
                  <w:tcW w:w="205"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100</w:t>
                  </w:r>
                </w:p>
              </w:tc>
              <w:tc>
                <w:tcPr>
                  <w:tcW w:w="27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RTO废气处理装置</w:t>
                  </w:r>
                </w:p>
              </w:tc>
              <w:tc>
                <w:tcPr>
                  <w:tcW w:w="21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99</w:t>
                  </w:r>
                </w:p>
              </w:tc>
              <w:tc>
                <w:tcPr>
                  <w:tcW w:w="17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eastAsia="zh-CN"/>
                    </w:rPr>
                    <w:t>是</w:t>
                  </w:r>
                </w:p>
              </w:tc>
              <w:tc>
                <w:tcPr>
                  <w:tcW w:w="222"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0.013</w:t>
                  </w:r>
                </w:p>
              </w:tc>
              <w:tc>
                <w:tcPr>
                  <w:tcW w:w="38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1.31</w:t>
                  </w:r>
                  <w:r>
                    <w:rPr>
                      <w:rFonts w:hint="default" w:ascii="Times New Roman" w:hAnsi="Times New Roman" w:eastAsia="宋体" w:cs="Times New Roman"/>
                      <w:color w:val="auto"/>
                      <w:szCs w:val="21"/>
                      <w:lang w:val="en-US" w:eastAsia="zh-CN"/>
                    </w:rPr>
                    <w:t>×10</w:t>
                  </w:r>
                  <w:r>
                    <w:rPr>
                      <w:rFonts w:hint="default" w:ascii="Times New Roman" w:hAnsi="Times New Roman" w:eastAsia="宋体" w:cs="Times New Roman"/>
                      <w:color w:val="auto"/>
                      <w:szCs w:val="21"/>
                      <w:vertAlign w:val="superscript"/>
                      <w:lang w:val="en-US" w:eastAsia="zh-CN"/>
                    </w:rPr>
                    <w:t>-</w:t>
                  </w:r>
                  <w:r>
                    <w:rPr>
                      <w:rFonts w:hint="eastAsia" w:ascii="Times New Roman" w:hAnsi="Times New Roman" w:eastAsia="宋体" w:cs="Times New Roman"/>
                      <w:color w:val="auto"/>
                      <w:szCs w:val="21"/>
                      <w:vertAlign w:val="superscript"/>
                      <w:lang w:val="en-US" w:eastAsia="zh-CN"/>
                    </w:rPr>
                    <w:t>4</w:t>
                  </w:r>
                </w:p>
              </w:tc>
              <w:tc>
                <w:tcPr>
                  <w:tcW w:w="39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1.05</w:t>
                  </w:r>
                  <w:r>
                    <w:rPr>
                      <w:rFonts w:hint="default" w:ascii="Times New Roman" w:hAnsi="Times New Roman" w:eastAsia="宋体" w:cs="Times New Roman"/>
                      <w:color w:val="auto"/>
                      <w:szCs w:val="21"/>
                      <w:lang w:val="en-US" w:eastAsia="zh-CN"/>
                    </w:rPr>
                    <w:t>×10</w:t>
                  </w:r>
                  <w:r>
                    <w:rPr>
                      <w:rFonts w:hint="default" w:ascii="Times New Roman" w:hAnsi="Times New Roman" w:eastAsia="宋体" w:cs="Times New Roman"/>
                      <w:color w:val="auto"/>
                      <w:szCs w:val="21"/>
                      <w:vertAlign w:val="superscript"/>
                      <w:lang w:val="en-US" w:eastAsia="zh-CN"/>
                    </w:rPr>
                    <w:t>-</w:t>
                  </w:r>
                  <w:r>
                    <w:rPr>
                      <w:rFonts w:hint="eastAsia" w:ascii="Times New Roman" w:hAnsi="Times New Roman" w:eastAsia="宋体" w:cs="Times New Roman"/>
                      <w:color w:val="auto"/>
                      <w:szCs w:val="21"/>
                      <w:vertAlign w:val="superscript"/>
                      <w:lang w:val="en-US" w:eastAsia="zh-CN"/>
                    </w:rPr>
                    <w:t>3</w:t>
                  </w:r>
                </w:p>
              </w:tc>
              <w:tc>
                <w:tcPr>
                  <w:tcW w:w="285"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p>
              </w:tc>
              <w:tc>
                <w:tcPr>
                  <w:tcW w:w="250"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p>
              </w:tc>
              <w:tc>
                <w:tcPr>
                  <w:tcW w:w="170"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p>
              </w:tc>
              <w:tc>
                <w:tcPr>
                  <w:tcW w:w="216"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p>
              </w:tc>
              <w:tc>
                <w:tcPr>
                  <w:tcW w:w="29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10000</w:t>
                  </w:r>
                </w:p>
              </w:tc>
              <w:tc>
                <w:tcPr>
                  <w:tcW w:w="17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70</w:t>
                  </w:r>
                </w:p>
              </w:tc>
              <w:tc>
                <w:tcPr>
                  <w:tcW w:w="16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8000</w:t>
                  </w:r>
                </w:p>
              </w:tc>
              <w:tc>
                <w:tcPr>
                  <w:tcW w:w="222"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40</w:t>
                  </w:r>
                </w:p>
              </w:tc>
              <w:tc>
                <w:tcPr>
                  <w:tcW w:w="168" w:type="pct"/>
                  <w:noWrap w:val="0"/>
                  <w:tcMar>
                    <w:top w:w="0" w:type="dxa"/>
                    <w:left w:w="0" w:type="dxa"/>
                    <w:bottom w:w="0" w:type="dxa"/>
                    <w:right w:w="0" w:type="dxa"/>
                  </w:tcMar>
                  <w:vAlign w:val="center"/>
                </w:tcPr>
                <w:p>
                  <w:pPr>
                    <w:spacing w:line="240" w:lineRule="atLeast"/>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1.8</w:t>
                  </w:r>
                </w:p>
              </w:tc>
              <w:tc>
                <w:tcPr>
                  <w:tcW w:w="114"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45" w:type="pct"/>
                  <w:vMerge w:val="restar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RTO助燃</w:t>
                  </w:r>
                </w:p>
              </w:tc>
              <w:tc>
                <w:tcPr>
                  <w:tcW w:w="17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颗粒物</w:t>
                  </w:r>
                </w:p>
              </w:tc>
              <w:tc>
                <w:tcPr>
                  <w:tcW w:w="371"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0.0003</w:t>
                  </w:r>
                </w:p>
              </w:tc>
              <w:tc>
                <w:tcPr>
                  <w:tcW w:w="26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0.0026</w:t>
                  </w:r>
                </w:p>
              </w:tc>
              <w:tc>
                <w:tcPr>
                  <w:tcW w:w="205" w:type="pct"/>
                  <w:noWrap w:val="0"/>
                  <w:tcMar>
                    <w:top w:w="0" w:type="dxa"/>
                    <w:left w:w="0" w:type="dxa"/>
                    <w:bottom w:w="0" w:type="dxa"/>
                    <w:right w:w="0" w:type="dxa"/>
                  </w:tcMar>
                  <w:vAlign w:val="center"/>
                </w:tcPr>
                <w:p>
                  <w:pPr>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100</w:t>
                  </w:r>
                </w:p>
              </w:tc>
              <w:tc>
                <w:tcPr>
                  <w:tcW w:w="273" w:type="pct"/>
                  <w:noWrap w:val="0"/>
                  <w:tcMar>
                    <w:top w:w="0" w:type="dxa"/>
                    <w:left w:w="0" w:type="dxa"/>
                    <w:bottom w:w="0" w:type="dxa"/>
                    <w:right w:w="0" w:type="dxa"/>
                  </w:tcMar>
                  <w:vAlign w:val="center"/>
                </w:tcPr>
                <w:p>
                  <w:pPr>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c>
                <w:tcPr>
                  <w:tcW w:w="217" w:type="pct"/>
                  <w:noWrap w:val="0"/>
                  <w:tcMar>
                    <w:top w:w="0" w:type="dxa"/>
                    <w:left w:w="0" w:type="dxa"/>
                    <w:bottom w:w="0" w:type="dxa"/>
                    <w:right w:w="0" w:type="dxa"/>
                  </w:tcMar>
                  <w:vAlign w:val="center"/>
                </w:tcPr>
                <w:p>
                  <w:pPr>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w:t>
                  </w:r>
                </w:p>
              </w:tc>
              <w:tc>
                <w:tcPr>
                  <w:tcW w:w="176" w:type="pct"/>
                  <w:noWrap w:val="0"/>
                  <w:tcMar>
                    <w:top w:w="0" w:type="dxa"/>
                    <w:left w:w="0" w:type="dxa"/>
                    <w:bottom w:w="0" w:type="dxa"/>
                    <w:right w:w="0" w:type="dxa"/>
                  </w:tcMar>
                  <w:vAlign w:val="center"/>
                </w:tcPr>
                <w:p>
                  <w:pPr>
                    <w:spacing w:line="240" w:lineRule="atLeast"/>
                    <w:jc w:val="center"/>
                    <w:rPr>
                      <w:rFonts w:hint="eastAsia" w:ascii="Times New Roman" w:hAnsi="Times New Roman" w:cs="Times New Roman"/>
                      <w:color w:val="auto"/>
                      <w:szCs w:val="21"/>
                      <w:lang w:eastAsia="zh-CN"/>
                    </w:rPr>
                  </w:pPr>
                  <w:r>
                    <w:rPr>
                      <w:rFonts w:hint="eastAsia" w:ascii="Times New Roman" w:hAnsi="Times New Roman" w:cs="Times New Roman"/>
                      <w:color w:val="auto"/>
                      <w:szCs w:val="21"/>
                      <w:lang w:val="en-US" w:eastAsia="zh-CN"/>
                    </w:rPr>
                    <w:t>/</w:t>
                  </w:r>
                </w:p>
              </w:tc>
              <w:tc>
                <w:tcPr>
                  <w:tcW w:w="222"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4.31</w:t>
                  </w:r>
                </w:p>
              </w:tc>
              <w:tc>
                <w:tcPr>
                  <w:tcW w:w="38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0.0003</w:t>
                  </w:r>
                </w:p>
              </w:tc>
              <w:tc>
                <w:tcPr>
                  <w:tcW w:w="39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0.0026</w:t>
                  </w:r>
                </w:p>
              </w:tc>
              <w:tc>
                <w:tcPr>
                  <w:tcW w:w="285"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eastAsia="zh-CN"/>
                    </w:rPr>
                  </w:pPr>
                </w:p>
              </w:tc>
              <w:tc>
                <w:tcPr>
                  <w:tcW w:w="250"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rPr>
                  </w:pPr>
                </w:p>
              </w:tc>
              <w:tc>
                <w:tcPr>
                  <w:tcW w:w="170"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p>
              </w:tc>
              <w:tc>
                <w:tcPr>
                  <w:tcW w:w="216"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p>
              </w:tc>
              <w:tc>
                <w:tcPr>
                  <w:tcW w:w="296"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75.49</w:t>
                  </w:r>
                </w:p>
              </w:tc>
              <w:tc>
                <w:tcPr>
                  <w:tcW w:w="176" w:type="pct"/>
                  <w:vMerge w:val="restart"/>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70</w:t>
                  </w:r>
                </w:p>
              </w:tc>
              <w:tc>
                <w:tcPr>
                  <w:tcW w:w="163" w:type="pct"/>
                  <w:vMerge w:val="restart"/>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8000</w:t>
                  </w:r>
                </w:p>
              </w:tc>
              <w:tc>
                <w:tcPr>
                  <w:tcW w:w="222"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10</w:t>
                  </w:r>
                </w:p>
              </w:tc>
              <w:tc>
                <w:tcPr>
                  <w:tcW w:w="168" w:type="pct"/>
                  <w:noWrap w:val="0"/>
                  <w:tcMar>
                    <w:top w:w="0" w:type="dxa"/>
                    <w:left w:w="0" w:type="dxa"/>
                    <w:bottom w:w="0" w:type="dxa"/>
                    <w:right w:w="0" w:type="dxa"/>
                  </w:tcMar>
                  <w:vAlign w:val="center"/>
                </w:tcPr>
                <w:p>
                  <w:pPr>
                    <w:spacing w:line="240" w:lineRule="atLeast"/>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114" w:type="pct"/>
                  <w:noWrap w:val="0"/>
                  <w:tcMar>
                    <w:top w:w="0" w:type="dxa"/>
                    <w:left w:w="0" w:type="dxa"/>
                    <w:bottom w:w="0" w:type="dxa"/>
                    <w:right w:w="0" w:type="dxa"/>
                  </w:tcMar>
                  <w:vAlign w:val="center"/>
                </w:tcPr>
                <w:p>
                  <w:pPr>
                    <w:spacing w:line="240" w:lineRule="atLeast"/>
                    <w:jc w:val="center"/>
                    <w:rPr>
                      <w:rFonts w:hint="eastAsia"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45"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17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二氧化硫</w:t>
                  </w:r>
                </w:p>
              </w:tc>
              <w:tc>
                <w:tcPr>
                  <w:tcW w:w="371"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0.0014</w:t>
                  </w:r>
                </w:p>
              </w:tc>
              <w:tc>
                <w:tcPr>
                  <w:tcW w:w="26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0.0115</w:t>
                  </w:r>
                </w:p>
              </w:tc>
              <w:tc>
                <w:tcPr>
                  <w:tcW w:w="205" w:type="pct"/>
                  <w:noWrap w:val="0"/>
                  <w:tcMar>
                    <w:top w:w="0" w:type="dxa"/>
                    <w:left w:w="0" w:type="dxa"/>
                    <w:bottom w:w="0" w:type="dxa"/>
                    <w:right w:w="0" w:type="dxa"/>
                  </w:tcMar>
                  <w:vAlign w:val="center"/>
                </w:tcPr>
                <w:p>
                  <w:pPr>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100</w:t>
                  </w:r>
                </w:p>
              </w:tc>
              <w:tc>
                <w:tcPr>
                  <w:tcW w:w="273" w:type="pct"/>
                  <w:noWrap w:val="0"/>
                  <w:tcMar>
                    <w:top w:w="0" w:type="dxa"/>
                    <w:left w:w="0" w:type="dxa"/>
                    <w:bottom w:w="0" w:type="dxa"/>
                    <w:right w:w="0" w:type="dxa"/>
                  </w:tcMar>
                  <w:vAlign w:val="center"/>
                </w:tcPr>
                <w:p>
                  <w:pPr>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c>
                <w:tcPr>
                  <w:tcW w:w="217" w:type="pct"/>
                  <w:noWrap w:val="0"/>
                  <w:tcMar>
                    <w:top w:w="0" w:type="dxa"/>
                    <w:left w:w="0" w:type="dxa"/>
                    <w:bottom w:w="0" w:type="dxa"/>
                    <w:right w:w="0" w:type="dxa"/>
                  </w:tcMar>
                  <w:vAlign w:val="center"/>
                </w:tcPr>
                <w:p>
                  <w:pPr>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w:t>
                  </w:r>
                </w:p>
              </w:tc>
              <w:tc>
                <w:tcPr>
                  <w:tcW w:w="176" w:type="pct"/>
                  <w:noWrap w:val="0"/>
                  <w:tcMar>
                    <w:top w:w="0" w:type="dxa"/>
                    <w:left w:w="0" w:type="dxa"/>
                    <w:bottom w:w="0" w:type="dxa"/>
                    <w:right w:w="0" w:type="dxa"/>
                  </w:tcMar>
                  <w:vAlign w:val="center"/>
                </w:tcPr>
                <w:p>
                  <w:pPr>
                    <w:spacing w:line="240" w:lineRule="atLeast"/>
                    <w:jc w:val="center"/>
                    <w:rPr>
                      <w:rFonts w:hint="eastAsia" w:ascii="Times New Roman" w:hAnsi="Times New Roman" w:cs="Times New Roman"/>
                      <w:color w:val="auto"/>
                      <w:szCs w:val="21"/>
                      <w:lang w:eastAsia="zh-CN"/>
                    </w:rPr>
                  </w:pPr>
                  <w:r>
                    <w:rPr>
                      <w:rFonts w:hint="eastAsia" w:ascii="Times New Roman" w:hAnsi="Times New Roman" w:cs="Times New Roman"/>
                      <w:color w:val="auto"/>
                      <w:szCs w:val="21"/>
                      <w:lang w:val="en-US" w:eastAsia="zh-CN"/>
                    </w:rPr>
                    <w:t>/</w:t>
                  </w:r>
                </w:p>
              </w:tc>
              <w:tc>
                <w:tcPr>
                  <w:tcW w:w="222"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19.04</w:t>
                  </w:r>
                </w:p>
              </w:tc>
              <w:tc>
                <w:tcPr>
                  <w:tcW w:w="38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0.0014</w:t>
                  </w:r>
                </w:p>
              </w:tc>
              <w:tc>
                <w:tcPr>
                  <w:tcW w:w="39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0.0115</w:t>
                  </w:r>
                </w:p>
              </w:tc>
              <w:tc>
                <w:tcPr>
                  <w:tcW w:w="285"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eastAsia="zh-CN"/>
                    </w:rPr>
                  </w:pPr>
                </w:p>
              </w:tc>
              <w:tc>
                <w:tcPr>
                  <w:tcW w:w="250"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rPr>
                  </w:pPr>
                </w:p>
              </w:tc>
              <w:tc>
                <w:tcPr>
                  <w:tcW w:w="170"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p>
              </w:tc>
              <w:tc>
                <w:tcPr>
                  <w:tcW w:w="216"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p>
              </w:tc>
              <w:tc>
                <w:tcPr>
                  <w:tcW w:w="296"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p>
              </w:tc>
              <w:tc>
                <w:tcPr>
                  <w:tcW w:w="176"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p>
              </w:tc>
              <w:tc>
                <w:tcPr>
                  <w:tcW w:w="163"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p>
              </w:tc>
              <w:tc>
                <w:tcPr>
                  <w:tcW w:w="222"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50</w:t>
                  </w:r>
                </w:p>
              </w:tc>
              <w:tc>
                <w:tcPr>
                  <w:tcW w:w="168" w:type="pct"/>
                  <w:noWrap w:val="0"/>
                  <w:tcMar>
                    <w:top w:w="0" w:type="dxa"/>
                    <w:left w:w="0" w:type="dxa"/>
                    <w:bottom w:w="0" w:type="dxa"/>
                    <w:right w:w="0" w:type="dxa"/>
                  </w:tcMar>
                  <w:vAlign w:val="center"/>
                </w:tcPr>
                <w:p>
                  <w:pPr>
                    <w:spacing w:line="240" w:lineRule="atLeast"/>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114" w:type="pct"/>
                  <w:noWrap w:val="0"/>
                  <w:tcMar>
                    <w:top w:w="0" w:type="dxa"/>
                    <w:left w:w="0" w:type="dxa"/>
                    <w:bottom w:w="0" w:type="dxa"/>
                    <w:right w:w="0" w:type="dxa"/>
                  </w:tcMar>
                  <w:vAlign w:val="center"/>
                </w:tcPr>
                <w:p>
                  <w:pPr>
                    <w:spacing w:line="240" w:lineRule="atLeast"/>
                    <w:jc w:val="center"/>
                    <w:rPr>
                      <w:rFonts w:hint="eastAsia"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45"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17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氮氧化物</w:t>
                  </w:r>
                </w:p>
              </w:tc>
              <w:tc>
                <w:tcPr>
                  <w:tcW w:w="371"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0.0022</w:t>
                  </w:r>
                </w:p>
              </w:tc>
              <w:tc>
                <w:tcPr>
                  <w:tcW w:w="26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0.0175</w:t>
                  </w:r>
                </w:p>
              </w:tc>
              <w:tc>
                <w:tcPr>
                  <w:tcW w:w="205" w:type="pct"/>
                  <w:noWrap w:val="0"/>
                  <w:tcMar>
                    <w:top w:w="0" w:type="dxa"/>
                    <w:left w:w="0" w:type="dxa"/>
                    <w:bottom w:w="0" w:type="dxa"/>
                    <w:right w:w="0" w:type="dxa"/>
                  </w:tcMar>
                  <w:vAlign w:val="center"/>
                </w:tcPr>
                <w:p>
                  <w:pPr>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100</w:t>
                  </w:r>
                </w:p>
              </w:tc>
              <w:tc>
                <w:tcPr>
                  <w:tcW w:w="27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低氮燃烧器</w:t>
                  </w:r>
                </w:p>
              </w:tc>
              <w:tc>
                <w:tcPr>
                  <w:tcW w:w="217"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40</w:t>
                  </w:r>
                </w:p>
              </w:tc>
              <w:tc>
                <w:tcPr>
                  <w:tcW w:w="17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eastAsia="zh-CN"/>
                    </w:rPr>
                  </w:pPr>
                  <w:r>
                    <w:rPr>
                      <w:rFonts w:hint="eastAsia" w:ascii="Times New Roman" w:hAnsi="Times New Roman" w:eastAsia="宋体" w:cs="Times New Roman"/>
                      <w:color w:val="auto"/>
                      <w:szCs w:val="21"/>
                      <w:lang w:eastAsia="zh-CN"/>
                    </w:rPr>
                    <w:t>是</w:t>
                  </w:r>
                </w:p>
              </w:tc>
              <w:tc>
                <w:tcPr>
                  <w:tcW w:w="222"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28.94</w:t>
                  </w:r>
                </w:p>
              </w:tc>
              <w:tc>
                <w:tcPr>
                  <w:tcW w:w="38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0.0022</w:t>
                  </w:r>
                </w:p>
              </w:tc>
              <w:tc>
                <w:tcPr>
                  <w:tcW w:w="39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0.0175</w:t>
                  </w:r>
                </w:p>
              </w:tc>
              <w:tc>
                <w:tcPr>
                  <w:tcW w:w="285"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eastAsia="zh-CN"/>
                    </w:rPr>
                  </w:pPr>
                </w:p>
              </w:tc>
              <w:tc>
                <w:tcPr>
                  <w:tcW w:w="250"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rPr>
                  </w:pPr>
                </w:p>
              </w:tc>
              <w:tc>
                <w:tcPr>
                  <w:tcW w:w="170"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p>
              </w:tc>
              <w:tc>
                <w:tcPr>
                  <w:tcW w:w="216"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p>
              </w:tc>
              <w:tc>
                <w:tcPr>
                  <w:tcW w:w="296"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p>
              </w:tc>
              <w:tc>
                <w:tcPr>
                  <w:tcW w:w="176"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p>
              </w:tc>
              <w:tc>
                <w:tcPr>
                  <w:tcW w:w="163"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olor w:val="auto"/>
                      <w:kern w:val="0"/>
                      <w:sz w:val="21"/>
                      <w:szCs w:val="21"/>
                      <w:highlight w:val="none"/>
                      <w:lang w:val="en-US" w:eastAsia="zh-CN"/>
                    </w:rPr>
                  </w:pPr>
                </w:p>
              </w:tc>
              <w:tc>
                <w:tcPr>
                  <w:tcW w:w="222"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100</w:t>
                  </w:r>
                </w:p>
              </w:tc>
              <w:tc>
                <w:tcPr>
                  <w:tcW w:w="168" w:type="pct"/>
                  <w:noWrap w:val="0"/>
                  <w:tcMar>
                    <w:top w:w="0" w:type="dxa"/>
                    <w:left w:w="0" w:type="dxa"/>
                    <w:bottom w:w="0" w:type="dxa"/>
                    <w:right w:w="0" w:type="dxa"/>
                  </w:tcMar>
                  <w:vAlign w:val="center"/>
                </w:tcPr>
                <w:p>
                  <w:pPr>
                    <w:spacing w:line="240" w:lineRule="atLeast"/>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114" w:type="pct"/>
                  <w:noWrap w:val="0"/>
                  <w:tcMar>
                    <w:top w:w="0" w:type="dxa"/>
                    <w:left w:w="0" w:type="dxa"/>
                    <w:bottom w:w="0" w:type="dxa"/>
                    <w:right w:w="0" w:type="dxa"/>
                  </w:tcMar>
                  <w:vAlign w:val="center"/>
                </w:tcPr>
                <w:p>
                  <w:pPr>
                    <w:spacing w:line="240" w:lineRule="atLeast"/>
                    <w:jc w:val="center"/>
                    <w:rPr>
                      <w:rFonts w:hint="eastAsia"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45" w:type="pct"/>
                  <w:vMerge w:val="restar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导热油锅炉</w:t>
                  </w:r>
                </w:p>
              </w:tc>
              <w:tc>
                <w:tcPr>
                  <w:tcW w:w="17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颗粒物</w:t>
                  </w:r>
                </w:p>
              </w:tc>
              <w:tc>
                <w:tcPr>
                  <w:tcW w:w="371"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0.0177</w:t>
                  </w:r>
                </w:p>
              </w:tc>
              <w:tc>
                <w:tcPr>
                  <w:tcW w:w="266"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0.1411</w:t>
                  </w:r>
                </w:p>
              </w:tc>
              <w:tc>
                <w:tcPr>
                  <w:tcW w:w="205"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100</w:t>
                  </w:r>
                </w:p>
              </w:tc>
              <w:tc>
                <w:tcPr>
                  <w:tcW w:w="27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w:t>
                  </w:r>
                </w:p>
              </w:tc>
              <w:tc>
                <w:tcPr>
                  <w:tcW w:w="21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w:t>
                  </w:r>
                </w:p>
              </w:tc>
              <w:tc>
                <w:tcPr>
                  <w:tcW w:w="17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w:t>
                  </w:r>
                </w:p>
              </w:tc>
              <w:tc>
                <w:tcPr>
                  <w:tcW w:w="222"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4.30</w:t>
                  </w:r>
                </w:p>
              </w:tc>
              <w:tc>
                <w:tcPr>
                  <w:tcW w:w="38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0.0177</w:t>
                  </w:r>
                </w:p>
              </w:tc>
              <w:tc>
                <w:tcPr>
                  <w:tcW w:w="393"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0.1411</w:t>
                  </w:r>
                </w:p>
              </w:tc>
              <w:tc>
                <w:tcPr>
                  <w:tcW w:w="285"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eastAsia="zh-CN"/>
                    </w:rPr>
                    <w:t>DA00</w:t>
                  </w:r>
                  <w:r>
                    <w:rPr>
                      <w:rFonts w:hint="eastAsia" w:ascii="Times New Roman" w:hAnsi="Times New Roman" w:cs="Times New Roman"/>
                      <w:color w:val="auto"/>
                      <w:szCs w:val="21"/>
                      <w:lang w:val="en-US" w:eastAsia="zh-CN"/>
                    </w:rPr>
                    <w:t>2</w:t>
                  </w:r>
                </w:p>
              </w:tc>
              <w:tc>
                <w:tcPr>
                  <w:tcW w:w="250" w:type="pct"/>
                  <w:vMerge w:val="restar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olor w:val="auto"/>
                      <w:lang w:val="en-US" w:eastAsia="zh-CN"/>
                    </w:rPr>
                    <w:t>导热油锅炉</w:t>
                  </w:r>
                  <w:r>
                    <w:rPr>
                      <w:rFonts w:hint="eastAsia" w:ascii="Times New Roman" w:hAnsi="Times New Roman"/>
                      <w:color w:val="auto"/>
                    </w:rPr>
                    <w:t>排气筒</w:t>
                  </w:r>
                </w:p>
              </w:tc>
              <w:tc>
                <w:tcPr>
                  <w:tcW w:w="170"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15</w:t>
                  </w:r>
                </w:p>
              </w:tc>
              <w:tc>
                <w:tcPr>
                  <w:tcW w:w="216"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0.3</w:t>
                  </w:r>
                </w:p>
              </w:tc>
              <w:tc>
                <w:tcPr>
                  <w:tcW w:w="296"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4104.24</w:t>
                  </w:r>
                </w:p>
              </w:tc>
              <w:tc>
                <w:tcPr>
                  <w:tcW w:w="176"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70</w:t>
                  </w:r>
                </w:p>
              </w:tc>
              <w:tc>
                <w:tcPr>
                  <w:tcW w:w="163"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8000</w:t>
                  </w:r>
                </w:p>
              </w:tc>
              <w:tc>
                <w:tcPr>
                  <w:tcW w:w="222"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10</w:t>
                  </w:r>
                </w:p>
              </w:tc>
              <w:tc>
                <w:tcPr>
                  <w:tcW w:w="168" w:type="pct"/>
                  <w:noWrap w:val="0"/>
                  <w:tcMar>
                    <w:top w:w="0" w:type="dxa"/>
                    <w:left w:w="0" w:type="dxa"/>
                    <w:bottom w:w="0" w:type="dxa"/>
                    <w:right w:w="0" w:type="dxa"/>
                  </w:tcMar>
                  <w:vAlign w:val="center"/>
                </w:tcPr>
                <w:p>
                  <w:pPr>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w:t>
                  </w:r>
                </w:p>
              </w:tc>
              <w:tc>
                <w:tcPr>
                  <w:tcW w:w="11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45"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17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二氧化硫</w:t>
                  </w:r>
                </w:p>
              </w:tc>
              <w:tc>
                <w:tcPr>
                  <w:tcW w:w="371"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0.0784</w:t>
                  </w:r>
                </w:p>
              </w:tc>
              <w:tc>
                <w:tcPr>
                  <w:tcW w:w="26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0.6272</w:t>
                  </w:r>
                </w:p>
              </w:tc>
              <w:tc>
                <w:tcPr>
                  <w:tcW w:w="205"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100</w:t>
                  </w:r>
                </w:p>
              </w:tc>
              <w:tc>
                <w:tcPr>
                  <w:tcW w:w="27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w:t>
                  </w:r>
                </w:p>
              </w:tc>
              <w:tc>
                <w:tcPr>
                  <w:tcW w:w="21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w:t>
                  </w:r>
                </w:p>
              </w:tc>
              <w:tc>
                <w:tcPr>
                  <w:tcW w:w="17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w:t>
                  </w:r>
                </w:p>
              </w:tc>
              <w:tc>
                <w:tcPr>
                  <w:tcW w:w="222"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19.10</w:t>
                  </w:r>
                </w:p>
              </w:tc>
              <w:tc>
                <w:tcPr>
                  <w:tcW w:w="38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0.0784</w:t>
                  </w:r>
                </w:p>
              </w:tc>
              <w:tc>
                <w:tcPr>
                  <w:tcW w:w="39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0.6272</w:t>
                  </w:r>
                </w:p>
              </w:tc>
              <w:tc>
                <w:tcPr>
                  <w:tcW w:w="285"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p>
              </w:tc>
              <w:tc>
                <w:tcPr>
                  <w:tcW w:w="250"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p>
              </w:tc>
              <w:tc>
                <w:tcPr>
                  <w:tcW w:w="170"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1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9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p>
              </w:tc>
              <w:tc>
                <w:tcPr>
                  <w:tcW w:w="17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163"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22"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50</w:t>
                  </w:r>
                </w:p>
              </w:tc>
              <w:tc>
                <w:tcPr>
                  <w:tcW w:w="168" w:type="pct"/>
                  <w:noWrap w:val="0"/>
                  <w:tcMar>
                    <w:top w:w="0" w:type="dxa"/>
                    <w:left w:w="0" w:type="dxa"/>
                    <w:bottom w:w="0" w:type="dxa"/>
                    <w:right w:w="0" w:type="dxa"/>
                  </w:tcMar>
                  <w:vAlign w:val="center"/>
                </w:tcPr>
                <w:p>
                  <w:pPr>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w:t>
                  </w:r>
                </w:p>
              </w:tc>
              <w:tc>
                <w:tcPr>
                  <w:tcW w:w="11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45"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17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氮氧化物</w:t>
                  </w:r>
                </w:p>
              </w:tc>
              <w:tc>
                <w:tcPr>
                  <w:tcW w:w="371"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0.1188</w:t>
                  </w:r>
                </w:p>
              </w:tc>
              <w:tc>
                <w:tcPr>
                  <w:tcW w:w="26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0.9502</w:t>
                  </w:r>
                </w:p>
              </w:tc>
              <w:tc>
                <w:tcPr>
                  <w:tcW w:w="205"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100</w:t>
                  </w:r>
                </w:p>
              </w:tc>
              <w:tc>
                <w:tcPr>
                  <w:tcW w:w="27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低氮燃烧器</w:t>
                  </w:r>
                </w:p>
              </w:tc>
              <w:tc>
                <w:tcPr>
                  <w:tcW w:w="217"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40</w:t>
                  </w:r>
                </w:p>
              </w:tc>
              <w:tc>
                <w:tcPr>
                  <w:tcW w:w="17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是</w:t>
                  </w:r>
                </w:p>
              </w:tc>
              <w:tc>
                <w:tcPr>
                  <w:tcW w:w="222"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28.95</w:t>
                  </w:r>
                </w:p>
              </w:tc>
              <w:tc>
                <w:tcPr>
                  <w:tcW w:w="38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0.1188</w:t>
                  </w:r>
                </w:p>
              </w:tc>
              <w:tc>
                <w:tcPr>
                  <w:tcW w:w="39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0.9502</w:t>
                  </w:r>
                </w:p>
              </w:tc>
              <w:tc>
                <w:tcPr>
                  <w:tcW w:w="285"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p>
              </w:tc>
              <w:tc>
                <w:tcPr>
                  <w:tcW w:w="250"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p>
              </w:tc>
              <w:tc>
                <w:tcPr>
                  <w:tcW w:w="170"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1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9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p>
              </w:tc>
              <w:tc>
                <w:tcPr>
                  <w:tcW w:w="17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163"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22"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50</w:t>
                  </w:r>
                </w:p>
              </w:tc>
              <w:tc>
                <w:tcPr>
                  <w:tcW w:w="168" w:type="pct"/>
                  <w:noWrap w:val="0"/>
                  <w:tcMar>
                    <w:top w:w="0" w:type="dxa"/>
                    <w:left w:w="0" w:type="dxa"/>
                    <w:bottom w:w="0" w:type="dxa"/>
                    <w:right w:w="0" w:type="dxa"/>
                  </w:tcMar>
                  <w:vAlign w:val="center"/>
                </w:tcPr>
                <w:p>
                  <w:pPr>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w:t>
                  </w:r>
                </w:p>
              </w:tc>
              <w:tc>
                <w:tcPr>
                  <w:tcW w:w="11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45" w:type="pct"/>
                  <w:vMerge w:val="restar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蒸汽锅炉</w:t>
                  </w:r>
                </w:p>
              </w:tc>
              <w:tc>
                <w:tcPr>
                  <w:tcW w:w="17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颗粒物</w:t>
                  </w:r>
                </w:p>
              </w:tc>
              <w:tc>
                <w:tcPr>
                  <w:tcW w:w="371"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0.0177</w:t>
                  </w:r>
                </w:p>
              </w:tc>
              <w:tc>
                <w:tcPr>
                  <w:tcW w:w="26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0.1411</w:t>
                  </w:r>
                </w:p>
              </w:tc>
              <w:tc>
                <w:tcPr>
                  <w:tcW w:w="205"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100</w:t>
                  </w:r>
                </w:p>
              </w:tc>
              <w:tc>
                <w:tcPr>
                  <w:tcW w:w="27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w:t>
                  </w:r>
                </w:p>
              </w:tc>
              <w:tc>
                <w:tcPr>
                  <w:tcW w:w="21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w:t>
                  </w:r>
                </w:p>
              </w:tc>
              <w:tc>
                <w:tcPr>
                  <w:tcW w:w="17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w:t>
                  </w:r>
                </w:p>
              </w:tc>
              <w:tc>
                <w:tcPr>
                  <w:tcW w:w="222"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4.30</w:t>
                  </w:r>
                </w:p>
              </w:tc>
              <w:tc>
                <w:tcPr>
                  <w:tcW w:w="38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0.0177</w:t>
                  </w:r>
                </w:p>
              </w:tc>
              <w:tc>
                <w:tcPr>
                  <w:tcW w:w="39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0.1411</w:t>
                  </w:r>
                </w:p>
              </w:tc>
              <w:tc>
                <w:tcPr>
                  <w:tcW w:w="285"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eastAsia="zh-CN"/>
                    </w:rPr>
                    <w:t>DA00</w:t>
                  </w:r>
                  <w:r>
                    <w:rPr>
                      <w:rFonts w:hint="eastAsia" w:ascii="Times New Roman" w:hAnsi="Times New Roman" w:cs="Times New Roman"/>
                      <w:color w:val="auto"/>
                      <w:szCs w:val="21"/>
                      <w:lang w:val="en-US" w:eastAsia="zh-CN"/>
                    </w:rPr>
                    <w:t>3</w:t>
                  </w:r>
                </w:p>
                <w:p>
                  <w:pPr>
                    <w:pStyle w:val="14"/>
                    <w:spacing w:line="240" w:lineRule="atLeast"/>
                    <w:jc w:val="center"/>
                    <w:rPr>
                      <w:rFonts w:hint="default" w:ascii="Times New Roman" w:hAnsi="Times New Roman" w:eastAsia="宋体" w:cs="Times New Roman"/>
                      <w:color w:val="auto"/>
                      <w:szCs w:val="21"/>
                      <w:lang w:val="en-US" w:eastAsia="zh-CN"/>
                    </w:rPr>
                  </w:pPr>
                </w:p>
              </w:tc>
              <w:tc>
                <w:tcPr>
                  <w:tcW w:w="250" w:type="pct"/>
                  <w:vMerge w:val="restar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olor w:val="auto"/>
                      <w:lang w:val="en-US" w:eastAsia="zh-CN"/>
                    </w:rPr>
                    <w:t>蒸汽锅炉</w:t>
                  </w:r>
                  <w:r>
                    <w:rPr>
                      <w:rFonts w:hint="eastAsia" w:ascii="Times New Roman" w:hAnsi="Times New Roman"/>
                      <w:color w:val="auto"/>
                    </w:rPr>
                    <w:t>排气筒</w:t>
                  </w:r>
                </w:p>
                <w:p>
                  <w:pPr>
                    <w:pStyle w:val="14"/>
                    <w:spacing w:line="240" w:lineRule="atLeast"/>
                    <w:jc w:val="center"/>
                    <w:rPr>
                      <w:rFonts w:hint="eastAsia" w:ascii="Times New Roman" w:hAnsi="Times New Roman" w:cs="Times New Roman"/>
                      <w:color w:val="auto"/>
                      <w:szCs w:val="21"/>
                      <w:lang w:val="en-US" w:eastAsia="zh-CN"/>
                    </w:rPr>
                  </w:pPr>
                </w:p>
              </w:tc>
              <w:tc>
                <w:tcPr>
                  <w:tcW w:w="170"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15</w:t>
                  </w:r>
                </w:p>
              </w:tc>
              <w:tc>
                <w:tcPr>
                  <w:tcW w:w="216"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0.3</w:t>
                  </w:r>
                </w:p>
              </w:tc>
              <w:tc>
                <w:tcPr>
                  <w:tcW w:w="296"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4104.24</w:t>
                  </w:r>
                </w:p>
              </w:tc>
              <w:tc>
                <w:tcPr>
                  <w:tcW w:w="176"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70</w:t>
                  </w:r>
                </w:p>
              </w:tc>
              <w:tc>
                <w:tcPr>
                  <w:tcW w:w="163"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8000</w:t>
                  </w:r>
                </w:p>
              </w:tc>
              <w:tc>
                <w:tcPr>
                  <w:tcW w:w="222"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10</w:t>
                  </w:r>
                </w:p>
              </w:tc>
              <w:tc>
                <w:tcPr>
                  <w:tcW w:w="168" w:type="pct"/>
                  <w:noWrap w:val="0"/>
                  <w:tcMar>
                    <w:top w:w="0" w:type="dxa"/>
                    <w:left w:w="0" w:type="dxa"/>
                    <w:bottom w:w="0" w:type="dxa"/>
                    <w:right w:w="0" w:type="dxa"/>
                  </w:tcMar>
                  <w:vAlign w:val="center"/>
                </w:tcPr>
                <w:p>
                  <w:pPr>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w:t>
                  </w:r>
                </w:p>
              </w:tc>
              <w:tc>
                <w:tcPr>
                  <w:tcW w:w="11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45"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17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二氧化硫</w:t>
                  </w:r>
                </w:p>
              </w:tc>
              <w:tc>
                <w:tcPr>
                  <w:tcW w:w="371"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0.0784</w:t>
                  </w:r>
                </w:p>
              </w:tc>
              <w:tc>
                <w:tcPr>
                  <w:tcW w:w="26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0.6272</w:t>
                  </w:r>
                </w:p>
              </w:tc>
              <w:tc>
                <w:tcPr>
                  <w:tcW w:w="205"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100</w:t>
                  </w:r>
                </w:p>
              </w:tc>
              <w:tc>
                <w:tcPr>
                  <w:tcW w:w="27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w:t>
                  </w:r>
                </w:p>
              </w:tc>
              <w:tc>
                <w:tcPr>
                  <w:tcW w:w="21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w:t>
                  </w:r>
                </w:p>
              </w:tc>
              <w:tc>
                <w:tcPr>
                  <w:tcW w:w="17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w:t>
                  </w:r>
                </w:p>
              </w:tc>
              <w:tc>
                <w:tcPr>
                  <w:tcW w:w="222"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19.10</w:t>
                  </w:r>
                </w:p>
              </w:tc>
              <w:tc>
                <w:tcPr>
                  <w:tcW w:w="38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0.0784</w:t>
                  </w:r>
                </w:p>
              </w:tc>
              <w:tc>
                <w:tcPr>
                  <w:tcW w:w="39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0.6272</w:t>
                  </w:r>
                </w:p>
              </w:tc>
              <w:tc>
                <w:tcPr>
                  <w:tcW w:w="285"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p>
              </w:tc>
              <w:tc>
                <w:tcPr>
                  <w:tcW w:w="250"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p>
              </w:tc>
              <w:tc>
                <w:tcPr>
                  <w:tcW w:w="170"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1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9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17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163"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22"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50</w:t>
                  </w:r>
                </w:p>
              </w:tc>
              <w:tc>
                <w:tcPr>
                  <w:tcW w:w="168" w:type="pct"/>
                  <w:noWrap w:val="0"/>
                  <w:tcMar>
                    <w:top w:w="0" w:type="dxa"/>
                    <w:left w:w="0" w:type="dxa"/>
                    <w:bottom w:w="0" w:type="dxa"/>
                    <w:right w:w="0" w:type="dxa"/>
                  </w:tcMar>
                  <w:vAlign w:val="center"/>
                </w:tcPr>
                <w:p>
                  <w:pPr>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w:t>
                  </w:r>
                </w:p>
              </w:tc>
              <w:tc>
                <w:tcPr>
                  <w:tcW w:w="11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45"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17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氮氧化物</w:t>
                  </w:r>
                </w:p>
              </w:tc>
              <w:tc>
                <w:tcPr>
                  <w:tcW w:w="371"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0.1188</w:t>
                  </w:r>
                </w:p>
              </w:tc>
              <w:tc>
                <w:tcPr>
                  <w:tcW w:w="26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0.9502</w:t>
                  </w:r>
                </w:p>
              </w:tc>
              <w:tc>
                <w:tcPr>
                  <w:tcW w:w="205"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100</w:t>
                  </w:r>
                </w:p>
              </w:tc>
              <w:tc>
                <w:tcPr>
                  <w:tcW w:w="27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低氮燃烧器</w:t>
                  </w:r>
                </w:p>
              </w:tc>
              <w:tc>
                <w:tcPr>
                  <w:tcW w:w="21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40</w:t>
                  </w:r>
                </w:p>
              </w:tc>
              <w:tc>
                <w:tcPr>
                  <w:tcW w:w="17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是</w:t>
                  </w:r>
                </w:p>
              </w:tc>
              <w:tc>
                <w:tcPr>
                  <w:tcW w:w="222"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28.95</w:t>
                  </w:r>
                </w:p>
              </w:tc>
              <w:tc>
                <w:tcPr>
                  <w:tcW w:w="38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0.1188</w:t>
                  </w:r>
                </w:p>
              </w:tc>
              <w:tc>
                <w:tcPr>
                  <w:tcW w:w="39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0.9502</w:t>
                  </w:r>
                </w:p>
              </w:tc>
              <w:tc>
                <w:tcPr>
                  <w:tcW w:w="285"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p>
              </w:tc>
              <w:tc>
                <w:tcPr>
                  <w:tcW w:w="250"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p>
              </w:tc>
              <w:tc>
                <w:tcPr>
                  <w:tcW w:w="170"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1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9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17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163"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22"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50</w:t>
                  </w:r>
                </w:p>
              </w:tc>
              <w:tc>
                <w:tcPr>
                  <w:tcW w:w="168" w:type="pct"/>
                  <w:noWrap w:val="0"/>
                  <w:tcMar>
                    <w:top w:w="0" w:type="dxa"/>
                    <w:left w:w="0" w:type="dxa"/>
                    <w:bottom w:w="0" w:type="dxa"/>
                    <w:right w:w="0" w:type="dxa"/>
                  </w:tcMar>
                  <w:vAlign w:val="center"/>
                </w:tcPr>
                <w:p>
                  <w:pPr>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w:t>
                  </w:r>
                </w:p>
              </w:tc>
              <w:tc>
                <w:tcPr>
                  <w:tcW w:w="11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45" w:type="pct"/>
                  <w:vMerge w:val="restar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污水处理站</w:t>
                  </w:r>
                </w:p>
              </w:tc>
              <w:tc>
                <w:tcPr>
                  <w:tcW w:w="17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371"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0.001</w:t>
                  </w:r>
                </w:p>
              </w:tc>
              <w:tc>
                <w:tcPr>
                  <w:tcW w:w="26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0.0088</w:t>
                  </w:r>
                </w:p>
              </w:tc>
              <w:tc>
                <w:tcPr>
                  <w:tcW w:w="205"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100</w:t>
                  </w:r>
                </w:p>
              </w:tc>
              <w:tc>
                <w:tcPr>
                  <w:tcW w:w="273" w:type="pct"/>
                  <w:vMerge w:val="restar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生物滤塔</w:t>
                  </w:r>
                </w:p>
              </w:tc>
              <w:tc>
                <w:tcPr>
                  <w:tcW w:w="217"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90</w:t>
                  </w:r>
                </w:p>
              </w:tc>
              <w:tc>
                <w:tcPr>
                  <w:tcW w:w="176" w:type="pct"/>
                  <w:noWrap w:val="0"/>
                  <w:tcMar>
                    <w:top w:w="0" w:type="dxa"/>
                    <w:left w:w="0" w:type="dxa"/>
                    <w:bottom w:w="0" w:type="dxa"/>
                    <w:right w:w="0" w:type="dxa"/>
                  </w:tcMar>
                  <w:vAlign w:val="center"/>
                </w:tcPr>
                <w:p>
                  <w:pPr>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是</w:t>
                  </w:r>
                </w:p>
              </w:tc>
              <w:tc>
                <w:tcPr>
                  <w:tcW w:w="222"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w:t>
                  </w:r>
                </w:p>
              </w:tc>
              <w:tc>
                <w:tcPr>
                  <w:tcW w:w="38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1×10</w:t>
                  </w:r>
                  <w:r>
                    <w:rPr>
                      <w:rFonts w:hint="eastAsia" w:ascii="Times New Roman" w:hAnsi="Times New Roman" w:eastAsia="宋体" w:cs="Times New Roman"/>
                      <w:color w:val="auto"/>
                      <w:szCs w:val="21"/>
                      <w:vertAlign w:val="superscript"/>
                      <w:lang w:val="en-US" w:eastAsia="zh-CN"/>
                    </w:rPr>
                    <w:t>-4</w:t>
                  </w:r>
                </w:p>
              </w:tc>
              <w:tc>
                <w:tcPr>
                  <w:tcW w:w="39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eastAsia="宋体" w:cs="Times New Roman"/>
                      <w:color w:val="auto"/>
                      <w:szCs w:val="21"/>
                      <w:lang w:val="en-US" w:eastAsia="zh-CN"/>
                    </w:rPr>
                    <w:t>0.00088</w:t>
                  </w:r>
                </w:p>
              </w:tc>
              <w:tc>
                <w:tcPr>
                  <w:tcW w:w="750" w:type="dxa"/>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eastAsia="zh-CN"/>
                    </w:rPr>
                    <w:t>DA00</w:t>
                  </w:r>
                  <w:r>
                    <w:rPr>
                      <w:rFonts w:hint="eastAsia" w:ascii="Times New Roman" w:hAnsi="Times New Roman" w:cs="Times New Roman"/>
                      <w:color w:val="auto"/>
                      <w:szCs w:val="21"/>
                      <w:lang w:val="en-US" w:eastAsia="zh-CN"/>
                    </w:rPr>
                    <w:t>4</w:t>
                  </w:r>
                </w:p>
              </w:tc>
              <w:tc>
                <w:tcPr>
                  <w:tcW w:w="660" w:type="dxa"/>
                  <w:vMerge w:val="restar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default" w:ascii="Times New Roman" w:hAnsi="Times New Roman" w:eastAsia="宋体" w:cs="Times New Roman"/>
                      <w:color w:val="auto"/>
                      <w:szCs w:val="21"/>
                      <w:lang w:val="en-US" w:eastAsia="zh-CN"/>
                    </w:rPr>
                    <w:t>生物滤塔</w:t>
                  </w:r>
                  <w:r>
                    <w:rPr>
                      <w:rFonts w:hint="eastAsia" w:ascii="Times New Roman" w:hAnsi="Times New Roman"/>
                      <w:color w:val="auto"/>
                    </w:rPr>
                    <w:t>排气筒</w:t>
                  </w:r>
                </w:p>
              </w:tc>
              <w:tc>
                <w:tcPr>
                  <w:tcW w:w="170"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15</w:t>
                  </w:r>
                </w:p>
              </w:tc>
              <w:tc>
                <w:tcPr>
                  <w:tcW w:w="216"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0.2</w:t>
                  </w:r>
                </w:p>
              </w:tc>
              <w:tc>
                <w:tcPr>
                  <w:tcW w:w="296"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1000</w:t>
                  </w:r>
                </w:p>
              </w:tc>
              <w:tc>
                <w:tcPr>
                  <w:tcW w:w="176"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20</w:t>
                  </w:r>
                </w:p>
              </w:tc>
              <w:tc>
                <w:tcPr>
                  <w:tcW w:w="163" w:type="pct"/>
                  <w:vMerge w:val="restart"/>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8760</w:t>
                  </w:r>
                </w:p>
              </w:tc>
              <w:tc>
                <w:tcPr>
                  <w:tcW w:w="584" w:type="dxa"/>
                  <w:noWrap w:val="0"/>
                  <w:tcMar>
                    <w:top w:w="0" w:type="dxa"/>
                    <w:left w:w="0" w:type="dxa"/>
                    <w:bottom w:w="0" w:type="dxa"/>
                    <w:right w:w="0" w:type="dxa"/>
                  </w:tcMar>
                  <w:vAlign w:val="center"/>
                </w:tcPr>
                <w:p>
                  <w:pPr>
                    <w:spacing w:line="240" w:lineRule="atLeast"/>
                    <w:jc w:val="center"/>
                    <w:rPr>
                      <w:rFonts w:hint="eastAsia" w:ascii="Times New Roman" w:hAnsi="Times New Roman"/>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168" w:type="pct"/>
                  <w:noWrap w:val="0"/>
                  <w:tcMar>
                    <w:top w:w="0" w:type="dxa"/>
                    <w:left w:w="0" w:type="dxa"/>
                    <w:bottom w:w="0" w:type="dxa"/>
                    <w:right w:w="0" w:type="dxa"/>
                  </w:tcMar>
                  <w:vAlign w:val="center"/>
                </w:tcPr>
                <w:p>
                  <w:pPr>
                    <w:spacing w:line="240" w:lineRule="atLeast"/>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4.9</w:t>
                  </w:r>
                </w:p>
              </w:tc>
              <w:tc>
                <w:tcPr>
                  <w:tcW w:w="114" w:type="pct"/>
                  <w:noWrap w:val="0"/>
                  <w:tcMar>
                    <w:top w:w="0" w:type="dxa"/>
                    <w:left w:w="0" w:type="dxa"/>
                    <w:bottom w:w="0" w:type="dxa"/>
                    <w:right w:w="0" w:type="dxa"/>
                  </w:tcMar>
                  <w:vAlign w:val="center"/>
                </w:tcPr>
                <w:p>
                  <w:pPr>
                    <w:spacing w:line="240" w:lineRule="atLeast"/>
                    <w:jc w:val="center"/>
                    <w:rPr>
                      <w:rFonts w:hint="eastAsia"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45"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174"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371"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eastAsia="宋体" w:cs="Times New Roman"/>
                      <w:color w:val="auto"/>
                      <w:szCs w:val="21"/>
                      <w:lang w:val="en-US" w:eastAsia="zh-CN"/>
                    </w:rPr>
                    <w:t>3.88×10</w:t>
                  </w:r>
                  <w:r>
                    <w:rPr>
                      <w:rFonts w:hint="eastAsia" w:ascii="Times New Roman" w:hAnsi="Times New Roman" w:eastAsia="宋体" w:cs="Times New Roman"/>
                      <w:color w:val="auto"/>
                      <w:szCs w:val="21"/>
                      <w:vertAlign w:val="superscript"/>
                      <w:lang w:val="en-US" w:eastAsia="zh-CN"/>
                    </w:rPr>
                    <w:t>-5</w:t>
                  </w:r>
                </w:p>
              </w:tc>
              <w:tc>
                <w:tcPr>
                  <w:tcW w:w="266"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0.00034</w:t>
                  </w:r>
                </w:p>
              </w:tc>
              <w:tc>
                <w:tcPr>
                  <w:tcW w:w="205"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100</w:t>
                  </w:r>
                </w:p>
              </w:tc>
              <w:tc>
                <w:tcPr>
                  <w:tcW w:w="273"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217" w:type="pct"/>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90</w:t>
                  </w:r>
                </w:p>
              </w:tc>
              <w:tc>
                <w:tcPr>
                  <w:tcW w:w="176" w:type="pct"/>
                  <w:noWrap w:val="0"/>
                  <w:tcMar>
                    <w:top w:w="0" w:type="dxa"/>
                    <w:left w:w="0" w:type="dxa"/>
                    <w:bottom w:w="0" w:type="dxa"/>
                    <w:right w:w="0" w:type="dxa"/>
                  </w:tcMar>
                  <w:vAlign w:val="center"/>
                </w:tcPr>
                <w:p>
                  <w:pPr>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是</w:t>
                  </w:r>
                </w:p>
              </w:tc>
              <w:tc>
                <w:tcPr>
                  <w:tcW w:w="222"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w:t>
                  </w:r>
                </w:p>
              </w:tc>
              <w:tc>
                <w:tcPr>
                  <w:tcW w:w="387"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3.88×10</w:t>
                  </w:r>
                  <w:r>
                    <w:rPr>
                      <w:rFonts w:hint="eastAsia" w:ascii="Times New Roman" w:hAnsi="Times New Roman" w:eastAsia="宋体" w:cs="Times New Roman"/>
                      <w:color w:val="auto"/>
                      <w:szCs w:val="21"/>
                      <w:vertAlign w:val="superscript"/>
                      <w:lang w:val="en-US" w:eastAsia="zh-CN"/>
                    </w:rPr>
                    <w:t>-6</w:t>
                  </w:r>
                </w:p>
              </w:tc>
              <w:tc>
                <w:tcPr>
                  <w:tcW w:w="393" w:type="pct"/>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eastAsia="宋体" w:cs="Times New Roman"/>
                      <w:color w:val="auto"/>
                      <w:szCs w:val="21"/>
                      <w:lang w:val="en-US" w:eastAsia="zh-CN"/>
                    </w:rPr>
                    <w:t>0.000034</w:t>
                  </w:r>
                </w:p>
              </w:tc>
              <w:tc>
                <w:tcPr>
                  <w:tcW w:w="285"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p>
              </w:tc>
              <w:tc>
                <w:tcPr>
                  <w:tcW w:w="250" w:type="pct"/>
                  <w:vMerge w:val="continue"/>
                  <w:noWrap w:val="0"/>
                  <w:tcMar>
                    <w:top w:w="0" w:type="dxa"/>
                    <w:left w:w="0" w:type="dxa"/>
                    <w:bottom w:w="0" w:type="dxa"/>
                    <w:right w:w="0" w:type="dxa"/>
                  </w:tcMar>
                  <w:vAlign w:val="center"/>
                </w:tcPr>
                <w:p>
                  <w:pPr>
                    <w:pStyle w:val="14"/>
                    <w:spacing w:line="240" w:lineRule="atLeast"/>
                    <w:jc w:val="center"/>
                    <w:rPr>
                      <w:rFonts w:hint="eastAsia" w:ascii="Times New Roman" w:hAnsi="Times New Roman" w:cs="Times New Roman"/>
                      <w:color w:val="auto"/>
                      <w:szCs w:val="21"/>
                      <w:lang w:val="en-US" w:eastAsia="zh-CN"/>
                    </w:rPr>
                  </w:pPr>
                </w:p>
              </w:tc>
              <w:tc>
                <w:tcPr>
                  <w:tcW w:w="170"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1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29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176"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163" w:type="pct"/>
                  <w:vMerge w:val="continue"/>
                  <w:noWrap w:val="0"/>
                  <w:tcMar>
                    <w:top w:w="0" w:type="dxa"/>
                    <w:left w:w="0" w:type="dxa"/>
                    <w:bottom w:w="0" w:type="dxa"/>
                    <w:right w:w="0"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p>
              </w:tc>
              <w:tc>
                <w:tcPr>
                  <w:tcW w:w="584" w:type="dxa"/>
                  <w:noWrap w:val="0"/>
                  <w:tcMar>
                    <w:top w:w="0" w:type="dxa"/>
                    <w:left w:w="0" w:type="dxa"/>
                    <w:bottom w:w="0" w:type="dxa"/>
                    <w:right w:w="0" w:type="dxa"/>
                  </w:tcMar>
                  <w:vAlign w:val="center"/>
                </w:tcPr>
                <w:p>
                  <w:pPr>
                    <w:spacing w:line="240" w:lineRule="atLeast"/>
                    <w:jc w:val="center"/>
                    <w:rPr>
                      <w:rFonts w:hint="eastAsia" w:ascii="Times New Roman" w:hAnsi="Times New Roman"/>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168" w:type="pct"/>
                  <w:noWrap w:val="0"/>
                  <w:tcMar>
                    <w:top w:w="0" w:type="dxa"/>
                    <w:left w:w="0" w:type="dxa"/>
                    <w:bottom w:w="0" w:type="dxa"/>
                    <w:right w:w="0" w:type="dxa"/>
                  </w:tcMar>
                  <w:vAlign w:val="center"/>
                </w:tcPr>
                <w:p>
                  <w:pPr>
                    <w:spacing w:line="240" w:lineRule="atLeast"/>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0.33</w:t>
                  </w:r>
                </w:p>
              </w:tc>
              <w:tc>
                <w:tcPr>
                  <w:tcW w:w="114" w:type="pct"/>
                  <w:noWrap w:val="0"/>
                  <w:tcMar>
                    <w:top w:w="0" w:type="dxa"/>
                    <w:left w:w="0" w:type="dxa"/>
                    <w:bottom w:w="0" w:type="dxa"/>
                    <w:right w:w="0" w:type="dxa"/>
                  </w:tcMar>
                  <w:vAlign w:val="center"/>
                </w:tcPr>
                <w:p>
                  <w:pPr>
                    <w:spacing w:line="240" w:lineRule="atLeast"/>
                    <w:jc w:val="center"/>
                    <w:rPr>
                      <w:rFonts w:hint="eastAsia"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是</w:t>
                  </w:r>
                </w:p>
              </w:tc>
            </w:tr>
          </w:tbl>
          <w:p>
            <w:pPr>
              <w:autoSpaceDE w:val="0"/>
              <w:autoSpaceDN w:val="0"/>
              <w:adjustRightInd w:val="0"/>
              <w:spacing w:line="360" w:lineRule="auto"/>
              <w:ind w:firstLine="480" w:firstLineChars="200"/>
              <w:rPr>
                <w:rFonts w:hint="default" w:ascii="Times New Roman" w:hAnsi="Times New Roman" w:cs="Times New Roman"/>
                <w:color w:val="auto"/>
                <w:kern w:val="0"/>
                <w:sz w:val="24"/>
                <w:lang w:val="zh-CN"/>
              </w:rPr>
            </w:pPr>
            <w:r>
              <w:rPr>
                <w:rFonts w:hint="default" w:ascii="Times New Roman" w:hAnsi="Times New Roman" w:cs="Times New Roman"/>
                <w:color w:val="auto"/>
                <w:kern w:val="0"/>
                <w:sz w:val="24"/>
                <w:lang w:val="zh-CN"/>
              </w:rPr>
              <w:t>废气无组织产排污节点、污染物及污染治理设施见下表。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表4-</w:t>
            </w:r>
            <w:r>
              <w:rPr>
                <w:rFonts w:hint="eastAsia" w:ascii="Times New Roman" w:hAnsi="Times New Roman" w:eastAsia="黑体" w:cs="Times New Roman"/>
                <w:b w:val="0"/>
                <w:bCs w:val="0"/>
                <w:color w:val="auto"/>
                <w:kern w:val="0"/>
                <w:sz w:val="24"/>
                <w:szCs w:val="24"/>
                <w:lang w:val="en-US" w:eastAsia="zh-CN"/>
              </w:rPr>
              <w:t xml:space="preserve">2 </w:t>
            </w:r>
            <w:r>
              <w:rPr>
                <w:rFonts w:hint="default" w:ascii="Times New Roman" w:hAnsi="Times New Roman" w:eastAsia="黑体" w:cs="Times New Roman"/>
                <w:b w:val="0"/>
                <w:bCs w:val="0"/>
                <w:color w:val="auto"/>
                <w:kern w:val="0"/>
                <w:sz w:val="24"/>
                <w:szCs w:val="24"/>
                <w:lang w:val="en-US" w:eastAsia="zh-CN"/>
              </w:rPr>
              <w:t>废气无组织产排污节点、污染物及污染治理设施信息表</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3"/>
              <w:gridCol w:w="1620"/>
              <w:gridCol w:w="1320"/>
              <w:gridCol w:w="1980"/>
              <w:gridCol w:w="1845"/>
              <w:gridCol w:w="1335"/>
              <w:gridCol w:w="1725"/>
              <w:gridCol w:w="1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7"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生产单元</w:t>
                  </w:r>
                </w:p>
              </w:tc>
              <w:tc>
                <w:tcPr>
                  <w:tcW w:w="615"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生产设施</w:t>
                  </w:r>
                </w:p>
              </w:tc>
              <w:tc>
                <w:tcPr>
                  <w:tcW w:w="501"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污染物种类</w:t>
                  </w:r>
                </w:p>
              </w:tc>
              <w:tc>
                <w:tcPr>
                  <w:tcW w:w="752"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主要污染防治措施</w:t>
                  </w:r>
                </w:p>
              </w:tc>
              <w:tc>
                <w:tcPr>
                  <w:tcW w:w="701"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浓度限值（</w:t>
                  </w:r>
                  <w:r>
                    <w:rPr>
                      <w:rFonts w:ascii="Times New Roman" w:hAnsi="Times New Roman"/>
                      <w:b w:val="0"/>
                      <w:bCs w:val="0"/>
                      <w:color w:val="auto"/>
                      <w:kern w:val="0"/>
                      <w:sz w:val="21"/>
                      <w:szCs w:val="21"/>
                      <w:highlight w:val="none"/>
                    </w:rPr>
                    <w:t>mg/m</w:t>
                  </w:r>
                  <w:r>
                    <w:rPr>
                      <w:rFonts w:ascii="Times New Roman" w:hAnsi="Times New Roman"/>
                      <w:b w:val="0"/>
                      <w:bCs w:val="0"/>
                      <w:color w:val="auto"/>
                      <w:kern w:val="0"/>
                      <w:sz w:val="21"/>
                      <w:szCs w:val="21"/>
                      <w:highlight w:val="none"/>
                      <w:vertAlign w:val="superscript"/>
                    </w:rPr>
                    <w:t>3</w:t>
                  </w:r>
                  <w:r>
                    <w:rPr>
                      <w:rFonts w:hint="default" w:ascii="Times New Roman" w:hAnsi="Times New Roman" w:cs="Times New Roman"/>
                      <w:b w:val="0"/>
                      <w:bCs w:val="0"/>
                      <w:color w:val="auto"/>
                      <w:sz w:val="21"/>
                      <w:szCs w:val="21"/>
                    </w:rPr>
                    <w:t>）</w:t>
                  </w:r>
                </w:p>
              </w:tc>
              <w:tc>
                <w:tcPr>
                  <w:tcW w:w="507"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排放量（t/a）</w:t>
                  </w:r>
                </w:p>
              </w:tc>
              <w:tc>
                <w:tcPr>
                  <w:tcW w:w="655"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排放速率（kg/h）</w:t>
                  </w:r>
                </w:p>
              </w:tc>
              <w:tc>
                <w:tcPr>
                  <w:tcW w:w="587"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排放时间（h）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7" w:type="pct"/>
                  <w:noWrap w:val="0"/>
                  <w:vAlign w:val="center"/>
                </w:tcPr>
                <w:p>
                  <w:pPr>
                    <w:jc w:val="center"/>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rPr>
                    <w:t>设备动静密封点</w:t>
                  </w:r>
                </w:p>
              </w:tc>
              <w:tc>
                <w:tcPr>
                  <w:tcW w:w="615" w:type="pct"/>
                  <w:noWrap w:val="0"/>
                  <w:vAlign w:val="center"/>
                </w:tcPr>
                <w:p>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rPr>
                    <w:t>罐区、</w:t>
                  </w:r>
                  <w:r>
                    <w:rPr>
                      <w:rFonts w:hint="eastAsia" w:cs="Times New Roman"/>
                      <w:b w:val="0"/>
                      <w:bCs w:val="0"/>
                      <w:color w:val="auto"/>
                      <w:sz w:val="21"/>
                      <w:szCs w:val="21"/>
                      <w:lang w:eastAsia="zh-CN"/>
                    </w:rPr>
                    <w:t>装卸车区</w:t>
                  </w:r>
                </w:p>
              </w:tc>
              <w:tc>
                <w:tcPr>
                  <w:tcW w:w="501"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VOCs</w:t>
                  </w:r>
                </w:p>
              </w:tc>
              <w:tc>
                <w:tcPr>
                  <w:tcW w:w="752"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定期检测维护</w:t>
                  </w:r>
                </w:p>
              </w:tc>
              <w:tc>
                <w:tcPr>
                  <w:tcW w:w="701"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507"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5.4</w:t>
                  </w:r>
                </w:p>
              </w:tc>
              <w:tc>
                <w:tcPr>
                  <w:tcW w:w="655"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0.675</w:t>
                  </w:r>
                </w:p>
              </w:tc>
              <w:tc>
                <w:tcPr>
                  <w:tcW w:w="587"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80</w:t>
                  </w:r>
                  <w:r>
                    <w:rPr>
                      <w:rFonts w:hint="eastAsia" w:ascii="Times New Roman" w:hAnsi="Times New Roman" w:eastAsia="宋体" w:cs="Times New Roman"/>
                      <w:color w:val="auto"/>
                      <w:sz w:val="21"/>
                      <w:szCs w:val="21"/>
                      <w:lang w:val="en-US" w:eastAsia="zh-CN"/>
                    </w:rPr>
                    <w:t>00</w:t>
                  </w:r>
                </w:p>
              </w:tc>
            </w:tr>
          </w:tbl>
          <w:p>
            <w:pPr>
              <w:spacing w:line="360" w:lineRule="auto"/>
              <w:ind w:firstLine="480" w:firstLineChars="200"/>
              <w:rPr>
                <w:rFonts w:hint="eastAsia" w:eastAsia="黑体" w:cs="Times New Roman"/>
                <w:color w:val="auto"/>
                <w:sz w:val="24"/>
                <w:szCs w:val="24"/>
                <w:highlight w:val="none"/>
                <w:lang w:val="en-US" w:eastAsia="zh-CN"/>
              </w:rPr>
            </w:pPr>
          </w:p>
          <w:p>
            <w:pPr>
              <w:spacing w:line="360" w:lineRule="auto"/>
              <w:ind w:firstLine="480" w:firstLineChars="200"/>
              <w:rPr>
                <w:rFonts w:hint="eastAsia" w:eastAsia="黑体" w:cs="Times New Roman"/>
                <w:color w:val="auto"/>
                <w:sz w:val="24"/>
                <w:szCs w:val="24"/>
                <w:highlight w:val="none"/>
                <w:lang w:val="en-US" w:eastAsia="zh-CN"/>
              </w:rPr>
            </w:pPr>
          </w:p>
          <w:p>
            <w:pPr>
              <w:spacing w:line="360" w:lineRule="auto"/>
              <w:ind w:firstLine="480" w:firstLineChars="200"/>
              <w:rPr>
                <w:rFonts w:hint="eastAsia" w:eastAsia="黑体" w:cs="Times New Roman"/>
                <w:color w:val="auto"/>
                <w:sz w:val="24"/>
                <w:szCs w:val="24"/>
                <w:highlight w:val="none"/>
                <w:lang w:val="en-US" w:eastAsia="zh-CN"/>
              </w:rPr>
            </w:pPr>
          </w:p>
          <w:p>
            <w:pPr>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2、</w:t>
            </w:r>
            <w:r>
              <w:rPr>
                <w:rFonts w:hint="default" w:ascii="Times New Roman" w:hAnsi="Times New Roman" w:eastAsia="黑体" w:cs="Times New Roman"/>
                <w:color w:val="auto"/>
                <w:sz w:val="24"/>
                <w:szCs w:val="24"/>
                <w:highlight w:val="none"/>
                <w:lang w:val="en-US" w:eastAsia="zh-CN"/>
              </w:rPr>
              <w:t>排放口信息</w:t>
            </w:r>
          </w:p>
          <w:p>
            <w:pPr>
              <w:pStyle w:val="79"/>
              <w:keepNext w:val="0"/>
              <w:keepLines w:val="0"/>
              <w:pageBreakBefore w:val="0"/>
              <w:widowControl w:val="0"/>
              <w:kinsoku/>
              <w:wordWrap/>
              <w:overflowPunct/>
              <w:topLinePunct w:val="0"/>
              <w:autoSpaceDE/>
              <w:autoSpaceDN/>
              <w:bidi w:val="0"/>
              <w:adjustRightInd w:val="0"/>
              <w:snapToGrid w:val="0"/>
              <w:spacing w:before="79" w:beforeLines="25" w:after="79" w:afterLines="25" w:line="240" w:lineRule="auto"/>
              <w:textAlignment w:val="auto"/>
              <w:rPr>
                <w:rFonts w:hint="eastAsia" w:ascii="Times New Roman" w:hAnsi="Times New Roman" w:eastAsia="黑体" w:cs="Times New Roman"/>
                <w:b w:val="0"/>
                <w:bCs w:val="0"/>
                <w:color w:val="auto"/>
                <w:kern w:val="0"/>
                <w:sz w:val="24"/>
                <w:szCs w:val="24"/>
                <w:lang w:val="zh-CN" w:eastAsia="zh-CN" w:bidi="ar-SA"/>
              </w:rPr>
            </w:pPr>
            <w:r>
              <w:rPr>
                <w:rFonts w:hint="default" w:ascii="Times New Roman" w:hAnsi="Times New Roman" w:eastAsia="黑体" w:cs="Times New Roman"/>
                <w:b w:val="0"/>
                <w:bCs w:val="0"/>
                <w:color w:val="auto"/>
                <w:kern w:val="0"/>
                <w:sz w:val="24"/>
                <w:szCs w:val="24"/>
                <w:lang w:val="en-US" w:eastAsia="zh-CN"/>
              </w:rPr>
              <w:t>表4-</w:t>
            </w:r>
            <w:r>
              <w:rPr>
                <w:rFonts w:hint="eastAsia" w:ascii="Times New Roman" w:hAnsi="Times New Roman" w:eastAsia="黑体" w:cs="Times New Roman"/>
                <w:b w:val="0"/>
                <w:bCs w:val="0"/>
                <w:color w:val="auto"/>
                <w:kern w:val="0"/>
                <w:sz w:val="24"/>
                <w:szCs w:val="24"/>
                <w:lang w:val="en-US" w:eastAsia="zh-CN"/>
              </w:rPr>
              <w:t xml:space="preserve">3 </w:t>
            </w:r>
            <w:r>
              <w:rPr>
                <w:rFonts w:hint="default" w:ascii="Times New Roman" w:hAnsi="Times New Roman" w:eastAsia="黑体" w:cs="Times New Roman"/>
                <w:b w:val="0"/>
                <w:bCs w:val="0"/>
                <w:color w:val="auto"/>
                <w:kern w:val="0"/>
                <w:sz w:val="24"/>
                <w:szCs w:val="24"/>
                <w:lang w:val="en-US" w:eastAsia="zh-CN"/>
              </w:rPr>
              <w:t>大气污染物排放口基本情况表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690"/>
              <w:gridCol w:w="2026"/>
              <w:gridCol w:w="1275"/>
              <w:gridCol w:w="2009"/>
              <w:gridCol w:w="3230"/>
              <w:gridCol w:w="930"/>
              <w:gridCol w:w="1526"/>
              <w:gridCol w:w="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98" w:type="pct"/>
                  <w:noWrap w:val="0"/>
                  <w:tcMar>
                    <w:top w:w="0" w:type="dxa"/>
                    <w:left w:w="28" w:type="dxa"/>
                    <w:bottom w:w="0" w:type="dxa"/>
                    <w:right w:w="28" w:type="dxa"/>
                  </w:tcMar>
                  <w:vAlign w:val="center"/>
                </w:tcPr>
                <w:p>
                  <w:pPr>
                    <w:pStyle w:val="13"/>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序号</w:t>
                  </w:r>
                </w:p>
              </w:tc>
              <w:tc>
                <w:tcPr>
                  <w:tcW w:w="262" w:type="pct"/>
                  <w:noWrap w:val="0"/>
                  <w:tcMar>
                    <w:top w:w="0" w:type="dxa"/>
                    <w:left w:w="28" w:type="dxa"/>
                    <w:bottom w:w="0" w:type="dxa"/>
                    <w:right w:w="28" w:type="dxa"/>
                  </w:tcMar>
                  <w:vAlign w:val="center"/>
                </w:tcPr>
                <w:p>
                  <w:pPr>
                    <w:pStyle w:val="13"/>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排放口编号</w:t>
                  </w:r>
                </w:p>
              </w:tc>
              <w:tc>
                <w:tcPr>
                  <w:tcW w:w="770" w:type="pct"/>
                  <w:noWrap w:val="0"/>
                  <w:tcMar>
                    <w:top w:w="0" w:type="dxa"/>
                    <w:left w:w="28" w:type="dxa"/>
                    <w:bottom w:w="0" w:type="dxa"/>
                    <w:right w:w="28" w:type="dxa"/>
                  </w:tcMar>
                  <w:vAlign w:val="center"/>
                </w:tcPr>
                <w:p>
                  <w:pPr>
                    <w:pStyle w:val="13"/>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排放口名称</w:t>
                  </w:r>
                </w:p>
              </w:tc>
              <w:tc>
                <w:tcPr>
                  <w:tcW w:w="484" w:type="pct"/>
                  <w:noWrap w:val="0"/>
                  <w:tcMar>
                    <w:top w:w="0" w:type="dxa"/>
                    <w:left w:w="28" w:type="dxa"/>
                    <w:bottom w:w="0" w:type="dxa"/>
                    <w:right w:w="28" w:type="dxa"/>
                  </w:tcMar>
                  <w:vAlign w:val="center"/>
                </w:tcPr>
                <w:p>
                  <w:pPr>
                    <w:pStyle w:val="13"/>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lang w:eastAsia="zh-CN"/>
                    </w:rPr>
                  </w:pPr>
                  <w:r>
                    <w:rPr>
                      <w:rFonts w:hint="eastAsia" w:ascii="Times New Roman" w:hAnsi="Times New Roman" w:cs="Times New Roman"/>
                      <w:b w:val="0"/>
                      <w:bCs w:val="0"/>
                      <w:color w:val="auto"/>
                      <w:sz w:val="21"/>
                      <w:szCs w:val="21"/>
                      <w:lang w:eastAsia="zh-CN"/>
                    </w:rPr>
                    <w:t>排放口类型</w:t>
                  </w:r>
                </w:p>
              </w:tc>
              <w:tc>
                <w:tcPr>
                  <w:tcW w:w="763" w:type="pct"/>
                  <w:noWrap w:val="0"/>
                  <w:tcMar>
                    <w:top w:w="0" w:type="dxa"/>
                    <w:left w:w="28" w:type="dxa"/>
                    <w:bottom w:w="0" w:type="dxa"/>
                    <w:right w:w="28" w:type="dxa"/>
                  </w:tcMar>
                  <w:vAlign w:val="center"/>
                </w:tcPr>
                <w:p>
                  <w:pPr>
                    <w:pStyle w:val="13"/>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污染物种类</w:t>
                  </w:r>
                </w:p>
              </w:tc>
              <w:tc>
                <w:tcPr>
                  <w:tcW w:w="1227" w:type="pct"/>
                  <w:noWrap w:val="0"/>
                  <w:tcMar>
                    <w:top w:w="0" w:type="dxa"/>
                    <w:left w:w="28" w:type="dxa"/>
                    <w:bottom w:w="0" w:type="dxa"/>
                    <w:right w:w="28" w:type="dxa"/>
                  </w:tcMar>
                  <w:vAlign w:val="center"/>
                </w:tcPr>
                <w:p>
                  <w:pPr>
                    <w:pStyle w:val="13"/>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lang w:eastAsia="zh-CN"/>
                    </w:rPr>
                  </w:pPr>
                  <w:r>
                    <w:rPr>
                      <w:rFonts w:hint="eastAsia" w:ascii="Times New Roman" w:hAnsi="Times New Roman" w:cs="Times New Roman"/>
                      <w:b w:val="0"/>
                      <w:bCs w:val="0"/>
                      <w:color w:val="auto"/>
                      <w:sz w:val="21"/>
                      <w:szCs w:val="21"/>
                      <w:lang w:eastAsia="zh-CN"/>
                    </w:rPr>
                    <w:t>排放口地理坐标</w:t>
                  </w:r>
                </w:p>
              </w:tc>
              <w:tc>
                <w:tcPr>
                  <w:tcW w:w="353" w:type="pct"/>
                  <w:noWrap w:val="0"/>
                  <w:tcMar>
                    <w:top w:w="0" w:type="dxa"/>
                    <w:left w:w="28" w:type="dxa"/>
                    <w:bottom w:w="0" w:type="dxa"/>
                    <w:right w:w="28" w:type="dxa"/>
                  </w:tcMar>
                  <w:vAlign w:val="center"/>
                </w:tcPr>
                <w:p>
                  <w:pPr>
                    <w:pStyle w:val="13"/>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排气筒高度（m）</w:t>
                  </w:r>
                </w:p>
              </w:tc>
              <w:tc>
                <w:tcPr>
                  <w:tcW w:w="580" w:type="pct"/>
                  <w:noWrap w:val="0"/>
                  <w:tcMar>
                    <w:top w:w="0" w:type="dxa"/>
                    <w:left w:w="28" w:type="dxa"/>
                    <w:bottom w:w="0" w:type="dxa"/>
                    <w:right w:w="28" w:type="dxa"/>
                  </w:tcMar>
                  <w:vAlign w:val="center"/>
                </w:tcPr>
                <w:p>
                  <w:pPr>
                    <w:pStyle w:val="13"/>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排气筒出口内径（m）</w:t>
                  </w:r>
                </w:p>
              </w:tc>
              <w:tc>
                <w:tcPr>
                  <w:tcW w:w="359" w:type="pct"/>
                  <w:noWrap w:val="0"/>
                  <w:tcMar>
                    <w:top w:w="0" w:type="dxa"/>
                    <w:left w:w="28" w:type="dxa"/>
                    <w:bottom w:w="0" w:type="dxa"/>
                    <w:right w:w="28" w:type="dxa"/>
                  </w:tcMar>
                  <w:vAlign w:val="center"/>
                </w:tcPr>
                <w:p>
                  <w:pPr>
                    <w:pStyle w:val="13"/>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排气温度（℃）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 w:type="pct"/>
                  <w:noWrap w:val="0"/>
                  <w:tcMar>
                    <w:top w:w="0" w:type="dxa"/>
                    <w:left w:w="28" w:type="dxa"/>
                    <w:bottom w:w="0" w:type="dxa"/>
                    <w:right w:w="28" w:type="dxa"/>
                  </w:tcMar>
                  <w:vAlign w:val="center"/>
                </w:tcPr>
                <w:p>
                  <w:pPr>
                    <w:pStyle w:val="13"/>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eastAsia" w:ascii="Times New Roman" w:hAnsi="Times New Roman" w:cs="Times New Roman"/>
                      <w:b w:val="0"/>
                      <w:bCs w:val="0"/>
                      <w:color w:val="auto"/>
                      <w:kern w:val="0"/>
                      <w:sz w:val="21"/>
                      <w:szCs w:val="21"/>
                      <w:lang w:val="en-US" w:eastAsia="zh-CN" w:bidi="ar-SA"/>
                    </w:rPr>
                    <w:t>1</w:t>
                  </w:r>
                </w:p>
              </w:tc>
              <w:tc>
                <w:tcPr>
                  <w:tcW w:w="262" w:type="pct"/>
                  <w:noWrap w:val="0"/>
                  <w:tcMar>
                    <w:top w:w="0" w:type="dxa"/>
                    <w:left w:w="28" w:type="dxa"/>
                    <w:bottom w:w="0" w:type="dxa"/>
                    <w:right w:w="28" w:type="dxa"/>
                  </w:tcMar>
                  <w:vAlign w:val="center"/>
                </w:tcPr>
                <w:p>
                  <w:pPr>
                    <w:pStyle w:val="13"/>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rPr>
                    <w:t>DA00</w:t>
                  </w:r>
                  <w:r>
                    <w:rPr>
                      <w:rFonts w:hint="eastAsia" w:ascii="Times New Roman" w:hAnsi="Times New Roman" w:cs="Times New Roman"/>
                      <w:b w:val="0"/>
                      <w:bCs w:val="0"/>
                      <w:color w:val="auto"/>
                      <w:sz w:val="21"/>
                      <w:szCs w:val="21"/>
                      <w:highlight w:val="none"/>
                      <w:lang w:val="en-US" w:eastAsia="zh-CN"/>
                    </w:rPr>
                    <w:t>1</w:t>
                  </w:r>
                </w:p>
              </w:tc>
              <w:tc>
                <w:tcPr>
                  <w:tcW w:w="770" w:type="pct"/>
                  <w:noWrap w:val="0"/>
                  <w:tcMar>
                    <w:top w:w="0" w:type="dxa"/>
                    <w:left w:w="28" w:type="dxa"/>
                    <w:bottom w:w="0" w:type="dxa"/>
                    <w:right w:w="28" w:type="dxa"/>
                  </w:tcMar>
                  <w:vAlign w:val="center"/>
                </w:tcPr>
                <w:p>
                  <w:pPr>
                    <w:spacing w:line="24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RTO废气处理装置</w:t>
                  </w:r>
                  <w:r>
                    <w:rPr>
                      <w:rFonts w:hint="eastAsia" w:ascii="Times New Roman" w:hAnsi="Times New Roman"/>
                      <w:color w:val="auto"/>
                    </w:rPr>
                    <w:t>排气筒</w:t>
                  </w:r>
                </w:p>
              </w:tc>
              <w:tc>
                <w:tcPr>
                  <w:tcW w:w="484" w:type="pct"/>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olor w:val="auto"/>
                      <w:szCs w:val="21"/>
                      <w:lang w:eastAsia="zh-CN"/>
                    </w:rPr>
                  </w:pPr>
                  <w:r>
                    <w:rPr>
                      <w:rFonts w:hint="eastAsia"/>
                      <w:color w:val="auto"/>
                      <w:szCs w:val="21"/>
                      <w:lang w:val="en-US" w:eastAsia="zh-CN"/>
                    </w:rPr>
                    <w:t>主要</w:t>
                  </w:r>
                  <w:r>
                    <w:rPr>
                      <w:rFonts w:hint="eastAsia"/>
                      <w:color w:val="auto"/>
                      <w:szCs w:val="21"/>
                      <w:lang w:eastAsia="zh-CN"/>
                    </w:rPr>
                    <w:t>排放口</w:t>
                  </w:r>
                </w:p>
              </w:tc>
              <w:tc>
                <w:tcPr>
                  <w:tcW w:w="763" w:type="pct"/>
                  <w:noWrap w:val="0"/>
                  <w:tcMar>
                    <w:top w:w="0" w:type="dxa"/>
                    <w:left w:w="28" w:type="dxa"/>
                    <w:bottom w:w="0" w:type="dxa"/>
                    <w:right w:w="28" w:type="dxa"/>
                  </w:tcMar>
                  <w:vAlign w:val="center"/>
                </w:tcPr>
                <w:p>
                  <w:pPr>
                    <w:pStyle w:val="14"/>
                    <w:spacing w:line="24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VOCs</w:t>
                  </w:r>
                  <w:r>
                    <w:rPr>
                      <w:rFonts w:hint="eastAsia" w:ascii="Times New Roman" w:hAnsi="Times New Roman" w:cs="Times New Roman"/>
                      <w:color w:val="auto"/>
                      <w:szCs w:val="21"/>
                      <w:lang w:val="en-US" w:eastAsia="zh-CN"/>
                    </w:rPr>
                    <w:t>、沥青烟、颗粒物、二氧化硫、氮氧化物</w:t>
                  </w:r>
                </w:p>
              </w:tc>
              <w:tc>
                <w:tcPr>
                  <w:tcW w:w="1227" w:type="pct"/>
                  <w:noWrap w:val="0"/>
                  <w:tcMar>
                    <w:top w:w="0" w:type="dxa"/>
                    <w:left w:w="28" w:type="dxa"/>
                    <w:bottom w:w="0" w:type="dxa"/>
                    <w:right w:w="28"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N118</w:t>
                  </w:r>
                  <w:r>
                    <w:rPr>
                      <w:rFonts w:hint="default" w:ascii="Times New Roman" w:hAnsi="Times New Roman" w:eastAsia="宋体" w:cs="Times New Roman"/>
                      <w:color w:val="auto"/>
                      <w:szCs w:val="21"/>
                      <w:lang w:val="en-US" w:eastAsia="zh-CN"/>
                    </w:rPr>
                    <w:t>°</w:t>
                  </w:r>
                  <w:r>
                    <w:rPr>
                      <w:rFonts w:hint="eastAsia" w:ascii="Times New Roman" w:hAnsi="Times New Roman" w:eastAsia="宋体" w:cs="Times New Roman"/>
                      <w:color w:val="auto"/>
                      <w:szCs w:val="21"/>
                      <w:lang w:val="en-US" w:eastAsia="zh-CN"/>
                    </w:rPr>
                    <w:t>1</w:t>
                  </w:r>
                  <w:r>
                    <w:rPr>
                      <w:rFonts w:hint="eastAsia" w:ascii="Times New Roman" w:hAnsi="Times New Roman" w:cs="Times New Roman"/>
                      <w:color w:val="auto"/>
                      <w:szCs w:val="21"/>
                      <w:lang w:val="en-US" w:eastAsia="zh-CN"/>
                    </w:rPr>
                    <w:t>0</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37.787</w:t>
                  </w:r>
                  <w:r>
                    <w:rPr>
                      <w:rFonts w:hint="eastAsia" w:ascii="Times New Roman" w:hAnsi="Times New Roman" w:eastAsia="宋体" w:cs="Times New Roman"/>
                      <w:color w:val="auto"/>
                      <w:szCs w:val="21"/>
                      <w:lang w:val="en-US" w:eastAsia="zh-CN"/>
                    </w:rPr>
                    <w:t>；E36</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37</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8.878</w:t>
                  </w:r>
                  <w:r>
                    <w:rPr>
                      <w:rFonts w:hint="default" w:ascii="Times New Roman" w:hAnsi="Times New Roman" w:eastAsia="宋体" w:cs="Times New Roman"/>
                      <w:color w:val="auto"/>
                      <w:szCs w:val="21"/>
                      <w:lang w:val="en-US" w:eastAsia="zh-CN"/>
                    </w:rPr>
                    <w:t>″</w:t>
                  </w:r>
                </w:p>
              </w:tc>
              <w:tc>
                <w:tcPr>
                  <w:tcW w:w="353" w:type="pct"/>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15</w:t>
                  </w:r>
                </w:p>
              </w:tc>
              <w:tc>
                <w:tcPr>
                  <w:tcW w:w="580" w:type="pct"/>
                  <w:noWrap w:val="0"/>
                  <w:tcMar>
                    <w:top w:w="0" w:type="dxa"/>
                    <w:left w:w="28" w:type="dxa"/>
                    <w:bottom w:w="0" w:type="dxa"/>
                    <w:right w:w="28" w:type="dxa"/>
                  </w:tcMar>
                  <w:vAlign w:val="center"/>
                </w:tcPr>
                <w:p>
                  <w:pPr>
                    <w:pStyle w:val="14"/>
                    <w:spacing w:line="240" w:lineRule="atLeast"/>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olor w:val="auto"/>
                      <w:kern w:val="0"/>
                      <w:sz w:val="21"/>
                      <w:szCs w:val="21"/>
                      <w:highlight w:val="none"/>
                      <w:lang w:val="en-US" w:eastAsia="zh-CN"/>
                    </w:rPr>
                    <w:t>0.5</w:t>
                  </w:r>
                </w:p>
              </w:tc>
              <w:tc>
                <w:tcPr>
                  <w:tcW w:w="359" w:type="pct"/>
                  <w:noWrap w:val="0"/>
                  <w:tcMar>
                    <w:top w:w="0" w:type="dxa"/>
                    <w:left w:w="28" w:type="dxa"/>
                    <w:bottom w:w="0" w:type="dxa"/>
                    <w:right w:w="28" w:type="dxa"/>
                  </w:tcMar>
                  <w:vAlign w:val="center"/>
                </w:tcPr>
                <w:p>
                  <w:pPr>
                    <w:pStyle w:val="14"/>
                    <w:spacing w:line="240" w:lineRule="atLeast"/>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olor w:val="auto"/>
                      <w:kern w:val="0"/>
                      <w:sz w:val="21"/>
                      <w:szCs w:val="21"/>
                      <w:highlight w:val="none"/>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 w:type="pct"/>
                  <w:noWrap w:val="0"/>
                  <w:tcMar>
                    <w:top w:w="0" w:type="dxa"/>
                    <w:left w:w="28" w:type="dxa"/>
                    <w:bottom w:w="0" w:type="dxa"/>
                    <w:right w:w="28" w:type="dxa"/>
                  </w:tcMar>
                  <w:vAlign w:val="center"/>
                </w:tcPr>
                <w:p>
                  <w:pPr>
                    <w:pStyle w:val="13"/>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kern w:val="0"/>
                      <w:sz w:val="21"/>
                      <w:szCs w:val="21"/>
                      <w:lang w:val="en-US" w:eastAsia="zh-CN" w:bidi="ar-SA"/>
                    </w:rPr>
                  </w:pPr>
                  <w:r>
                    <w:rPr>
                      <w:rFonts w:hint="eastAsia" w:ascii="Times New Roman" w:hAnsi="Times New Roman" w:cs="Times New Roman"/>
                      <w:b w:val="0"/>
                      <w:bCs w:val="0"/>
                      <w:color w:val="auto"/>
                      <w:kern w:val="0"/>
                      <w:sz w:val="21"/>
                      <w:szCs w:val="21"/>
                      <w:lang w:val="en-US" w:eastAsia="zh-CN" w:bidi="ar-SA"/>
                    </w:rPr>
                    <w:t>2</w:t>
                  </w:r>
                </w:p>
              </w:tc>
              <w:tc>
                <w:tcPr>
                  <w:tcW w:w="262" w:type="pct"/>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rPr>
                    <w:t>DA00</w:t>
                  </w:r>
                  <w:r>
                    <w:rPr>
                      <w:rFonts w:hint="eastAsia" w:cs="Times New Roman"/>
                      <w:b w:val="0"/>
                      <w:bCs w:val="0"/>
                      <w:color w:val="auto"/>
                      <w:sz w:val="21"/>
                      <w:szCs w:val="21"/>
                      <w:highlight w:val="none"/>
                      <w:lang w:val="en-US" w:eastAsia="zh-CN"/>
                    </w:rPr>
                    <w:t>2</w:t>
                  </w:r>
                </w:p>
              </w:tc>
              <w:tc>
                <w:tcPr>
                  <w:tcW w:w="770" w:type="pct"/>
                  <w:noWrap w:val="0"/>
                  <w:tcMar>
                    <w:top w:w="0" w:type="dxa"/>
                    <w:left w:w="28" w:type="dxa"/>
                    <w:bottom w:w="0" w:type="dxa"/>
                    <w:right w:w="28" w:type="dxa"/>
                  </w:tcMar>
                  <w:vAlign w:val="center"/>
                </w:tcPr>
                <w:p>
                  <w:pPr>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olor w:val="auto"/>
                      <w:lang w:val="en-US" w:eastAsia="zh-CN"/>
                    </w:rPr>
                    <w:t>导热油锅炉</w:t>
                  </w:r>
                  <w:r>
                    <w:rPr>
                      <w:rFonts w:hint="eastAsia" w:ascii="Times New Roman" w:hAnsi="Times New Roman"/>
                      <w:color w:val="auto"/>
                    </w:rPr>
                    <w:t>排气筒</w:t>
                  </w:r>
                </w:p>
              </w:tc>
              <w:tc>
                <w:tcPr>
                  <w:tcW w:w="484" w:type="pct"/>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olor w:val="auto"/>
                      <w:szCs w:val="21"/>
                    </w:rPr>
                  </w:pPr>
                  <w:r>
                    <w:rPr>
                      <w:rFonts w:hint="eastAsia"/>
                      <w:color w:val="auto"/>
                      <w:szCs w:val="21"/>
                      <w:lang w:eastAsia="zh-CN"/>
                    </w:rPr>
                    <w:t>一般排放口</w:t>
                  </w:r>
                </w:p>
              </w:tc>
              <w:tc>
                <w:tcPr>
                  <w:tcW w:w="763" w:type="pct"/>
                  <w:noWrap w:val="0"/>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颗粒物、二氧化硫、氮氧化物</w:t>
                  </w:r>
                </w:p>
              </w:tc>
              <w:tc>
                <w:tcPr>
                  <w:tcW w:w="1227" w:type="pct"/>
                  <w:noWrap w:val="0"/>
                  <w:tcMar>
                    <w:top w:w="0" w:type="dxa"/>
                    <w:left w:w="28" w:type="dxa"/>
                    <w:bottom w:w="0" w:type="dxa"/>
                    <w:right w:w="28"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N</w:t>
                  </w:r>
                  <w:r>
                    <w:rPr>
                      <w:rFonts w:hint="default" w:ascii="Times New Roman" w:hAnsi="Times New Roman" w:eastAsia="宋体" w:cs="Times New Roman"/>
                      <w:color w:val="auto"/>
                      <w:szCs w:val="21"/>
                      <w:lang w:val="en-US" w:eastAsia="zh-CN"/>
                    </w:rPr>
                    <w:t>118°1</w:t>
                  </w:r>
                  <w:r>
                    <w:rPr>
                      <w:rFonts w:hint="eastAsia" w:ascii="Times New Roman" w:hAnsi="Times New Roman" w:cs="Times New Roman"/>
                      <w:color w:val="auto"/>
                      <w:szCs w:val="21"/>
                      <w:lang w:val="en-US" w:eastAsia="zh-CN"/>
                    </w:rPr>
                    <w:t>0</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41.379</w:t>
                  </w:r>
                  <w:r>
                    <w:rPr>
                      <w:rFonts w:hint="default" w:ascii="Times New Roman" w:hAnsi="Times New Roman" w:eastAsia="宋体" w:cs="Times New Roman"/>
                      <w:color w:val="auto"/>
                      <w:szCs w:val="21"/>
                      <w:lang w:val="en-US" w:eastAsia="zh-CN"/>
                    </w:rPr>
                    <w:t>″</w:t>
                  </w:r>
                  <w:r>
                    <w:rPr>
                      <w:rFonts w:hint="eastAsia" w:ascii="Times New Roman" w:hAnsi="Times New Roman" w:eastAsia="宋体" w:cs="Times New Roman"/>
                      <w:color w:val="auto"/>
                      <w:szCs w:val="21"/>
                      <w:lang w:val="en-US" w:eastAsia="zh-CN"/>
                    </w:rPr>
                    <w:t>；E36</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37</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13.474</w:t>
                  </w:r>
                  <w:r>
                    <w:rPr>
                      <w:rFonts w:hint="default" w:ascii="Times New Roman" w:hAnsi="Times New Roman" w:eastAsia="宋体" w:cs="Times New Roman"/>
                      <w:color w:val="auto"/>
                      <w:szCs w:val="21"/>
                      <w:lang w:val="en-US" w:eastAsia="zh-CN"/>
                    </w:rPr>
                    <w:t>″</w:t>
                  </w:r>
                </w:p>
              </w:tc>
              <w:tc>
                <w:tcPr>
                  <w:tcW w:w="353" w:type="pct"/>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15</w:t>
                  </w:r>
                </w:p>
              </w:tc>
              <w:tc>
                <w:tcPr>
                  <w:tcW w:w="580" w:type="pct"/>
                  <w:noWrap w:val="0"/>
                  <w:tcMar>
                    <w:top w:w="0" w:type="dxa"/>
                    <w:left w:w="28" w:type="dxa"/>
                    <w:bottom w:w="0" w:type="dxa"/>
                    <w:right w:w="28" w:type="dxa"/>
                  </w:tcMar>
                  <w:vAlign w:val="center"/>
                </w:tcPr>
                <w:p>
                  <w:pPr>
                    <w:pStyle w:val="14"/>
                    <w:spacing w:line="240" w:lineRule="atLeast"/>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olor w:val="auto"/>
                      <w:kern w:val="0"/>
                      <w:sz w:val="21"/>
                      <w:szCs w:val="21"/>
                      <w:highlight w:val="none"/>
                      <w:lang w:val="en-US" w:eastAsia="zh-CN"/>
                    </w:rPr>
                    <w:t>0.3</w:t>
                  </w:r>
                </w:p>
              </w:tc>
              <w:tc>
                <w:tcPr>
                  <w:tcW w:w="359" w:type="pct"/>
                  <w:noWrap w:val="0"/>
                  <w:tcMar>
                    <w:top w:w="0" w:type="dxa"/>
                    <w:left w:w="28" w:type="dxa"/>
                    <w:bottom w:w="0" w:type="dxa"/>
                    <w:right w:w="28" w:type="dxa"/>
                  </w:tcMar>
                  <w:vAlign w:val="center"/>
                </w:tcPr>
                <w:p>
                  <w:pPr>
                    <w:pStyle w:val="14"/>
                    <w:spacing w:line="240" w:lineRule="atLeast"/>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olor w:val="auto"/>
                      <w:kern w:val="0"/>
                      <w:sz w:val="21"/>
                      <w:szCs w:val="21"/>
                      <w:highlight w:val="none"/>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 w:type="pct"/>
                  <w:noWrap w:val="0"/>
                  <w:tcMar>
                    <w:top w:w="0" w:type="dxa"/>
                    <w:left w:w="28" w:type="dxa"/>
                    <w:bottom w:w="0" w:type="dxa"/>
                    <w:right w:w="28" w:type="dxa"/>
                  </w:tcMar>
                  <w:vAlign w:val="center"/>
                </w:tcPr>
                <w:p>
                  <w:pPr>
                    <w:pStyle w:val="13"/>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cs="Times New Roman"/>
                      <w:b w:val="0"/>
                      <w:bCs w:val="0"/>
                      <w:color w:val="auto"/>
                      <w:kern w:val="0"/>
                      <w:sz w:val="21"/>
                      <w:szCs w:val="21"/>
                      <w:lang w:val="en-US" w:eastAsia="zh-CN" w:bidi="ar-SA"/>
                    </w:rPr>
                    <w:t>3</w:t>
                  </w:r>
                </w:p>
              </w:tc>
              <w:tc>
                <w:tcPr>
                  <w:tcW w:w="262" w:type="pct"/>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rPr>
                    <w:t>DA00</w:t>
                  </w:r>
                  <w:r>
                    <w:rPr>
                      <w:rFonts w:hint="eastAsia" w:cs="Times New Roman"/>
                      <w:b w:val="0"/>
                      <w:bCs w:val="0"/>
                      <w:color w:val="auto"/>
                      <w:sz w:val="21"/>
                      <w:szCs w:val="21"/>
                      <w:highlight w:val="none"/>
                      <w:lang w:val="en-US" w:eastAsia="zh-CN"/>
                    </w:rPr>
                    <w:t>3</w:t>
                  </w:r>
                </w:p>
              </w:tc>
              <w:tc>
                <w:tcPr>
                  <w:tcW w:w="770" w:type="pct"/>
                  <w:noWrap w:val="0"/>
                  <w:tcMar>
                    <w:top w:w="0" w:type="dxa"/>
                    <w:left w:w="28" w:type="dxa"/>
                    <w:bottom w:w="0" w:type="dxa"/>
                    <w:right w:w="28" w:type="dxa"/>
                  </w:tcMar>
                  <w:vAlign w:val="center"/>
                </w:tcPr>
                <w:p>
                  <w:pPr>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olor w:val="auto"/>
                      <w:lang w:val="en-US" w:eastAsia="zh-CN"/>
                    </w:rPr>
                    <w:t>蒸汽锅炉</w:t>
                  </w:r>
                  <w:r>
                    <w:rPr>
                      <w:rFonts w:hint="eastAsia" w:ascii="Times New Roman" w:hAnsi="Times New Roman"/>
                      <w:color w:val="auto"/>
                    </w:rPr>
                    <w:t>排气筒</w:t>
                  </w:r>
                </w:p>
              </w:tc>
              <w:tc>
                <w:tcPr>
                  <w:tcW w:w="484" w:type="pct"/>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lang w:eastAsia="zh-CN"/>
                    </w:rPr>
                    <w:t>一般排放口</w:t>
                  </w:r>
                </w:p>
              </w:tc>
              <w:tc>
                <w:tcPr>
                  <w:tcW w:w="763" w:type="pct"/>
                  <w:noWrap w:val="0"/>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颗粒物、二氧化硫、氮氧化物</w:t>
                  </w:r>
                </w:p>
              </w:tc>
              <w:tc>
                <w:tcPr>
                  <w:tcW w:w="1227" w:type="pct"/>
                  <w:noWrap w:val="0"/>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N</w:t>
                  </w:r>
                  <w:r>
                    <w:rPr>
                      <w:rFonts w:hint="default" w:ascii="Times New Roman" w:hAnsi="Times New Roman" w:eastAsia="宋体" w:cs="Times New Roman"/>
                      <w:color w:val="auto"/>
                      <w:szCs w:val="21"/>
                      <w:lang w:val="en-US" w:eastAsia="zh-CN"/>
                    </w:rPr>
                    <w:t>118°1</w:t>
                  </w:r>
                  <w:r>
                    <w:rPr>
                      <w:rFonts w:hint="eastAsia" w:ascii="Times New Roman" w:hAnsi="Times New Roman" w:cs="Times New Roman"/>
                      <w:color w:val="auto"/>
                      <w:szCs w:val="21"/>
                      <w:lang w:val="en-US" w:eastAsia="zh-CN"/>
                    </w:rPr>
                    <w:t>0</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40.954</w:t>
                  </w:r>
                  <w:r>
                    <w:rPr>
                      <w:rFonts w:hint="default" w:ascii="Times New Roman" w:hAnsi="Times New Roman" w:eastAsia="宋体" w:cs="Times New Roman"/>
                      <w:color w:val="auto"/>
                      <w:szCs w:val="21"/>
                      <w:lang w:val="en-US" w:eastAsia="zh-CN"/>
                    </w:rPr>
                    <w:t>″</w:t>
                  </w:r>
                  <w:r>
                    <w:rPr>
                      <w:rFonts w:hint="eastAsia" w:ascii="Times New Roman" w:hAnsi="Times New Roman" w:eastAsia="宋体" w:cs="Times New Roman"/>
                      <w:color w:val="auto"/>
                      <w:szCs w:val="21"/>
                      <w:lang w:val="en-US" w:eastAsia="zh-CN"/>
                    </w:rPr>
                    <w:t>；E36</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37</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13.436</w:t>
                  </w:r>
                  <w:r>
                    <w:rPr>
                      <w:rFonts w:hint="default" w:ascii="Times New Roman" w:hAnsi="Times New Roman" w:eastAsia="宋体" w:cs="Times New Roman"/>
                      <w:color w:val="auto"/>
                      <w:szCs w:val="21"/>
                      <w:lang w:val="en-US" w:eastAsia="zh-CN"/>
                    </w:rPr>
                    <w:t>″</w:t>
                  </w:r>
                </w:p>
              </w:tc>
              <w:tc>
                <w:tcPr>
                  <w:tcW w:w="353" w:type="pct"/>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rPr>
                    <w:t>15</w:t>
                  </w:r>
                </w:p>
              </w:tc>
              <w:tc>
                <w:tcPr>
                  <w:tcW w:w="580" w:type="pct"/>
                  <w:noWrap w:val="0"/>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olor w:val="auto"/>
                      <w:kern w:val="0"/>
                      <w:sz w:val="21"/>
                      <w:szCs w:val="21"/>
                      <w:highlight w:val="none"/>
                      <w:lang w:val="en-US" w:eastAsia="zh-CN"/>
                    </w:rPr>
                    <w:t>0.3</w:t>
                  </w:r>
                </w:p>
              </w:tc>
              <w:tc>
                <w:tcPr>
                  <w:tcW w:w="359" w:type="pct"/>
                  <w:noWrap w:val="0"/>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olor w:val="auto"/>
                      <w:kern w:val="0"/>
                      <w:sz w:val="21"/>
                      <w:szCs w:val="21"/>
                      <w:highlight w:val="none"/>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 w:type="pct"/>
                  <w:noWrap w:val="0"/>
                  <w:tcMar>
                    <w:top w:w="0" w:type="dxa"/>
                    <w:left w:w="28" w:type="dxa"/>
                    <w:bottom w:w="0" w:type="dxa"/>
                    <w:right w:w="28" w:type="dxa"/>
                  </w:tcMar>
                  <w:vAlign w:val="center"/>
                </w:tcPr>
                <w:p>
                  <w:pPr>
                    <w:pStyle w:val="13"/>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kern w:val="0"/>
                      <w:sz w:val="21"/>
                      <w:szCs w:val="21"/>
                      <w:lang w:val="en-US" w:eastAsia="zh-CN" w:bidi="ar-SA"/>
                    </w:rPr>
                  </w:pPr>
                  <w:r>
                    <w:rPr>
                      <w:rFonts w:hint="eastAsia" w:ascii="Times New Roman" w:hAnsi="Times New Roman" w:cs="Times New Roman"/>
                      <w:b w:val="0"/>
                      <w:bCs w:val="0"/>
                      <w:color w:val="auto"/>
                      <w:kern w:val="0"/>
                      <w:sz w:val="21"/>
                      <w:szCs w:val="21"/>
                      <w:lang w:val="en-US" w:eastAsia="zh-CN" w:bidi="ar-SA"/>
                    </w:rPr>
                    <w:t>4</w:t>
                  </w:r>
                </w:p>
              </w:tc>
              <w:tc>
                <w:tcPr>
                  <w:tcW w:w="262" w:type="pct"/>
                  <w:noWrap w:val="0"/>
                  <w:tcMar>
                    <w:top w:w="0" w:type="dxa"/>
                    <w:left w:w="28" w:type="dxa"/>
                    <w:bottom w:w="0" w:type="dxa"/>
                    <w:right w:w="28" w:type="dxa"/>
                  </w:tcMar>
                  <w:vAlign w:val="center"/>
                </w:tcPr>
                <w:p>
                  <w:pPr>
                    <w:pStyle w:val="14"/>
                    <w:spacing w:line="240" w:lineRule="atLeast"/>
                    <w:jc w:val="center"/>
                    <w:rPr>
                      <w:rFonts w:hint="default" w:ascii="Times New Roman" w:hAnsi="Times New Roman" w:cs="Times New Roman"/>
                      <w:b w:val="0"/>
                      <w:bCs w:val="0"/>
                      <w:color w:val="auto"/>
                      <w:sz w:val="21"/>
                      <w:szCs w:val="21"/>
                      <w:highlight w:val="none"/>
                    </w:rPr>
                  </w:pPr>
                  <w:r>
                    <w:rPr>
                      <w:rFonts w:hint="eastAsia" w:ascii="Times New Roman" w:hAnsi="Times New Roman" w:eastAsia="宋体" w:cs="Times New Roman"/>
                      <w:color w:val="auto"/>
                      <w:szCs w:val="21"/>
                      <w:lang w:eastAsia="zh-CN"/>
                    </w:rPr>
                    <w:t>DA00</w:t>
                  </w:r>
                  <w:r>
                    <w:rPr>
                      <w:rFonts w:hint="eastAsia" w:ascii="Times New Roman" w:hAnsi="Times New Roman" w:cs="Times New Roman"/>
                      <w:color w:val="auto"/>
                      <w:szCs w:val="21"/>
                      <w:lang w:val="en-US" w:eastAsia="zh-CN"/>
                    </w:rPr>
                    <w:t>4</w:t>
                  </w:r>
                </w:p>
              </w:tc>
              <w:tc>
                <w:tcPr>
                  <w:tcW w:w="770" w:type="pct"/>
                  <w:noWrap w:val="0"/>
                  <w:tcMar>
                    <w:top w:w="0" w:type="dxa"/>
                    <w:left w:w="28" w:type="dxa"/>
                    <w:bottom w:w="0" w:type="dxa"/>
                    <w:right w:w="28" w:type="dxa"/>
                  </w:tcMar>
                  <w:vAlign w:val="center"/>
                </w:tcPr>
                <w:p>
                  <w:pPr>
                    <w:pStyle w:val="14"/>
                    <w:spacing w:line="240" w:lineRule="atLeast"/>
                    <w:jc w:val="center"/>
                    <w:rPr>
                      <w:rFonts w:hint="eastAsia" w:ascii="Times New Roman" w:hAnsi="Times New Roman"/>
                      <w:color w:val="auto"/>
                      <w:lang w:val="en-US" w:eastAsia="zh-CN"/>
                    </w:rPr>
                  </w:pPr>
                  <w:r>
                    <w:rPr>
                      <w:rFonts w:hint="default" w:ascii="Times New Roman" w:hAnsi="Times New Roman" w:eastAsia="宋体" w:cs="Times New Roman"/>
                      <w:color w:val="auto"/>
                      <w:szCs w:val="21"/>
                      <w:lang w:val="en-US" w:eastAsia="zh-CN"/>
                    </w:rPr>
                    <w:t>生物滤塔</w:t>
                  </w:r>
                  <w:r>
                    <w:rPr>
                      <w:rFonts w:hint="eastAsia" w:ascii="Times New Roman" w:hAnsi="Times New Roman"/>
                      <w:color w:val="auto"/>
                    </w:rPr>
                    <w:t>排气筒</w:t>
                  </w:r>
                </w:p>
              </w:tc>
              <w:tc>
                <w:tcPr>
                  <w:tcW w:w="484" w:type="pct"/>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auto"/>
                      <w:szCs w:val="21"/>
                      <w:lang w:eastAsia="zh-CN"/>
                    </w:rPr>
                  </w:pPr>
                  <w:r>
                    <w:rPr>
                      <w:rFonts w:hint="eastAsia"/>
                      <w:color w:val="auto"/>
                      <w:szCs w:val="21"/>
                      <w:lang w:eastAsia="zh-CN"/>
                    </w:rPr>
                    <w:t>一般排放口</w:t>
                  </w:r>
                </w:p>
              </w:tc>
              <w:tc>
                <w:tcPr>
                  <w:tcW w:w="763" w:type="pct"/>
                  <w:noWrap w:val="0"/>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eastAsia" w:ascii="Times New Roman" w:hAnsi="Times New Roman" w:cs="Times New Roman"/>
                      <w:color w:val="auto"/>
                      <w:szCs w:val="21"/>
                      <w:lang w:val="en-US" w:eastAsia="zh-CN"/>
                    </w:rPr>
                    <w:t>、</w:t>
                  </w: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r>
                    <w:rPr>
                      <w:rFonts w:hint="eastAsia" w:ascii="Times New Roman" w:hAnsi="Times New Roman" w:cs="Times New Roman"/>
                      <w:color w:val="auto"/>
                      <w:sz w:val="21"/>
                      <w:szCs w:val="21"/>
                      <w:highlight w:val="none"/>
                      <w:lang w:eastAsia="zh-CN"/>
                    </w:rPr>
                    <w:t>、臭气浓度</w:t>
                  </w:r>
                </w:p>
              </w:tc>
              <w:tc>
                <w:tcPr>
                  <w:tcW w:w="1227" w:type="pct"/>
                  <w:noWrap w:val="0"/>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N</w:t>
                  </w:r>
                  <w:r>
                    <w:rPr>
                      <w:rFonts w:hint="default" w:ascii="Times New Roman" w:hAnsi="Times New Roman" w:eastAsia="宋体" w:cs="Times New Roman"/>
                      <w:color w:val="auto"/>
                      <w:szCs w:val="21"/>
                      <w:lang w:val="en-US" w:eastAsia="zh-CN"/>
                    </w:rPr>
                    <w:t>118°1</w:t>
                  </w:r>
                  <w:r>
                    <w:rPr>
                      <w:rFonts w:hint="eastAsia" w:ascii="Times New Roman" w:hAnsi="Times New Roman" w:cs="Times New Roman"/>
                      <w:color w:val="auto"/>
                      <w:szCs w:val="21"/>
                      <w:lang w:val="en-US" w:eastAsia="zh-CN"/>
                    </w:rPr>
                    <w:t>0</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43.174</w:t>
                  </w:r>
                  <w:r>
                    <w:rPr>
                      <w:rFonts w:hint="default" w:ascii="Times New Roman" w:hAnsi="Times New Roman" w:eastAsia="宋体" w:cs="Times New Roman"/>
                      <w:color w:val="auto"/>
                      <w:szCs w:val="21"/>
                      <w:lang w:val="en-US" w:eastAsia="zh-CN"/>
                    </w:rPr>
                    <w:t>″</w:t>
                  </w:r>
                  <w:r>
                    <w:rPr>
                      <w:rFonts w:hint="eastAsia" w:ascii="Times New Roman" w:hAnsi="Times New Roman" w:eastAsia="宋体" w:cs="Times New Roman"/>
                      <w:color w:val="auto"/>
                      <w:szCs w:val="21"/>
                      <w:lang w:val="en-US" w:eastAsia="zh-CN"/>
                    </w:rPr>
                    <w:t>；E36</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37</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12.586</w:t>
                  </w:r>
                  <w:r>
                    <w:rPr>
                      <w:rFonts w:hint="default" w:ascii="Times New Roman" w:hAnsi="Times New Roman" w:eastAsia="宋体" w:cs="Times New Roman"/>
                      <w:color w:val="auto"/>
                      <w:szCs w:val="21"/>
                      <w:lang w:val="en-US" w:eastAsia="zh-CN"/>
                    </w:rPr>
                    <w:t>″</w:t>
                  </w:r>
                </w:p>
              </w:tc>
              <w:tc>
                <w:tcPr>
                  <w:tcW w:w="353" w:type="pct"/>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w:t>
                  </w:r>
                </w:p>
              </w:tc>
              <w:tc>
                <w:tcPr>
                  <w:tcW w:w="580" w:type="pct"/>
                  <w:noWrap w:val="0"/>
                  <w:tcMar>
                    <w:top w:w="0" w:type="dxa"/>
                    <w:left w:w="28" w:type="dxa"/>
                    <w:bottom w:w="0" w:type="dxa"/>
                    <w:right w:w="28"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0.2</w:t>
                  </w:r>
                </w:p>
              </w:tc>
              <w:tc>
                <w:tcPr>
                  <w:tcW w:w="359" w:type="pct"/>
                  <w:noWrap w:val="0"/>
                  <w:tcMar>
                    <w:top w:w="0" w:type="dxa"/>
                    <w:left w:w="28" w:type="dxa"/>
                    <w:bottom w:w="0" w:type="dxa"/>
                    <w:right w:w="28" w:type="dxa"/>
                  </w:tcMar>
                  <w:vAlign w:val="center"/>
                </w:tcPr>
                <w:p>
                  <w:pPr>
                    <w:pStyle w:val="14"/>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20</w:t>
                  </w:r>
                </w:p>
              </w:tc>
            </w:tr>
          </w:tbl>
          <w:p>
            <w:pPr>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3、</w:t>
            </w:r>
            <w:r>
              <w:rPr>
                <w:rFonts w:hint="default" w:ascii="Times New Roman" w:hAnsi="Times New Roman" w:eastAsia="黑体" w:cs="Times New Roman"/>
                <w:color w:val="auto"/>
                <w:sz w:val="24"/>
                <w:szCs w:val="24"/>
                <w:highlight w:val="none"/>
                <w:lang w:val="en-US" w:eastAsia="zh-CN"/>
              </w:rPr>
              <w:t>检测要求</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eastAsia="宋体" w:cs="Times New Roman"/>
                <w:color w:val="auto"/>
                <w:sz w:val="24"/>
              </w:rPr>
            </w:pPr>
            <w:r>
              <w:rPr>
                <w:rFonts w:hint="eastAsia" w:ascii="Times New Roman" w:hAnsi="Times New Roman" w:eastAsia="宋体" w:cs="Times New Roman"/>
                <w:color w:val="auto"/>
                <w:sz w:val="24"/>
              </w:rPr>
              <w:t>根据《排污单位自行监测技术指南 储油库、加油站》（HJ</w:t>
            </w:r>
            <w:r>
              <w:rPr>
                <w:rFonts w:ascii="Times New Roman" w:hAnsi="Times New Roman" w:eastAsia="宋体" w:cs="Times New Roman"/>
                <w:color w:val="auto"/>
                <w:sz w:val="24"/>
              </w:rPr>
              <w:t>1249</w:t>
            </w:r>
            <w:r>
              <w:rPr>
                <w:rFonts w:hint="eastAsia" w:ascii="Times New Roman" w:hAnsi="Times New Roman" w:eastAsia="宋体" w:cs="Times New Roman"/>
                <w:color w:val="auto"/>
                <w:sz w:val="24"/>
              </w:rPr>
              <w:t>-20</w:t>
            </w:r>
            <w:r>
              <w:rPr>
                <w:rFonts w:ascii="Times New Roman" w:hAnsi="Times New Roman" w:eastAsia="宋体" w:cs="Times New Roman"/>
                <w:color w:val="auto"/>
                <w:sz w:val="24"/>
              </w:rPr>
              <w:t>22</w:t>
            </w:r>
            <w:r>
              <w:rPr>
                <w:rFonts w:hint="eastAsia" w:ascii="Times New Roman" w:hAnsi="Times New Roman" w:eastAsia="宋体" w:cs="Times New Roman"/>
                <w:color w:val="auto"/>
                <w:sz w:val="24"/>
              </w:rPr>
              <w:t>）及《山东省生态环境厅关于印发山东省重点排污单位名录制定和污染源自动监测安装联网管理规定的通知》（鲁环发[2019]134号），确定本项目废气监测要求，具体见下表。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zh-CN" w:eastAsia="zh-CN" w:bidi="ar-SA"/>
              </w:rPr>
            </w:pPr>
            <w:r>
              <w:rPr>
                <w:rFonts w:hint="eastAsia" w:ascii="Times New Roman" w:hAnsi="Times New Roman" w:eastAsia="黑体" w:cs="Times New Roman"/>
                <w:b w:val="0"/>
                <w:bCs w:val="0"/>
                <w:color w:val="auto"/>
                <w:kern w:val="0"/>
                <w:sz w:val="24"/>
                <w:szCs w:val="24"/>
                <w:lang w:val="zh-CN" w:eastAsia="zh-CN" w:bidi="ar-SA"/>
              </w:rPr>
              <w:t>表4-</w:t>
            </w:r>
            <w:r>
              <w:rPr>
                <w:rFonts w:hint="eastAsia" w:ascii="Times New Roman" w:hAnsi="Times New Roman" w:eastAsia="黑体" w:cs="Times New Roman"/>
                <w:b w:val="0"/>
                <w:bCs w:val="0"/>
                <w:color w:val="auto"/>
                <w:kern w:val="0"/>
                <w:sz w:val="24"/>
                <w:szCs w:val="24"/>
                <w:lang w:val="en-US" w:eastAsia="zh-CN" w:bidi="ar-SA"/>
              </w:rPr>
              <w:t>4</w:t>
            </w:r>
            <w:r>
              <w:rPr>
                <w:rFonts w:hint="eastAsia" w:ascii="Times New Roman" w:hAnsi="Times New Roman" w:eastAsia="黑体" w:cs="Times New Roman"/>
                <w:b w:val="0"/>
                <w:bCs w:val="0"/>
                <w:color w:val="auto"/>
                <w:kern w:val="0"/>
                <w:sz w:val="24"/>
                <w:szCs w:val="24"/>
                <w:lang w:val="zh-CN" w:eastAsia="zh-CN" w:bidi="ar-SA"/>
              </w:rPr>
              <w:t xml:space="preserve"> 本项目废气监测信息表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945"/>
              <w:gridCol w:w="989"/>
              <w:gridCol w:w="1171"/>
              <w:gridCol w:w="1305"/>
              <w:gridCol w:w="1695"/>
              <w:gridCol w:w="3797"/>
              <w:gridCol w:w="1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 w:type="pct"/>
                  <w:vMerge w:val="restar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监测点位</w:t>
                  </w:r>
                </w:p>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（编号）</w:t>
                  </w:r>
                </w:p>
              </w:tc>
              <w:tc>
                <w:tcPr>
                  <w:tcW w:w="734" w:type="pct"/>
                  <w:gridSpan w:val="2"/>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排气筒</w:t>
                  </w:r>
                </w:p>
              </w:tc>
              <w:tc>
                <w:tcPr>
                  <w:tcW w:w="444" w:type="pct"/>
                  <w:vMerge w:val="restar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温度/℃</w:t>
                  </w:r>
                </w:p>
              </w:tc>
              <w:tc>
                <w:tcPr>
                  <w:tcW w:w="495" w:type="pct"/>
                  <w:vMerge w:val="restar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类型</w:t>
                  </w:r>
                </w:p>
              </w:tc>
              <w:tc>
                <w:tcPr>
                  <w:tcW w:w="644" w:type="pct"/>
                  <w:vMerge w:val="restar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地理坐标</w:t>
                  </w:r>
                </w:p>
              </w:tc>
              <w:tc>
                <w:tcPr>
                  <w:tcW w:w="1442" w:type="pct"/>
                  <w:vMerge w:val="restar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监测因子</w:t>
                  </w:r>
                </w:p>
              </w:tc>
              <w:tc>
                <w:tcPr>
                  <w:tcW w:w="622" w:type="pct"/>
                  <w:vMerge w:val="restar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 w:type="pct"/>
                  <w:vMerge w:val="continue"/>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p>
              </w:tc>
              <w:tc>
                <w:tcPr>
                  <w:tcW w:w="359"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高度/m</w:t>
                  </w:r>
                </w:p>
              </w:tc>
              <w:tc>
                <w:tcPr>
                  <w:tcW w:w="375"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内径/m</w:t>
                  </w:r>
                </w:p>
              </w:tc>
              <w:tc>
                <w:tcPr>
                  <w:tcW w:w="444" w:type="pct"/>
                  <w:vMerge w:val="continue"/>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p>
              </w:tc>
              <w:tc>
                <w:tcPr>
                  <w:tcW w:w="495" w:type="pct"/>
                  <w:vMerge w:val="continue"/>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p>
              </w:tc>
              <w:tc>
                <w:tcPr>
                  <w:tcW w:w="644" w:type="pct"/>
                  <w:vMerge w:val="continue"/>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p>
              </w:tc>
              <w:tc>
                <w:tcPr>
                  <w:tcW w:w="1442" w:type="pct"/>
                  <w:vMerge w:val="continue"/>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p>
              </w:tc>
              <w:tc>
                <w:tcPr>
                  <w:tcW w:w="622" w:type="pct"/>
                  <w:vMerge w:val="continue"/>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 w:type="pct"/>
                  <w:vMerge w:val="restart"/>
                  <w:shd w:val="clear" w:color="auto" w:fill="auto"/>
                  <w:vAlign w:val="center"/>
                </w:tcPr>
                <w:p>
                  <w:pPr>
                    <w:spacing w:line="240" w:lineRule="auto"/>
                    <w:jc w:val="center"/>
                    <w:rPr>
                      <w:rFonts w:hint="default" w:ascii="Times New Roman" w:hAnsi="Times New Roman" w:cs="Times New Roman" w:eastAsiaTheme="minorEastAsia"/>
                      <w:i/>
                      <w:iCs/>
                      <w:color w:val="auto"/>
                      <w:sz w:val="21"/>
                      <w:szCs w:val="21"/>
                      <w:lang w:eastAsia="zh-CN"/>
                    </w:rPr>
                  </w:pPr>
                  <w:r>
                    <w:rPr>
                      <w:rFonts w:hint="default" w:ascii="Times New Roman" w:hAnsi="Times New Roman" w:cs="Times New Roman" w:eastAsiaTheme="minorEastAsia"/>
                      <w:color w:val="auto"/>
                      <w:sz w:val="21"/>
                      <w:szCs w:val="21"/>
                      <w:lang w:val="en-US" w:eastAsia="zh-CN"/>
                    </w:rPr>
                    <w:t>RTO废气处理装置</w:t>
                  </w:r>
                  <w:r>
                    <w:rPr>
                      <w:rFonts w:hint="default" w:ascii="Times New Roman" w:hAnsi="Times New Roman" w:cs="Times New Roman" w:eastAsiaTheme="minorEastAsia"/>
                      <w:color w:val="auto"/>
                      <w:sz w:val="21"/>
                      <w:szCs w:val="21"/>
                    </w:rPr>
                    <w:t>排气筒</w:t>
                  </w:r>
                  <w:r>
                    <w:rPr>
                      <w:rFonts w:hint="default"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b w:val="0"/>
                      <w:bCs w:val="0"/>
                      <w:color w:val="auto"/>
                      <w:sz w:val="21"/>
                      <w:szCs w:val="21"/>
                      <w:highlight w:val="none"/>
                    </w:rPr>
                    <w:t>DA00</w:t>
                  </w:r>
                  <w:r>
                    <w:rPr>
                      <w:rFonts w:hint="default" w:ascii="Times New Roman" w:hAnsi="Times New Roman" w:cs="Times New Roman" w:eastAsiaTheme="minorEastAsia"/>
                      <w:b w:val="0"/>
                      <w:bCs w:val="0"/>
                      <w:color w:val="auto"/>
                      <w:sz w:val="21"/>
                      <w:szCs w:val="21"/>
                      <w:highlight w:val="none"/>
                      <w:lang w:val="en-US" w:eastAsia="zh-CN"/>
                    </w:rPr>
                    <w:t>1</w:t>
                  </w:r>
                  <w:r>
                    <w:rPr>
                      <w:rFonts w:hint="default" w:ascii="Times New Roman" w:hAnsi="Times New Roman" w:cs="Times New Roman" w:eastAsiaTheme="minorEastAsia"/>
                      <w:color w:val="auto"/>
                      <w:sz w:val="21"/>
                      <w:szCs w:val="21"/>
                      <w:lang w:eastAsia="zh-CN"/>
                    </w:rPr>
                    <w:t>）</w:t>
                  </w:r>
                </w:p>
              </w:tc>
              <w:tc>
                <w:tcPr>
                  <w:tcW w:w="359" w:type="pct"/>
                  <w:vMerge w:val="restart"/>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15</w:t>
                  </w:r>
                </w:p>
              </w:tc>
              <w:tc>
                <w:tcPr>
                  <w:tcW w:w="375" w:type="pct"/>
                  <w:vMerge w:val="restart"/>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0.5</w:t>
                  </w:r>
                </w:p>
              </w:tc>
              <w:tc>
                <w:tcPr>
                  <w:tcW w:w="444" w:type="pct"/>
                  <w:vMerge w:val="restart"/>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70</w:t>
                  </w:r>
                </w:p>
              </w:tc>
              <w:tc>
                <w:tcPr>
                  <w:tcW w:w="495"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r>
                    <w:rPr>
                      <w:rFonts w:hint="eastAsia"/>
                      <w:color w:val="auto"/>
                      <w:szCs w:val="21"/>
                      <w:lang w:val="en-US" w:eastAsia="zh-CN"/>
                    </w:rPr>
                    <w:t>主要</w:t>
                  </w:r>
                  <w:r>
                    <w:rPr>
                      <w:rFonts w:hint="eastAsia"/>
                      <w:color w:val="auto"/>
                      <w:szCs w:val="21"/>
                      <w:lang w:eastAsia="zh-CN"/>
                    </w:rPr>
                    <w:t>排放口</w:t>
                  </w:r>
                </w:p>
              </w:tc>
              <w:tc>
                <w:tcPr>
                  <w:tcW w:w="644" w:type="pct"/>
                  <w:vMerge w:val="restart"/>
                  <w:shd w:val="clear" w:color="auto" w:fill="auto"/>
                  <w:vAlign w:val="center"/>
                </w:tcPr>
                <w:p>
                  <w:pPr>
                    <w:pStyle w:val="14"/>
                    <w:spacing w:line="240" w:lineRule="atLeast"/>
                    <w:jc w:val="center"/>
                    <w:rPr>
                      <w:rFonts w:hint="default" w:ascii="Times New Roman" w:hAnsi="Times New Roman" w:cs="Times New Roman" w:eastAsiaTheme="minorEastAsia"/>
                      <w:color w:val="auto"/>
                      <w:sz w:val="21"/>
                      <w:szCs w:val="21"/>
                    </w:rPr>
                  </w:pPr>
                  <w:r>
                    <w:rPr>
                      <w:rFonts w:hint="eastAsia" w:ascii="Times New Roman" w:hAnsi="Times New Roman" w:eastAsia="宋体" w:cs="Times New Roman"/>
                      <w:color w:val="auto"/>
                      <w:szCs w:val="21"/>
                      <w:lang w:val="en-US" w:eastAsia="zh-CN"/>
                    </w:rPr>
                    <w:t>N118</w:t>
                  </w:r>
                  <w:r>
                    <w:rPr>
                      <w:rFonts w:hint="default" w:ascii="Times New Roman" w:hAnsi="Times New Roman" w:eastAsia="宋体" w:cs="Times New Roman"/>
                      <w:color w:val="auto"/>
                      <w:szCs w:val="21"/>
                      <w:lang w:val="en-US" w:eastAsia="zh-CN"/>
                    </w:rPr>
                    <w:t>°</w:t>
                  </w:r>
                  <w:r>
                    <w:rPr>
                      <w:rFonts w:hint="eastAsia" w:ascii="Times New Roman" w:hAnsi="Times New Roman" w:eastAsia="宋体" w:cs="Times New Roman"/>
                      <w:color w:val="auto"/>
                      <w:szCs w:val="21"/>
                      <w:lang w:val="en-US" w:eastAsia="zh-CN"/>
                    </w:rPr>
                    <w:t>1</w:t>
                  </w:r>
                  <w:r>
                    <w:rPr>
                      <w:rFonts w:hint="eastAsia" w:ascii="Times New Roman" w:hAnsi="Times New Roman" w:cs="Times New Roman"/>
                      <w:color w:val="auto"/>
                      <w:szCs w:val="21"/>
                      <w:lang w:val="en-US" w:eastAsia="zh-CN"/>
                    </w:rPr>
                    <w:t>0</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37.787</w:t>
                  </w:r>
                  <w:r>
                    <w:rPr>
                      <w:rFonts w:hint="eastAsia" w:ascii="Times New Roman" w:hAnsi="Times New Roman" w:eastAsia="宋体" w:cs="Times New Roman"/>
                      <w:color w:val="auto"/>
                      <w:szCs w:val="21"/>
                      <w:lang w:val="en-US" w:eastAsia="zh-CN"/>
                    </w:rPr>
                    <w:t>；E36</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37</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8.878</w:t>
                  </w:r>
                  <w:r>
                    <w:rPr>
                      <w:rFonts w:hint="default" w:ascii="Times New Roman" w:hAnsi="Times New Roman" w:eastAsia="宋体" w:cs="Times New Roman"/>
                      <w:color w:val="auto"/>
                      <w:szCs w:val="21"/>
                      <w:lang w:val="en-US" w:eastAsia="zh-CN"/>
                    </w:rPr>
                    <w:t>″</w:t>
                  </w:r>
                </w:p>
              </w:tc>
              <w:tc>
                <w:tcPr>
                  <w:tcW w:w="1442"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VOCs</w:t>
                  </w:r>
                </w:p>
              </w:tc>
              <w:tc>
                <w:tcPr>
                  <w:tcW w:w="622" w:type="pct"/>
                  <w:shd w:val="clear" w:color="auto" w:fill="auto"/>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在线监测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 w:type="pct"/>
                  <w:vMerge w:val="continue"/>
                  <w:shd w:val="clear" w:color="auto" w:fill="auto"/>
                  <w:vAlign w:val="center"/>
                </w:tcPr>
                <w:p>
                  <w:pPr>
                    <w:spacing w:line="240" w:lineRule="auto"/>
                    <w:jc w:val="center"/>
                    <w:rPr>
                      <w:rFonts w:hint="default" w:ascii="Times New Roman" w:hAnsi="Times New Roman" w:cs="Times New Roman" w:eastAsiaTheme="minorEastAsia"/>
                      <w:i/>
                      <w:iCs/>
                      <w:color w:val="auto"/>
                      <w:sz w:val="21"/>
                      <w:szCs w:val="21"/>
                    </w:rPr>
                  </w:pPr>
                </w:p>
              </w:tc>
              <w:tc>
                <w:tcPr>
                  <w:tcW w:w="359" w:type="pct"/>
                  <w:vMerge w:val="continue"/>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p>
              </w:tc>
              <w:tc>
                <w:tcPr>
                  <w:tcW w:w="375" w:type="pct"/>
                  <w:vMerge w:val="continue"/>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p>
              </w:tc>
              <w:tc>
                <w:tcPr>
                  <w:tcW w:w="444" w:type="pct"/>
                  <w:vMerge w:val="continue"/>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p>
              </w:tc>
              <w:tc>
                <w:tcPr>
                  <w:tcW w:w="495" w:type="pct"/>
                  <w:vMerge w:val="continue"/>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p>
              </w:tc>
              <w:tc>
                <w:tcPr>
                  <w:tcW w:w="644" w:type="pct"/>
                  <w:vMerge w:val="continue"/>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p>
              </w:tc>
              <w:tc>
                <w:tcPr>
                  <w:tcW w:w="1442"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eastAsia" w:ascii="Times New Roman" w:hAnsi="Times New Roman" w:cs="Times New Roman"/>
                      <w:color w:val="auto"/>
                      <w:szCs w:val="21"/>
                      <w:lang w:val="en-US" w:eastAsia="zh-CN"/>
                    </w:rPr>
                    <w:t>沥青烟、颗粒物、二氧化硫、氮氧化物</w:t>
                  </w:r>
                </w:p>
              </w:tc>
              <w:tc>
                <w:tcPr>
                  <w:tcW w:w="622"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半年一次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 w:type="pct"/>
                  <w:shd w:val="clear" w:color="auto" w:fill="auto"/>
                  <w:vAlign w:val="center"/>
                </w:tcPr>
                <w:p>
                  <w:pPr>
                    <w:spacing w:line="240" w:lineRule="auto"/>
                    <w:jc w:val="center"/>
                    <w:rPr>
                      <w:rFonts w:hint="default" w:ascii="Times New Roman" w:hAnsi="Times New Roman" w:cs="Times New Roman" w:eastAsiaTheme="minorEastAsia"/>
                      <w:i/>
                      <w:iCs/>
                      <w:color w:val="auto"/>
                      <w:sz w:val="21"/>
                      <w:szCs w:val="21"/>
                    </w:rPr>
                  </w:pPr>
                  <w:r>
                    <w:rPr>
                      <w:rFonts w:hint="default" w:ascii="Times New Roman" w:hAnsi="Times New Roman" w:cs="Times New Roman" w:eastAsiaTheme="minorEastAsia"/>
                      <w:color w:val="auto"/>
                      <w:sz w:val="21"/>
                      <w:szCs w:val="21"/>
                      <w:lang w:val="en-US" w:eastAsia="zh-CN"/>
                    </w:rPr>
                    <w:t>导热油锅炉</w:t>
                  </w:r>
                  <w:r>
                    <w:rPr>
                      <w:rFonts w:hint="default" w:ascii="Times New Roman" w:hAnsi="Times New Roman" w:cs="Times New Roman" w:eastAsiaTheme="minorEastAsia"/>
                      <w:color w:val="auto"/>
                      <w:sz w:val="21"/>
                      <w:szCs w:val="21"/>
                    </w:rPr>
                    <w:t>排气筒</w:t>
                  </w:r>
                  <w:r>
                    <w:rPr>
                      <w:rFonts w:hint="default"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b w:val="0"/>
                      <w:bCs w:val="0"/>
                      <w:color w:val="auto"/>
                      <w:sz w:val="21"/>
                      <w:szCs w:val="21"/>
                      <w:highlight w:val="none"/>
                    </w:rPr>
                    <w:t>DA00</w:t>
                  </w:r>
                  <w:r>
                    <w:rPr>
                      <w:rFonts w:hint="default" w:ascii="Times New Roman" w:hAnsi="Times New Roman" w:cs="Times New Roman" w:eastAsiaTheme="minorEastAsia"/>
                      <w:b w:val="0"/>
                      <w:bCs w:val="0"/>
                      <w:color w:val="auto"/>
                      <w:sz w:val="21"/>
                      <w:szCs w:val="21"/>
                      <w:highlight w:val="none"/>
                      <w:lang w:val="en-US" w:eastAsia="zh-CN"/>
                    </w:rPr>
                    <w:t>2</w:t>
                  </w:r>
                  <w:r>
                    <w:rPr>
                      <w:rFonts w:hint="default" w:ascii="Times New Roman" w:hAnsi="Times New Roman" w:cs="Times New Roman" w:eastAsiaTheme="minorEastAsia"/>
                      <w:color w:val="auto"/>
                      <w:sz w:val="21"/>
                      <w:szCs w:val="21"/>
                      <w:lang w:eastAsia="zh-CN"/>
                    </w:rPr>
                    <w:t>）</w:t>
                  </w:r>
                </w:p>
              </w:tc>
              <w:tc>
                <w:tcPr>
                  <w:tcW w:w="359"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15</w:t>
                  </w:r>
                </w:p>
              </w:tc>
              <w:tc>
                <w:tcPr>
                  <w:tcW w:w="375"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0.</w:t>
                  </w:r>
                  <w:r>
                    <w:rPr>
                      <w:rFonts w:hint="eastAsia" w:cs="Times New Roman" w:eastAsiaTheme="minorEastAsia"/>
                      <w:color w:val="auto"/>
                      <w:sz w:val="21"/>
                      <w:szCs w:val="21"/>
                      <w:lang w:val="en-US" w:eastAsia="zh-CN"/>
                    </w:rPr>
                    <w:t>3</w:t>
                  </w:r>
                </w:p>
              </w:tc>
              <w:tc>
                <w:tcPr>
                  <w:tcW w:w="444"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70</w:t>
                  </w:r>
                </w:p>
              </w:tc>
              <w:tc>
                <w:tcPr>
                  <w:tcW w:w="49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r>
                    <w:rPr>
                      <w:rFonts w:hint="eastAsia"/>
                      <w:color w:val="auto"/>
                      <w:szCs w:val="21"/>
                      <w:lang w:eastAsia="zh-CN"/>
                    </w:rPr>
                    <w:t>一般排放口</w:t>
                  </w:r>
                </w:p>
              </w:tc>
              <w:tc>
                <w:tcPr>
                  <w:tcW w:w="644" w:type="pct"/>
                  <w:shd w:val="clear" w:color="auto" w:fill="auto"/>
                  <w:vAlign w:val="center"/>
                </w:tcPr>
                <w:p>
                  <w:pPr>
                    <w:pStyle w:val="14"/>
                    <w:spacing w:line="240" w:lineRule="atLeast"/>
                    <w:jc w:val="center"/>
                    <w:rPr>
                      <w:rFonts w:hint="default" w:ascii="Times New Roman" w:hAnsi="Times New Roman" w:cs="Times New Roman" w:eastAsiaTheme="minorEastAsia"/>
                      <w:color w:val="auto"/>
                      <w:sz w:val="21"/>
                      <w:szCs w:val="21"/>
                    </w:rPr>
                  </w:pPr>
                  <w:r>
                    <w:rPr>
                      <w:rFonts w:hint="eastAsia" w:ascii="Times New Roman" w:hAnsi="Times New Roman" w:eastAsia="宋体" w:cs="Times New Roman"/>
                      <w:color w:val="auto"/>
                      <w:szCs w:val="21"/>
                      <w:lang w:val="en-US" w:eastAsia="zh-CN"/>
                    </w:rPr>
                    <w:t>N</w:t>
                  </w:r>
                  <w:r>
                    <w:rPr>
                      <w:rFonts w:hint="default" w:ascii="Times New Roman" w:hAnsi="Times New Roman" w:eastAsia="宋体" w:cs="Times New Roman"/>
                      <w:color w:val="auto"/>
                      <w:szCs w:val="21"/>
                      <w:lang w:val="en-US" w:eastAsia="zh-CN"/>
                    </w:rPr>
                    <w:t>118°1</w:t>
                  </w:r>
                  <w:r>
                    <w:rPr>
                      <w:rFonts w:hint="eastAsia" w:ascii="Times New Roman" w:hAnsi="Times New Roman" w:cs="Times New Roman"/>
                      <w:color w:val="auto"/>
                      <w:szCs w:val="21"/>
                      <w:lang w:val="en-US" w:eastAsia="zh-CN"/>
                    </w:rPr>
                    <w:t>0</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41.379</w:t>
                  </w:r>
                  <w:r>
                    <w:rPr>
                      <w:rFonts w:hint="default" w:ascii="Times New Roman" w:hAnsi="Times New Roman" w:eastAsia="宋体" w:cs="Times New Roman"/>
                      <w:color w:val="auto"/>
                      <w:szCs w:val="21"/>
                      <w:lang w:val="en-US" w:eastAsia="zh-CN"/>
                    </w:rPr>
                    <w:t>″</w:t>
                  </w:r>
                  <w:r>
                    <w:rPr>
                      <w:rFonts w:hint="eastAsia" w:ascii="Times New Roman" w:hAnsi="Times New Roman" w:eastAsia="宋体" w:cs="Times New Roman"/>
                      <w:color w:val="auto"/>
                      <w:szCs w:val="21"/>
                      <w:lang w:val="en-US" w:eastAsia="zh-CN"/>
                    </w:rPr>
                    <w:t>；E36</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37</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13.474</w:t>
                  </w:r>
                  <w:r>
                    <w:rPr>
                      <w:rFonts w:hint="default" w:ascii="Times New Roman" w:hAnsi="Times New Roman" w:eastAsia="宋体" w:cs="Times New Roman"/>
                      <w:color w:val="auto"/>
                      <w:szCs w:val="21"/>
                      <w:lang w:val="en-US" w:eastAsia="zh-CN"/>
                    </w:rPr>
                    <w:t>″</w:t>
                  </w:r>
                </w:p>
              </w:tc>
              <w:tc>
                <w:tcPr>
                  <w:tcW w:w="1442"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eastAsia" w:ascii="Times New Roman" w:hAnsi="Times New Roman" w:cs="Times New Roman"/>
                      <w:color w:val="auto"/>
                      <w:szCs w:val="21"/>
                      <w:lang w:val="en-US" w:eastAsia="zh-CN"/>
                    </w:rPr>
                    <w:t>颗粒物、二氧化硫、氮氧化物</w:t>
                  </w:r>
                </w:p>
              </w:tc>
              <w:tc>
                <w:tcPr>
                  <w:tcW w:w="622"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半年一次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 w:type="pct"/>
                  <w:shd w:val="clear" w:color="auto" w:fill="auto"/>
                  <w:vAlign w:val="center"/>
                </w:tcPr>
                <w:p>
                  <w:pPr>
                    <w:spacing w:line="240" w:lineRule="auto"/>
                    <w:jc w:val="center"/>
                    <w:rPr>
                      <w:rFonts w:hint="default" w:ascii="Times New Roman" w:hAnsi="Times New Roman" w:cs="Times New Roman" w:eastAsiaTheme="minorEastAsia"/>
                      <w:i/>
                      <w:iCs/>
                      <w:color w:val="auto"/>
                      <w:kern w:val="2"/>
                      <w:sz w:val="21"/>
                      <w:szCs w:val="21"/>
                      <w:lang w:val="en-US" w:eastAsia="zh-CN" w:bidi="ar-SA"/>
                    </w:rPr>
                  </w:pPr>
                  <w:r>
                    <w:rPr>
                      <w:rFonts w:hint="eastAsia" w:ascii="Times New Roman" w:hAnsi="Times New Roman" w:cs="Times New Roman" w:eastAsiaTheme="minorEastAsia"/>
                      <w:color w:val="auto"/>
                      <w:sz w:val="21"/>
                      <w:szCs w:val="21"/>
                      <w:lang w:val="en-US" w:eastAsia="zh-CN"/>
                    </w:rPr>
                    <w:t>蒸汽</w:t>
                  </w:r>
                  <w:r>
                    <w:rPr>
                      <w:rFonts w:hint="default" w:ascii="Times New Roman" w:hAnsi="Times New Roman" w:cs="Times New Roman" w:eastAsiaTheme="minorEastAsia"/>
                      <w:color w:val="auto"/>
                      <w:sz w:val="21"/>
                      <w:szCs w:val="21"/>
                      <w:lang w:val="en-US" w:eastAsia="zh-CN"/>
                    </w:rPr>
                    <w:t>锅炉</w:t>
                  </w:r>
                  <w:r>
                    <w:rPr>
                      <w:rFonts w:hint="default" w:ascii="Times New Roman" w:hAnsi="Times New Roman" w:cs="Times New Roman" w:eastAsiaTheme="minorEastAsia"/>
                      <w:color w:val="auto"/>
                      <w:sz w:val="21"/>
                      <w:szCs w:val="21"/>
                    </w:rPr>
                    <w:t>排气筒</w:t>
                  </w:r>
                  <w:r>
                    <w:rPr>
                      <w:rFonts w:hint="default"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b w:val="0"/>
                      <w:bCs w:val="0"/>
                      <w:color w:val="auto"/>
                      <w:sz w:val="21"/>
                      <w:szCs w:val="21"/>
                      <w:highlight w:val="none"/>
                    </w:rPr>
                    <w:t>DA00</w:t>
                  </w:r>
                  <w:r>
                    <w:rPr>
                      <w:rFonts w:hint="eastAsia" w:ascii="Times New Roman" w:hAnsi="Times New Roman" w:cs="Times New Roman" w:eastAsiaTheme="minorEastAsia"/>
                      <w:b w:val="0"/>
                      <w:bCs w:val="0"/>
                      <w:color w:val="auto"/>
                      <w:sz w:val="21"/>
                      <w:szCs w:val="21"/>
                      <w:highlight w:val="none"/>
                      <w:lang w:val="en-US" w:eastAsia="zh-CN"/>
                    </w:rPr>
                    <w:t>3</w:t>
                  </w:r>
                  <w:r>
                    <w:rPr>
                      <w:rFonts w:hint="default" w:ascii="Times New Roman" w:hAnsi="Times New Roman" w:cs="Times New Roman" w:eastAsiaTheme="minorEastAsia"/>
                      <w:color w:val="auto"/>
                      <w:sz w:val="21"/>
                      <w:szCs w:val="21"/>
                      <w:lang w:eastAsia="zh-CN"/>
                    </w:rPr>
                    <w:t>）</w:t>
                  </w:r>
                </w:p>
              </w:tc>
              <w:tc>
                <w:tcPr>
                  <w:tcW w:w="359" w:type="pct"/>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sz w:val="21"/>
                      <w:szCs w:val="21"/>
                      <w:lang w:val="en-US" w:eastAsia="zh-CN"/>
                    </w:rPr>
                    <w:t>15</w:t>
                  </w:r>
                </w:p>
              </w:tc>
              <w:tc>
                <w:tcPr>
                  <w:tcW w:w="375" w:type="pct"/>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sz w:val="21"/>
                      <w:szCs w:val="21"/>
                      <w:lang w:val="en-US" w:eastAsia="zh-CN"/>
                    </w:rPr>
                    <w:t>0.</w:t>
                  </w:r>
                  <w:r>
                    <w:rPr>
                      <w:rFonts w:hint="eastAsia" w:cs="Times New Roman" w:eastAsiaTheme="minorEastAsia"/>
                      <w:color w:val="auto"/>
                      <w:sz w:val="21"/>
                      <w:szCs w:val="21"/>
                      <w:lang w:val="en-US" w:eastAsia="zh-CN"/>
                    </w:rPr>
                    <w:t>3</w:t>
                  </w:r>
                </w:p>
              </w:tc>
              <w:tc>
                <w:tcPr>
                  <w:tcW w:w="444" w:type="pct"/>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sz w:val="21"/>
                      <w:szCs w:val="21"/>
                      <w:lang w:val="en-US" w:eastAsia="zh-CN"/>
                    </w:rPr>
                    <w:t>70</w:t>
                  </w:r>
                </w:p>
              </w:tc>
              <w:tc>
                <w:tcPr>
                  <w:tcW w:w="49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lang w:val="en-US" w:eastAsia="zh-CN" w:bidi="ar-SA"/>
                    </w:rPr>
                  </w:pPr>
                  <w:r>
                    <w:rPr>
                      <w:rFonts w:hint="eastAsia"/>
                      <w:color w:val="auto"/>
                      <w:szCs w:val="21"/>
                      <w:lang w:eastAsia="zh-CN"/>
                    </w:rPr>
                    <w:t>一般排放口</w:t>
                  </w:r>
                </w:p>
              </w:tc>
              <w:tc>
                <w:tcPr>
                  <w:tcW w:w="1695" w:type="dxa"/>
                  <w:shd w:val="clear" w:color="auto" w:fill="auto"/>
                  <w:vAlign w:val="center"/>
                </w:tcPr>
                <w:p>
                  <w:pPr>
                    <w:pStyle w:val="14"/>
                    <w:spacing w:line="24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szCs w:val="21"/>
                      <w:lang w:val="en-US" w:eastAsia="zh-CN"/>
                    </w:rPr>
                    <w:t>N</w:t>
                  </w:r>
                  <w:r>
                    <w:rPr>
                      <w:rFonts w:hint="default" w:ascii="Times New Roman" w:hAnsi="Times New Roman" w:eastAsia="宋体" w:cs="Times New Roman"/>
                      <w:color w:val="auto"/>
                      <w:szCs w:val="21"/>
                      <w:lang w:val="en-US" w:eastAsia="zh-CN"/>
                    </w:rPr>
                    <w:t>118°1</w:t>
                  </w:r>
                  <w:r>
                    <w:rPr>
                      <w:rFonts w:hint="eastAsia" w:ascii="Times New Roman" w:hAnsi="Times New Roman" w:cs="Times New Roman"/>
                      <w:color w:val="auto"/>
                      <w:szCs w:val="21"/>
                      <w:lang w:val="en-US" w:eastAsia="zh-CN"/>
                    </w:rPr>
                    <w:t>0</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40.954</w:t>
                  </w:r>
                  <w:r>
                    <w:rPr>
                      <w:rFonts w:hint="default" w:ascii="Times New Roman" w:hAnsi="Times New Roman" w:eastAsia="宋体" w:cs="Times New Roman"/>
                      <w:color w:val="auto"/>
                      <w:szCs w:val="21"/>
                      <w:lang w:val="en-US" w:eastAsia="zh-CN"/>
                    </w:rPr>
                    <w:t>″</w:t>
                  </w:r>
                  <w:r>
                    <w:rPr>
                      <w:rFonts w:hint="eastAsia" w:ascii="Times New Roman" w:hAnsi="Times New Roman" w:eastAsia="宋体" w:cs="Times New Roman"/>
                      <w:color w:val="auto"/>
                      <w:szCs w:val="21"/>
                      <w:lang w:val="en-US" w:eastAsia="zh-CN"/>
                    </w:rPr>
                    <w:t>；E36</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37</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13.436</w:t>
                  </w:r>
                  <w:r>
                    <w:rPr>
                      <w:rFonts w:hint="default" w:ascii="Times New Roman" w:hAnsi="Times New Roman" w:eastAsia="宋体" w:cs="Times New Roman"/>
                      <w:color w:val="auto"/>
                      <w:szCs w:val="21"/>
                      <w:lang w:val="en-US" w:eastAsia="zh-CN"/>
                    </w:rPr>
                    <w:t>″</w:t>
                  </w:r>
                </w:p>
              </w:tc>
              <w:tc>
                <w:tcPr>
                  <w:tcW w:w="1442" w:type="pct"/>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颗粒物、二氧化硫、氮氧化物</w:t>
                  </w:r>
                </w:p>
              </w:tc>
              <w:tc>
                <w:tcPr>
                  <w:tcW w:w="622" w:type="pct"/>
                  <w:shd w:val="clear" w:color="auto" w:fill="auto"/>
                  <w:vAlign w:val="center"/>
                </w:tcPr>
                <w:p>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半年一次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 w:type="pct"/>
                  <w:shd w:val="clear" w:color="auto" w:fill="auto"/>
                  <w:vAlign w:val="center"/>
                </w:tcPr>
                <w:p>
                  <w:pPr>
                    <w:spacing w:line="240" w:lineRule="auto"/>
                    <w:jc w:val="center"/>
                    <w:rPr>
                      <w:rFonts w:hint="eastAsia" w:ascii="Times New Roman" w:hAnsi="Times New Roman" w:cs="Times New Roman" w:eastAsiaTheme="minorEastAsia"/>
                      <w:color w:val="auto"/>
                      <w:sz w:val="21"/>
                      <w:szCs w:val="21"/>
                      <w:lang w:val="en-US" w:eastAsia="zh-CN"/>
                    </w:rPr>
                  </w:pPr>
                  <w:r>
                    <w:rPr>
                      <w:rFonts w:hint="default" w:ascii="Times New Roman" w:hAnsi="Times New Roman" w:eastAsia="宋体" w:cs="Times New Roman"/>
                      <w:color w:val="auto"/>
                      <w:szCs w:val="21"/>
                      <w:lang w:val="en-US" w:eastAsia="zh-CN"/>
                    </w:rPr>
                    <w:t>生物滤塔</w:t>
                  </w:r>
                  <w:r>
                    <w:rPr>
                      <w:rFonts w:hint="eastAsia" w:ascii="Times New Roman" w:hAnsi="Times New Roman"/>
                      <w:color w:val="auto"/>
                    </w:rPr>
                    <w:t>排气筒</w:t>
                  </w:r>
                  <w:r>
                    <w:rPr>
                      <w:rFonts w:hint="default"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b w:val="0"/>
                      <w:bCs w:val="0"/>
                      <w:color w:val="auto"/>
                      <w:sz w:val="21"/>
                      <w:szCs w:val="21"/>
                      <w:highlight w:val="none"/>
                    </w:rPr>
                    <w:t>DA00</w:t>
                  </w:r>
                  <w:r>
                    <w:rPr>
                      <w:rFonts w:hint="eastAsia" w:ascii="Times New Roman" w:hAnsi="Times New Roman" w:cs="Times New Roman" w:eastAsiaTheme="minorEastAsia"/>
                      <w:b w:val="0"/>
                      <w:bCs w:val="0"/>
                      <w:color w:val="auto"/>
                      <w:sz w:val="21"/>
                      <w:szCs w:val="21"/>
                      <w:highlight w:val="none"/>
                      <w:lang w:val="en-US" w:eastAsia="zh-CN"/>
                    </w:rPr>
                    <w:t>4</w:t>
                  </w:r>
                  <w:r>
                    <w:rPr>
                      <w:rFonts w:hint="default" w:ascii="Times New Roman" w:hAnsi="Times New Roman" w:cs="Times New Roman" w:eastAsiaTheme="minorEastAsia"/>
                      <w:color w:val="auto"/>
                      <w:sz w:val="21"/>
                      <w:szCs w:val="21"/>
                      <w:lang w:eastAsia="zh-CN"/>
                    </w:rPr>
                    <w:t>）</w:t>
                  </w:r>
                </w:p>
              </w:tc>
              <w:tc>
                <w:tcPr>
                  <w:tcW w:w="359"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15</w:t>
                  </w:r>
                </w:p>
              </w:tc>
              <w:tc>
                <w:tcPr>
                  <w:tcW w:w="375" w:type="pct"/>
                  <w:shd w:val="clear" w:color="auto" w:fill="auto"/>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0.2</w:t>
                  </w:r>
                </w:p>
              </w:tc>
              <w:tc>
                <w:tcPr>
                  <w:tcW w:w="444" w:type="pct"/>
                  <w:shd w:val="clear" w:color="auto" w:fill="auto"/>
                  <w:vAlign w:val="center"/>
                </w:tcPr>
                <w:p>
                  <w:pPr>
                    <w:pStyle w:val="14"/>
                    <w:spacing w:line="240" w:lineRule="atLeas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20</w:t>
                  </w:r>
                </w:p>
              </w:tc>
              <w:tc>
                <w:tcPr>
                  <w:tcW w:w="49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auto"/>
                      <w:szCs w:val="21"/>
                      <w:lang w:eastAsia="zh-CN"/>
                    </w:rPr>
                  </w:pPr>
                  <w:r>
                    <w:rPr>
                      <w:rFonts w:hint="eastAsia"/>
                      <w:color w:val="auto"/>
                      <w:szCs w:val="21"/>
                      <w:lang w:eastAsia="zh-CN"/>
                    </w:rPr>
                    <w:t>一般排放口</w:t>
                  </w:r>
                </w:p>
              </w:tc>
              <w:tc>
                <w:tcPr>
                  <w:tcW w:w="1695" w:type="dxa"/>
                  <w:shd w:val="clear" w:color="auto" w:fill="auto"/>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N</w:t>
                  </w:r>
                  <w:r>
                    <w:rPr>
                      <w:rFonts w:hint="default" w:ascii="Times New Roman" w:hAnsi="Times New Roman" w:eastAsia="宋体" w:cs="Times New Roman"/>
                      <w:color w:val="auto"/>
                      <w:szCs w:val="21"/>
                      <w:lang w:val="en-US" w:eastAsia="zh-CN"/>
                    </w:rPr>
                    <w:t>118°1</w:t>
                  </w:r>
                  <w:r>
                    <w:rPr>
                      <w:rFonts w:hint="eastAsia" w:ascii="Times New Roman" w:hAnsi="Times New Roman" w:cs="Times New Roman"/>
                      <w:color w:val="auto"/>
                      <w:szCs w:val="21"/>
                      <w:lang w:val="en-US" w:eastAsia="zh-CN"/>
                    </w:rPr>
                    <w:t>0</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43.174</w:t>
                  </w:r>
                  <w:r>
                    <w:rPr>
                      <w:rFonts w:hint="default" w:ascii="Times New Roman" w:hAnsi="Times New Roman" w:eastAsia="宋体" w:cs="Times New Roman"/>
                      <w:color w:val="auto"/>
                      <w:szCs w:val="21"/>
                      <w:lang w:val="en-US" w:eastAsia="zh-CN"/>
                    </w:rPr>
                    <w:t>″</w:t>
                  </w:r>
                  <w:r>
                    <w:rPr>
                      <w:rFonts w:hint="eastAsia" w:ascii="Times New Roman" w:hAnsi="Times New Roman" w:eastAsia="宋体" w:cs="Times New Roman"/>
                      <w:color w:val="auto"/>
                      <w:szCs w:val="21"/>
                      <w:lang w:val="en-US" w:eastAsia="zh-CN"/>
                    </w:rPr>
                    <w:t>；E36</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37</w:t>
                  </w:r>
                  <w:r>
                    <w:rPr>
                      <w:rFonts w:hint="default" w:ascii="Times New Roman" w:hAnsi="Times New Roman" w:eastAsia="宋体" w:cs="Times New Roman"/>
                      <w:color w:val="auto"/>
                      <w:szCs w:val="21"/>
                      <w:lang w:val="en-US" w:eastAsia="zh-CN"/>
                    </w:rPr>
                    <w:t>′</w:t>
                  </w:r>
                  <w:r>
                    <w:rPr>
                      <w:rFonts w:hint="eastAsia" w:ascii="Times New Roman" w:hAnsi="Times New Roman" w:cs="Times New Roman"/>
                      <w:color w:val="auto"/>
                      <w:szCs w:val="21"/>
                      <w:lang w:val="en-US" w:eastAsia="zh-CN"/>
                    </w:rPr>
                    <w:t>12.586</w:t>
                  </w:r>
                  <w:r>
                    <w:rPr>
                      <w:rFonts w:hint="default" w:ascii="Times New Roman" w:hAnsi="Times New Roman" w:eastAsia="宋体" w:cs="Times New Roman"/>
                      <w:color w:val="auto"/>
                      <w:szCs w:val="21"/>
                      <w:lang w:val="en-US" w:eastAsia="zh-CN"/>
                    </w:rPr>
                    <w:t>″</w:t>
                  </w:r>
                </w:p>
              </w:tc>
              <w:tc>
                <w:tcPr>
                  <w:tcW w:w="1442" w:type="pct"/>
                  <w:shd w:val="clear" w:color="auto" w:fill="auto"/>
                  <w:vAlign w:val="center"/>
                </w:tcPr>
                <w:p>
                  <w:pPr>
                    <w:spacing w:line="240" w:lineRule="auto"/>
                    <w:jc w:val="center"/>
                    <w:rPr>
                      <w:rFonts w:hint="eastAsia" w:ascii="Times New Roman" w:hAnsi="Times New Roman" w:cs="Times New Roman"/>
                      <w:color w:val="auto"/>
                      <w:szCs w:val="21"/>
                      <w:lang w:val="en-US" w:eastAsia="zh-CN"/>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eastAsia" w:ascii="Times New Roman" w:hAnsi="Times New Roman" w:cs="Times New Roman"/>
                      <w:color w:val="auto"/>
                      <w:szCs w:val="21"/>
                      <w:lang w:val="en-US" w:eastAsia="zh-CN"/>
                    </w:rPr>
                    <w:t>、</w:t>
                  </w: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r>
                    <w:rPr>
                      <w:rFonts w:hint="eastAsia" w:ascii="Times New Roman" w:hAnsi="Times New Roman" w:cs="Times New Roman"/>
                      <w:color w:val="auto"/>
                      <w:sz w:val="21"/>
                      <w:szCs w:val="21"/>
                      <w:highlight w:val="none"/>
                      <w:lang w:eastAsia="zh-CN"/>
                    </w:rPr>
                    <w:t>、臭气浓度</w:t>
                  </w:r>
                </w:p>
              </w:tc>
              <w:tc>
                <w:tcPr>
                  <w:tcW w:w="622"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半年一次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34" w:type="pct"/>
                  <w:gridSpan w:val="6"/>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厂界</w:t>
                  </w:r>
                </w:p>
              </w:tc>
              <w:tc>
                <w:tcPr>
                  <w:tcW w:w="1442"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bookmarkStart w:id="8" w:name="_Toc2022210"/>
                  <w:bookmarkStart w:id="9" w:name="_Toc536394460"/>
                  <w:r>
                    <w:rPr>
                      <w:rFonts w:hint="default" w:ascii="Times New Roman" w:hAnsi="Times New Roman" w:cs="Times New Roman" w:eastAsiaTheme="minorEastAsia"/>
                      <w:color w:val="auto"/>
                      <w:sz w:val="21"/>
                      <w:szCs w:val="21"/>
                    </w:rPr>
                    <w:t>VOCs</w:t>
                  </w:r>
                  <w:bookmarkEnd w:id="8"/>
                  <w:bookmarkEnd w:id="9"/>
                </w:p>
              </w:tc>
              <w:tc>
                <w:tcPr>
                  <w:tcW w:w="622"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eastAsia" w:cs="Times New Roman" w:eastAsiaTheme="minorEastAsia"/>
                      <w:color w:val="auto"/>
                      <w:sz w:val="21"/>
                      <w:szCs w:val="21"/>
                      <w:lang w:val="en-US" w:eastAsia="zh-CN"/>
                    </w:rPr>
                    <w:t>每</w:t>
                  </w:r>
                  <w:r>
                    <w:rPr>
                      <w:rFonts w:hint="default" w:ascii="Times New Roman" w:hAnsi="Times New Roman" w:cs="Times New Roman" w:eastAsiaTheme="minorEastAsia"/>
                      <w:color w:val="auto"/>
                      <w:sz w:val="21"/>
                      <w:szCs w:val="21"/>
                    </w:rPr>
                    <w:t>年一次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34" w:type="pct"/>
                  <w:gridSpan w:val="6"/>
                  <w:vAlign w:val="center"/>
                </w:tcPr>
                <w:p>
                  <w:pPr>
                    <w:spacing w:line="240" w:lineRule="auto"/>
                    <w:jc w:val="center"/>
                    <w:rPr>
                      <w:rFonts w:hint="default" w:ascii="Times New Roman" w:hAnsi="Times New Roman" w:cs="Times New Roman" w:eastAsiaTheme="minorEastAsia"/>
                      <w:color w:val="auto"/>
                      <w:sz w:val="21"/>
                      <w:szCs w:val="21"/>
                    </w:rPr>
                  </w:pPr>
                  <w:r>
                    <w:rPr>
                      <w:rStyle w:val="90"/>
                      <w:rFonts w:hint="default" w:ascii="Times New Roman" w:hAnsi="Times New Roman" w:cs="Times New Roman" w:eastAsiaTheme="minorEastAsia"/>
                      <w:color w:val="auto"/>
                      <w:sz w:val="21"/>
                      <w:szCs w:val="21"/>
                    </w:rPr>
                    <w:t>泵、压缩机、阀门、开口阀或开口管线、气体</w:t>
                  </w:r>
                  <w:r>
                    <w:rPr>
                      <w:rStyle w:val="94"/>
                      <w:rFonts w:hint="default" w:ascii="Times New Roman" w:hAnsi="Times New Roman" w:cs="Times New Roman" w:eastAsiaTheme="minorEastAsia"/>
                      <w:color w:val="auto"/>
                      <w:sz w:val="21"/>
                      <w:szCs w:val="21"/>
                    </w:rPr>
                    <w:t>/</w:t>
                  </w:r>
                  <w:r>
                    <w:rPr>
                      <w:rStyle w:val="90"/>
                      <w:rFonts w:hint="default" w:ascii="Times New Roman" w:hAnsi="Times New Roman" w:cs="Times New Roman" w:eastAsiaTheme="minorEastAsia"/>
                      <w:color w:val="auto"/>
                      <w:sz w:val="21"/>
                      <w:szCs w:val="21"/>
                    </w:rPr>
                    <w:t>蒸气泄压设备、取样连接系统</w:t>
                  </w:r>
                </w:p>
              </w:tc>
              <w:tc>
                <w:tcPr>
                  <w:tcW w:w="1442" w:type="pct"/>
                  <w:shd w:val="clear" w:color="auto" w:fill="auto"/>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VOCs</w:t>
                  </w:r>
                </w:p>
              </w:tc>
              <w:tc>
                <w:tcPr>
                  <w:tcW w:w="622"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半年一次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34" w:type="pct"/>
                  <w:gridSpan w:val="6"/>
                  <w:vAlign w:val="center"/>
                </w:tcPr>
                <w:p>
                  <w:pPr>
                    <w:spacing w:line="240" w:lineRule="auto"/>
                    <w:jc w:val="center"/>
                    <w:rPr>
                      <w:rFonts w:hint="default" w:ascii="Times New Roman" w:hAnsi="Times New Roman" w:cs="Times New Roman" w:eastAsiaTheme="minorEastAsia"/>
                      <w:color w:val="auto"/>
                      <w:sz w:val="21"/>
                      <w:szCs w:val="21"/>
                    </w:rPr>
                  </w:pPr>
                  <w:r>
                    <w:rPr>
                      <w:rStyle w:val="90"/>
                      <w:rFonts w:hint="default" w:ascii="Times New Roman" w:hAnsi="Times New Roman" w:cs="Times New Roman" w:eastAsiaTheme="minorEastAsia"/>
                      <w:color w:val="auto"/>
                      <w:sz w:val="21"/>
                      <w:szCs w:val="21"/>
                    </w:rPr>
                    <w:t>法兰及其他连接件、其他密封设备</w:t>
                  </w:r>
                </w:p>
              </w:tc>
              <w:tc>
                <w:tcPr>
                  <w:tcW w:w="1442" w:type="pct"/>
                  <w:shd w:val="clear" w:color="auto" w:fill="auto"/>
                </w:tcPr>
                <w:p>
                  <w:pPr>
                    <w:spacing w:line="24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VOCs</w:t>
                  </w:r>
                </w:p>
              </w:tc>
              <w:tc>
                <w:tcPr>
                  <w:tcW w:w="622" w:type="pct"/>
                  <w:shd w:val="clear" w:color="auto" w:fill="auto"/>
                  <w:vAlign w:val="center"/>
                </w:tcPr>
                <w:p>
                  <w:pPr>
                    <w:spacing w:line="240" w:lineRule="auto"/>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每</w:t>
                  </w:r>
                  <w:r>
                    <w:rPr>
                      <w:rFonts w:hint="default" w:ascii="Times New Roman" w:hAnsi="Times New Roman" w:cs="Times New Roman" w:eastAsiaTheme="minorEastAsia"/>
                      <w:color w:val="auto"/>
                      <w:sz w:val="21"/>
                      <w:szCs w:val="21"/>
                    </w:rPr>
                    <w:t>年</w:t>
                  </w:r>
                  <w:r>
                    <w:rPr>
                      <w:rFonts w:hint="eastAsia" w:ascii="Times New Roman" w:hAnsi="Times New Roman" w:cs="Times New Roman" w:eastAsiaTheme="minorEastAsia"/>
                      <w:color w:val="auto"/>
                      <w:sz w:val="21"/>
                      <w:szCs w:val="21"/>
                      <w:lang w:val="en-US" w:eastAsia="zh-CN"/>
                    </w:rPr>
                    <w:t>一</w:t>
                  </w:r>
                  <w:r>
                    <w:rPr>
                      <w:rFonts w:hint="default" w:ascii="Times New Roman" w:hAnsi="Times New Roman" w:cs="Times New Roman" w:eastAsiaTheme="minorEastAsia"/>
                      <w:color w:val="auto"/>
                      <w:sz w:val="21"/>
                      <w:szCs w:val="21"/>
                    </w:rPr>
                    <w:t>次</w:t>
                  </w:r>
                </w:p>
              </w:tc>
            </w:tr>
          </w:tbl>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4、</w:t>
            </w:r>
            <w:r>
              <w:rPr>
                <w:rFonts w:hint="default" w:ascii="Times New Roman" w:hAnsi="Times New Roman" w:eastAsia="黑体" w:cs="Times New Roman"/>
                <w:b w:val="0"/>
                <w:bCs w:val="0"/>
                <w:color w:val="auto"/>
                <w:sz w:val="24"/>
                <w:szCs w:val="24"/>
                <w:highlight w:val="none"/>
                <w:lang w:val="en-US" w:eastAsia="zh-CN"/>
              </w:rPr>
              <w:t>非正常工况分析</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b w:val="0"/>
                <w:bCs w:val="0"/>
                <w:color w:val="auto"/>
                <w:sz w:val="24"/>
                <w:szCs w:val="24"/>
              </w:rPr>
            </w:pPr>
            <w:r>
              <w:rPr>
                <w:rFonts w:hint="eastAsia" w:cs="Times New Roman"/>
                <w:b w:val="0"/>
                <w:bCs w:val="0"/>
                <w:color w:val="auto"/>
                <w:sz w:val="24"/>
                <w:szCs w:val="24"/>
                <w:lang w:eastAsia="zh-CN"/>
              </w:rPr>
              <w:t>（</w:t>
            </w:r>
            <w:r>
              <w:rPr>
                <w:rFonts w:hint="eastAsia" w:cs="Times New Roman"/>
                <w:b w:val="0"/>
                <w:bCs w:val="0"/>
                <w:color w:val="auto"/>
                <w:sz w:val="24"/>
                <w:szCs w:val="24"/>
                <w:lang w:val="en-US" w:eastAsia="zh-CN"/>
              </w:rPr>
              <w:t>1</w:t>
            </w:r>
            <w:r>
              <w:rPr>
                <w:rFonts w:hint="eastAsia" w:cs="Times New Roman"/>
                <w:b w:val="0"/>
                <w:bCs w:val="0"/>
                <w:color w:val="auto"/>
                <w:sz w:val="24"/>
                <w:szCs w:val="24"/>
                <w:lang w:eastAsia="zh-CN"/>
              </w:rPr>
              <w:t>）</w:t>
            </w:r>
            <w:r>
              <w:rPr>
                <w:rFonts w:hint="default" w:ascii="Times New Roman" w:hAnsi="Times New Roman" w:cs="Times New Roman"/>
                <w:b w:val="0"/>
                <w:bCs w:val="0"/>
                <w:color w:val="auto"/>
                <w:sz w:val="24"/>
                <w:szCs w:val="24"/>
              </w:rPr>
              <w:t>非正常工况污染物产排分析</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b w:val="0"/>
                <w:bCs w:val="0"/>
                <w:color w:val="auto"/>
                <w:sz w:val="24"/>
                <w:szCs w:val="24"/>
              </w:rPr>
            </w:pPr>
            <w:r>
              <w:rPr>
                <w:b w:val="0"/>
                <w:bCs w:val="0"/>
                <w:color w:val="auto"/>
                <w:kern w:val="24"/>
                <w:sz w:val="24"/>
                <w:szCs w:val="24"/>
                <w:highlight w:val="none"/>
              </w:rPr>
              <w:t>本项目非正常工况主要是污染物排放控制措施达不到应有效率，即</w:t>
            </w:r>
            <w:r>
              <w:rPr>
                <w:rFonts w:hint="eastAsia"/>
                <w:b w:val="0"/>
                <w:bCs w:val="0"/>
                <w:color w:val="auto"/>
                <w:kern w:val="24"/>
                <w:sz w:val="24"/>
                <w:szCs w:val="24"/>
                <w:highlight w:val="none"/>
                <w:lang w:val="en-US" w:eastAsia="zh-CN"/>
              </w:rPr>
              <w:t>油气回收装置或RTO废气处理装置异常</w:t>
            </w:r>
            <w:r>
              <w:rPr>
                <w:b w:val="0"/>
                <w:bCs w:val="0"/>
                <w:color w:val="auto"/>
                <w:kern w:val="24"/>
                <w:sz w:val="24"/>
                <w:szCs w:val="24"/>
                <w:highlight w:val="none"/>
              </w:rPr>
              <w:t>，造成</w:t>
            </w:r>
            <w:r>
              <w:rPr>
                <w:rFonts w:hint="eastAsia"/>
                <w:b w:val="0"/>
                <w:bCs w:val="0"/>
                <w:color w:val="auto"/>
                <w:kern w:val="24"/>
                <w:sz w:val="24"/>
                <w:szCs w:val="24"/>
                <w:highlight w:val="none"/>
                <w:lang w:val="en-US" w:eastAsia="zh-CN"/>
              </w:rPr>
              <w:t>VOCs的排放量增加，</w:t>
            </w:r>
            <w:r>
              <w:rPr>
                <w:b w:val="0"/>
                <w:bCs w:val="0"/>
                <w:color w:val="auto"/>
                <w:kern w:val="24"/>
                <w:sz w:val="24"/>
                <w:szCs w:val="24"/>
                <w:highlight w:val="none"/>
              </w:rPr>
              <w:t>其排放情况见</w:t>
            </w:r>
            <w:r>
              <w:rPr>
                <w:rFonts w:hint="eastAsia"/>
                <w:b w:val="0"/>
                <w:bCs w:val="0"/>
                <w:color w:val="auto"/>
                <w:kern w:val="24"/>
                <w:sz w:val="24"/>
                <w:szCs w:val="24"/>
                <w:highlight w:val="none"/>
                <w:lang w:val="en-US" w:eastAsia="zh-CN"/>
              </w:rPr>
              <w:t>下</w:t>
            </w:r>
            <w:r>
              <w:rPr>
                <w:b w:val="0"/>
                <w:bCs w:val="0"/>
                <w:color w:val="auto"/>
                <w:kern w:val="24"/>
                <w:sz w:val="24"/>
                <w:szCs w:val="24"/>
                <w:highlight w:val="none"/>
              </w:rPr>
              <w:t>表所示</w:t>
            </w:r>
            <w:r>
              <w:rPr>
                <w:rFonts w:hint="default" w:ascii="Times New Roman" w:hAnsi="Times New Roman" w:cs="Times New Roman"/>
                <w:b w:val="0"/>
                <w:bCs w:val="0"/>
                <w:color w:val="auto"/>
                <w:kern w:val="0"/>
                <w:sz w:val="24"/>
                <w:szCs w:val="24"/>
                <w:lang w:val="zh-CN"/>
              </w:rPr>
              <w:t>。</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表4-</w:t>
            </w:r>
            <w:r>
              <w:rPr>
                <w:rFonts w:hint="eastAsia" w:eastAsia="黑体" w:cs="Times New Roman"/>
                <w:b w:val="0"/>
                <w:bCs w:val="0"/>
                <w:color w:val="auto"/>
                <w:kern w:val="0"/>
                <w:sz w:val="24"/>
                <w:szCs w:val="24"/>
                <w:lang w:val="en-US" w:eastAsia="zh-CN"/>
              </w:rPr>
              <w:t>5</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lang w:val="zh-CN" w:eastAsia="zh-CN"/>
              </w:rPr>
              <w:t>项目废气治理设施出现故障状况下污染物排放情况</w:t>
            </w:r>
            <w:r>
              <w:rPr>
                <w:rFonts w:hint="default" w:ascii="Times New Roman" w:hAnsi="Times New Roman" w:eastAsia="黑体" w:cs="Times New Roman"/>
                <w:b w:val="0"/>
                <w:bCs w:val="0"/>
                <w:color w:val="auto"/>
                <w:kern w:val="0"/>
                <w:sz w:val="24"/>
                <w:szCs w:val="24"/>
                <w:lang w:val="en-US" w:eastAsia="zh-CN"/>
              </w:rPr>
              <w:t>分析表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91"/>
              <w:gridCol w:w="1390"/>
              <w:gridCol w:w="1861"/>
              <w:gridCol w:w="1511"/>
              <w:gridCol w:w="1083"/>
              <w:gridCol w:w="2075"/>
              <w:gridCol w:w="1362"/>
              <w:gridCol w:w="1538"/>
              <w:gridCol w:w="7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04" w:type="pct"/>
                  <w:vMerge w:val="restart"/>
                  <w:noWrap w:val="0"/>
                  <w:vAlign w:val="center"/>
                </w:tcPr>
                <w:p>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污染源</w:t>
                  </w:r>
                </w:p>
              </w:tc>
              <w:tc>
                <w:tcPr>
                  <w:tcW w:w="528" w:type="pct"/>
                  <w:vMerge w:val="restart"/>
                  <w:noWrap w:val="0"/>
                  <w:vAlign w:val="center"/>
                </w:tcPr>
                <w:p>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污染物</w:t>
                  </w:r>
                </w:p>
              </w:tc>
              <w:tc>
                <w:tcPr>
                  <w:tcW w:w="707" w:type="pct"/>
                  <w:vMerge w:val="restart"/>
                  <w:noWrap w:val="0"/>
                  <w:vAlign w:val="center"/>
                </w:tcPr>
                <w:p>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非正常排放原因</w:t>
                  </w:r>
                </w:p>
              </w:tc>
              <w:tc>
                <w:tcPr>
                  <w:tcW w:w="2291" w:type="pct"/>
                  <w:gridSpan w:val="4"/>
                  <w:noWrap w:val="0"/>
                  <w:vAlign w:val="center"/>
                </w:tcPr>
                <w:p>
                  <w:pPr>
                    <w:jc w:val="center"/>
                    <w:rPr>
                      <w:b w:val="0"/>
                      <w:bCs w:val="0"/>
                      <w:color w:val="auto"/>
                      <w:sz w:val="21"/>
                      <w:szCs w:val="21"/>
                    </w:rPr>
                  </w:pPr>
                  <w:r>
                    <w:rPr>
                      <w:b w:val="0"/>
                      <w:bCs w:val="0"/>
                      <w:color w:val="auto"/>
                      <w:sz w:val="21"/>
                      <w:szCs w:val="21"/>
                    </w:rPr>
                    <w:t>非正常排放情况</w:t>
                  </w:r>
                </w:p>
              </w:tc>
              <w:tc>
                <w:tcPr>
                  <w:tcW w:w="584" w:type="pct"/>
                  <w:noWrap w:val="0"/>
                  <w:vAlign w:val="center"/>
                </w:tcPr>
                <w:p>
                  <w:pPr>
                    <w:jc w:val="center"/>
                    <w:rPr>
                      <w:b w:val="0"/>
                      <w:bCs w:val="0"/>
                      <w:color w:val="auto"/>
                      <w:sz w:val="21"/>
                      <w:szCs w:val="21"/>
                    </w:rPr>
                  </w:pPr>
                  <w:r>
                    <w:rPr>
                      <w:b w:val="0"/>
                      <w:bCs w:val="0"/>
                      <w:color w:val="auto"/>
                      <w:sz w:val="21"/>
                      <w:szCs w:val="21"/>
                    </w:rPr>
                    <w:t>执行标准</w:t>
                  </w:r>
                </w:p>
              </w:tc>
              <w:tc>
                <w:tcPr>
                  <w:tcW w:w="284" w:type="pct"/>
                  <w:vMerge w:val="restart"/>
                  <w:noWrap w:val="0"/>
                  <w:vAlign w:val="center"/>
                </w:tcPr>
                <w:p>
                  <w:pPr>
                    <w:jc w:val="center"/>
                    <w:rPr>
                      <w:b w:val="0"/>
                      <w:bCs w:val="0"/>
                      <w:color w:val="auto"/>
                      <w:sz w:val="21"/>
                      <w:szCs w:val="21"/>
                    </w:rPr>
                  </w:pPr>
                  <w:r>
                    <w:rPr>
                      <w:b w:val="0"/>
                      <w:bCs w:val="0"/>
                      <w:color w:val="auto"/>
                      <w:sz w:val="21"/>
                      <w:szCs w:val="21"/>
                    </w:rPr>
                    <w:t>达标分析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04" w:type="pct"/>
                  <w:vMerge w:val="continue"/>
                  <w:noWrap w:val="0"/>
                  <w:vAlign w:val="center"/>
                </w:tcPr>
                <w:p>
                  <w:pPr>
                    <w:jc w:val="center"/>
                    <w:rPr>
                      <w:rFonts w:ascii="Times New Roman" w:hAnsi="Times New Roman" w:eastAsia="宋体" w:cs="Times New Roman"/>
                      <w:b w:val="0"/>
                      <w:bCs w:val="0"/>
                      <w:color w:val="auto"/>
                      <w:sz w:val="21"/>
                      <w:szCs w:val="21"/>
                    </w:rPr>
                  </w:pPr>
                </w:p>
              </w:tc>
              <w:tc>
                <w:tcPr>
                  <w:tcW w:w="528" w:type="pct"/>
                  <w:vMerge w:val="continue"/>
                  <w:noWrap w:val="0"/>
                  <w:vAlign w:val="center"/>
                </w:tcPr>
                <w:p>
                  <w:pPr>
                    <w:jc w:val="center"/>
                    <w:rPr>
                      <w:rFonts w:ascii="Times New Roman" w:hAnsi="Times New Roman" w:eastAsia="宋体" w:cs="Times New Roman"/>
                      <w:b w:val="0"/>
                      <w:bCs w:val="0"/>
                      <w:color w:val="auto"/>
                      <w:sz w:val="21"/>
                      <w:szCs w:val="21"/>
                    </w:rPr>
                  </w:pPr>
                </w:p>
              </w:tc>
              <w:tc>
                <w:tcPr>
                  <w:tcW w:w="707" w:type="pct"/>
                  <w:vMerge w:val="continue"/>
                  <w:noWrap w:val="0"/>
                  <w:vAlign w:val="center"/>
                </w:tcPr>
                <w:p>
                  <w:pPr>
                    <w:jc w:val="center"/>
                    <w:rPr>
                      <w:rFonts w:ascii="Times New Roman" w:hAnsi="Times New Roman" w:eastAsia="宋体" w:cs="Times New Roman"/>
                      <w:b w:val="0"/>
                      <w:bCs w:val="0"/>
                      <w:color w:val="auto"/>
                      <w:sz w:val="21"/>
                      <w:szCs w:val="21"/>
                    </w:rPr>
                  </w:pPr>
                </w:p>
              </w:tc>
              <w:tc>
                <w:tcPr>
                  <w:tcW w:w="574" w:type="pct"/>
                  <w:noWrap w:val="0"/>
                  <w:vAlign w:val="center"/>
                </w:tcPr>
                <w:p>
                  <w:pPr>
                    <w:jc w:val="center"/>
                    <w:rPr>
                      <w:b w:val="0"/>
                      <w:bCs w:val="0"/>
                      <w:color w:val="auto"/>
                      <w:sz w:val="21"/>
                      <w:szCs w:val="21"/>
                    </w:rPr>
                  </w:pPr>
                  <w:r>
                    <w:rPr>
                      <w:b w:val="0"/>
                      <w:bCs w:val="0"/>
                      <w:color w:val="auto"/>
                      <w:sz w:val="21"/>
                      <w:szCs w:val="21"/>
                    </w:rPr>
                    <w:t>浓度mg/m</w:t>
                  </w:r>
                  <w:r>
                    <w:rPr>
                      <w:b w:val="0"/>
                      <w:bCs w:val="0"/>
                      <w:color w:val="auto"/>
                      <w:sz w:val="21"/>
                      <w:szCs w:val="21"/>
                      <w:vertAlign w:val="superscript"/>
                    </w:rPr>
                    <w:t>3</w:t>
                  </w:r>
                </w:p>
              </w:tc>
              <w:tc>
                <w:tcPr>
                  <w:tcW w:w="411" w:type="pct"/>
                  <w:noWrap w:val="0"/>
                  <w:vAlign w:val="center"/>
                </w:tcPr>
                <w:p>
                  <w:pPr>
                    <w:jc w:val="center"/>
                    <w:rPr>
                      <w:b w:val="0"/>
                      <w:bCs w:val="0"/>
                      <w:color w:val="auto"/>
                      <w:sz w:val="21"/>
                      <w:szCs w:val="21"/>
                    </w:rPr>
                  </w:pPr>
                  <w:r>
                    <w:rPr>
                      <w:b w:val="0"/>
                      <w:bCs w:val="0"/>
                      <w:color w:val="auto"/>
                      <w:sz w:val="21"/>
                      <w:szCs w:val="21"/>
                    </w:rPr>
                    <w:t>速率kg/h</w:t>
                  </w:r>
                </w:p>
              </w:tc>
              <w:tc>
                <w:tcPr>
                  <w:tcW w:w="788" w:type="pct"/>
                  <w:noWrap w:val="0"/>
                  <w:vAlign w:val="center"/>
                </w:tcPr>
                <w:p>
                  <w:pPr>
                    <w:jc w:val="center"/>
                    <w:rPr>
                      <w:b w:val="0"/>
                      <w:bCs w:val="0"/>
                      <w:color w:val="auto"/>
                      <w:sz w:val="21"/>
                      <w:szCs w:val="21"/>
                    </w:rPr>
                  </w:pPr>
                  <w:r>
                    <w:rPr>
                      <w:b w:val="0"/>
                      <w:bCs w:val="0"/>
                      <w:color w:val="auto"/>
                      <w:sz w:val="21"/>
                      <w:szCs w:val="21"/>
                    </w:rPr>
                    <w:t>频次及持续时间</w:t>
                  </w:r>
                </w:p>
              </w:tc>
              <w:tc>
                <w:tcPr>
                  <w:tcW w:w="517" w:type="pct"/>
                  <w:noWrap w:val="0"/>
                  <w:vAlign w:val="center"/>
                </w:tcPr>
                <w:p>
                  <w:pPr>
                    <w:jc w:val="center"/>
                    <w:rPr>
                      <w:b w:val="0"/>
                      <w:bCs w:val="0"/>
                      <w:color w:val="auto"/>
                      <w:sz w:val="21"/>
                      <w:szCs w:val="21"/>
                    </w:rPr>
                  </w:pPr>
                  <w:r>
                    <w:rPr>
                      <w:b w:val="0"/>
                      <w:bCs w:val="0"/>
                      <w:color w:val="auto"/>
                      <w:sz w:val="21"/>
                      <w:szCs w:val="21"/>
                    </w:rPr>
                    <w:t>排放量kg/a</w:t>
                  </w:r>
                </w:p>
              </w:tc>
              <w:tc>
                <w:tcPr>
                  <w:tcW w:w="584" w:type="pct"/>
                  <w:noWrap w:val="0"/>
                  <w:vAlign w:val="center"/>
                </w:tcPr>
                <w:p>
                  <w:pPr>
                    <w:jc w:val="center"/>
                    <w:rPr>
                      <w:b w:val="0"/>
                      <w:bCs w:val="0"/>
                      <w:color w:val="auto"/>
                      <w:sz w:val="21"/>
                      <w:szCs w:val="21"/>
                    </w:rPr>
                  </w:pPr>
                  <w:r>
                    <w:rPr>
                      <w:b w:val="0"/>
                      <w:bCs w:val="0"/>
                      <w:color w:val="auto"/>
                      <w:sz w:val="21"/>
                      <w:szCs w:val="21"/>
                    </w:rPr>
                    <w:t>浓度mg/m</w:t>
                  </w:r>
                  <w:r>
                    <w:rPr>
                      <w:b w:val="0"/>
                      <w:bCs w:val="0"/>
                      <w:color w:val="auto"/>
                      <w:sz w:val="21"/>
                      <w:szCs w:val="21"/>
                      <w:vertAlign w:val="superscript"/>
                    </w:rPr>
                    <w:t>3</w:t>
                  </w:r>
                </w:p>
              </w:tc>
              <w:tc>
                <w:tcPr>
                  <w:tcW w:w="284" w:type="pct"/>
                  <w:vMerge w:val="continue"/>
                  <w:noWrap w:val="0"/>
                  <w:vAlign w:val="center"/>
                </w:tcPr>
                <w:p>
                  <w:pPr>
                    <w:jc w:val="center"/>
                    <w:rPr>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04" w:type="pct"/>
                  <w:noWrap w:val="0"/>
                  <w:vAlign w:val="center"/>
                </w:tcPr>
                <w:p>
                  <w:pPr>
                    <w:pStyle w:val="14"/>
                    <w:spacing w:line="240" w:lineRule="atLeas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RTO废气处理装置</w:t>
                  </w:r>
                  <w:r>
                    <w:rPr>
                      <w:rFonts w:hint="default" w:ascii="Times New Roman" w:hAnsi="Times New Roman" w:cs="Times New Roman" w:eastAsiaTheme="minorEastAsia"/>
                      <w:color w:val="auto"/>
                      <w:sz w:val="21"/>
                      <w:szCs w:val="21"/>
                    </w:rPr>
                    <w:t>排气筒</w:t>
                  </w:r>
                  <w:r>
                    <w:rPr>
                      <w:rFonts w:hint="default"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b w:val="0"/>
                      <w:bCs w:val="0"/>
                      <w:color w:val="auto"/>
                      <w:sz w:val="21"/>
                      <w:szCs w:val="21"/>
                      <w:highlight w:val="none"/>
                    </w:rPr>
                    <w:t>DA00</w:t>
                  </w:r>
                  <w:r>
                    <w:rPr>
                      <w:rFonts w:hint="default" w:ascii="Times New Roman" w:hAnsi="Times New Roman" w:cs="Times New Roman" w:eastAsiaTheme="minorEastAsia"/>
                      <w:b w:val="0"/>
                      <w:bCs w:val="0"/>
                      <w:color w:val="auto"/>
                      <w:sz w:val="21"/>
                      <w:szCs w:val="21"/>
                      <w:highlight w:val="none"/>
                      <w:lang w:val="en-US" w:eastAsia="zh-CN"/>
                    </w:rPr>
                    <w:t>1</w:t>
                  </w:r>
                  <w:r>
                    <w:rPr>
                      <w:rFonts w:hint="default" w:ascii="Times New Roman" w:hAnsi="Times New Roman" w:cs="Times New Roman" w:eastAsiaTheme="minorEastAsia"/>
                      <w:color w:val="auto"/>
                      <w:sz w:val="21"/>
                      <w:szCs w:val="21"/>
                      <w:lang w:eastAsia="zh-CN"/>
                    </w:rPr>
                    <w:t>）</w:t>
                  </w:r>
                </w:p>
              </w:tc>
              <w:tc>
                <w:tcPr>
                  <w:tcW w:w="528" w:type="pct"/>
                  <w:noWrap w:val="0"/>
                  <w:vAlign w:val="center"/>
                </w:tcPr>
                <w:p>
                  <w:pPr>
                    <w:pStyle w:val="14"/>
                    <w:spacing w:line="240" w:lineRule="atLeast"/>
                    <w:jc w:val="center"/>
                    <w:rPr>
                      <w:rFonts w:ascii="Times New Roman" w:hAnsi="Times New Roman" w:eastAsia="宋体" w:cs="Times New Roman"/>
                      <w:b w:val="0"/>
                      <w:bCs w:val="0"/>
                      <w:color w:val="auto"/>
                      <w:sz w:val="21"/>
                      <w:szCs w:val="21"/>
                    </w:rPr>
                  </w:pPr>
                  <w:r>
                    <w:rPr>
                      <w:rFonts w:hint="default" w:ascii="Times New Roman" w:hAnsi="Times New Roman" w:cs="Times New Roman" w:eastAsiaTheme="minorEastAsia"/>
                      <w:color w:val="auto"/>
                      <w:sz w:val="21"/>
                      <w:szCs w:val="21"/>
                    </w:rPr>
                    <w:t>VOCs</w:t>
                  </w:r>
                </w:p>
              </w:tc>
              <w:tc>
                <w:tcPr>
                  <w:tcW w:w="707" w:type="pct"/>
                  <w:noWrap w:val="0"/>
                  <w:vAlign w:val="center"/>
                </w:tcPr>
                <w:p>
                  <w:pPr>
                    <w:pStyle w:val="14"/>
                    <w:spacing w:line="240" w:lineRule="atLeast"/>
                    <w:jc w:val="center"/>
                    <w:rPr>
                      <w:rFonts w:hint="default"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val="en-US" w:eastAsia="zh-CN"/>
                    </w:rPr>
                    <w:t>油气回收装置或RTO废气处理装置</w:t>
                  </w:r>
                </w:p>
              </w:tc>
              <w:tc>
                <w:tcPr>
                  <w:tcW w:w="574" w:type="pct"/>
                  <w:noWrap w:val="0"/>
                  <w:vAlign w:val="center"/>
                </w:tcPr>
                <w:p>
                  <w:pPr>
                    <w:pStyle w:val="14"/>
                    <w:spacing w:line="240" w:lineRule="atLeast"/>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3566</w:t>
                  </w:r>
                </w:p>
              </w:tc>
              <w:tc>
                <w:tcPr>
                  <w:tcW w:w="411" w:type="pct"/>
                  <w:noWrap w:val="0"/>
                  <w:vAlign w:val="center"/>
                </w:tcPr>
                <w:p>
                  <w:pPr>
                    <w:pStyle w:val="14"/>
                    <w:spacing w:line="24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35.66</w:t>
                  </w:r>
                </w:p>
              </w:tc>
              <w:tc>
                <w:tcPr>
                  <w:tcW w:w="788" w:type="pct"/>
                  <w:noWrap w:val="0"/>
                  <w:vAlign w:val="center"/>
                </w:tcPr>
                <w:p>
                  <w:pPr>
                    <w:jc w:val="center"/>
                    <w:rPr>
                      <w:b w:val="0"/>
                      <w:bCs w:val="0"/>
                      <w:color w:val="auto"/>
                      <w:sz w:val="21"/>
                      <w:szCs w:val="21"/>
                    </w:rPr>
                  </w:pPr>
                  <w:r>
                    <w:rPr>
                      <w:b w:val="0"/>
                      <w:bCs w:val="0"/>
                      <w:color w:val="auto"/>
                      <w:sz w:val="21"/>
                      <w:szCs w:val="21"/>
                    </w:rPr>
                    <w:t>2次/a</w:t>
                  </w:r>
                  <w:r>
                    <w:rPr>
                      <w:rFonts w:hint="eastAsia"/>
                      <w:b w:val="0"/>
                      <w:bCs w:val="0"/>
                      <w:color w:val="auto"/>
                      <w:sz w:val="21"/>
                      <w:szCs w:val="21"/>
                    </w:rPr>
                    <w:t>、</w:t>
                  </w:r>
                  <w:r>
                    <w:rPr>
                      <w:b w:val="0"/>
                      <w:bCs w:val="0"/>
                      <w:color w:val="auto"/>
                      <w:sz w:val="21"/>
                      <w:szCs w:val="21"/>
                    </w:rPr>
                    <w:t>0.5h/次</w:t>
                  </w:r>
                </w:p>
              </w:tc>
              <w:tc>
                <w:tcPr>
                  <w:tcW w:w="517" w:type="pct"/>
                  <w:noWrap w:val="0"/>
                  <w:vAlign w:val="center"/>
                </w:tcPr>
                <w:p>
                  <w:pPr>
                    <w:pStyle w:val="14"/>
                    <w:spacing w:line="24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35.66</w:t>
                  </w:r>
                </w:p>
              </w:tc>
              <w:tc>
                <w:tcPr>
                  <w:tcW w:w="584" w:type="pct"/>
                  <w:noWrap w:val="0"/>
                  <w:vAlign w:val="center"/>
                </w:tcPr>
                <w:p>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60</w:t>
                  </w:r>
                </w:p>
              </w:tc>
              <w:tc>
                <w:tcPr>
                  <w:tcW w:w="284" w:type="pct"/>
                  <w:noWrap w:val="0"/>
                  <w:vAlign w:val="center"/>
                </w:tcPr>
                <w:p>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超标</w:t>
                  </w:r>
                </w:p>
              </w:tc>
            </w:tr>
          </w:tbl>
          <w:p>
            <w:pPr>
              <w:pageBreakBefore/>
              <w:widowControl/>
              <w:spacing w:line="360" w:lineRule="auto"/>
              <w:ind w:firstLine="480" w:firstLineChars="200"/>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非正常工况环境影响分析及预防措施</w:t>
            </w:r>
          </w:p>
          <w:p>
            <w:pPr>
              <w:pageBreakBefore/>
              <w:widowControl/>
              <w:spacing w:line="360" w:lineRule="auto"/>
              <w:ind w:firstLine="480" w:firstLineChars="200"/>
              <w:rPr>
                <w:rFonts w:hint="eastAsia"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由上表可知，非正常</w:t>
            </w:r>
            <w:r>
              <w:rPr>
                <w:rFonts w:hint="eastAsia" w:ascii="Times New Roman" w:hAnsi="Times New Roman" w:cs="Times New Roman"/>
                <w:color w:val="auto"/>
                <w:sz w:val="24"/>
                <w:szCs w:val="24"/>
                <w:highlight w:val="none"/>
              </w:rPr>
              <w:t>工况下，</w:t>
            </w:r>
            <w:r>
              <w:rPr>
                <w:rFonts w:hint="default" w:ascii="Times New Roman" w:hAnsi="Times New Roman" w:cs="Times New Roman"/>
                <w:color w:val="auto"/>
                <w:sz w:val="24"/>
                <w:szCs w:val="24"/>
                <w:highlight w:val="none"/>
                <w:lang w:val="en-US" w:eastAsia="zh-CN"/>
              </w:rPr>
              <w:t>RTO废气处理装置</w:t>
            </w:r>
            <w:r>
              <w:rPr>
                <w:rFonts w:hint="default" w:ascii="Times New Roman" w:hAnsi="Times New Roman" w:cs="Times New Roman"/>
                <w:color w:val="auto"/>
                <w:sz w:val="24"/>
                <w:szCs w:val="24"/>
                <w:highlight w:val="none"/>
              </w:rPr>
              <w:t>排气筒</w:t>
            </w:r>
            <w:r>
              <w:rPr>
                <w:rFonts w:hint="eastAsia" w:ascii="Times New Roman" w:hAnsi="Times New Roman" w:cs="Times New Roman"/>
                <w:color w:val="auto"/>
                <w:sz w:val="24"/>
                <w:szCs w:val="24"/>
                <w:highlight w:val="none"/>
                <w:lang w:eastAsia="zh-CN"/>
              </w:rPr>
              <w:t>排放的</w:t>
            </w:r>
            <w:r>
              <w:rPr>
                <w:rFonts w:hint="eastAsia" w:ascii="Times New Roman" w:hAnsi="Times New Roman" w:cs="Times New Roman"/>
                <w:color w:val="auto"/>
                <w:sz w:val="24"/>
                <w:szCs w:val="24"/>
                <w:highlight w:val="none"/>
                <w:lang w:val="en-US" w:eastAsia="zh-CN"/>
              </w:rPr>
              <w:t>V</w:t>
            </w:r>
            <w:r>
              <w:rPr>
                <w:rFonts w:hint="eastAsia"/>
                <w:b w:val="0"/>
                <w:bCs w:val="0"/>
                <w:color w:val="auto"/>
                <w:kern w:val="24"/>
                <w:sz w:val="24"/>
                <w:szCs w:val="24"/>
                <w:highlight w:val="none"/>
                <w:lang w:val="en-US" w:eastAsia="zh-CN"/>
              </w:rPr>
              <w:t>OCs</w:t>
            </w:r>
            <w:r>
              <w:rPr>
                <w:rFonts w:hint="eastAsia" w:ascii="Times New Roman" w:hAnsi="Times New Roman" w:cs="Times New Roman"/>
                <w:color w:val="auto"/>
                <w:sz w:val="24"/>
                <w:szCs w:val="24"/>
                <w:highlight w:val="none"/>
                <w:lang w:val="en-US" w:eastAsia="zh-CN"/>
              </w:rPr>
              <w:t>的</w:t>
            </w:r>
            <w:r>
              <w:rPr>
                <w:rFonts w:ascii="Times New Roman" w:hAnsi="Times New Roman" w:cs="Times New Roman"/>
                <w:color w:val="auto"/>
                <w:sz w:val="24"/>
                <w:szCs w:val="24"/>
                <w:highlight w:val="none"/>
              </w:rPr>
              <w:t>浓度超标</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rPr>
              <w:t>项目废气治理设施出现故障等非正常工况下，污染物排放对环境影响较大。</w:t>
            </w:r>
          </w:p>
          <w:p>
            <w:pPr>
              <w:pageBreakBefore/>
              <w:widowControl/>
              <w:spacing w:line="360" w:lineRule="auto"/>
              <w:ind w:firstLine="480" w:firstLineChars="200"/>
              <w:rPr>
                <w:rFonts w:hint="eastAsia" w:ascii="Times New Roman" w:hAnsi="Times New Roman" w:eastAsia="宋体" w:cs="Times New Roman"/>
                <w:color w:val="auto"/>
                <w:sz w:val="24"/>
                <w:lang w:eastAsia="zh-CN"/>
              </w:rPr>
            </w:pPr>
            <w:r>
              <w:rPr>
                <w:rFonts w:hint="eastAsia" w:ascii="Times New Roman" w:hAnsi="Times New Roman" w:cs="Times New Roman"/>
                <w:color w:val="auto"/>
                <w:sz w:val="24"/>
                <w:szCs w:val="24"/>
                <w:highlight w:val="none"/>
              </w:rPr>
              <w:t>针对非正常工况，企业应定期对废气净化设施进行检查，确保其正常工作状态；设置专人负责，保证正常去除效率。检查、核查等工作做好记录，一旦发现问题，应立即停止生产工序，待净化设施等恢复正常工作并具有稳定废气去除效率后，开工生产，杜绝废气排放事故发生。加强企业的运行管理，设立专门人员负责厂内环保设施管理、监测等工作。</w:t>
            </w:r>
          </w:p>
        </w:tc>
      </w:tr>
    </w:tbl>
    <w:p>
      <w:pPr>
        <w:pStyle w:val="13"/>
        <w:keepNext w:val="0"/>
        <w:keepLines w:val="0"/>
        <w:pageBreakBefore w:val="0"/>
        <w:widowControl w:val="0"/>
        <w:kinsoku/>
        <w:wordWrap/>
        <w:overflowPunct/>
        <w:topLinePunct w:val="0"/>
        <w:autoSpaceDE/>
        <w:autoSpaceDN/>
        <w:bidi w:val="0"/>
        <w:adjustRightInd/>
        <w:snapToGrid/>
        <w:spacing w:line="20" w:lineRule="exact"/>
        <w:textAlignment w:val="auto"/>
        <w:rPr>
          <w:rFonts w:hint="default" w:ascii="Times New Roman" w:hAnsi="Times New Roman" w:cs="Times New Roman"/>
          <w:b/>
          <w:bCs/>
          <w:color w:val="auto"/>
          <w:kern w:val="0"/>
          <w:sz w:val="10"/>
          <w:szCs w:val="10"/>
        </w:rPr>
      </w:pPr>
    </w:p>
    <w:p>
      <w:pPr>
        <w:keepNext w:val="0"/>
        <w:keepLines w:val="0"/>
        <w:pageBreakBefore w:val="0"/>
        <w:widowControl w:val="0"/>
        <w:kinsoku/>
        <w:wordWrap/>
        <w:overflowPunct/>
        <w:topLinePunct w:val="0"/>
        <w:autoSpaceDE/>
        <w:autoSpaceDN/>
        <w:bidi w:val="0"/>
        <w:adjustRightInd/>
        <w:snapToGrid/>
        <w:spacing w:line="20" w:lineRule="exact"/>
        <w:textAlignment w:val="auto"/>
        <w:rPr>
          <w:rFonts w:hint="default"/>
          <w:color w:val="auto"/>
          <w:sz w:val="10"/>
          <w:szCs w:val="10"/>
        </w:rPr>
        <w:sectPr>
          <w:pgSz w:w="16840" w:h="11907"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6"/>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78"/>
        <w:gridCol w:w="870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6810" w:hRule="atLeast"/>
          <w:jc w:val="center"/>
        </w:trPr>
        <w:tc>
          <w:tcPr>
            <w:tcW w:w="155" w:type="pct"/>
            <w:tcMar>
              <w:left w:w="28" w:type="dxa"/>
              <w:right w:w="28" w:type="dxa"/>
            </w:tcMar>
            <w:vAlign w:val="center"/>
          </w:tcPr>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运</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营</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期</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环</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境</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影</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响</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和</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保</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护</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措</w:t>
            </w:r>
          </w:p>
          <w:p>
            <w:pPr>
              <w:adjustRightInd w:val="0"/>
              <w:snapToGrid w:val="0"/>
              <w:jc w:val="center"/>
              <w:rPr>
                <w:rFonts w:hint="default" w:ascii="Times New Roman" w:hAnsi="Times New Roman" w:cs="Times New Roman"/>
                <w:bCs/>
                <w:color w:val="auto"/>
                <w:szCs w:val="21"/>
              </w:rPr>
            </w:pPr>
            <w:r>
              <w:rPr>
                <w:rFonts w:hint="default" w:ascii="黑体" w:hAnsi="黑体" w:eastAsia="黑体" w:cs="黑体"/>
                <w:bCs/>
                <w:color w:val="auto"/>
                <w:sz w:val="24"/>
                <w:szCs w:val="24"/>
                <w:highlight w:val="none"/>
              </w:rPr>
              <w:t>施</w:t>
            </w:r>
          </w:p>
        </w:tc>
        <w:tc>
          <w:tcPr>
            <w:tcW w:w="4844" w:type="pct"/>
            <w:vAlign w:val="center"/>
          </w:tcPr>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5、</w:t>
            </w:r>
            <w:r>
              <w:rPr>
                <w:rFonts w:hint="default" w:ascii="Times New Roman" w:hAnsi="Times New Roman" w:eastAsia="黑体" w:cs="Times New Roman"/>
                <w:b w:val="0"/>
                <w:bCs w:val="0"/>
                <w:color w:val="auto"/>
                <w:sz w:val="24"/>
                <w:szCs w:val="24"/>
                <w:highlight w:val="none"/>
                <w:lang w:val="en-US" w:eastAsia="zh-CN"/>
              </w:rPr>
              <w:t>污染源强核算过程简要说明</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本项目废气排放源主要包括储罐</w:t>
            </w:r>
            <w:r>
              <w:rPr>
                <w:rFonts w:hint="eastAsia" w:cs="Times New Roman"/>
                <w:color w:val="auto"/>
                <w:sz w:val="24"/>
                <w:lang w:val="en-US" w:eastAsia="zh-CN"/>
              </w:rPr>
              <w:t>VOCs</w:t>
            </w:r>
            <w:r>
              <w:rPr>
                <w:rFonts w:hint="eastAsia" w:ascii="Times New Roman" w:hAnsi="Times New Roman" w:eastAsia="宋体" w:cs="Times New Roman"/>
                <w:color w:val="auto"/>
                <w:sz w:val="24"/>
                <w:lang w:val="en-US" w:eastAsia="zh-CN"/>
              </w:rPr>
              <w:t>废气、装卸车</w:t>
            </w:r>
            <w:r>
              <w:rPr>
                <w:rFonts w:hint="eastAsia" w:cs="Times New Roman"/>
                <w:color w:val="auto"/>
                <w:sz w:val="24"/>
                <w:lang w:val="en-US" w:eastAsia="zh-CN"/>
              </w:rPr>
              <w:t>VOCs</w:t>
            </w:r>
            <w:r>
              <w:rPr>
                <w:rFonts w:hint="eastAsia" w:ascii="Times New Roman" w:hAnsi="Times New Roman" w:eastAsia="宋体" w:cs="Times New Roman"/>
                <w:color w:val="auto"/>
                <w:sz w:val="24"/>
                <w:lang w:val="en-US" w:eastAsia="zh-CN"/>
              </w:rPr>
              <w:t>废气、</w:t>
            </w:r>
            <w:r>
              <w:rPr>
                <w:rFonts w:hint="eastAsia" w:cs="Times New Roman"/>
                <w:color w:val="auto"/>
                <w:sz w:val="24"/>
                <w:lang w:val="en-US" w:eastAsia="zh-CN"/>
              </w:rPr>
              <w:t>沥青存储及装卸车产生的沥青烟、</w:t>
            </w:r>
            <w:r>
              <w:rPr>
                <w:rFonts w:hint="eastAsia" w:ascii="Times New Roman" w:hAnsi="Times New Roman" w:eastAsia="宋体" w:cs="Times New Roman"/>
                <w:color w:val="auto"/>
                <w:sz w:val="24"/>
                <w:lang w:val="en-US" w:eastAsia="zh-CN"/>
              </w:rPr>
              <w:t>设备动静密封处泄漏</w:t>
            </w:r>
            <w:r>
              <w:rPr>
                <w:rFonts w:hint="eastAsia" w:cs="Times New Roman"/>
                <w:color w:val="auto"/>
                <w:sz w:val="24"/>
                <w:lang w:val="en-US" w:eastAsia="zh-CN"/>
              </w:rPr>
              <w:t>、RTO助燃废气、导热油锅炉天然气燃烧废气、蒸汽锅炉天然气燃烧废气、污水处理站恶臭</w:t>
            </w:r>
            <w:r>
              <w:rPr>
                <w:rFonts w:hint="eastAsia" w:ascii="Times New Roman" w:hAnsi="Times New Roman" w:eastAsia="宋体"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1）有组织废气产生及排放情况</w:t>
            </w:r>
          </w:p>
          <w:p>
            <w:pPr>
              <w:keepNext w:val="0"/>
              <w:keepLines w:val="0"/>
              <w:pageBreakBefore w:val="0"/>
              <w:widowControl w:val="0"/>
              <w:kinsoku/>
              <w:wordWrap/>
              <w:overflowPunct/>
              <w:topLinePunct w:val="0"/>
              <w:autoSpaceDE/>
              <w:autoSpaceDN/>
              <w:bidi w:val="0"/>
              <w:adjustRightInd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lang w:val="en-US" w:eastAsia="zh-CN"/>
              </w:rPr>
              <w:t>有组织废气主要包括储罐</w:t>
            </w:r>
            <w:r>
              <w:rPr>
                <w:rFonts w:hint="eastAsia" w:cs="Times New Roman"/>
                <w:color w:val="auto"/>
                <w:sz w:val="24"/>
                <w:lang w:val="en-US" w:eastAsia="zh-CN"/>
              </w:rPr>
              <w:t>VOCs</w:t>
            </w:r>
            <w:r>
              <w:rPr>
                <w:rFonts w:hint="eastAsia" w:ascii="Times New Roman" w:hAnsi="Times New Roman" w:eastAsia="宋体" w:cs="Times New Roman"/>
                <w:color w:val="auto"/>
                <w:sz w:val="24"/>
                <w:lang w:val="en-US" w:eastAsia="zh-CN"/>
              </w:rPr>
              <w:t>废气、装卸车</w:t>
            </w:r>
            <w:r>
              <w:rPr>
                <w:rFonts w:hint="eastAsia" w:cs="Times New Roman"/>
                <w:color w:val="auto"/>
                <w:sz w:val="24"/>
                <w:lang w:val="en-US" w:eastAsia="zh-CN"/>
              </w:rPr>
              <w:t>VOCs</w:t>
            </w:r>
            <w:r>
              <w:rPr>
                <w:rFonts w:hint="eastAsia" w:ascii="Times New Roman" w:hAnsi="Times New Roman" w:eastAsia="宋体" w:cs="Times New Roman"/>
                <w:color w:val="auto"/>
                <w:sz w:val="24"/>
                <w:lang w:val="en-US" w:eastAsia="zh-CN"/>
              </w:rPr>
              <w:t>废气、</w:t>
            </w:r>
            <w:r>
              <w:rPr>
                <w:rFonts w:hint="eastAsia" w:cs="Times New Roman"/>
                <w:color w:val="auto"/>
                <w:sz w:val="24"/>
                <w:lang w:val="en-US" w:eastAsia="zh-CN"/>
              </w:rPr>
              <w:t>沥青存储及装卸车产生的沥青烟、RTO助燃废气、导热油锅炉天然气燃烧废气、蒸汽锅炉天然气燃烧废气、污水处理站恶臭。其中</w:t>
            </w:r>
            <w:r>
              <w:rPr>
                <w:rFonts w:hint="eastAsia" w:ascii="Times New Roman" w:hAnsi="Times New Roman" w:eastAsia="宋体" w:cs="Times New Roman"/>
                <w:color w:val="auto"/>
                <w:sz w:val="24"/>
                <w:lang w:val="en-US" w:eastAsia="zh-CN"/>
              </w:rPr>
              <w:t>储罐</w:t>
            </w:r>
            <w:r>
              <w:rPr>
                <w:rFonts w:hint="eastAsia" w:cs="Times New Roman"/>
                <w:color w:val="auto"/>
                <w:sz w:val="24"/>
                <w:lang w:val="en-US" w:eastAsia="zh-CN"/>
              </w:rPr>
              <w:t>VOCs</w:t>
            </w:r>
            <w:r>
              <w:rPr>
                <w:rFonts w:hint="eastAsia" w:ascii="Times New Roman" w:hAnsi="Times New Roman" w:eastAsia="宋体" w:cs="Times New Roman"/>
                <w:color w:val="auto"/>
                <w:sz w:val="24"/>
                <w:lang w:val="en-US" w:eastAsia="zh-CN"/>
              </w:rPr>
              <w:t>废气、装卸车</w:t>
            </w:r>
            <w:r>
              <w:rPr>
                <w:rFonts w:hint="eastAsia" w:cs="Times New Roman"/>
                <w:color w:val="auto"/>
                <w:sz w:val="24"/>
                <w:lang w:val="en-US" w:eastAsia="zh-CN"/>
              </w:rPr>
              <w:t>VOCs</w:t>
            </w:r>
            <w:r>
              <w:rPr>
                <w:rFonts w:hint="eastAsia" w:ascii="Times New Roman" w:hAnsi="Times New Roman" w:eastAsia="宋体" w:cs="Times New Roman"/>
                <w:color w:val="auto"/>
                <w:sz w:val="24"/>
                <w:lang w:val="en-US" w:eastAsia="zh-CN"/>
              </w:rPr>
              <w:t>废气、</w:t>
            </w:r>
            <w:r>
              <w:rPr>
                <w:rFonts w:hint="eastAsia" w:cs="Times New Roman"/>
                <w:color w:val="auto"/>
                <w:sz w:val="24"/>
                <w:lang w:val="en-US" w:eastAsia="zh-CN"/>
              </w:rPr>
              <w:t>沥青存储及装卸车产生的沥青烟、RTO助燃废气均经过</w:t>
            </w:r>
            <w:r>
              <w:rPr>
                <w:rFonts w:hint="eastAsia" w:ascii="Times New Roman" w:hAnsi="Times New Roman" w:cs="Times New Roman"/>
                <w:color w:val="auto"/>
                <w:sz w:val="24"/>
                <w:lang w:val="en-US" w:eastAsia="zh-CN"/>
              </w:rPr>
              <w:t>RTO废气处理装置排气筒排放（DA001）；</w:t>
            </w:r>
            <w:r>
              <w:rPr>
                <w:rFonts w:hint="eastAsia" w:cs="Times New Roman"/>
                <w:color w:val="auto"/>
                <w:sz w:val="24"/>
                <w:lang w:val="en-US" w:eastAsia="zh-CN"/>
              </w:rPr>
              <w:t>导热油锅炉天然气燃烧废气经过锅炉排气筒</w:t>
            </w:r>
            <w:r>
              <w:rPr>
                <w:rFonts w:hint="eastAsia" w:ascii="Times New Roman" w:hAnsi="Times New Roman" w:cs="Times New Roman"/>
                <w:color w:val="auto"/>
                <w:sz w:val="24"/>
                <w:lang w:val="en-US" w:eastAsia="zh-CN"/>
              </w:rPr>
              <w:t>排放（DA002）</w:t>
            </w:r>
            <w:r>
              <w:rPr>
                <w:rFonts w:hint="eastAsia" w:cs="Times New Roman"/>
                <w:color w:val="auto"/>
                <w:sz w:val="24"/>
                <w:lang w:val="en-US" w:eastAsia="zh-CN"/>
              </w:rPr>
              <w:t>；蒸汽锅炉天然气燃烧废气经过锅炉排气筒</w:t>
            </w:r>
            <w:r>
              <w:rPr>
                <w:rFonts w:hint="eastAsia" w:ascii="Times New Roman" w:hAnsi="Times New Roman" w:cs="Times New Roman"/>
                <w:color w:val="auto"/>
                <w:sz w:val="24"/>
                <w:lang w:val="en-US" w:eastAsia="zh-CN"/>
              </w:rPr>
              <w:t>排放（DA003）</w:t>
            </w:r>
            <w:r>
              <w:rPr>
                <w:rFonts w:hint="eastAsia" w:cs="Times New Roman"/>
                <w:color w:val="auto"/>
                <w:sz w:val="24"/>
                <w:lang w:val="en-US" w:eastAsia="zh-CN"/>
              </w:rPr>
              <w:t>；污水处理站恶臭</w:t>
            </w:r>
            <w:r>
              <w:rPr>
                <w:rFonts w:hint="default" w:ascii="Times New Roman" w:hAnsi="Times New Roman" w:cs="Times New Roman"/>
                <w:color w:val="auto"/>
                <w:sz w:val="24"/>
                <w:szCs w:val="24"/>
                <w:highlight w:val="none"/>
                <w:lang w:val="en-US" w:eastAsia="zh-CN"/>
              </w:rPr>
              <w:t>经</w:t>
            </w:r>
            <w:r>
              <w:rPr>
                <w:rFonts w:hint="default" w:ascii="Times New Roman" w:hAnsi="Times New Roman" w:eastAsia="宋体" w:cs="Times New Roman"/>
                <w:color w:val="auto"/>
                <w:sz w:val="24"/>
                <w:szCs w:val="24"/>
                <w:highlight w:val="none"/>
                <w:lang w:val="en-US" w:eastAsia="zh-CN"/>
              </w:rPr>
              <w:t>生物滤塔</w:t>
            </w:r>
            <w:r>
              <w:rPr>
                <w:rFonts w:hint="eastAsia" w:cs="Times New Roman"/>
                <w:color w:val="auto"/>
                <w:sz w:val="24"/>
                <w:lang w:val="en-US" w:eastAsia="zh-CN"/>
              </w:rPr>
              <w:t>排气筒</w:t>
            </w:r>
            <w:r>
              <w:rPr>
                <w:rFonts w:hint="eastAsia" w:ascii="Times New Roman" w:hAnsi="Times New Roman" w:cs="Times New Roman"/>
                <w:color w:val="auto"/>
                <w:sz w:val="24"/>
                <w:lang w:val="en-US" w:eastAsia="zh-CN"/>
              </w:rPr>
              <w:t>排放（DA00</w:t>
            </w:r>
            <w:r>
              <w:rPr>
                <w:rFonts w:hint="eastAsia" w:cs="Times New Roman"/>
                <w:color w:val="auto"/>
                <w:sz w:val="24"/>
                <w:lang w:val="en-US" w:eastAsia="zh-CN"/>
              </w:rPr>
              <w:t>4</w:t>
            </w:r>
            <w:r>
              <w:rPr>
                <w:rFonts w:hint="eastAsia" w:ascii="Times New Roman" w:hAnsi="Times New Roman"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pacing w:line="360" w:lineRule="auto"/>
              <w:ind w:firstLine="480" w:firstLineChars="200"/>
              <w:rPr>
                <w:rFonts w:hint="eastAsia" w:cs="Times New Roman"/>
                <w:color w:val="auto"/>
                <w:sz w:val="24"/>
                <w:szCs w:val="24"/>
                <w:lang w:val="en-US" w:eastAsia="zh-CN"/>
              </w:rPr>
            </w:pPr>
            <w:r>
              <w:rPr>
                <w:rFonts w:hint="eastAsia" w:cs="Times New Roman"/>
                <w:color w:val="auto"/>
                <w:sz w:val="24"/>
                <w:szCs w:val="24"/>
                <w:lang w:val="en-US" w:eastAsia="zh-CN"/>
              </w:rPr>
              <w:t>（1）</w:t>
            </w:r>
            <w:r>
              <w:rPr>
                <w:rFonts w:hint="eastAsia" w:ascii="Times New Roman" w:hAnsi="Times New Roman" w:cs="Times New Roman"/>
                <w:color w:val="auto"/>
                <w:sz w:val="24"/>
                <w:lang w:val="en-US" w:eastAsia="zh-CN"/>
              </w:rPr>
              <w:t>RTO废气处理装置</w:t>
            </w:r>
            <w:r>
              <w:rPr>
                <w:rFonts w:hint="eastAsia" w:ascii="Times New Roman" w:hAnsi="Times New Roman" w:eastAsia="宋体" w:cs="Times New Roman"/>
                <w:color w:val="auto"/>
                <w:sz w:val="24"/>
                <w:szCs w:val="24"/>
                <w:lang w:val="en-US" w:eastAsia="zh-CN"/>
              </w:rPr>
              <w:t>废气产生及排放情况</w:t>
            </w:r>
          </w:p>
          <w:p>
            <w:pPr>
              <w:keepNext w:val="0"/>
              <w:keepLines w:val="0"/>
              <w:pageBreakBefore w:val="0"/>
              <w:widowControl w:val="0"/>
              <w:kinsoku/>
              <w:wordWrap/>
              <w:overflowPunct/>
              <w:topLinePunct w:val="0"/>
              <w:autoSpaceDE/>
              <w:autoSpaceDN/>
              <w:bidi w:val="0"/>
              <w:adjustRightInd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w:t>
            </w:r>
            <w:r>
              <w:rPr>
                <w:rFonts w:hint="eastAsia" w:ascii="Times New Roman" w:hAnsi="Times New Roman" w:eastAsia="宋体" w:cs="Times New Roman"/>
                <w:color w:val="auto"/>
                <w:sz w:val="24"/>
                <w:lang w:val="en-US" w:eastAsia="zh-CN"/>
              </w:rPr>
              <w:t>储罐</w:t>
            </w:r>
            <w:r>
              <w:rPr>
                <w:rFonts w:hint="eastAsia" w:cs="Times New Roman"/>
                <w:color w:val="auto"/>
                <w:sz w:val="24"/>
                <w:lang w:val="en-US" w:eastAsia="zh-CN"/>
              </w:rPr>
              <w:t>VOCs</w:t>
            </w:r>
            <w:r>
              <w:rPr>
                <w:rFonts w:hint="eastAsia" w:ascii="Times New Roman" w:hAnsi="Times New Roman" w:eastAsia="宋体" w:cs="Times New Roman"/>
                <w:color w:val="auto"/>
                <w:sz w:val="24"/>
                <w:lang w:val="en-US" w:eastAsia="zh-CN"/>
              </w:rPr>
              <w:t>废气产生情况</w:t>
            </w:r>
          </w:p>
          <w:p>
            <w:pPr>
              <w:keepNext w:val="0"/>
              <w:keepLines w:val="0"/>
              <w:pageBreakBefore w:val="0"/>
              <w:widowControl w:val="0"/>
              <w:kinsoku/>
              <w:wordWrap/>
              <w:overflowPunct/>
              <w:topLinePunct w:val="0"/>
              <w:autoSpaceDE/>
              <w:autoSpaceDN/>
              <w:bidi w:val="0"/>
              <w:adjustRightInd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cs="Times New Roman"/>
                <w:b w:val="0"/>
                <w:bCs w:val="0"/>
                <w:color w:val="auto"/>
                <w:sz w:val="24"/>
                <w:szCs w:val="24"/>
                <w:lang w:val="en-US" w:eastAsia="zh-CN"/>
              </w:rPr>
              <w:t>1#罐区包括4个</w:t>
            </w:r>
            <w:r>
              <w:rPr>
                <w:rFonts w:hint="default" w:ascii="Times New Roman" w:hAnsi="Times New Roman" w:cs="Times New Roman"/>
                <w:i w:val="0"/>
                <w:iCs w:val="0"/>
                <w:color w:val="auto"/>
                <w:sz w:val="24"/>
                <w:szCs w:val="24"/>
                <w:highlight w:val="none"/>
                <w:u w:val="none"/>
                <w:lang w:eastAsia="zh-CN"/>
              </w:rPr>
              <w:t>10000m</w:t>
            </w:r>
            <w:r>
              <w:rPr>
                <w:rFonts w:hint="default" w:ascii="Times New Roman" w:hAnsi="Times New Roman" w:cs="Times New Roman"/>
                <w:i w:val="0"/>
                <w:iCs w:val="0"/>
                <w:color w:val="auto"/>
                <w:sz w:val="24"/>
                <w:szCs w:val="24"/>
                <w:highlight w:val="none"/>
                <w:u w:val="none"/>
                <w:vertAlign w:val="superscript"/>
                <w:lang w:eastAsia="zh-CN"/>
              </w:rPr>
              <w:t>3</w:t>
            </w:r>
            <w:r>
              <w:rPr>
                <w:rFonts w:hint="default" w:ascii="Times New Roman" w:hAnsi="Times New Roman" w:cs="Times New Roman"/>
                <w:b w:val="0"/>
                <w:bCs w:val="0"/>
                <w:color w:val="auto"/>
                <w:sz w:val="24"/>
                <w:szCs w:val="24"/>
                <w:lang w:eastAsia="zh-CN"/>
              </w:rPr>
              <w:t>柴油储罐，</w:t>
            </w:r>
            <w:r>
              <w:rPr>
                <w:rFonts w:hint="default" w:ascii="Times New Roman" w:hAnsi="Times New Roman" w:cs="Times New Roman"/>
                <w:b w:val="0"/>
                <w:bCs w:val="0"/>
                <w:color w:val="auto"/>
                <w:sz w:val="24"/>
                <w:szCs w:val="24"/>
                <w:lang w:val="en-US" w:eastAsia="zh-CN"/>
              </w:rPr>
              <w:t>2个</w:t>
            </w:r>
            <w:r>
              <w:rPr>
                <w:rFonts w:hint="default" w:ascii="Times New Roman" w:hAnsi="Times New Roman" w:cs="Times New Roman"/>
                <w:i w:val="0"/>
                <w:iCs w:val="0"/>
                <w:color w:val="auto"/>
                <w:sz w:val="24"/>
                <w:szCs w:val="24"/>
                <w:highlight w:val="none"/>
                <w:u w:val="none"/>
                <w:lang w:eastAsia="zh-CN"/>
              </w:rPr>
              <w:t>10000m</w:t>
            </w:r>
            <w:r>
              <w:rPr>
                <w:rFonts w:hint="default" w:ascii="Times New Roman" w:hAnsi="Times New Roman" w:cs="Times New Roman"/>
                <w:i w:val="0"/>
                <w:iCs w:val="0"/>
                <w:color w:val="auto"/>
                <w:sz w:val="24"/>
                <w:szCs w:val="24"/>
                <w:highlight w:val="none"/>
                <w:u w:val="none"/>
                <w:vertAlign w:val="superscript"/>
                <w:lang w:eastAsia="zh-CN"/>
              </w:rPr>
              <w:t>3</w:t>
            </w:r>
            <w:r>
              <w:rPr>
                <w:rFonts w:hint="default" w:ascii="Times New Roman" w:hAnsi="Times New Roman" w:cs="Times New Roman"/>
                <w:b w:val="0"/>
                <w:bCs w:val="0"/>
                <w:color w:val="auto"/>
                <w:sz w:val="24"/>
                <w:szCs w:val="24"/>
                <w:lang w:eastAsia="zh-CN"/>
              </w:rPr>
              <w:t>汽油储罐</w:t>
            </w:r>
            <w:r>
              <w:rPr>
                <w:rFonts w:hint="default" w:ascii="Times New Roman" w:hAnsi="Times New Roman" w:cs="Times New Roman"/>
                <w:b w:val="0"/>
                <w:bCs w:val="0"/>
                <w:color w:val="auto"/>
                <w:sz w:val="24"/>
                <w:szCs w:val="24"/>
                <w:lang w:val="en-US" w:eastAsia="zh-CN"/>
              </w:rPr>
              <w:t>；2#罐区包括3个</w:t>
            </w:r>
            <w:r>
              <w:rPr>
                <w:rFonts w:hint="default" w:ascii="Times New Roman" w:hAnsi="Times New Roman" w:cs="Times New Roman"/>
                <w:i w:val="0"/>
                <w:iCs w:val="0"/>
                <w:color w:val="auto"/>
                <w:sz w:val="24"/>
                <w:szCs w:val="24"/>
                <w:highlight w:val="none"/>
                <w:u w:val="none"/>
                <w:lang w:val="en-US" w:eastAsia="zh-CN"/>
              </w:rPr>
              <w:t>4</w:t>
            </w:r>
            <w:r>
              <w:rPr>
                <w:rFonts w:hint="default" w:ascii="Times New Roman" w:hAnsi="Times New Roman" w:cs="Times New Roman"/>
                <w:i w:val="0"/>
                <w:iCs w:val="0"/>
                <w:color w:val="auto"/>
                <w:sz w:val="24"/>
                <w:szCs w:val="24"/>
                <w:highlight w:val="none"/>
                <w:u w:val="none"/>
                <w:lang w:eastAsia="zh-CN"/>
              </w:rPr>
              <w:t>000m</w:t>
            </w:r>
            <w:r>
              <w:rPr>
                <w:rFonts w:hint="default" w:ascii="Times New Roman" w:hAnsi="Times New Roman" w:cs="Times New Roman"/>
                <w:i w:val="0"/>
                <w:iCs w:val="0"/>
                <w:color w:val="auto"/>
                <w:sz w:val="24"/>
                <w:szCs w:val="24"/>
                <w:highlight w:val="none"/>
                <w:u w:val="none"/>
                <w:vertAlign w:val="superscript"/>
                <w:lang w:eastAsia="zh-CN"/>
              </w:rPr>
              <w:t>3</w:t>
            </w:r>
            <w:r>
              <w:rPr>
                <w:rFonts w:hint="default" w:ascii="Times New Roman" w:hAnsi="Times New Roman" w:cs="Times New Roman"/>
                <w:b w:val="0"/>
                <w:bCs w:val="0"/>
                <w:color w:val="auto"/>
                <w:sz w:val="24"/>
                <w:szCs w:val="24"/>
                <w:lang w:eastAsia="zh-CN"/>
              </w:rPr>
              <w:t>甲醇储罐，</w:t>
            </w:r>
            <w:r>
              <w:rPr>
                <w:rFonts w:hint="eastAsia" w:cs="Times New Roman"/>
                <w:b w:val="0"/>
                <w:bCs w:val="0"/>
                <w:color w:val="auto"/>
                <w:sz w:val="24"/>
                <w:szCs w:val="24"/>
                <w:lang w:val="en-US" w:eastAsia="zh-CN"/>
              </w:rPr>
              <w:t>2</w:t>
            </w:r>
            <w:r>
              <w:rPr>
                <w:rFonts w:hint="default" w:ascii="Times New Roman" w:hAnsi="Times New Roman" w:cs="Times New Roman"/>
                <w:b w:val="0"/>
                <w:bCs w:val="0"/>
                <w:color w:val="auto"/>
                <w:sz w:val="24"/>
                <w:szCs w:val="24"/>
                <w:lang w:val="en-US" w:eastAsia="zh-CN"/>
              </w:rPr>
              <w:t>个</w:t>
            </w:r>
            <w:r>
              <w:rPr>
                <w:rFonts w:hint="default" w:ascii="Times New Roman" w:hAnsi="Times New Roman" w:cs="Times New Roman"/>
                <w:i w:val="0"/>
                <w:iCs w:val="0"/>
                <w:color w:val="auto"/>
                <w:sz w:val="24"/>
                <w:szCs w:val="24"/>
                <w:highlight w:val="none"/>
                <w:u w:val="none"/>
                <w:lang w:val="en-US" w:eastAsia="zh-CN"/>
              </w:rPr>
              <w:t>4</w:t>
            </w:r>
            <w:r>
              <w:rPr>
                <w:rFonts w:hint="default" w:ascii="Times New Roman" w:hAnsi="Times New Roman" w:cs="Times New Roman"/>
                <w:i w:val="0"/>
                <w:iCs w:val="0"/>
                <w:color w:val="auto"/>
                <w:sz w:val="24"/>
                <w:szCs w:val="24"/>
                <w:highlight w:val="none"/>
                <w:u w:val="none"/>
                <w:lang w:eastAsia="zh-CN"/>
              </w:rPr>
              <w:t>000m</w:t>
            </w:r>
            <w:r>
              <w:rPr>
                <w:rFonts w:hint="default" w:ascii="Times New Roman" w:hAnsi="Times New Roman" w:cs="Times New Roman"/>
                <w:i w:val="0"/>
                <w:iCs w:val="0"/>
                <w:color w:val="auto"/>
                <w:sz w:val="24"/>
                <w:szCs w:val="24"/>
                <w:highlight w:val="none"/>
                <w:u w:val="none"/>
                <w:vertAlign w:val="superscript"/>
                <w:lang w:eastAsia="zh-CN"/>
              </w:rPr>
              <w:t>3</w:t>
            </w:r>
            <w:r>
              <w:rPr>
                <w:rFonts w:hint="default" w:ascii="Times New Roman" w:hAnsi="Times New Roman" w:cs="Times New Roman"/>
                <w:b w:val="0"/>
                <w:bCs w:val="0"/>
                <w:color w:val="auto"/>
                <w:sz w:val="24"/>
                <w:szCs w:val="24"/>
                <w:lang w:eastAsia="zh-CN"/>
              </w:rPr>
              <w:t>汽油储罐，</w:t>
            </w:r>
            <w:r>
              <w:rPr>
                <w:rFonts w:hint="eastAsia"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val="en-US" w:eastAsia="zh-CN"/>
              </w:rPr>
              <w:t>个</w:t>
            </w:r>
            <w:r>
              <w:rPr>
                <w:rFonts w:hint="eastAsia" w:cs="Times New Roman"/>
                <w:i w:val="0"/>
                <w:iCs w:val="0"/>
                <w:color w:val="auto"/>
                <w:sz w:val="24"/>
                <w:szCs w:val="24"/>
                <w:highlight w:val="none"/>
                <w:u w:val="none"/>
                <w:lang w:val="en-US" w:eastAsia="zh-CN"/>
              </w:rPr>
              <w:t>2</w:t>
            </w:r>
            <w:r>
              <w:rPr>
                <w:rFonts w:hint="default" w:ascii="Times New Roman" w:hAnsi="Times New Roman" w:cs="Times New Roman"/>
                <w:i w:val="0"/>
                <w:iCs w:val="0"/>
                <w:color w:val="auto"/>
                <w:sz w:val="24"/>
                <w:szCs w:val="24"/>
                <w:highlight w:val="none"/>
                <w:u w:val="none"/>
                <w:lang w:eastAsia="zh-CN"/>
              </w:rPr>
              <w:t>000m</w:t>
            </w:r>
            <w:r>
              <w:rPr>
                <w:rFonts w:hint="default" w:ascii="Times New Roman" w:hAnsi="Times New Roman" w:cs="Times New Roman"/>
                <w:i w:val="0"/>
                <w:iCs w:val="0"/>
                <w:color w:val="auto"/>
                <w:sz w:val="24"/>
                <w:szCs w:val="24"/>
                <w:highlight w:val="none"/>
                <w:u w:val="none"/>
                <w:vertAlign w:val="superscript"/>
                <w:lang w:eastAsia="zh-CN"/>
              </w:rPr>
              <w:t>3</w:t>
            </w:r>
            <w:r>
              <w:rPr>
                <w:rFonts w:hint="default" w:ascii="Times New Roman" w:hAnsi="Times New Roman" w:cs="Times New Roman"/>
                <w:b w:val="0"/>
                <w:bCs w:val="0"/>
                <w:color w:val="auto"/>
                <w:sz w:val="24"/>
                <w:szCs w:val="24"/>
                <w:lang w:eastAsia="zh-CN"/>
              </w:rPr>
              <w:t>汽油储罐</w:t>
            </w:r>
            <w:r>
              <w:rPr>
                <w:rFonts w:hint="default" w:ascii="Times New Roman" w:hAnsi="Times New Roman" w:cs="Times New Roman"/>
                <w:b w:val="0"/>
                <w:bCs w:val="0"/>
                <w:color w:val="auto"/>
                <w:sz w:val="24"/>
                <w:szCs w:val="24"/>
                <w:lang w:val="en-US" w:eastAsia="zh-CN"/>
              </w:rPr>
              <w:t>；</w:t>
            </w:r>
            <w:r>
              <w:rPr>
                <w:rFonts w:hint="default" w:ascii="Times New Roman" w:hAnsi="Times New Roman" w:cs="Times New Roman"/>
                <w:b w:val="0"/>
                <w:bCs w:val="0"/>
                <w:color w:val="auto"/>
                <w:sz w:val="24"/>
                <w:szCs w:val="24"/>
                <w:lang w:val="en-US" w:eastAsia="zh-CN"/>
              </w:rPr>
              <w:t>3#罐区包括3个</w:t>
            </w:r>
            <w:r>
              <w:rPr>
                <w:rFonts w:hint="default" w:ascii="Times New Roman" w:hAnsi="Times New Roman" w:cs="Times New Roman"/>
                <w:i w:val="0"/>
                <w:iCs w:val="0"/>
                <w:color w:val="auto"/>
                <w:sz w:val="24"/>
                <w:szCs w:val="24"/>
                <w:highlight w:val="none"/>
                <w:u w:val="none"/>
                <w:lang w:val="en-US" w:eastAsia="zh-CN"/>
              </w:rPr>
              <w:t>2</w:t>
            </w:r>
            <w:r>
              <w:rPr>
                <w:rFonts w:hint="default" w:ascii="Times New Roman" w:hAnsi="Times New Roman" w:cs="Times New Roman"/>
                <w:i w:val="0"/>
                <w:iCs w:val="0"/>
                <w:color w:val="auto"/>
                <w:sz w:val="24"/>
                <w:szCs w:val="24"/>
                <w:highlight w:val="none"/>
                <w:u w:val="none"/>
                <w:lang w:eastAsia="zh-CN"/>
              </w:rPr>
              <w:t>000m</w:t>
            </w:r>
            <w:r>
              <w:rPr>
                <w:rFonts w:hint="default" w:ascii="Times New Roman" w:hAnsi="Times New Roman" w:cs="Times New Roman"/>
                <w:i w:val="0"/>
                <w:iCs w:val="0"/>
                <w:color w:val="auto"/>
                <w:sz w:val="24"/>
                <w:szCs w:val="24"/>
                <w:highlight w:val="none"/>
                <w:u w:val="none"/>
                <w:vertAlign w:val="superscript"/>
                <w:lang w:eastAsia="zh-CN"/>
              </w:rPr>
              <w:t>3</w:t>
            </w:r>
            <w:r>
              <w:rPr>
                <w:rFonts w:hint="default" w:ascii="Times New Roman" w:hAnsi="Times New Roman" w:cs="Times New Roman"/>
                <w:b w:val="0"/>
                <w:bCs w:val="0"/>
                <w:color w:val="auto"/>
                <w:sz w:val="24"/>
                <w:szCs w:val="24"/>
                <w:lang w:eastAsia="zh-CN"/>
              </w:rPr>
              <w:t>汽油储罐，</w:t>
            </w:r>
            <w:r>
              <w:rPr>
                <w:rFonts w:hint="default" w:ascii="Times New Roman" w:hAnsi="Times New Roman" w:cs="Times New Roman"/>
                <w:b w:val="0"/>
                <w:bCs w:val="0"/>
                <w:color w:val="auto"/>
                <w:sz w:val="24"/>
                <w:szCs w:val="24"/>
                <w:lang w:val="en-US" w:eastAsia="zh-CN"/>
              </w:rPr>
              <w:t>2个</w:t>
            </w:r>
            <w:r>
              <w:rPr>
                <w:rFonts w:hint="default" w:ascii="Times New Roman" w:hAnsi="Times New Roman" w:cs="Times New Roman"/>
                <w:i w:val="0"/>
                <w:iCs w:val="0"/>
                <w:color w:val="auto"/>
                <w:sz w:val="24"/>
                <w:szCs w:val="24"/>
                <w:highlight w:val="none"/>
                <w:u w:val="none"/>
                <w:lang w:val="en-US" w:eastAsia="zh-CN"/>
              </w:rPr>
              <w:t>5</w:t>
            </w:r>
            <w:r>
              <w:rPr>
                <w:rFonts w:hint="default" w:ascii="Times New Roman" w:hAnsi="Times New Roman" w:cs="Times New Roman"/>
                <w:i w:val="0"/>
                <w:iCs w:val="0"/>
                <w:color w:val="auto"/>
                <w:sz w:val="24"/>
                <w:szCs w:val="24"/>
                <w:highlight w:val="none"/>
                <w:u w:val="none"/>
                <w:lang w:eastAsia="zh-CN"/>
              </w:rPr>
              <w:t>00m</w:t>
            </w:r>
            <w:r>
              <w:rPr>
                <w:rFonts w:hint="default" w:ascii="Times New Roman" w:hAnsi="Times New Roman" w:cs="Times New Roman"/>
                <w:i w:val="0"/>
                <w:iCs w:val="0"/>
                <w:color w:val="auto"/>
                <w:sz w:val="24"/>
                <w:szCs w:val="24"/>
                <w:highlight w:val="none"/>
                <w:u w:val="none"/>
                <w:vertAlign w:val="superscript"/>
                <w:lang w:eastAsia="zh-CN"/>
              </w:rPr>
              <w:t>3</w:t>
            </w:r>
            <w:r>
              <w:rPr>
                <w:rFonts w:hint="default" w:ascii="Times New Roman" w:hAnsi="Times New Roman" w:cs="Times New Roman"/>
                <w:b w:val="0"/>
                <w:bCs w:val="0"/>
                <w:color w:val="auto"/>
                <w:sz w:val="24"/>
                <w:szCs w:val="24"/>
                <w:lang w:eastAsia="zh-CN"/>
              </w:rPr>
              <w:t>汽油储罐；</w:t>
            </w:r>
            <w:r>
              <w:rPr>
                <w:rFonts w:hint="default" w:ascii="Times New Roman" w:hAnsi="Times New Roman" w:cs="Times New Roman"/>
                <w:b w:val="0"/>
                <w:bCs w:val="0"/>
                <w:color w:val="auto"/>
                <w:sz w:val="24"/>
                <w:szCs w:val="24"/>
                <w:lang w:val="en-US" w:eastAsia="zh-CN"/>
              </w:rPr>
              <w:t>4#罐区包括8个</w:t>
            </w:r>
            <w:r>
              <w:rPr>
                <w:rFonts w:hint="default" w:ascii="Times New Roman" w:hAnsi="Times New Roman" w:cs="Times New Roman"/>
                <w:i w:val="0"/>
                <w:iCs w:val="0"/>
                <w:color w:val="auto"/>
                <w:sz w:val="24"/>
                <w:szCs w:val="24"/>
                <w:highlight w:val="none"/>
                <w:u w:val="none"/>
                <w:lang w:val="en-US" w:eastAsia="zh-CN"/>
              </w:rPr>
              <w:t>5</w:t>
            </w:r>
            <w:r>
              <w:rPr>
                <w:rFonts w:hint="default" w:ascii="Times New Roman" w:hAnsi="Times New Roman" w:cs="Times New Roman"/>
                <w:i w:val="0"/>
                <w:iCs w:val="0"/>
                <w:color w:val="auto"/>
                <w:sz w:val="24"/>
                <w:szCs w:val="24"/>
                <w:highlight w:val="none"/>
                <w:u w:val="none"/>
                <w:lang w:eastAsia="zh-CN"/>
              </w:rPr>
              <w:t>000m</w:t>
            </w:r>
            <w:r>
              <w:rPr>
                <w:rFonts w:hint="default" w:ascii="Times New Roman" w:hAnsi="Times New Roman" w:cs="Times New Roman"/>
                <w:i w:val="0"/>
                <w:iCs w:val="0"/>
                <w:color w:val="auto"/>
                <w:sz w:val="24"/>
                <w:szCs w:val="24"/>
                <w:highlight w:val="none"/>
                <w:u w:val="none"/>
                <w:vertAlign w:val="superscript"/>
                <w:lang w:eastAsia="zh-CN"/>
              </w:rPr>
              <w:t>3</w:t>
            </w:r>
            <w:r>
              <w:rPr>
                <w:rFonts w:hint="default" w:ascii="Times New Roman" w:hAnsi="Times New Roman" w:cs="Times New Roman"/>
                <w:i w:val="0"/>
                <w:iCs w:val="0"/>
                <w:color w:val="auto"/>
                <w:sz w:val="24"/>
                <w:szCs w:val="24"/>
                <w:highlight w:val="none"/>
                <w:u w:val="none"/>
                <w:lang w:eastAsia="zh-CN"/>
              </w:rPr>
              <w:t>石脑油</w:t>
            </w:r>
            <w:r>
              <w:rPr>
                <w:rFonts w:hint="default" w:ascii="Times New Roman" w:hAnsi="Times New Roman" w:cs="Times New Roman"/>
                <w:b w:val="0"/>
                <w:bCs w:val="0"/>
                <w:color w:val="auto"/>
                <w:sz w:val="24"/>
                <w:szCs w:val="24"/>
                <w:lang w:eastAsia="zh-CN"/>
              </w:rPr>
              <w:t>储罐，</w:t>
            </w:r>
            <w:r>
              <w:rPr>
                <w:rFonts w:hint="default" w:ascii="Times New Roman" w:hAnsi="Times New Roman" w:cs="Times New Roman"/>
                <w:b w:val="0"/>
                <w:bCs w:val="0"/>
                <w:color w:val="auto"/>
                <w:sz w:val="24"/>
                <w:szCs w:val="24"/>
                <w:lang w:val="en-US" w:eastAsia="zh-CN"/>
              </w:rPr>
              <w:t>1个</w:t>
            </w:r>
            <w:r>
              <w:rPr>
                <w:rFonts w:hint="default" w:ascii="Times New Roman" w:hAnsi="Times New Roman" w:cs="Times New Roman"/>
                <w:i w:val="0"/>
                <w:iCs w:val="0"/>
                <w:color w:val="auto"/>
                <w:sz w:val="24"/>
                <w:szCs w:val="24"/>
                <w:highlight w:val="none"/>
                <w:u w:val="none"/>
                <w:lang w:val="en-US" w:eastAsia="zh-CN"/>
              </w:rPr>
              <w:t>19000</w:t>
            </w:r>
            <w:r>
              <w:rPr>
                <w:rFonts w:hint="default" w:ascii="Times New Roman" w:hAnsi="Times New Roman" w:cs="Times New Roman"/>
                <w:i w:val="0"/>
                <w:iCs w:val="0"/>
                <w:color w:val="auto"/>
                <w:sz w:val="24"/>
                <w:szCs w:val="24"/>
                <w:highlight w:val="none"/>
                <w:u w:val="none"/>
                <w:lang w:eastAsia="zh-CN"/>
              </w:rPr>
              <w:t>m</w:t>
            </w:r>
            <w:r>
              <w:rPr>
                <w:rFonts w:hint="default" w:ascii="Times New Roman" w:hAnsi="Times New Roman" w:cs="Times New Roman"/>
                <w:i w:val="0"/>
                <w:iCs w:val="0"/>
                <w:color w:val="auto"/>
                <w:sz w:val="24"/>
                <w:szCs w:val="24"/>
                <w:highlight w:val="none"/>
                <w:u w:val="none"/>
                <w:vertAlign w:val="superscript"/>
                <w:lang w:eastAsia="zh-CN"/>
              </w:rPr>
              <w:t>3</w:t>
            </w:r>
            <w:r>
              <w:rPr>
                <w:rFonts w:hint="default" w:ascii="Times New Roman" w:hAnsi="Times New Roman" w:cs="Times New Roman"/>
                <w:i w:val="0"/>
                <w:iCs w:val="0"/>
                <w:color w:val="auto"/>
                <w:sz w:val="24"/>
                <w:szCs w:val="24"/>
                <w:highlight w:val="none"/>
                <w:u w:val="none"/>
                <w:lang w:eastAsia="zh-CN"/>
              </w:rPr>
              <w:t>柴油储罐</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5#罐区包括2个</w:t>
            </w:r>
            <w:r>
              <w:rPr>
                <w:rFonts w:hint="default" w:ascii="Times New Roman" w:hAnsi="Times New Roman" w:cs="Times New Roman"/>
                <w:i w:val="0"/>
                <w:iCs w:val="0"/>
                <w:color w:val="auto"/>
                <w:sz w:val="24"/>
                <w:szCs w:val="24"/>
                <w:highlight w:val="none"/>
                <w:u w:val="none"/>
                <w:lang w:val="en-US" w:eastAsia="zh-CN"/>
              </w:rPr>
              <w:t>5</w:t>
            </w:r>
            <w:r>
              <w:rPr>
                <w:rFonts w:hint="default" w:ascii="Times New Roman" w:hAnsi="Times New Roman" w:cs="Times New Roman"/>
                <w:i w:val="0"/>
                <w:iCs w:val="0"/>
                <w:color w:val="auto"/>
                <w:sz w:val="24"/>
                <w:szCs w:val="24"/>
                <w:highlight w:val="none"/>
                <w:u w:val="none"/>
                <w:lang w:eastAsia="zh-CN"/>
              </w:rPr>
              <w:t>00m</w:t>
            </w:r>
            <w:r>
              <w:rPr>
                <w:rFonts w:hint="default" w:ascii="Times New Roman" w:hAnsi="Times New Roman" w:cs="Times New Roman"/>
                <w:i w:val="0"/>
                <w:iCs w:val="0"/>
                <w:color w:val="auto"/>
                <w:sz w:val="24"/>
                <w:szCs w:val="24"/>
                <w:highlight w:val="none"/>
                <w:u w:val="none"/>
                <w:vertAlign w:val="superscript"/>
                <w:lang w:eastAsia="zh-CN"/>
              </w:rPr>
              <w:t>3</w:t>
            </w:r>
            <w:r>
              <w:rPr>
                <w:rFonts w:hint="default" w:ascii="Times New Roman" w:hAnsi="Times New Roman" w:cs="Times New Roman"/>
                <w:b w:val="0"/>
                <w:bCs w:val="0"/>
                <w:color w:val="auto"/>
                <w:sz w:val="24"/>
                <w:szCs w:val="24"/>
                <w:lang w:eastAsia="zh-CN"/>
              </w:rPr>
              <w:t>汽油储罐</w:t>
            </w:r>
            <w:r>
              <w:rPr>
                <w:rFonts w:hint="default" w:ascii="Times New Roman" w:hAnsi="Times New Roman" w:cs="Times New Roman"/>
                <w:b w:val="0"/>
                <w:bCs w:val="0"/>
                <w:color w:val="auto"/>
                <w:sz w:val="24"/>
                <w:szCs w:val="24"/>
                <w:lang w:val="en-US" w:eastAsia="zh-CN"/>
              </w:rPr>
              <w:t>；6#罐区包括4个</w:t>
            </w:r>
            <w:r>
              <w:rPr>
                <w:rFonts w:hint="default" w:ascii="Times New Roman" w:hAnsi="Times New Roman" w:cs="Times New Roman"/>
                <w:i w:val="0"/>
                <w:iCs w:val="0"/>
                <w:color w:val="auto"/>
                <w:sz w:val="24"/>
                <w:szCs w:val="24"/>
                <w:highlight w:val="none"/>
                <w:u w:val="none"/>
                <w:lang w:val="en-US" w:eastAsia="zh-CN"/>
              </w:rPr>
              <w:t>5</w:t>
            </w:r>
            <w:r>
              <w:rPr>
                <w:rFonts w:hint="default" w:ascii="Times New Roman" w:hAnsi="Times New Roman" w:cs="Times New Roman"/>
                <w:i w:val="0"/>
                <w:iCs w:val="0"/>
                <w:color w:val="auto"/>
                <w:sz w:val="24"/>
                <w:szCs w:val="24"/>
                <w:highlight w:val="none"/>
                <w:u w:val="none"/>
                <w:lang w:eastAsia="zh-CN"/>
              </w:rPr>
              <w:t>000m</w:t>
            </w:r>
            <w:r>
              <w:rPr>
                <w:rFonts w:hint="default" w:ascii="Times New Roman" w:hAnsi="Times New Roman" w:cs="Times New Roman"/>
                <w:i w:val="0"/>
                <w:iCs w:val="0"/>
                <w:color w:val="auto"/>
                <w:sz w:val="24"/>
                <w:szCs w:val="24"/>
                <w:highlight w:val="none"/>
                <w:u w:val="none"/>
                <w:vertAlign w:val="superscript"/>
                <w:lang w:eastAsia="zh-CN"/>
              </w:rPr>
              <w:t>3</w:t>
            </w:r>
            <w:r>
              <w:rPr>
                <w:rFonts w:hint="default" w:ascii="Times New Roman" w:hAnsi="Times New Roman" w:cs="Times New Roman"/>
                <w:b w:val="0"/>
                <w:bCs w:val="0"/>
                <w:color w:val="auto"/>
                <w:sz w:val="24"/>
                <w:szCs w:val="24"/>
                <w:lang w:eastAsia="zh-CN"/>
              </w:rPr>
              <w:t>渣油储罐，</w:t>
            </w:r>
            <w:r>
              <w:rPr>
                <w:rFonts w:hint="default" w:ascii="Times New Roman" w:hAnsi="Times New Roman" w:cs="Times New Roman"/>
                <w:b w:val="0"/>
                <w:bCs w:val="0"/>
                <w:color w:val="auto"/>
                <w:sz w:val="24"/>
                <w:szCs w:val="24"/>
                <w:lang w:val="en-US" w:eastAsia="zh-CN"/>
              </w:rPr>
              <w:t>4个</w:t>
            </w:r>
            <w:r>
              <w:rPr>
                <w:rFonts w:hint="default" w:ascii="Times New Roman" w:hAnsi="Times New Roman" w:cs="Times New Roman"/>
                <w:i w:val="0"/>
                <w:iCs w:val="0"/>
                <w:color w:val="auto"/>
                <w:sz w:val="24"/>
                <w:szCs w:val="24"/>
                <w:highlight w:val="none"/>
                <w:u w:val="none"/>
                <w:lang w:val="en-US" w:eastAsia="zh-CN"/>
              </w:rPr>
              <w:t>5</w:t>
            </w:r>
            <w:r>
              <w:rPr>
                <w:rFonts w:hint="default" w:ascii="Times New Roman" w:hAnsi="Times New Roman" w:cs="Times New Roman"/>
                <w:i w:val="0"/>
                <w:iCs w:val="0"/>
                <w:color w:val="auto"/>
                <w:sz w:val="24"/>
                <w:szCs w:val="24"/>
                <w:highlight w:val="none"/>
                <w:u w:val="none"/>
                <w:lang w:eastAsia="zh-CN"/>
              </w:rPr>
              <w:t>000m</w:t>
            </w:r>
            <w:r>
              <w:rPr>
                <w:rFonts w:hint="default" w:ascii="Times New Roman" w:hAnsi="Times New Roman" w:cs="Times New Roman"/>
                <w:i w:val="0"/>
                <w:iCs w:val="0"/>
                <w:color w:val="auto"/>
                <w:sz w:val="24"/>
                <w:szCs w:val="24"/>
                <w:highlight w:val="none"/>
                <w:u w:val="none"/>
                <w:vertAlign w:val="superscript"/>
                <w:lang w:eastAsia="zh-CN"/>
              </w:rPr>
              <w:t>3</w:t>
            </w:r>
            <w:r>
              <w:rPr>
                <w:rFonts w:hint="default" w:ascii="Times New Roman" w:hAnsi="Times New Roman" w:cs="Times New Roman"/>
                <w:b w:val="0"/>
                <w:bCs w:val="0"/>
                <w:color w:val="auto"/>
                <w:sz w:val="24"/>
                <w:szCs w:val="24"/>
                <w:lang w:eastAsia="zh-CN"/>
              </w:rPr>
              <w:t>重油储罐，</w:t>
            </w:r>
            <w:r>
              <w:rPr>
                <w:rFonts w:hint="default" w:ascii="Times New Roman" w:hAnsi="Times New Roman" w:cs="Times New Roman"/>
                <w:b w:val="0"/>
                <w:bCs w:val="0"/>
                <w:color w:val="auto"/>
                <w:sz w:val="24"/>
                <w:szCs w:val="24"/>
                <w:lang w:val="en-US" w:eastAsia="zh-CN"/>
              </w:rPr>
              <w:t>1个</w:t>
            </w:r>
            <w:r>
              <w:rPr>
                <w:rFonts w:hint="default" w:ascii="Times New Roman" w:hAnsi="Times New Roman" w:cs="Times New Roman"/>
                <w:i w:val="0"/>
                <w:iCs w:val="0"/>
                <w:color w:val="auto"/>
                <w:sz w:val="24"/>
                <w:szCs w:val="24"/>
                <w:highlight w:val="none"/>
                <w:u w:val="none"/>
                <w:lang w:val="en-US" w:eastAsia="zh-CN"/>
              </w:rPr>
              <w:t>5</w:t>
            </w:r>
            <w:r>
              <w:rPr>
                <w:rFonts w:hint="default" w:ascii="Times New Roman" w:hAnsi="Times New Roman" w:cs="Times New Roman"/>
                <w:i w:val="0"/>
                <w:iCs w:val="0"/>
                <w:color w:val="auto"/>
                <w:sz w:val="24"/>
                <w:szCs w:val="24"/>
                <w:highlight w:val="none"/>
                <w:u w:val="none"/>
                <w:lang w:eastAsia="zh-CN"/>
              </w:rPr>
              <w:t>000m</w:t>
            </w:r>
            <w:r>
              <w:rPr>
                <w:rFonts w:hint="default" w:ascii="Times New Roman" w:hAnsi="Times New Roman" w:cs="Times New Roman"/>
                <w:i w:val="0"/>
                <w:iCs w:val="0"/>
                <w:color w:val="auto"/>
                <w:sz w:val="24"/>
                <w:szCs w:val="24"/>
                <w:highlight w:val="none"/>
                <w:u w:val="none"/>
                <w:vertAlign w:val="superscript"/>
                <w:lang w:eastAsia="zh-CN"/>
              </w:rPr>
              <w:t>3</w:t>
            </w:r>
            <w:r>
              <w:rPr>
                <w:rFonts w:hint="default" w:ascii="Times New Roman" w:hAnsi="Times New Roman" w:cs="Times New Roman"/>
                <w:b w:val="0"/>
                <w:bCs w:val="0"/>
                <w:color w:val="auto"/>
                <w:sz w:val="24"/>
                <w:szCs w:val="24"/>
                <w:lang w:eastAsia="zh-CN"/>
              </w:rPr>
              <w:t>沥青储罐。</w:t>
            </w:r>
          </w:p>
          <w:p>
            <w:pPr>
              <w:keepNext w:val="0"/>
              <w:keepLines w:val="0"/>
              <w:pageBreakBefore w:val="0"/>
              <w:widowControl w:val="0"/>
              <w:kinsoku/>
              <w:wordWrap/>
              <w:overflowPunct/>
              <w:topLinePunct w:val="0"/>
              <w:autoSpaceDE/>
              <w:autoSpaceDN/>
              <w:bidi w:val="0"/>
              <w:adjustRightInd w:val="0"/>
              <w:spacing w:line="360" w:lineRule="auto"/>
              <w:ind w:firstLine="480" w:firstLineChars="200"/>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本项目储罐储存情况见下表。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bookmarkStart w:id="10" w:name="_Hlk53647214"/>
            <w:r>
              <w:rPr>
                <w:rFonts w:hint="default" w:ascii="Times New Roman" w:hAnsi="Times New Roman" w:eastAsia="黑体" w:cs="Times New Roman"/>
                <w:b w:val="0"/>
                <w:bCs w:val="0"/>
                <w:color w:val="auto"/>
                <w:kern w:val="0"/>
                <w:sz w:val="24"/>
                <w:szCs w:val="24"/>
                <w:lang w:val="en-US" w:eastAsia="zh-CN"/>
              </w:rPr>
              <w:t>表</w:t>
            </w:r>
            <w:r>
              <w:rPr>
                <w:rFonts w:hint="eastAsia" w:ascii="Times New Roman" w:hAnsi="Times New Roman" w:eastAsia="黑体" w:cs="Times New Roman"/>
                <w:b w:val="0"/>
                <w:bCs w:val="0"/>
                <w:color w:val="auto"/>
                <w:kern w:val="0"/>
                <w:sz w:val="24"/>
                <w:szCs w:val="24"/>
                <w:lang w:val="en-US" w:eastAsia="zh-CN"/>
              </w:rPr>
              <w:t>4</w:t>
            </w:r>
            <w:r>
              <w:rPr>
                <w:rFonts w:hint="default" w:ascii="Times New Roman" w:hAnsi="Times New Roman" w:eastAsia="黑体" w:cs="Times New Roman"/>
                <w:b w:val="0"/>
                <w:bCs w:val="0"/>
                <w:color w:val="auto"/>
                <w:kern w:val="0"/>
                <w:sz w:val="24"/>
                <w:szCs w:val="24"/>
                <w:lang w:val="en-US" w:eastAsia="zh-CN"/>
              </w:rPr>
              <w:t>-</w:t>
            </w:r>
            <w:r>
              <w:rPr>
                <w:rFonts w:hint="eastAsia" w:ascii="Times New Roman" w:hAnsi="Times New Roman" w:eastAsia="黑体" w:cs="Times New Roman"/>
                <w:b w:val="0"/>
                <w:bCs w:val="0"/>
                <w:color w:val="auto"/>
                <w:kern w:val="0"/>
                <w:sz w:val="24"/>
                <w:szCs w:val="24"/>
                <w:lang w:val="en-US" w:eastAsia="zh-CN"/>
              </w:rPr>
              <w:t>6</w:t>
            </w:r>
            <w:r>
              <w:rPr>
                <w:rFonts w:hint="default" w:ascii="Times New Roman" w:hAnsi="Times New Roman" w:eastAsia="黑体" w:cs="Times New Roman"/>
                <w:b w:val="0"/>
                <w:bCs w:val="0"/>
                <w:color w:val="auto"/>
                <w:kern w:val="0"/>
                <w:sz w:val="24"/>
                <w:szCs w:val="24"/>
                <w:lang w:val="en-US" w:eastAsia="zh-CN"/>
              </w:rPr>
              <w:t xml:space="preserve"> 项目主要设备一览表</w:t>
            </w:r>
          </w:p>
          <w:tbl>
            <w:tblPr>
              <w:tblStyle w:val="2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28" w:type="dxa"/>
                <w:bottom w:w="0" w:type="dxa"/>
                <w:right w:w="28" w:type="dxa"/>
              </w:tblCellMar>
            </w:tblPr>
            <w:tblGrid>
              <w:gridCol w:w="934"/>
              <w:gridCol w:w="1309"/>
              <w:gridCol w:w="1309"/>
              <w:gridCol w:w="1684"/>
              <w:gridCol w:w="1712"/>
              <w:gridCol w:w="152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罐区</w:t>
                  </w:r>
                </w:p>
              </w:tc>
              <w:tc>
                <w:tcPr>
                  <w:tcW w:w="772"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cs="Times New Roman"/>
                      <w:b w:val="0"/>
                      <w:bCs w:val="0"/>
                      <w:i w:val="0"/>
                      <w:iCs w:val="0"/>
                      <w:color w:val="auto"/>
                      <w:kern w:val="0"/>
                      <w:sz w:val="21"/>
                      <w:szCs w:val="21"/>
                      <w:highlight w:val="none"/>
                      <w:u w:val="none"/>
                      <w:lang w:val="en-US" w:eastAsia="zh-CN" w:bidi="ar"/>
                    </w:rPr>
                    <w:t>储罐编号</w:t>
                  </w:r>
                </w:p>
              </w:tc>
              <w:tc>
                <w:tcPr>
                  <w:tcW w:w="772"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cs="Times New Roman"/>
                      <w:b w:val="0"/>
                      <w:bCs w:val="0"/>
                      <w:i w:val="0"/>
                      <w:iCs w:val="0"/>
                      <w:color w:val="auto"/>
                      <w:kern w:val="0"/>
                      <w:sz w:val="21"/>
                      <w:szCs w:val="21"/>
                      <w:highlight w:val="none"/>
                      <w:u w:val="none"/>
                      <w:lang w:val="en-US" w:eastAsia="zh-CN" w:bidi="ar"/>
                    </w:rPr>
                    <w:t>物料</w:t>
                  </w:r>
                </w:p>
              </w:tc>
              <w:tc>
                <w:tcPr>
                  <w:tcW w:w="993"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kern w:val="0"/>
                      <w:sz w:val="21"/>
                      <w:szCs w:val="21"/>
                      <w:highlight w:val="none"/>
                      <w:u w:val="none"/>
                      <w:lang w:val="en-US" w:eastAsia="zh-CN" w:bidi="ar"/>
                    </w:rPr>
                    <w:t>容积</w:t>
                  </w:r>
                  <w:r>
                    <w:rPr>
                      <w:rFonts w:hint="default" w:ascii="Times New Roman" w:hAnsi="Times New Roman" w:cs="Times New Roman"/>
                      <w:b w:val="0"/>
                      <w:bCs w:val="0"/>
                      <w:i w:val="0"/>
                      <w:iCs w:val="0"/>
                      <w:color w:val="auto"/>
                      <w:sz w:val="21"/>
                      <w:szCs w:val="21"/>
                      <w:highlight w:val="none"/>
                      <w:u w:val="none"/>
                      <w:lang w:eastAsia="zh-CN"/>
                    </w:rPr>
                    <w:t>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1010"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储罐规格m</w:t>
                  </w:r>
                </w:p>
              </w:tc>
              <w:tc>
                <w:tcPr>
                  <w:tcW w:w="899"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储罐类型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1#罐区</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V1001A</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柴油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10000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eastAsia="zh-CN"/>
                    </w:rPr>
                    <w:t>φ28×20</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V1001B</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柴油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10000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φ28×20</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V1001C</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柴油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10000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φ28×20</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V1001D</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柴油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10000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φ28×20</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V1002A</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eastAsia="zh-CN"/>
                    </w:rPr>
                    <w:t>汽油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eastAsia="zh-CN"/>
                    </w:rPr>
                    <w:t>10000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eastAsia="zh-CN"/>
                    </w:rPr>
                    <w:t>φ28×20</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V1002B</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汽油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eastAsia="zh-CN"/>
                    </w:rPr>
                    <w:t>10000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eastAsia="zh-CN"/>
                    </w:rPr>
                    <w:t>φ28×20</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2#罐区</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V2001A</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甲醇</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4</w:t>
                  </w:r>
                  <w:r>
                    <w:rPr>
                      <w:rFonts w:hint="default" w:ascii="Times New Roman" w:hAnsi="Times New Roman" w:cs="Times New Roman"/>
                      <w:i w:val="0"/>
                      <w:iCs w:val="0"/>
                      <w:color w:val="auto"/>
                      <w:sz w:val="21"/>
                      <w:szCs w:val="21"/>
                      <w:highlight w:val="none"/>
                      <w:u w:val="none"/>
                      <w:lang w:eastAsia="zh-CN"/>
                    </w:rPr>
                    <w:t>000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1</w:t>
                  </w:r>
                  <w:r>
                    <w:rPr>
                      <w:rFonts w:hint="default" w:ascii="Times New Roman" w:hAnsi="Times New Roman" w:cs="Times New Roman"/>
                      <w:i w:val="0"/>
                      <w:iCs w:val="0"/>
                      <w:color w:val="auto"/>
                      <w:sz w:val="21"/>
                      <w:szCs w:val="21"/>
                      <w:highlight w:val="none"/>
                      <w:u w:val="none"/>
                      <w:lang w:eastAsia="zh-CN"/>
                    </w:rPr>
                    <w:t>8×</w:t>
                  </w:r>
                  <w:r>
                    <w:rPr>
                      <w:rFonts w:hint="default" w:ascii="Times New Roman" w:hAnsi="Times New Roman" w:cs="Times New Roman"/>
                      <w:i w:val="0"/>
                      <w:iCs w:val="0"/>
                      <w:color w:val="auto"/>
                      <w:sz w:val="21"/>
                      <w:szCs w:val="21"/>
                      <w:highlight w:val="none"/>
                      <w:u w:val="none"/>
                      <w:lang w:val="en-US" w:eastAsia="zh-CN"/>
                    </w:rPr>
                    <w:t>18</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V2001B</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甲醇</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w:t>
                  </w:r>
                  <w:r>
                    <w:rPr>
                      <w:rFonts w:hint="default" w:ascii="Times New Roman" w:hAnsi="Times New Roman" w:cs="Times New Roman"/>
                      <w:i w:val="0"/>
                      <w:iCs w:val="0"/>
                      <w:color w:val="auto"/>
                      <w:sz w:val="21"/>
                      <w:szCs w:val="21"/>
                      <w:highlight w:val="none"/>
                      <w:u w:val="none"/>
                      <w:lang w:eastAsia="zh-CN"/>
                    </w:rPr>
                    <w:t>000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1</w:t>
                  </w:r>
                  <w:r>
                    <w:rPr>
                      <w:rFonts w:hint="default" w:ascii="Times New Roman" w:hAnsi="Times New Roman" w:cs="Times New Roman"/>
                      <w:i w:val="0"/>
                      <w:iCs w:val="0"/>
                      <w:color w:val="auto"/>
                      <w:sz w:val="21"/>
                      <w:szCs w:val="21"/>
                      <w:highlight w:val="none"/>
                      <w:u w:val="none"/>
                      <w:lang w:eastAsia="zh-CN"/>
                    </w:rPr>
                    <w:t>8×</w:t>
                  </w:r>
                  <w:r>
                    <w:rPr>
                      <w:rFonts w:hint="default" w:ascii="Times New Roman" w:hAnsi="Times New Roman" w:cs="Times New Roman"/>
                      <w:i w:val="0"/>
                      <w:iCs w:val="0"/>
                      <w:color w:val="auto"/>
                      <w:sz w:val="21"/>
                      <w:szCs w:val="21"/>
                      <w:highlight w:val="none"/>
                      <w:u w:val="none"/>
                      <w:lang w:val="en-US" w:eastAsia="zh-CN"/>
                    </w:rPr>
                    <w:t>18</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V2001C</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甲醇</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w:t>
                  </w:r>
                  <w:r>
                    <w:rPr>
                      <w:rFonts w:hint="default" w:ascii="Times New Roman" w:hAnsi="Times New Roman" w:cs="Times New Roman"/>
                      <w:i w:val="0"/>
                      <w:iCs w:val="0"/>
                      <w:color w:val="auto"/>
                      <w:sz w:val="21"/>
                      <w:szCs w:val="21"/>
                      <w:highlight w:val="none"/>
                      <w:u w:val="none"/>
                      <w:lang w:eastAsia="zh-CN"/>
                    </w:rPr>
                    <w:t>000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1</w:t>
                  </w:r>
                  <w:r>
                    <w:rPr>
                      <w:rFonts w:hint="default" w:ascii="Times New Roman" w:hAnsi="Times New Roman" w:cs="Times New Roman"/>
                      <w:i w:val="0"/>
                      <w:iCs w:val="0"/>
                      <w:color w:val="auto"/>
                      <w:sz w:val="21"/>
                      <w:szCs w:val="21"/>
                      <w:highlight w:val="none"/>
                      <w:u w:val="none"/>
                      <w:lang w:eastAsia="zh-CN"/>
                    </w:rPr>
                    <w:t>8×</w:t>
                  </w:r>
                  <w:r>
                    <w:rPr>
                      <w:rFonts w:hint="default" w:ascii="Times New Roman" w:hAnsi="Times New Roman" w:cs="Times New Roman"/>
                      <w:i w:val="0"/>
                      <w:iCs w:val="0"/>
                      <w:color w:val="auto"/>
                      <w:sz w:val="21"/>
                      <w:szCs w:val="21"/>
                      <w:highlight w:val="none"/>
                      <w:u w:val="none"/>
                      <w:lang w:val="en-US" w:eastAsia="zh-CN"/>
                    </w:rPr>
                    <w:t>18</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V2002A</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汽油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w:t>
                  </w:r>
                  <w:r>
                    <w:rPr>
                      <w:rFonts w:hint="default" w:ascii="Times New Roman" w:hAnsi="Times New Roman" w:cs="Times New Roman"/>
                      <w:i w:val="0"/>
                      <w:iCs w:val="0"/>
                      <w:color w:val="auto"/>
                      <w:sz w:val="21"/>
                      <w:szCs w:val="21"/>
                      <w:highlight w:val="none"/>
                      <w:u w:val="none"/>
                      <w:lang w:eastAsia="zh-CN"/>
                    </w:rPr>
                    <w:t>000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1</w:t>
                  </w:r>
                  <w:r>
                    <w:rPr>
                      <w:rFonts w:hint="default" w:ascii="Times New Roman" w:hAnsi="Times New Roman" w:cs="Times New Roman"/>
                      <w:i w:val="0"/>
                      <w:iCs w:val="0"/>
                      <w:color w:val="auto"/>
                      <w:sz w:val="21"/>
                      <w:szCs w:val="21"/>
                      <w:highlight w:val="none"/>
                      <w:u w:val="none"/>
                      <w:lang w:eastAsia="zh-CN"/>
                    </w:rPr>
                    <w:t>8×</w:t>
                  </w:r>
                  <w:r>
                    <w:rPr>
                      <w:rFonts w:hint="default" w:ascii="Times New Roman" w:hAnsi="Times New Roman" w:cs="Times New Roman"/>
                      <w:i w:val="0"/>
                      <w:iCs w:val="0"/>
                      <w:color w:val="auto"/>
                      <w:sz w:val="21"/>
                      <w:szCs w:val="21"/>
                      <w:highlight w:val="none"/>
                      <w:u w:val="none"/>
                      <w:lang w:val="en-US" w:eastAsia="zh-CN"/>
                    </w:rPr>
                    <w:t>18</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V2002B</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汽油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w:t>
                  </w:r>
                  <w:r>
                    <w:rPr>
                      <w:rFonts w:hint="default" w:ascii="Times New Roman" w:hAnsi="Times New Roman" w:cs="Times New Roman"/>
                      <w:i w:val="0"/>
                      <w:iCs w:val="0"/>
                      <w:color w:val="auto"/>
                      <w:sz w:val="21"/>
                      <w:szCs w:val="21"/>
                      <w:highlight w:val="none"/>
                      <w:u w:val="none"/>
                      <w:lang w:eastAsia="zh-CN"/>
                    </w:rPr>
                    <w:t>000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1</w:t>
                  </w:r>
                  <w:r>
                    <w:rPr>
                      <w:rFonts w:hint="default" w:ascii="Times New Roman" w:hAnsi="Times New Roman" w:cs="Times New Roman"/>
                      <w:i w:val="0"/>
                      <w:iCs w:val="0"/>
                      <w:color w:val="auto"/>
                      <w:sz w:val="21"/>
                      <w:szCs w:val="21"/>
                      <w:highlight w:val="none"/>
                      <w:u w:val="none"/>
                      <w:lang w:eastAsia="zh-CN"/>
                    </w:rPr>
                    <w:t>8×</w:t>
                  </w:r>
                  <w:r>
                    <w:rPr>
                      <w:rFonts w:hint="default" w:ascii="Times New Roman" w:hAnsi="Times New Roman" w:cs="Times New Roman"/>
                      <w:i w:val="0"/>
                      <w:iCs w:val="0"/>
                      <w:color w:val="auto"/>
                      <w:sz w:val="21"/>
                      <w:szCs w:val="21"/>
                      <w:highlight w:val="none"/>
                      <w:u w:val="none"/>
                      <w:lang w:val="en-US" w:eastAsia="zh-CN"/>
                    </w:rPr>
                    <w:t>18</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V2002C</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eastAsia="zh-CN"/>
                    </w:rPr>
                    <w:t>汽油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w:t>
                  </w:r>
                  <w:r>
                    <w:rPr>
                      <w:rFonts w:hint="default" w:ascii="Times New Roman" w:hAnsi="Times New Roman" w:cs="Times New Roman"/>
                      <w:i w:val="0"/>
                      <w:iCs w:val="0"/>
                      <w:color w:val="auto"/>
                      <w:sz w:val="21"/>
                      <w:szCs w:val="21"/>
                      <w:highlight w:val="none"/>
                      <w:u w:val="none"/>
                      <w:lang w:eastAsia="zh-CN"/>
                    </w:rPr>
                    <w:t>000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eastAsia="zh-CN"/>
                    </w:rPr>
                    <w:t>Φ</w:t>
                  </w:r>
                  <w:r>
                    <w:rPr>
                      <w:rFonts w:hint="eastAsia" w:cs="Times New Roman"/>
                      <w:i w:val="0"/>
                      <w:iCs w:val="0"/>
                      <w:color w:val="auto"/>
                      <w:sz w:val="21"/>
                      <w:szCs w:val="21"/>
                      <w:highlight w:val="none"/>
                      <w:u w:val="none"/>
                      <w:lang w:val="en-US" w:eastAsia="zh-CN"/>
                    </w:rPr>
                    <w:t>14</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w:t>
                  </w:r>
                  <w:r>
                    <w:rPr>
                      <w:rFonts w:hint="eastAsia" w:cs="Times New Roman"/>
                      <w:i w:val="0"/>
                      <w:iCs w:val="0"/>
                      <w:color w:val="auto"/>
                      <w:sz w:val="21"/>
                      <w:szCs w:val="21"/>
                      <w:highlight w:val="none"/>
                      <w:u w:val="none"/>
                      <w:lang w:val="en-US" w:eastAsia="zh-CN"/>
                    </w:rPr>
                    <w:t>4.</w:t>
                  </w:r>
                  <w:r>
                    <w:rPr>
                      <w:rFonts w:hint="default" w:ascii="Times New Roman" w:hAnsi="Times New Roman" w:cs="Times New Roman"/>
                      <w:i w:val="0"/>
                      <w:iCs w:val="0"/>
                      <w:color w:val="auto"/>
                      <w:sz w:val="21"/>
                      <w:szCs w:val="21"/>
                      <w:highlight w:val="none"/>
                      <w:u w:val="none"/>
                      <w:lang w:val="en-US" w:eastAsia="zh-CN"/>
                    </w:rPr>
                    <w:t>8</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3#罐区</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V3001A</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eastAsia="zh-CN"/>
                    </w:rPr>
                    <w:t>汽油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5</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8</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12</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V3001B</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eastAsia="zh-CN"/>
                    </w:rPr>
                    <w:t>汽油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5</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8</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12</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V3002A</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汽油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20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14</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14.8</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V3002B</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汽油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20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14</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14.8</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V3002C</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汽油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20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14</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14.8</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4#罐区</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V4001A</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V4001B</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V4001C</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V4001D</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V4001E</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V4001F</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V4001G</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V4001H</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V4002</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eastAsia="zh-CN"/>
                    </w:rPr>
                    <w:t>柴油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190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38</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20</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5#罐区</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V5001A</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eastAsia="zh-CN"/>
                    </w:rPr>
                    <w:t>汽油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val="en-US" w:eastAsia="zh-CN"/>
                    </w:rPr>
                    <w:t>5</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8</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12</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V5001B</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eastAsia="zh-CN"/>
                    </w:rPr>
                    <w:t>汽油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5</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8</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12</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val="en-US" w:eastAsia="zh-CN"/>
                    </w:rPr>
                    <w:t>内浮顶储罐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6#罐区</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V6001</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沥青</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固定顶</w:t>
                  </w:r>
                  <w:r>
                    <w:rPr>
                      <w:rFonts w:hint="default" w:ascii="Times New Roman" w:hAnsi="Times New Roman" w:cs="Times New Roman"/>
                      <w:i w:val="0"/>
                      <w:iCs w:val="0"/>
                      <w:color w:val="auto"/>
                      <w:sz w:val="21"/>
                      <w:szCs w:val="21"/>
                      <w:highlight w:val="none"/>
                      <w:u w:val="none"/>
                      <w:lang w:val="en-US" w:eastAsia="zh-CN"/>
                    </w:rPr>
                    <w:t>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V6002A</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重油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固定顶</w:t>
                  </w:r>
                  <w:r>
                    <w:rPr>
                      <w:rFonts w:hint="default" w:ascii="Times New Roman" w:hAnsi="Times New Roman" w:cs="Times New Roman"/>
                      <w:i w:val="0"/>
                      <w:iCs w:val="0"/>
                      <w:color w:val="auto"/>
                      <w:sz w:val="21"/>
                      <w:szCs w:val="21"/>
                      <w:highlight w:val="none"/>
                      <w:u w:val="none"/>
                      <w:lang w:val="en-US" w:eastAsia="zh-CN"/>
                    </w:rPr>
                    <w:t>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V6002B</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重油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固定顶</w:t>
                  </w:r>
                  <w:r>
                    <w:rPr>
                      <w:rFonts w:hint="default" w:ascii="Times New Roman" w:hAnsi="Times New Roman" w:cs="Times New Roman"/>
                      <w:i w:val="0"/>
                      <w:iCs w:val="0"/>
                      <w:color w:val="auto"/>
                      <w:sz w:val="21"/>
                      <w:szCs w:val="21"/>
                      <w:highlight w:val="none"/>
                      <w:u w:val="none"/>
                      <w:lang w:val="en-US" w:eastAsia="zh-CN"/>
                    </w:rPr>
                    <w:t>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V6002C</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重油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固定顶</w:t>
                  </w:r>
                  <w:r>
                    <w:rPr>
                      <w:rFonts w:hint="default" w:ascii="Times New Roman" w:hAnsi="Times New Roman" w:cs="Times New Roman"/>
                      <w:i w:val="0"/>
                      <w:iCs w:val="0"/>
                      <w:color w:val="auto"/>
                      <w:sz w:val="21"/>
                      <w:szCs w:val="21"/>
                      <w:highlight w:val="none"/>
                      <w:u w:val="none"/>
                      <w:lang w:val="en-US" w:eastAsia="zh-CN"/>
                    </w:rPr>
                    <w:t>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V6002D</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重油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固定顶</w:t>
                  </w:r>
                  <w:r>
                    <w:rPr>
                      <w:rFonts w:hint="default" w:ascii="Times New Roman" w:hAnsi="Times New Roman" w:cs="Times New Roman"/>
                      <w:i w:val="0"/>
                      <w:iCs w:val="0"/>
                      <w:color w:val="auto"/>
                      <w:sz w:val="21"/>
                      <w:szCs w:val="21"/>
                      <w:highlight w:val="none"/>
                      <w:u w:val="none"/>
                      <w:lang w:val="en-US" w:eastAsia="zh-CN"/>
                    </w:rPr>
                    <w:t>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V6003A</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渣油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固定顶</w:t>
                  </w:r>
                  <w:r>
                    <w:rPr>
                      <w:rFonts w:hint="default" w:ascii="Times New Roman" w:hAnsi="Times New Roman" w:cs="Times New Roman"/>
                      <w:i w:val="0"/>
                      <w:iCs w:val="0"/>
                      <w:color w:val="auto"/>
                      <w:sz w:val="21"/>
                      <w:szCs w:val="21"/>
                      <w:highlight w:val="none"/>
                      <w:u w:val="none"/>
                      <w:lang w:val="en-US" w:eastAsia="zh-CN"/>
                    </w:rPr>
                    <w:t>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V6003B</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渣油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固定顶</w:t>
                  </w:r>
                  <w:r>
                    <w:rPr>
                      <w:rFonts w:hint="default" w:ascii="Times New Roman" w:hAnsi="Times New Roman" w:cs="Times New Roman"/>
                      <w:i w:val="0"/>
                      <w:iCs w:val="0"/>
                      <w:color w:val="auto"/>
                      <w:sz w:val="21"/>
                      <w:szCs w:val="21"/>
                      <w:highlight w:val="none"/>
                      <w:u w:val="none"/>
                      <w:lang w:val="en-US" w:eastAsia="zh-CN"/>
                    </w:rPr>
                    <w:t>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V6003C</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渣油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固定顶</w:t>
                  </w:r>
                  <w:r>
                    <w:rPr>
                      <w:rFonts w:hint="default" w:ascii="Times New Roman" w:hAnsi="Times New Roman" w:cs="Times New Roman"/>
                      <w:i w:val="0"/>
                      <w:iCs w:val="0"/>
                      <w:color w:val="auto"/>
                      <w:sz w:val="21"/>
                      <w:szCs w:val="21"/>
                      <w:highlight w:val="none"/>
                      <w:u w:val="none"/>
                      <w:lang w:val="en-US" w:eastAsia="zh-CN"/>
                    </w:rPr>
                    <w:t>储罐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51"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V6003D</w:t>
                  </w:r>
                </w:p>
              </w:tc>
              <w:tc>
                <w:tcPr>
                  <w:tcW w:w="77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渣油</w:t>
                  </w:r>
                </w:p>
              </w:tc>
              <w:tc>
                <w:tcPr>
                  <w:tcW w:w="99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val="en-US" w:eastAsia="zh-CN"/>
                    </w:rPr>
                    <w:t>50</w:t>
                  </w:r>
                  <w:r>
                    <w:rPr>
                      <w:rFonts w:hint="default" w:ascii="Times New Roman" w:hAnsi="Times New Roman" w:cs="Times New Roman"/>
                      <w:i w:val="0"/>
                      <w:iCs w:val="0"/>
                      <w:color w:val="auto"/>
                      <w:sz w:val="21"/>
                      <w:szCs w:val="21"/>
                      <w:highlight w:val="none"/>
                      <w:u w:val="none"/>
                      <w:lang w:eastAsia="zh-CN"/>
                    </w:rPr>
                    <w:t>00</w:t>
                  </w:r>
                </w:p>
              </w:tc>
              <w:tc>
                <w:tcPr>
                  <w:tcW w:w="101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eastAsia="zh-CN"/>
                    </w:rPr>
                    <w:t>Φ</w:t>
                  </w:r>
                  <w:r>
                    <w:rPr>
                      <w:rFonts w:hint="default" w:ascii="Times New Roman" w:hAnsi="Times New Roman" w:cs="Times New Roman"/>
                      <w:i w:val="0"/>
                      <w:iCs w:val="0"/>
                      <w:color w:val="auto"/>
                      <w:sz w:val="21"/>
                      <w:szCs w:val="21"/>
                      <w:highlight w:val="none"/>
                      <w:u w:val="none"/>
                      <w:lang w:val="en-US" w:eastAsia="zh-CN"/>
                    </w:rPr>
                    <w:t>22</w:t>
                  </w:r>
                  <w:r>
                    <w:rPr>
                      <w:rFonts w:hint="default" w:ascii="Times New Roman" w:hAnsi="Times New Roman" w:cs="Times New Roman"/>
                      <w:i w:val="0"/>
                      <w:iCs w:val="0"/>
                      <w:color w:val="auto"/>
                      <w:sz w:val="21"/>
                      <w:szCs w:val="21"/>
                      <w:highlight w:val="none"/>
                      <w:u w:val="none"/>
                      <w:lang w:eastAsia="zh-CN"/>
                    </w:rPr>
                    <w:t>×</w:t>
                  </w:r>
                  <w:r>
                    <w:rPr>
                      <w:rFonts w:hint="default" w:ascii="Times New Roman" w:hAnsi="Times New Roman" w:cs="Times New Roman"/>
                      <w:i w:val="0"/>
                      <w:iCs w:val="0"/>
                      <w:color w:val="auto"/>
                      <w:sz w:val="21"/>
                      <w:szCs w:val="21"/>
                      <w:highlight w:val="none"/>
                      <w:u w:val="none"/>
                      <w:lang w:val="en-US" w:eastAsia="zh-CN"/>
                    </w:rPr>
                    <w:t>14.5</w:t>
                  </w:r>
                </w:p>
              </w:tc>
              <w:tc>
                <w:tcPr>
                  <w:tcW w:w="8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固定顶</w:t>
                  </w:r>
                  <w:r>
                    <w:rPr>
                      <w:rFonts w:hint="default" w:ascii="Times New Roman" w:hAnsi="Times New Roman" w:cs="Times New Roman"/>
                      <w:i w:val="0"/>
                      <w:iCs w:val="0"/>
                      <w:color w:val="auto"/>
                      <w:sz w:val="21"/>
                      <w:szCs w:val="21"/>
                      <w:highlight w:val="none"/>
                      <w:u w:val="none"/>
                      <w:lang w:val="en-US" w:eastAsia="zh-CN"/>
                    </w:rPr>
                    <w:t>储罐</w:t>
                  </w:r>
                </w:p>
              </w:tc>
            </w:tr>
          </w:tbl>
          <w:p>
            <w:pPr>
              <w:keepNext w:val="0"/>
              <w:keepLines w:val="0"/>
              <w:pageBreakBefore w:val="0"/>
              <w:widowControl w:val="0"/>
              <w:kinsoku/>
              <w:wordWrap/>
              <w:overflowPunct/>
              <w:topLinePunct w:val="0"/>
              <w:autoSpaceDE/>
              <w:autoSpaceDN/>
              <w:bidi w:val="0"/>
              <w:adjustRightInd w:val="0"/>
              <w:spacing w:line="360" w:lineRule="auto"/>
              <w:ind w:firstLine="480" w:firstLineChars="200"/>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本次采用《污染源源强核算技术指南 石油炼制工业》（HJ982-2018）及《石化行业VOCs污染源排查工作指南》中所列方法进行计算：</w:t>
            </w:r>
          </w:p>
          <w:p>
            <w:pPr>
              <w:keepNext w:val="0"/>
              <w:keepLines w:val="0"/>
              <w:pageBreakBefore w:val="0"/>
              <w:widowControl w:val="0"/>
              <w:kinsoku/>
              <w:wordWrap/>
              <w:overflowPunct/>
              <w:topLinePunct w:val="0"/>
              <w:autoSpaceDE/>
              <w:autoSpaceDN/>
              <w:bidi w:val="0"/>
              <w:adjustRightInd w:val="0"/>
              <w:spacing w:line="360" w:lineRule="auto"/>
              <w:ind w:firstLine="480" w:firstLineChars="200"/>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浮顶罐VOCs排放采用以下公式计算：</w:t>
            </w:r>
            <w:bookmarkEnd w:id="10"/>
          </w:p>
          <w:p>
            <w:pPr>
              <w:rPr>
                <w:rFonts w:hint="eastAsia" w:eastAsia="宋体"/>
                <w:color w:val="auto"/>
                <w:lang w:eastAsia="zh-CN"/>
              </w:rPr>
            </w:pPr>
            <w:r>
              <w:rPr>
                <w:rFonts w:hint="eastAsia" w:eastAsia="宋体"/>
                <w:color w:val="auto"/>
                <w:lang w:eastAsia="zh-CN"/>
              </w:rPr>
              <w:drawing>
                <wp:inline distT="0" distB="0" distL="114300" distR="114300">
                  <wp:extent cx="3333750" cy="485775"/>
                  <wp:effectExtent l="0" t="0" r="0" b="9525"/>
                  <wp:docPr id="1" name="图片 1" descr="微信截图_202302041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截图_20230204100029"/>
                          <pic:cNvPicPr>
                            <a:picLocks noChangeAspect="1"/>
                          </pic:cNvPicPr>
                        </pic:nvPicPr>
                        <pic:blipFill>
                          <a:blip r:embed="rId16"/>
                          <a:srcRect b="79762"/>
                          <a:stretch>
                            <a:fillRect/>
                          </a:stretch>
                        </pic:blipFill>
                        <pic:spPr>
                          <a:xfrm>
                            <a:off x="0" y="0"/>
                            <a:ext cx="3333750" cy="4857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cs="Times New Roman"/>
                <w:color w:val="auto"/>
                <w:sz w:val="24"/>
                <w:lang w:val="en-US" w:eastAsia="zh-CN"/>
              </w:rPr>
              <w:t>式中：E</w:t>
            </w:r>
            <w:r>
              <w:rPr>
                <w:rFonts w:hint="eastAsia" w:ascii="Times New Roman" w:hAnsi="Times New Roman" w:eastAsia="宋体" w:cs="Times New Roman"/>
                <w:color w:val="auto"/>
                <w:sz w:val="24"/>
                <w:vertAlign w:val="subscript"/>
                <w:lang w:val="en-US" w:eastAsia="zh-CN"/>
              </w:rPr>
              <w:t>R</w:t>
            </w:r>
            <w:r>
              <w:rPr>
                <w:color w:val="auto"/>
                <w:sz w:val="24"/>
                <w:szCs w:val="24"/>
              </w:rPr>
              <w:t>——</w:t>
            </w:r>
            <w:r>
              <w:rPr>
                <w:rFonts w:hint="eastAsia" w:ascii="Times New Roman" w:hAnsi="Times New Roman" w:eastAsia="宋体" w:cs="Times New Roman"/>
                <w:color w:val="auto"/>
                <w:sz w:val="24"/>
                <w:lang w:val="en-US" w:eastAsia="zh-CN"/>
              </w:rPr>
              <w:t>边缘密封损耗，lb/a；</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cs="Times New Roman"/>
                <w:color w:val="auto"/>
                <w:sz w:val="24"/>
                <w:lang w:val="en-US" w:eastAsia="zh-CN"/>
              </w:rPr>
              <w:t>E</w:t>
            </w:r>
            <w:r>
              <w:rPr>
                <w:rFonts w:hint="eastAsia" w:ascii="Times New Roman" w:hAnsi="Times New Roman" w:eastAsia="宋体" w:cs="Times New Roman"/>
                <w:color w:val="auto"/>
                <w:sz w:val="24"/>
                <w:vertAlign w:val="subscript"/>
                <w:lang w:val="en-US" w:eastAsia="zh-CN"/>
              </w:rPr>
              <w:t>WD</w:t>
            </w:r>
            <w:r>
              <w:rPr>
                <w:color w:val="auto"/>
                <w:sz w:val="24"/>
                <w:szCs w:val="24"/>
              </w:rPr>
              <w:t>——</w:t>
            </w:r>
            <w:r>
              <w:rPr>
                <w:rFonts w:hint="eastAsia" w:ascii="Times New Roman" w:hAnsi="Times New Roman" w:eastAsia="宋体" w:cs="Times New Roman"/>
                <w:color w:val="auto"/>
                <w:sz w:val="24"/>
                <w:lang w:val="en-US" w:eastAsia="zh-CN"/>
              </w:rPr>
              <w:t>挂壁损耗，lb/a；</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cs="Times New Roman"/>
                <w:color w:val="auto"/>
                <w:sz w:val="24"/>
                <w:lang w:val="en-US" w:eastAsia="zh-CN"/>
              </w:rPr>
            </w:pPr>
            <w:r>
              <w:rPr>
                <w:rFonts w:hint="eastAsia" w:cs="Times New Roman"/>
                <w:color w:val="auto"/>
                <w:sz w:val="24"/>
                <w:lang w:val="en-US" w:eastAsia="zh-CN"/>
              </w:rPr>
              <w:t>E</w:t>
            </w:r>
            <w:r>
              <w:rPr>
                <w:rFonts w:hint="eastAsia" w:cs="Times New Roman"/>
                <w:color w:val="auto"/>
                <w:sz w:val="24"/>
                <w:vertAlign w:val="subscript"/>
                <w:lang w:val="en-US" w:eastAsia="zh-CN"/>
              </w:rPr>
              <w:t>F</w:t>
            </w:r>
            <w:r>
              <w:rPr>
                <w:color w:val="auto"/>
                <w:sz w:val="24"/>
                <w:szCs w:val="24"/>
              </w:rPr>
              <w:t>——</w:t>
            </w:r>
            <w:r>
              <w:rPr>
                <w:rFonts w:hint="eastAsia" w:cs="Times New Roman"/>
                <w:color w:val="auto"/>
                <w:sz w:val="24"/>
                <w:lang w:val="en-US" w:eastAsia="zh-CN"/>
              </w:rPr>
              <w:t>浮盘附件损耗，lb/a；</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default" w:eastAsia="宋体"/>
                <w:color w:val="auto"/>
                <w:lang w:val="en-US" w:eastAsia="zh-CN"/>
              </w:rPr>
            </w:pPr>
            <w:r>
              <w:rPr>
                <w:rFonts w:hint="eastAsia" w:cs="Times New Roman"/>
                <w:color w:val="auto"/>
                <w:sz w:val="24"/>
                <w:lang w:val="en-US" w:eastAsia="zh-CN"/>
              </w:rPr>
              <w:t>E</w:t>
            </w:r>
            <w:r>
              <w:rPr>
                <w:rFonts w:hint="eastAsia" w:cs="Times New Roman"/>
                <w:color w:val="auto"/>
                <w:sz w:val="24"/>
                <w:vertAlign w:val="subscript"/>
                <w:lang w:val="en-US" w:eastAsia="zh-CN"/>
              </w:rPr>
              <w:t>D</w:t>
            </w:r>
            <w:r>
              <w:rPr>
                <w:color w:val="auto"/>
                <w:sz w:val="24"/>
                <w:szCs w:val="24"/>
              </w:rPr>
              <w:t>——</w:t>
            </w:r>
            <w:r>
              <w:rPr>
                <w:rFonts w:hint="eastAsia" w:cs="Times New Roman"/>
                <w:color w:val="auto"/>
                <w:sz w:val="24"/>
                <w:lang w:val="en-US" w:eastAsia="zh-CN"/>
              </w:rPr>
              <w:t>浮盘缝隙损耗，lb/a。</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eastAsia="宋体"/>
                <w:color w:val="auto"/>
                <w:lang w:eastAsia="zh-CN"/>
              </w:rPr>
            </w:pPr>
            <w:r>
              <w:rPr>
                <w:rFonts w:hint="eastAsia" w:eastAsia="宋体"/>
                <w:color w:val="auto"/>
                <w:lang w:eastAsia="zh-CN"/>
              </w:rPr>
              <w:drawing>
                <wp:inline distT="0" distB="0" distL="114300" distR="114300">
                  <wp:extent cx="3333750" cy="342900"/>
                  <wp:effectExtent l="0" t="0" r="0" b="0"/>
                  <wp:docPr id="2" name="图片 2" descr="微信截图_202302041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截图_20230204100029"/>
                          <pic:cNvPicPr>
                            <a:picLocks noChangeAspect="1"/>
                          </pic:cNvPicPr>
                        </pic:nvPicPr>
                        <pic:blipFill>
                          <a:blip r:embed="rId16"/>
                          <a:srcRect t="19444" b="66270"/>
                          <a:stretch>
                            <a:fillRect/>
                          </a:stretch>
                        </pic:blipFill>
                        <pic:spPr>
                          <a:xfrm>
                            <a:off x="0" y="0"/>
                            <a:ext cx="3333750" cy="3429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cs="Times New Roman"/>
                <w:color w:val="auto"/>
                <w:sz w:val="24"/>
                <w:lang w:val="en-US" w:eastAsia="zh-CN"/>
              </w:rPr>
              <w:t>式中：</w:t>
            </w:r>
            <w:r>
              <w:rPr>
                <w:rFonts w:hint="eastAsia" w:ascii="Times New Roman" w:hAnsi="Times New Roman" w:eastAsia="宋体" w:cs="Times New Roman"/>
                <w:color w:val="auto"/>
                <w:sz w:val="24"/>
                <w:lang w:val="en-US" w:eastAsia="zh-CN"/>
              </w:rPr>
              <w:t>K</w:t>
            </w:r>
            <w:r>
              <w:rPr>
                <w:rFonts w:hint="eastAsia" w:ascii="Times New Roman" w:hAnsi="Times New Roman" w:eastAsia="宋体" w:cs="Times New Roman"/>
                <w:color w:val="auto"/>
                <w:sz w:val="24"/>
                <w:vertAlign w:val="subscript"/>
                <w:lang w:val="en-US" w:eastAsia="zh-CN"/>
              </w:rPr>
              <w:t>Ra</w:t>
            </w:r>
            <w:r>
              <w:rPr>
                <w:color w:val="auto"/>
                <w:sz w:val="24"/>
                <w:szCs w:val="24"/>
              </w:rPr>
              <w:t>——</w:t>
            </w:r>
            <w:r>
              <w:rPr>
                <w:rFonts w:hint="eastAsia" w:ascii="Times New Roman" w:hAnsi="Times New Roman" w:eastAsia="宋体" w:cs="Times New Roman"/>
                <w:color w:val="auto"/>
                <w:sz w:val="24"/>
                <w:lang w:val="en-US" w:eastAsia="zh-CN"/>
              </w:rPr>
              <w:t>零风速边缘密封损耗因子，lb-mol/ft·a；</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K</w:t>
            </w:r>
            <w:r>
              <w:rPr>
                <w:rFonts w:hint="eastAsia" w:ascii="Times New Roman" w:hAnsi="Times New Roman" w:eastAsia="宋体" w:cs="Times New Roman"/>
                <w:color w:val="auto"/>
                <w:sz w:val="24"/>
                <w:vertAlign w:val="subscript"/>
                <w:lang w:val="en-US" w:eastAsia="zh-CN"/>
              </w:rPr>
              <w:t>R</w:t>
            </w:r>
            <w:r>
              <w:rPr>
                <w:rFonts w:hint="eastAsia" w:cs="Times New Roman"/>
                <w:color w:val="auto"/>
                <w:sz w:val="24"/>
                <w:vertAlign w:val="subscript"/>
                <w:lang w:val="en-US" w:eastAsia="zh-CN"/>
              </w:rPr>
              <w:t>b</w:t>
            </w:r>
            <w:r>
              <w:rPr>
                <w:color w:val="auto"/>
                <w:sz w:val="24"/>
                <w:szCs w:val="24"/>
              </w:rPr>
              <w:t>——</w:t>
            </w:r>
            <w:r>
              <w:rPr>
                <w:rFonts w:hint="eastAsia" w:ascii="Times New Roman" w:hAnsi="Times New Roman" w:eastAsia="宋体" w:cs="Times New Roman"/>
                <w:color w:val="auto"/>
                <w:sz w:val="24"/>
                <w:lang w:val="en-US" w:eastAsia="zh-CN"/>
              </w:rPr>
              <w:t>有风时边缘密封损耗因子，lb-mol/（mph）n·ft</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a；</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color w:val="auto"/>
                <w:sz w:val="24"/>
                <w:szCs w:val="24"/>
                <w:lang w:val="en-US" w:eastAsia="zh-CN"/>
              </w:rPr>
              <w:t>v</w:t>
            </w:r>
            <w:r>
              <w:rPr>
                <w:color w:val="auto"/>
                <w:sz w:val="24"/>
                <w:szCs w:val="24"/>
              </w:rPr>
              <w:t>——</w:t>
            </w:r>
            <w:r>
              <w:rPr>
                <w:rFonts w:hint="eastAsia" w:ascii="Times New Roman" w:hAnsi="Times New Roman" w:eastAsia="宋体" w:cs="Times New Roman"/>
                <w:color w:val="auto"/>
                <w:sz w:val="24"/>
                <w:lang w:val="en-US" w:eastAsia="zh-CN"/>
              </w:rPr>
              <w:t>罐点平均环境风速，mph；</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n</w:t>
            </w:r>
            <w:r>
              <w:rPr>
                <w:color w:val="auto"/>
                <w:sz w:val="24"/>
                <w:szCs w:val="24"/>
              </w:rPr>
              <w:t>——</w:t>
            </w:r>
            <w:r>
              <w:rPr>
                <w:rFonts w:hint="eastAsia" w:ascii="Times New Roman" w:hAnsi="Times New Roman" w:eastAsia="宋体" w:cs="Times New Roman"/>
                <w:color w:val="auto"/>
                <w:sz w:val="24"/>
                <w:lang w:val="en-US" w:eastAsia="zh-CN"/>
              </w:rPr>
              <w:t>密封相关风速指数，无量纲量，见附表二-15；</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P</w:t>
            </w:r>
            <w:r>
              <w:rPr>
                <w:rFonts w:hint="eastAsia" w:ascii="Times New Roman" w:hAnsi="Times New Roman" w:eastAsia="宋体" w:cs="Times New Roman"/>
                <w:color w:val="auto"/>
                <w:sz w:val="24"/>
                <w:vertAlign w:val="superscript"/>
                <w:lang w:val="en-US" w:eastAsia="zh-CN"/>
              </w:rPr>
              <w:t>*</w:t>
            </w:r>
            <w:r>
              <w:rPr>
                <w:color w:val="auto"/>
                <w:sz w:val="24"/>
                <w:szCs w:val="24"/>
              </w:rPr>
              <w:t>——</w:t>
            </w:r>
            <w:r>
              <w:rPr>
                <w:rFonts w:hint="eastAsia" w:ascii="Times New Roman" w:hAnsi="Times New Roman" w:eastAsia="宋体" w:cs="Times New Roman"/>
                <w:color w:val="auto"/>
                <w:sz w:val="24"/>
                <w:lang w:val="en-US" w:eastAsia="zh-CN"/>
              </w:rPr>
              <w:t>蒸汽压函数，无量纲量；</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D</w:t>
            </w:r>
            <w:r>
              <w:rPr>
                <w:color w:val="auto"/>
                <w:sz w:val="24"/>
                <w:szCs w:val="24"/>
              </w:rPr>
              <w:t>——</w:t>
            </w:r>
            <w:r>
              <w:rPr>
                <w:rFonts w:hint="eastAsia" w:ascii="Times New Roman" w:hAnsi="Times New Roman" w:eastAsia="宋体" w:cs="Times New Roman"/>
                <w:color w:val="auto"/>
                <w:sz w:val="24"/>
                <w:lang w:val="en-US" w:eastAsia="zh-CN"/>
              </w:rPr>
              <w:t>罐体直径，ft；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M</w:t>
            </w:r>
            <w:r>
              <w:rPr>
                <w:rFonts w:hint="eastAsia" w:ascii="Times New Roman" w:hAnsi="Times New Roman" w:eastAsia="宋体" w:cs="Times New Roman"/>
                <w:color w:val="auto"/>
                <w:sz w:val="24"/>
                <w:vertAlign w:val="subscript"/>
                <w:lang w:val="en-US" w:eastAsia="zh-CN"/>
              </w:rPr>
              <w:t>V</w:t>
            </w:r>
            <w:r>
              <w:rPr>
                <w:color w:val="auto"/>
                <w:sz w:val="24"/>
                <w:szCs w:val="24"/>
              </w:rPr>
              <w:t>——</w:t>
            </w:r>
            <w:r>
              <w:rPr>
                <w:rFonts w:hint="eastAsia" w:ascii="Times New Roman" w:hAnsi="Times New Roman" w:eastAsia="宋体" w:cs="Times New Roman"/>
                <w:color w:val="auto"/>
                <w:sz w:val="24"/>
                <w:lang w:val="en-US" w:eastAsia="zh-CN"/>
              </w:rPr>
              <w:t>气相分子质量，lb/lb-mol；</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K</w:t>
            </w:r>
            <w:r>
              <w:rPr>
                <w:rFonts w:hint="eastAsia" w:ascii="Times New Roman" w:hAnsi="Times New Roman" w:eastAsia="宋体" w:cs="Times New Roman"/>
                <w:color w:val="auto"/>
                <w:sz w:val="24"/>
                <w:vertAlign w:val="subscript"/>
                <w:lang w:val="en-US" w:eastAsia="zh-CN"/>
              </w:rPr>
              <w:t>C</w:t>
            </w:r>
            <w:r>
              <w:rPr>
                <w:color w:val="auto"/>
                <w:sz w:val="24"/>
                <w:szCs w:val="24"/>
              </w:rPr>
              <w:t>——</w:t>
            </w:r>
            <w:r>
              <w:rPr>
                <w:rFonts w:hint="eastAsia" w:ascii="Times New Roman" w:hAnsi="Times New Roman" w:eastAsia="宋体" w:cs="Times New Roman"/>
                <w:color w:val="auto"/>
                <w:sz w:val="24"/>
                <w:lang w:val="en-US" w:eastAsia="zh-CN"/>
              </w:rPr>
              <w:t>产品因子；原油为0.4，其它有机液体为1.0。</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color w:val="auto"/>
                <w:sz w:val="24"/>
                <w:lang w:val="en-US" w:eastAsia="zh-CN"/>
              </w:rPr>
            </w:pPr>
            <w:r>
              <w:rPr>
                <w:rFonts w:hint="eastAsia" w:eastAsia="宋体"/>
                <w:color w:val="auto"/>
                <w:lang w:eastAsia="zh-CN"/>
              </w:rPr>
              <w:drawing>
                <wp:inline distT="0" distB="0" distL="114300" distR="114300">
                  <wp:extent cx="3333750" cy="523875"/>
                  <wp:effectExtent l="0" t="0" r="0" b="9525"/>
                  <wp:docPr id="3" name="图片 3" descr="微信截图_202302041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截图_20230204100029"/>
                          <pic:cNvPicPr>
                            <a:picLocks noChangeAspect="1"/>
                          </pic:cNvPicPr>
                        </pic:nvPicPr>
                        <pic:blipFill>
                          <a:blip r:embed="rId16"/>
                          <a:srcRect t="38095" b="40079"/>
                          <a:stretch>
                            <a:fillRect/>
                          </a:stretch>
                        </pic:blipFill>
                        <pic:spPr>
                          <a:xfrm>
                            <a:off x="0" y="0"/>
                            <a:ext cx="3333750" cy="5238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cs="Times New Roman"/>
                <w:color w:val="auto"/>
                <w:sz w:val="24"/>
                <w:lang w:val="en-US" w:eastAsia="zh-CN"/>
              </w:rPr>
              <w:t>式中：</w:t>
            </w:r>
            <w:r>
              <w:rPr>
                <w:rFonts w:hint="eastAsia" w:ascii="Times New Roman" w:hAnsi="Times New Roman" w:eastAsia="宋体" w:cs="Times New Roman"/>
                <w:color w:val="auto"/>
                <w:sz w:val="24"/>
                <w:lang w:val="en-US" w:eastAsia="zh-CN"/>
              </w:rPr>
              <w:t>Q</w:t>
            </w:r>
            <w:r>
              <w:rPr>
                <w:color w:val="auto"/>
                <w:sz w:val="24"/>
                <w:szCs w:val="24"/>
              </w:rPr>
              <w:t>——</w:t>
            </w:r>
            <w:r>
              <w:rPr>
                <w:rFonts w:hint="eastAsia" w:ascii="Times New Roman" w:hAnsi="Times New Roman" w:eastAsia="宋体" w:cs="Times New Roman"/>
                <w:color w:val="auto"/>
                <w:sz w:val="24"/>
                <w:lang w:val="en-US" w:eastAsia="zh-CN"/>
              </w:rPr>
              <w:t>年周转量，bbl/a；</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C</w:t>
            </w:r>
            <w:r>
              <w:rPr>
                <w:rFonts w:hint="eastAsia" w:ascii="Times New Roman" w:hAnsi="Times New Roman" w:eastAsia="宋体" w:cs="Times New Roman"/>
                <w:color w:val="auto"/>
                <w:sz w:val="24"/>
                <w:vertAlign w:val="subscript"/>
                <w:lang w:val="en-US" w:eastAsia="zh-CN"/>
              </w:rPr>
              <w:t>S</w:t>
            </w:r>
            <w:r>
              <w:rPr>
                <w:color w:val="auto"/>
                <w:sz w:val="24"/>
                <w:szCs w:val="24"/>
              </w:rPr>
              <w:t>——</w:t>
            </w:r>
            <w:r>
              <w:rPr>
                <w:rFonts w:hint="eastAsia" w:ascii="Times New Roman" w:hAnsi="Times New Roman" w:eastAsia="宋体" w:cs="Times New Roman"/>
                <w:color w:val="auto"/>
                <w:sz w:val="24"/>
                <w:lang w:val="en-US" w:eastAsia="zh-CN"/>
              </w:rPr>
              <w:t>罐体油垢因子；</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W</w:t>
            </w:r>
            <w:r>
              <w:rPr>
                <w:rFonts w:hint="eastAsia" w:ascii="Times New Roman" w:hAnsi="Times New Roman" w:eastAsia="宋体" w:cs="Times New Roman"/>
                <w:color w:val="auto"/>
                <w:sz w:val="24"/>
                <w:vertAlign w:val="subscript"/>
                <w:lang w:val="en-US" w:eastAsia="zh-CN"/>
              </w:rPr>
              <w:t>L</w:t>
            </w:r>
            <w:r>
              <w:rPr>
                <w:color w:val="auto"/>
                <w:sz w:val="24"/>
                <w:szCs w:val="24"/>
              </w:rPr>
              <w:t>——</w:t>
            </w:r>
            <w:r>
              <w:rPr>
                <w:rFonts w:hint="eastAsia" w:ascii="Times New Roman" w:hAnsi="Times New Roman" w:eastAsia="宋体" w:cs="Times New Roman"/>
                <w:color w:val="auto"/>
                <w:sz w:val="24"/>
                <w:lang w:val="en-US" w:eastAsia="zh-CN"/>
              </w:rPr>
              <w:t>有机液体密度，lb/gal；</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D</w:t>
            </w:r>
            <w:r>
              <w:rPr>
                <w:color w:val="auto"/>
                <w:sz w:val="24"/>
                <w:szCs w:val="24"/>
              </w:rPr>
              <w:t>——</w:t>
            </w:r>
            <w:r>
              <w:rPr>
                <w:rFonts w:hint="eastAsia" w:ascii="Times New Roman" w:hAnsi="Times New Roman" w:eastAsia="宋体" w:cs="Times New Roman"/>
                <w:color w:val="auto"/>
                <w:sz w:val="24"/>
                <w:lang w:val="en-US" w:eastAsia="zh-CN"/>
              </w:rPr>
              <w:t>罐体直径，ft</w:t>
            </w:r>
            <w:r>
              <w:rPr>
                <w:rFonts w:hint="eastAsia"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0.943</w:t>
            </w:r>
            <w:r>
              <w:rPr>
                <w:color w:val="auto"/>
                <w:sz w:val="24"/>
                <w:szCs w:val="24"/>
              </w:rPr>
              <w:t>——</w:t>
            </w:r>
            <w:r>
              <w:rPr>
                <w:rFonts w:hint="eastAsia" w:ascii="Times New Roman" w:hAnsi="Times New Roman" w:eastAsia="宋体" w:cs="Times New Roman"/>
                <w:color w:val="auto"/>
                <w:sz w:val="24"/>
                <w:lang w:val="en-US" w:eastAsia="zh-CN"/>
              </w:rPr>
              <w:t>常数，1000ft</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·gal/bbl</w:t>
            </w:r>
            <w:r>
              <w:rPr>
                <w:rFonts w:hint="eastAsia" w:ascii="Times New Roman" w:hAnsi="Times New Roman" w:eastAsia="宋体" w:cs="Times New Roman"/>
                <w:color w:val="auto"/>
                <w:sz w:val="24"/>
                <w:vertAlign w:val="superscript"/>
                <w:lang w:val="en-US" w:eastAsia="zh-CN"/>
              </w:rPr>
              <w:t>2</w:t>
            </w:r>
            <w:r>
              <w:rPr>
                <w:rFonts w:hint="eastAsia" w:ascii="Times New Roman" w:hAnsi="Times New Roman" w:eastAsia="宋体"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N</w:t>
            </w:r>
            <w:r>
              <w:rPr>
                <w:rFonts w:hint="eastAsia" w:ascii="Times New Roman" w:hAnsi="Times New Roman" w:eastAsia="宋体" w:cs="Times New Roman"/>
                <w:color w:val="auto"/>
                <w:sz w:val="24"/>
                <w:vertAlign w:val="subscript"/>
                <w:lang w:val="en-US" w:eastAsia="zh-CN"/>
              </w:rPr>
              <w:t>C</w:t>
            </w:r>
            <w:r>
              <w:rPr>
                <w:color w:val="auto"/>
                <w:sz w:val="24"/>
                <w:szCs w:val="24"/>
              </w:rPr>
              <w:t>——</w:t>
            </w:r>
            <w:r>
              <w:rPr>
                <w:rFonts w:hint="eastAsia" w:ascii="Times New Roman" w:hAnsi="Times New Roman" w:eastAsia="宋体" w:cs="Times New Roman"/>
                <w:color w:val="auto"/>
                <w:sz w:val="24"/>
                <w:lang w:val="en-US" w:eastAsia="zh-CN"/>
              </w:rPr>
              <w:t>固定顶支撑柱数量（对于自支撑固定浮顶或外浮顶罐：NC=0。），无量纲量；</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FC</w:t>
            </w:r>
            <w:r>
              <w:rPr>
                <w:color w:val="auto"/>
                <w:sz w:val="24"/>
                <w:szCs w:val="24"/>
              </w:rPr>
              <w:t>——</w:t>
            </w:r>
            <w:r>
              <w:rPr>
                <w:rFonts w:hint="eastAsia" w:ascii="Times New Roman" w:hAnsi="Times New Roman" w:eastAsia="宋体" w:cs="Times New Roman"/>
                <w:color w:val="auto"/>
                <w:sz w:val="24"/>
                <w:lang w:val="en-US" w:eastAsia="zh-CN"/>
              </w:rPr>
              <w:t>有效柱直径，取值1.0。</w:t>
            </w:r>
          </w:p>
          <w:p>
            <w:pPr>
              <w:pStyle w:val="13"/>
              <w:ind w:left="0" w:leftChars="0" w:firstLine="0" w:firstLineChars="0"/>
              <w:rPr>
                <w:rFonts w:hint="eastAsia" w:ascii="Times New Roman" w:hAnsi="Times New Roman" w:eastAsia="宋体" w:cs="Times New Roman"/>
                <w:color w:val="auto"/>
                <w:sz w:val="24"/>
                <w:lang w:val="en-US" w:eastAsia="zh-CN"/>
              </w:rPr>
            </w:pPr>
            <w:r>
              <w:rPr>
                <w:rFonts w:hint="eastAsia" w:eastAsia="宋体"/>
                <w:color w:val="auto"/>
                <w:lang w:eastAsia="zh-CN"/>
              </w:rPr>
              <w:drawing>
                <wp:inline distT="0" distB="0" distL="114300" distR="114300">
                  <wp:extent cx="3333750" cy="314325"/>
                  <wp:effectExtent l="0" t="0" r="0" b="9525"/>
                  <wp:docPr id="6" name="图片 6" descr="微信截图_202302041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截图_20230204100029"/>
                          <pic:cNvPicPr>
                            <a:picLocks noChangeAspect="1"/>
                          </pic:cNvPicPr>
                        </pic:nvPicPr>
                        <pic:blipFill>
                          <a:blip r:embed="rId16"/>
                          <a:srcRect t="64286" b="22619"/>
                          <a:stretch>
                            <a:fillRect/>
                          </a:stretch>
                        </pic:blipFill>
                        <pic:spPr>
                          <a:xfrm>
                            <a:off x="0" y="0"/>
                            <a:ext cx="3333750" cy="3143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cs="Times New Roman"/>
                <w:color w:val="auto"/>
                <w:sz w:val="24"/>
                <w:lang w:val="en-US" w:eastAsia="zh-CN"/>
              </w:rPr>
              <w:t>式中：F</w:t>
            </w:r>
            <w:r>
              <w:rPr>
                <w:rFonts w:hint="eastAsia" w:cs="Times New Roman"/>
                <w:color w:val="auto"/>
                <w:sz w:val="24"/>
                <w:vertAlign w:val="subscript"/>
                <w:lang w:val="en-US" w:eastAsia="zh-CN"/>
              </w:rPr>
              <w:t>F</w:t>
            </w:r>
            <w:r>
              <w:rPr>
                <w:color w:val="auto"/>
                <w:sz w:val="24"/>
                <w:szCs w:val="24"/>
              </w:rPr>
              <w:t>——</w:t>
            </w:r>
            <w:r>
              <w:rPr>
                <w:rFonts w:hint="eastAsia" w:cs="Times New Roman"/>
                <w:color w:val="auto"/>
                <w:sz w:val="24"/>
                <w:lang w:val="en-US" w:eastAsia="zh-CN"/>
              </w:rPr>
              <w:t>总浮盘附件损耗因子，lb-mol/a；</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P</w:t>
            </w:r>
            <w:r>
              <w:rPr>
                <w:rFonts w:hint="eastAsia" w:ascii="Times New Roman" w:hAnsi="Times New Roman" w:eastAsia="宋体" w:cs="Times New Roman"/>
                <w:color w:val="auto"/>
                <w:sz w:val="24"/>
                <w:vertAlign w:val="superscript"/>
                <w:lang w:val="en-US" w:eastAsia="zh-CN"/>
              </w:rPr>
              <w:t>*</w:t>
            </w:r>
            <w:r>
              <w:rPr>
                <w:color w:val="auto"/>
                <w:sz w:val="24"/>
                <w:szCs w:val="24"/>
              </w:rPr>
              <w:t>——</w:t>
            </w:r>
            <w:r>
              <w:rPr>
                <w:rFonts w:hint="eastAsia" w:ascii="Times New Roman" w:hAnsi="Times New Roman" w:eastAsia="宋体" w:cs="Times New Roman"/>
                <w:color w:val="auto"/>
                <w:sz w:val="24"/>
                <w:lang w:val="en-US" w:eastAsia="zh-CN"/>
              </w:rPr>
              <w:t>蒸汽压函数，无量纲量；</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M</w:t>
            </w:r>
            <w:r>
              <w:rPr>
                <w:rFonts w:hint="eastAsia" w:ascii="Times New Roman" w:hAnsi="Times New Roman" w:eastAsia="宋体" w:cs="Times New Roman"/>
                <w:color w:val="auto"/>
                <w:sz w:val="24"/>
                <w:vertAlign w:val="subscript"/>
                <w:lang w:val="en-US" w:eastAsia="zh-CN"/>
              </w:rPr>
              <w:t>V</w:t>
            </w:r>
            <w:r>
              <w:rPr>
                <w:color w:val="auto"/>
                <w:sz w:val="24"/>
                <w:szCs w:val="24"/>
              </w:rPr>
              <w:t>——</w:t>
            </w:r>
            <w:r>
              <w:rPr>
                <w:rFonts w:hint="eastAsia" w:ascii="Times New Roman" w:hAnsi="Times New Roman" w:eastAsia="宋体" w:cs="Times New Roman"/>
                <w:color w:val="auto"/>
                <w:sz w:val="24"/>
                <w:lang w:val="en-US" w:eastAsia="zh-CN"/>
              </w:rPr>
              <w:t>气相分子质量，lb/lb-mol；</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K</w:t>
            </w:r>
            <w:r>
              <w:rPr>
                <w:rFonts w:hint="eastAsia" w:ascii="Times New Roman" w:hAnsi="Times New Roman" w:eastAsia="宋体" w:cs="Times New Roman"/>
                <w:color w:val="auto"/>
                <w:sz w:val="24"/>
                <w:vertAlign w:val="subscript"/>
                <w:lang w:val="en-US" w:eastAsia="zh-CN"/>
              </w:rPr>
              <w:t>C</w:t>
            </w:r>
            <w:r>
              <w:rPr>
                <w:color w:val="auto"/>
                <w:sz w:val="24"/>
                <w:szCs w:val="24"/>
              </w:rPr>
              <w:t>——</w:t>
            </w:r>
            <w:r>
              <w:rPr>
                <w:rFonts w:hint="eastAsia" w:ascii="Times New Roman" w:hAnsi="Times New Roman" w:eastAsia="宋体" w:cs="Times New Roman"/>
                <w:color w:val="auto"/>
                <w:sz w:val="24"/>
                <w:lang w:val="en-US" w:eastAsia="zh-CN"/>
              </w:rPr>
              <w:t>产品因子；原油为0.4，其它有机液体为1.0。</w:t>
            </w:r>
          </w:p>
          <w:p>
            <w:pPr>
              <w:pStyle w:val="13"/>
              <w:ind w:left="0" w:leftChars="0" w:firstLine="0" w:firstLineChars="0"/>
              <w:rPr>
                <w:rFonts w:hint="eastAsia" w:eastAsia="宋体"/>
                <w:color w:val="auto"/>
                <w:lang w:eastAsia="zh-CN"/>
              </w:rPr>
            </w:pPr>
            <w:r>
              <w:rPr>
                <w:rFonts w:hint="eastAsia" w:eastAsia="宋体"/>
                <w:color w:val="auto"/>
                <w:lang w:eastAsia="zh-CN"/>
              </w:rPr>
              <w:drawing>
                <wp:inline distT="0" distB="0" distL="114300" distR="114300">
                  <wp:extent cx="3333750" cy="400050"/>
                  <wp:effectExtent l="0" t="0" r="0" b="0"/>
                  <wp:docPr id="8" name="图片 8" descr="微信截图_202302041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截图_20230204100029"/>
                          <pic:cNvPicPr>
                            <a:picLocks noChangeAspect="1"/>
                          </pic:cNvPicPr>
                        </pic:nvPicPr>
                        <pic:blipFill>
                          <a:blip r:embed="rId16"/>
                          <a:srcRect t="81349" b="1984"/>
                          <a:stretch>
                            <a:fillRect/>
                          </a:stretch>
                        </pic:blipFill>
                        <pic:spPr>
                          <a:xfrm>
                            <a:off x="0" y="0"/>
                            <a:ext cx="3333750" cy="4000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cs="Times New Roman"/>
                <w:color w:val="auto"/>
                <w:sz w:val="24"/>
                <w:lang w:val="en-US" w:eastAsia="zh-CN"/>
              </w:rPr>
              <w:t>式中：</w:t>
            </w:r>
            <w:r>
              <w:rPr>
                <w:rFonts w:hint="eastAsia" w:ascii="Times New Roman" w:hAnsi="Times New Roman" w:eastAsia="宋体" w:cs="Times New Roman"/>
                <w:color w:val="auto"/>
                <w:sz w:val="24"/>
                <w:lang w:val="en-US" w:eastAsia="zh-CN"/>
              </w:rPr>
              <w:t>K</w:t>
            </w:r>
            <w:r>
              <w:rPr>
                <w:rFonts w:hint="eastAsia" w:ascii="Times New Roman" w:hAnsi="Times New Roman" w:eastAsia="宋体" w:cs="Times New Roman"/>
                <w:color w:val="auto"/>
                <w:sz w:val="24"/>
                <w:vertAlign w:val="subscript"/>
                <w:lang w:val="en-US" w:eastAsia="zh-CN"/>
              </w:rPr>
              <w:t>D</w:t>
            </w:r>
            <w:r>
              <w:rPr>
                <w:color w:val="auto"/>
                <w:sz w:val="24"/>
                <w:szCs w:val="24"/>
              </w:rPr>
              <w:t>——</w:t>
            </w:r>
            <w:r>
              <w:rPr>
                <w:rFonts w:hint="eastAsia" w:ascii="Times New Roman" w:hAnsi="Times New Roman" w:eastAsia="宋体" w:cs="Times New Roman"/>
                <w:color w:val="auto"/>
                <w:sz w:val="24"/>
                <w:lang w:val="en-US" w:eastAsia="zh-CN"/>
              </w:rPr>
              <w:t>盘缝损耗单位缝长因子，lb-mol/ft·a；</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S</w:t>
            </w:r>
            <w:r>
              <w:rPr>
                <w:rFonts w:hint="eastAsia" w:ascii="Times New Roman" w:hAnsi="Times New Roman" w:eastAsia="宋体" w:cs="Times New Roman"/>
                <w:color w:val="auto"/>
                <w:sz w:val="24"/>
                <w:vertAlign w:val="subscript"/>
                <w:lang w:val="en-US" w:eastAsia="zh-CN"/>
              </w:rPr>
              <w:t>D</w:t>
            </w:r>
            <w:r>
              <w:rPr>
                <w:color w:val="auto"/>
                <w:sz w:val="24"/>
                <w:szCs w:val="24"/>
              </w:rPr>
              <w:t>——</w:t>
            </w:r>
            <w:r>
              <w:rPr>
                <w:rFonts w:hint="eastAsia" w:ascii="Times New Roman" w:hAnsi="Times New Roman" w:eastAsia="宋体" w:cs="Times New Roman"/>
                <w:color w:val="auto"/>
                <w:sz w:val="24"/>
                <w:lang w:val="en-US" w:eastAsia="zh-CN"/>
              </w:rPr>
              <w:t>盘缝长度因子，ft/ft2；</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D</w:t>
            </w:r>
            <w:r>
              <w:rPr>
                <w:color w:val="auto"/>
                <w:sz w:val="24"/>
                <w:szCs w:val="24"/>
              </w:rPr>
              <w:t>——</w:t>
            </w:r>
            <w:r>
              <w:rPr>
                <w:rFonts w:hint="eastAsia" w:ascii="Times New Roman" w:hAnsi="Times New Roman" w:eastAsia="宋体" w:cs="Times New Roman"/>
                <w:color w:val="auto"/>
                <w:sz w:val="24"/>
                <w:lang w:val="en-US" w:eastAsia="zh-CN"/>
              </w:rPr>
              <w:t>罐体直径，ft</w:t>
            </w:r>
            <w:r>
              <w:rPr>
                <w:rFonts w:hint="eastAsia"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P</w:t>
            </w:r>
            <w:r>
              <w:rPr>
                <w:rFonts w:hint="eastAsia" w:ascii="Times New Roman" w:hAnsi="Times New Roman" w:eastAsia="宋体" w:cs="Times New Roman"/>
                <w:color w:val="auto"/>
                <w:sz w:val="24"/>
                <w:vertAlign w:val="superscript"/>
                <w:lang w:val="en-US" w:eastAsia="zh-CN"/>
              </w:rPr>
              <w:t>*</w:t>
            </w:r>
            <w:r>
              <w:rPr>
                <w:color w:val="auto"/>
                <w:sz w:val="24"/>
                <w:szCs w:val="24"/>
              </w:rPr>
              <w:t>——</w:t>
            </w:r>
            <w:r>
              <w:rPr>
                <w:rFonts w:hint="eastAsia" w:ascii="Times New Roman" w:hAnsi="Times New Roman" w:eastAsia="宋体" w:cs="Times New Roman"/>
                <w:color w:val="auto"/>
                <w:sz w:val="24"/>
                <w:lang w:val="en-US" w:eastAsia="zh-CN"/>
              </w:rPr>
              <w:t>蒸汽压函数，无量纲量；</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M</w:t>
            </w:r>
            <w:r>
              <w:rPr>
                <w:rFonts w:hint="eastAsia" w:ascii="Times New Roman" w:hAnsi="Times New Roman" w:eastAsia="宋体" w:cs="Times New Roman"/>
                <w:color w:val="auto"/>
                <w:sz w:val="24"/>
                <w:vertAlign w:val="subscript"/>
                <w:lang w:val="en-US" w:eastAsia="zh-CN"/>
              </w:rPr>
              <w:t>V</w:t>
            </w:r>
            <w:r>
              <w:rPr>
                <w:color w:val="auto"/>
                <w:sz w:val="24"/>
                <w:szCs w:val="24"/>
              </w:rPr>
              <w:t>——</w:t>
            </w:r>
            <w:r>
              <w:rPr>
                <w:rFonts w:hint="eastAsia" w:ascii="Times New Roman" w:hAnsi="Times New Roman" w:eastAsia="宋体" w:cs="Times New Roman"/>
                <w:color w:val="auto"/>
                <w:sz w:val="24"/>
                <w:lang w:val="en-US" w:eastAsia="zh-CN"/>
              </w:rPr>
              <w:t>气相分子质量，lb/lb-mol；</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K</w:t>
            </w:r>
            <w:r>
              <w:rPr>
                <w:rFonts w:hint="eastAsia" w:ascii="Times New Roman" w:hAnsi="Times New Roman" w:eastAsia="宋体" w:cs="Times New Roman"/>
                <w:color w:val="auto"/>
                <w:sz w:val="24"/>
                <w:vertAlign w:val="subscript"/>
                <w:lang w:val="en-US" w:eastAsia="zh-CN"/>
              </w:rPr>
              <w:t>C</w:t>
            </w:r>
            <w:r>
              <w:rPr>
                <w:color w:val="auto"/>
                <w:sz w:val="24"/>
                <w:szCs w:val="24"/>
              </w:rPr>
              <w:t>——</w:t>
            </w:r>
            <w:r>
              <w:rPr>
                <w:rFonts w:hint="eastAsia" w:ascii="Times New Roman" w:hAnsi="Times New Roman" w:eastAsia="宋体" w:cs="Times New Roman"/>
                <w:color w:val="auto"/>
                <w:sz w:val="24"/>
                <w:lang w:val="en-US" w:eastAsia="zh-CN"/>
              </w:rPr>
              <w:t>产品因子；原油为0.4，其它有机液体为1.0。</w:t>
            </w: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drawing>
                <wp:inline distT="0" distB="0" distL="114300" distR="114300">
                  <wp:extent cx="2020570" cy="1327150"/>
                  <wp:effectExtent l="0" t="0" r="17780" b="6350"/>
                  <wp:docPr id="5" name="图片 5" descr="微信截图_2023020410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截图_20230204101952"/>
                          <pic:cNvPicPr>
                            <a:picLocks noChangeAspect="1"/>
                          </pic:cNvPicPr>
                        </pic:nvPicPr>
                        <pic:blipFill>
                          <a:blip r:embed="rId17"/>
                          <a:stretch>
                            <a:fillRect/>
                          </a:stretch>
                        </pic:blipFill>
                        <pic:spPr>
                          <a:xfrm>
                            <a:off x="0" y="0"/>
                            <a:ext cx="2020570" cy="13271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式中：P</w:t>
            </w:r>
            <w:r>
              <w:rPr>
                <w:rFonts w:hint="eastAsia" w:cs="Times New Roman"/>
                <w:color w:val="auto"/>
                <w:sz w:val="24"/>
                <w:vertAlign w:val="subscript"/>
                <w:lang w:val="en-US" w:eastAsia="zh-CN"/>
              </w:rPr>
              <w:t>VA</w:t>
            </w:r>
            <w:r>
              <w:rPr>
                <w:color w:val="auto"/>
                <w:sz w:val="24"/>
                <w:szCs w:val="24"/>
              </w:rPr>
              <w:t>——</w:t>
            </w:r>
            <w:r>
              <w:rPr>
                <w:rFonts w:hint="eastAsia" w:cs="Times New Roman"/>
                <w:color w:val="auto"/>
                <w:sz w:val="24"/>
                <w:lang w:val="en-US" w:eastAsia="zh-CN"/>
              </w:rPr>
              <w:t>日平均液体表面蒸汽压；</w:t>
            </w:r>
          </w:p>
          <w:p>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hint="eastAsia" w:cs="Times New Roman"/>
                <w:color w:val="auto"/>
                <w:sz w:val="24"/>
                <w:lang w:val="en-US" w:eastAsia="zh-CN"/>
              </w:rPr>
            </w:pPr>
            <w:r>
              <w:rPr>
                <w:rFonts w:hint="eastAsia" w:cs="Times New Roman"/>
                <w:color w:val="auto"/>
                <w:sz w:val="24"/>
                <w:lang w:val="en-US" w:eastAsia="zh-CN"/>
              </w:rPr>
              <w:t>P</w:t>
            </w:r>
            <w:r>
              <w:rPr>
                <w:rFonts w:hint="eastAsia" w:cs="Times New Roman"/>
                <w:color w:val="auto"/>
                <w:sz w:val="24"/>
                <w:vertAlign w:val="subscript"/>
                <w:lang w:val="en-US" w:eastAsia="zh-CN"/>
              </w:rPr>
              <w:t>A</w:t>
            </w:r>
            <w:r>
              <w:rPr>
                <w:color w:val="auto"/>
                <w:sz w:val="24"/>
                <w:szCs w:val="24"/>
              </w:rPr>
              <w:t>——</w:t>
            </w:r>
            <w:r>
              <w:rPr>
                <w:rFonts w:hint="eastAsia" w:cs="Times New Roman"/>
                <w:color w:val="auto"/>
                <w:sz w:val="24"/>
                <w:lang w:val="en-US" w:eastAsia="zh-CN"/>
              </w:rPr>
              <w:t>大气压，psia。</w:t>
            </w:r>
          </w:p>
          <w:p>
            <w:pPr>
              <w:rPr>
                <w:rFonts w:hint="eastAsia"/>
                <w:color w:val="auto"/>
                <w:lang w:val="en-US" w:eastAsia="zh-CN"/>
              </w:rPr>
            </w:pPr>
            <w:r>
              <w:rPr>
                <w:rFonts w:hint="eastAsia"/>
                <w:color w:val="auto"/>
                <w:lang w:val="en-US" w:eastAsia="zh-CN"/>
              </w:rPr>
              <w:drawing>
                <wp:inline distT="0" distB="0" distL="114300" distR="114300">
                  <wp:extent cx="3990975" cy="428625"/>
                  <wp:effectExtent l="0" t="0" r="9525" b="9525"/>
                  <wp:docPr id="7" name="图片 7" descr="微信截图_2023020410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截图_20230204102829"/>
                          <pic:cNvPicPr>
                            <a:picLocks noChangeAspect="1"/>
                          </pic:cNvPicPr>
                        </pic:nvPicPr>
                        <pic:blipFill>
                          <a:blip r:embed="rId18"/>
                          <a:stretch>
                            <a:fillRect/>
                          </a:stretch>
                        </pic:blipFill>
                        <pic:spPr>
                          <a:xfrm>
                            <a:off x="0" y="0"/>
                            <a:ext cx="3990975" cy="4286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式中：N</w:t>
            </w:r>
            <w:r>
              <w:rPr>
                <w:rFonts w:hint="eastAsia" w:cs="Times New Roman"/>
                <w:color w:val="auto"/>
                <w:sz w:val="24"/>
                <w:vertAlign w:val="subscript"/>
                <w:lang w:val="en-US" w:eastAsia="zh-CN"/>
              </w:rPr>
              <w:t>Fi</w:t>
            </w:r>
            <w:r>
              <w:rPr>
                <w:color w:val="auto"/>
                <w:sz w:val="24"/>
                <w:szCs w:val="24"/>
              </w:rPr>
              <w:t>——</w:t>
            </w:r>
            <w:r>
              <w:rPr>
                <w:rFonts w:hint="eastAsia" w:cs="Times New Roman"/>
                <w:color w:val="auto"/>
                <w:sz w:val="24"/>
                <w:lang w:val="en-US" w:eastAsia="zh-CN"/>
              </w:rPr>
              <w:t>特定规格的浮盘附件数，无量纲量；</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cs="Times New Roman"/>
                <w:color w:val="auto"/>
                <w:sz w:val="24"/>
                <w:lang w:val="en-US" w:eastAsia="zh-CN"/>
              </w:rPr>
            </w:pPr>
            <w:r>
              <w:rPr>
                <w:rFonts w:hint="eastAsia" w:cs="Times New Roman"/>
                <w:color w:val="auto"/>
                <w:sz w:val="24"/>
                <w:lang w:val="en-US" w:eastAsia="zh-CN"/>
              </w:rPr>
              <w:t>K</w:t>
            </w:r>
            <w:r>
              <w:rPr>
                <w:rFonts w:hint="eastAsia" w:cs="Times New Roman"/>
                <w:color w:val="auto"/>
                <w:sz w:val="24"/>
                <w:vertAlign w:val="subscript"/>
                <w:lang w:val="en-US" w:eastAsia="zh-CN"/>
              </w:rPr>
              <w:t>Fi</w:t>
            </w:r>
            <w:r>
              <w:rPr>
                <w:color w:val="auto"/>
                <w:sz w:val="24"/>
                <w:szCs w:val="24"/>
              </w:rPr>
              <w:t>——</w:t>
            </w:r>
            <w:r>
              <w:rPr>
                <w:rFonts w:hint="eastAsia" w:cs="Times New Roman"/>
                <w:color w:val="auto"/>
                <w:sz w:val="24"/>
                <w:lang w:val="en-US" w:eastAsia="zh-CN"/>
              </w:rPr>
              <w:t>特定规格的附件损耗因子，lb-mol/a。</w:t>
            </w:r>
          </w:p>
          <w:p>
            <w:pPr>
              <w:keepNext w:val="0"/>
              <w:keepLines w:val="0"/>
              <w:pageBreakBefore w:val="0"/>
              <w:widowControl w:val="0"/>
              <w:kinsoku/>
              <w:wordWrap/>
              <w:overflowPunct/>
              <w:topLinePunct w:val="0"/>
              <w:autoSpaceDE/>
              <w:autoSpaceDN/>
              <w:bidi w:val="0"/>
              <w:adjustRightInd w:val="0"/>
              <w:spacing w:line="360" w:lineRule="auto"/>
              <w:ind w:firstLine="480" w:firstLineChars="200"/>
              <w:rPr>
                <w:rFonts w:hint="default" w:ascii="Times New Roman" w:hAnsi="Times New Roman" w:eastAsia="宋体" w:cs="Times New Roman"/>
                <w:b w:val="0"/>
                <w:bCs w:val="0"/>
                <w:color w:val="auto"/>
                <w:sz w:val="24"/>
                <w:szCs w:val="24"/>
                <w:lang w:eastAsia="zh-CN"/>
              </w:rPr>
            </w:pPr>
            <w:r>
              <w:rPr>
                <w:rFonts w:hint="eastAsia" w:cs="Times New Roman"/>
                <w:b w:val="0"/>
                <w:bCs w:val="0"/>
                <w:color w:val="auto"/>
                <w:sz w:val="24"/>
                <w:szCs w:val="24"/>
                <w:lang w:eastAsia="zh-CN"/>
              </w:rPr>
              <w:t>固定</w:t>
            </w:r>
            <w:r>
              <w:rPr>
                <w:rFonts w:hint="default" w:ascii="Times New Roman" w:hAnsi="Times New Roman" w:eastAsia="宋体" w:cs="Times New Roman"/>
                <w:b w:val="0"/>
                <w:bCs w:val="0"/>
                <w:color w:val="auto"/>
                <w:sz w:val="24"/>
                <w:szCs w:val="24"/>
                <w:lang w:eastAsia="zh-CN"/>
              </w:rPr>
              <w:t>顶罐VOCs排放采用以下公式计算：</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drawing>
                <wp:inline distT="0" distB="0" distL="114300" distR="114300">
                  <wp:extent cx="5114925" cy="400050"/>
                  <wp:effectExtent l="0" t="0" r="9525" b="0"/>
                  <wp:docPr id="43" name="图片 43" descr="微信截图_2023022010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微信截图_20230220101648"/>
                          <pic:cNvPicPr>
                            <a:picLocks noChangeAspect="1"/>
                          </pic:cNvPicPr>
                        </pic:nvPicPr>
                        <pic:blipFill>
                          <a:blip r:embed="rId19"/>
                          <a:srcRect t="2041" b="76531"/>
                          <a:stretch>
                            <a:fillRect/>
                          </a:stretch>
                        </pic:blipFill>
                        <pic:spPr>
                          <a:xfrm>
                            <a:off x="0" y="0"/>
                            <a:ext cx="5114925" cy="4000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cs="Times New Roman"/>
                <w:color w:val="auto"/>
                <w:sz w:val="24"/>
                <w:lang w:val="en-US" w:eastAsia="zh-CN"/>
              </w:rPr>
              <w:t>式中：E</w:t>
            </w:r>
            <w:r>
              <w:rPr>
                <w:rFonts w:hint="eastAsia" w:cs="Times New Roman"/>
                <w:color w:val="auto"/>
                <w:sz w:val="24"/>
                <w:vertAlign w:val="subscript"/>
                <w:lang w:val="en-US" w:eastAsia="zh-CN"/>
              </w:rPr>
              <w:t>S</w:t>
            </w:r>
            <w:r>
              <w:rPr>
                <w:color w:val="auto"/>
                <w:sz w:val="24"/>
                <w:szCs w:val="24"/>
              </w:rPr>
              <w:t>——</w:t>
            </w:r>
            <w:r>
              <w:rPr>
                <w:rFonts w:hint="eastAsia" w:cs="Times New Roman"/>
                <w:color w:val="auto"/>
                <w:sz w:val="24"/>
                <w:lang w:val="en-US" w:eastAsia="zh-CN"/>
              </w:rPr>
              <w:t>净置损耗</w:t>
            </w:r>
            <w:r>
              <w:rPr>
                <w:rFonts w:hint="eastAsia" w:ascii="Times New Roman" w:hAnsi="Times New Roman" w:eastAsia="宋体" w:cs="Times New Roman"/>
                <w:color w:val="auto"/>
                <w:sz w:val="24"/>
                <w:lang w:val="en-US" w:eastAsia="zh-CN"/>
              </w:rPr>
              <w:t>，lb/a；</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cs="Times New Roman"/>
                <w:color w:val="auto"/>
                <w:sz w:val="24"/>
                <w:lang w:val="en-US" w:eastAsia="zh-CN"/>
              </w:rPr>
            </w:pPr>
            <w:r>
              <w:rPr>
                <w:rFonts w:hint="eastAsia" w:cs="Times New Roman"/>
                <w:color w:val="auto"/>
                <w:sz w:val="24"/>
                <w:lang w:val="en-US" w:eastAsia="zh-CN"/>
              </w:rPr>
              <w:t>E</w:t>
            </w:r>
            <w:r>
              <w:rPr>
                <w:rFonts w:hint="eastAsia" w:ascii="Times New Roman" w:hAnsi="Times New Roman" w:eastAsia="宋体" w:cs="Times New Roman"/>
                <w:color w:val="auto"/>
                <w:sz w:val="24"/>
                <w:vertAlign w:val="subscript"/>
                <w:lang w:val="en-US" w:eastAsia="zh-CN"/>
              </w:rPr>
              <w:t>W</w:t>
            </w:r>
            <w:r>
              <w:rPr>
                <w:color w:val="auto"/>
                <w:sz w:val="24"/>
                <w:szCs w:val="24"/>
              </w:rPr>
              <w:t>——</w:t>
            </w:r>
            <w:r>
              <w:rPr>
                <w:rFonts w:hint="eastAsia" w:cs="Times New Roman"/>
                <w:color w:val="auto"/>
                <w:sz w:val="24"/>
                <w:lang w:val="en-US" w:eastAsia="zh-CN"/>
              </w:rPr>
              <w:t>工作</w:t>
            </w:r>
            <w:r>
              <w:rPr>
                <w:rFonts w:hint="eastAsia" w:ascii="Times New Roman" w:hAnsi="Times New Roman" w:eastAsia="宋体" w:cs="Times New Roman"/>
                <w:color w:val="auto"/>
                <w:sz w:val="24"/>
                <w:lang w:val="en-US" w:eastAsia="zh-CN"/>
              </w:rPr>
              <w:t>损耗，lb/a</w:t>
            </w:r>
            <w:r>
              <w:rPr>
                <w:rFonts w:hint="eastAsia" w:cs="Times New Roman"/>
                <w:color w:val="auto"/>
                <w:sz w:val="24"/>
                <w:lang w:val="en-US" w:eastAsia="zh-CN"/>
              </w:rPr>
              <w:t>。</w:t>
            </w:r>
          </w:p>
          <w:p>
            <w:pPr>
              <w:pStyle w:val="2"/>
              <w:rPr>
                <w:rFonts w:hint="default"/>
                <w:color w:val="auto"/>
                <w:lang w:val="en-US" w:eastAsia="zh-CN"/>
              </w:rPr>
            </w:pPr>
            <w:r>
              <w:rPr>
                <w:rFonts w:hint="eastAsia" w:ascii="Times New Roman" w:hAnsi="Times New Roman" w:eastAsia="黑体" w:cs="Times New Roman"/>
                <w:b w:val="0"/>
                <w:bCs w:val="0"/>
                <w:color w:val="auto"/>
                <w:kern w:val="0"/>
                <w:sz w:val="24"/>
                <w:szCs w:val="24"/>
                <w:lang w:val="en-US" w:eastAsia="zh-CN"/>
              </w:rPr>
              <w:drawing>
                <wp:inline distT="0" distB="0" distL="114300" distR="114300">
                  <wp:extent cx="4905375" cy="666750"/>
                  <wp:effectExtent l="0" t="0" r="9525" b="0"/>
                  <wp:docPr id="45" name="图片 45" descr="微信截图_2023022010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微信截图_20230220101648"/>
                          <pic:cNvPicPr>
                            <a:picLocks noChangeAspect="1"/>
                          </pic:cNvPicPr>
                        </pic:nvPicPr>
                        <pic:blipFill>
                          <a:blip r:embed="rId19"/>
                          <a:srcRect l="4097" t="24490" b="39796"/>
                          <a:stretch>
                            <a:fillRect/>
                          </a:stretch>
                        </pic:blipFill>
                        <pic:spPr>
                          <a:xfrm>
                            <a:off x="0" y="0"/>
                            <a:ext cx="4905375" cy="6667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式中：D</w:t>
            </w:r>
            <w:r>
              <w:rPr>
                <w:color w:val="auto"/>
                <w:sz w:val="24"/>
                <w:szCs w:val="24"/>
              </w:rPr>
              <w:t>——</w:t>
            </w:r>
            <w:r>
              <w:rPr>
                <w:rFonts w:hint="eastAsia" w:cs="Times New Roman"/>
                <w:color w:val="auto"/>
                <w:sz w:val="24"/>
                <w:lang w:val="en-US" w:eastAsia="zh-CN"/>
              </w:rPr>
              <w:t>罐径，ft；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default" w:cs="Times New Roman"/>
                <w:color w:val="auto"/>
                <w:sz w:val="24"/>
                <w:lang w:val="en-US" w:eastAsia="zh-CN"/>
              </w:rPr>
            </w:pPr>
            <w:r>
              <w:rPr>
                <w:rFonts w:hint="eastAsia" w:cs="Times New Roman"/>
                <w:color w:val="auto"/>
                <w:sz w:val="24"/>
                <w:lang w:val="en-US" w:eastAsia="zh-CN"/>
              </w:rPr>
              <w:t>H</w:t>
            </w:r>
            <w:r>
              <w:rPr>
                <w:rFonts w:hint="eastAsia" w:cs="Times New Roman"/>
                <w:color w:val="auto"/>
                <w:sz w:val="24"/>
                <w:vertAlign w:val="subscript"/>
                <w:lang w:val="en-US" w:eastAsia="zh-CN"/>
              </w:rPr>
              <w:t>S</w:t>
            </w:r>
            <w:r>
              <w:rPr>
                <w:color w:val="auto"/>
                <w:sz w:val="24"/>
                <w:szCs w:val="24"/>
              </w:rPr>
              <w:t>——</w:t>
            </w:r>
            <w:r>
              <w:rPr>
                <w:rFonts w:hint="eastAsia"/>
                <w:color w:val="auto"/>
                <w:sz w:val="24"/>
                <w:szCs w:val="24"/>
                <w:lang w:eastAsia="zh-CN"/>
              </w:rPr>
              <w:t>罐体高度</w:t>
            </w:r>
            <w:r>
              <w:rPr>
                <w:rFonts w:hint="eastAsia" w:cs="Times New Roman"/>
                <w:color w:val="auto"/>
                <w:sz w:val="24"/>
                <w:lang w:val="en-US" w:eastAsia="zh-CN"/>
              </w:rPr>
              <w:t>，ft；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cs="Times New Roman"/>
                <w:color w:val="auto"/>
                <w:sz w:val="24"/>
                <w:lang w:val="en-US" w:eastAsia="zh-CN"/>
              </w:rPr>
            </w:pPr>
            <w:r>
              <w:rPr>
                <w:rFonts w:hint="eastAsia" w:cs="Times New Roman"/>
                <w:color w:val="auto"/>
                <w:sz w:val="24"/>
                <w:lang w:val="en-US" w:eastAsia="zh-CN"/>
              </w:rPr>
              <w:t>H</w:t>
            </w:r>
            <w:r>
              <w:rPr>
                <w:rFonts w:hint="eastAsia" w:cs="Times New Roman"/>
                <w:color w:val="auto"/>
                <w:sz w:val="24"/>
                <w:vertAlign w:val="subscript"/>
                <w:lang w:val="en-US" w:eastAsia="zh-CN"/>
              </w:rPr>
              <w:t>L</w:t>
            </w:r>
            <w:r>
              <w:rPr>
                <w:color w:val="auto"/>
                <w:sz w:val="24"/>
                <w:szCs w:val="24"/>
              </w:rPr>
              <w:t>——</w:t>
            </w:r>
            <w:r>
              <w:rPr>
                <w:rFonts w:hint="eastAsia"/>
                <w:color w:val="auto"/>
                <w:sz w:val="24"/>
                <w:szCs w:val="24"/>
                <w:lang w:eastAsia="zh-CN"/>
              </w:rPr>
              <w:t>液体高度</w:t>
            </w:r>
            <w:r>
              <w:rPr>
                <w:rFonts w:hint="eastAsia" w:cs="Times New Roman"/>
                <w:color w:val="auto"/>
                <w:sz w:val="24"/>
                <w:lang w:val="en-US" w:eastAsia="zh-CN"/>
              </w:rPr>
              <w:t>，ft；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cs="Times New Roman"/>
                <w:color w:val="auto"/>
                <w:sz w:val="24"/>
                <w:lang w:val="en-US" w:eastAsia="zh-CN"/>
              </w:rPr>
            </w:pPr>
            <w:r>
              <w:rPr>
                <w:rFonts w:hint="eastAsia" w:cs="Times New Roman"/>
                <w:color w:val="auto"/>
                <w:sz w:val="24"/>
                <w:lang w:val="en-US" w:eastAsia="zh-CN"/>
              </w:rPr>
              <w:t>H</w:t>
            </w:r>
            <w:r>
              <w:rPr>
                <w:rFonts w:hint="eastAsia" w:cs="Times New Roman"/>
                <w:color w:val="auto"/>
                <w:sz w:val="24"/>
                <w:vertAlign w:val="subscript"/>
                <w:lang w:val="en-US" w:eastAsia="zh-CN"/>
              </w:rPr>
              <w:t>RO</w:t>
            </w:r>
            <w:r>
              <w:rPr>
                <w:color w:val="auto"/>
                <w:sz w:val="24"/>
                <w:szCs w:val="24"/>
              </w:rPr>
              <w:t>——</w:t>
            </w:r>
            <w:r>
              <w:rPr>
                <w:rFonts w:hint="eastAsia"/>
                <w:color w:val="auto"/>
                <w:sz w:val="24"/>
                <w:szCs w:val="24"/>
                <w:lang w:eastAsia="zh-CN"/>
              </w:rPr>
              <w:t>罐顶计量高度</w:t>
            </w:r>
            <w:r>
              <w:rPr>
                <w:rFonts w:hint="eastAsia" w:cs="Times New Roman"/>
                <w:color w:val="auto"/>
                <w:sz w:val="24"/>
                <w:lang w:val="en-US" w:eastAsia="zh-CN"/>
              </w:rPr>
              <w:t>，ft；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cs="Times New Roman"/>
                <w:color w:val="auto"/>
                <w:sz w:val="24"/>
                <w:lang w:val="en-US" w:eastAsia="zh-CN"/>
              </w:rPr>
            </w:pPr>
            <w:r>
              <w:rPr>
                <w:rFonts w:hint="eastAsia" w:cs="Times New Roman"/>
                <w:color w:val="auto"/>
                <w:sz w:val="24"/>
                <w:lang w:val="en-US" w:eastAsia="zh-CN"/>
              </w:rPr>
              <w:t>W</w:t>
            </w:r>
            <w:r>
              <w:rPr>
                <w:rFonts w:hint="eastAsia" w:cs="Times New Roman"/>
                <w:color w:val="auto"/>
                <w:sz w:val="24"/>
                <w:vertAlign w:val="subscript"/>
                <w:lang w:val="en-US" w:eastAsia="zh-CN"/>
              </w:rPr>
              <w:t>v</w:t>
            </w:r>
            <w:r>
              <w:rPr>
                <w:color w:val="auto"/>
                <w:sz w:val="24"/>
                <w:szCs w:val="24"/>
              </w:rPr>
              <w:t>——</w:t>
            </w:r>
            <w:r>
              <w:rPr>
                <w:rFonts w:hint="eastAsia"/>
                <w:color w:val="auto"/>
                <w:sz w:val="24"/>
                <w:szCs w:val="24"/>
                <w:lang w:val="en-US" w:eastAsia="zh-CN"/>
              </w:rPr>
              <w:t>储藏气相密度，</w:t>
            </w:r>
            <w:r>
              <w:rPr>
                <w:rFonts w:hint="default"/>
                <w:color w:val="auto"/>
                <w:sz w:val="24"/>
                <w:szCs w:val="24"/>
                <w:lang w:val="en-US" w:eastAsia="zh-CN"/>
              </w:rPr>
              <w:t>lb/ft</w:t>
            </w:r>
            <w:r>
              <w:rPr>
                <w:rFonts w:hint="default"/>
                <w:color w:val="auto"/>
                <w:sz w:val="24"/>
                <w:szCs w:val="24"/>
                <w:vertAlign w:val="superscript"/>
                <w:lang w:val="en-US" w:eastAsia="zh-CN"/>
              </w:rPr>
              <w:t>3</w:t>
            </w:r>
            <w:r>
              <w:rPr>
                <w:rFonts w:hint="eastAsia"/>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cs="Times New Roman"/>
                <w:color w:val="auto"/>
                <w:sz w:val="24"/>
                <w:lang w:val="en-US" w:eastAsia="zh-CN"/>
              </w:rPr>
            </w:pPr>
            <w:r>
              <w:rPr>
                <w:rFonts w:hint="default" w:cs="Times New Roman"/>
                <w:color w:val="auto"/>
                <w:sz w:val="24"/>
                <w:lang w:val="en-US" w:eastAsia="zh-CN"/>
              </w:rPr>
              <w:t>K</w:t>
            </w:r>
            <w:r>
              <w:rPr>
                <w:rFonts w:hint="eastAsia" w:cs="Times New Roman"/>
                <w:color w:val="auto"/>
                <w:sz w:val="24"/>
                <w:vertAlign w:val="subscript"/>
                <w:lang w:val="en-US" w:eastAsia="zh-CN"/>
              </w:rPr>
              <w:t>E</w:t>
            </w:r>
            <w:r>
              <w:rPr>
                <w:color w:val="auto"/>
                <w:sz w:val="24"/>
                <w:szCs w:val="24"/>
              </w:rPr>
              <w:t>——</w:t>
            </w:r>
            <w:r>
              <w:rPr>
                <w:rFonts w:hint="eastAsia"/>
                <w:color w:val="auto"/>
                <w:sz w:val="24"/>
                <w:szCs w:val="24"/>
                <w:lang w:val="en-US" w:eastAsia="zh-CN"/>
              </w:rPr>
              <w:t>气相空间膨胀因子，无量纲量；</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ascii="Times New Roman" w:hAnsi="Times New Roman" w:eastAsia="黑体" w:cs="Times New Roman"/>
                <w:b w:val="0"/>
                <w:bCs w:val="0"/>
                <w:color w:val="auto"/>
                <w:kern w:val="0"/>
                <w:sz w:val="24"/>
                <w:szCs w:val="24"/>
                <w:lang w:val="en-US" w:eastAsia="zh-CN"/>
              </w:rPr>
            </w:pPr>
            <w:r>
              <w:rPr>
                <w:rFonts w:hint="default" w:cs="Times New Roman"/>
                <w:color w:val="auto"/>
                <w:sz w:val="24"/>
                <w:lang w:val="en-US" w:eastAsia="zh-CN"/>
              </w:rPr>
              <w:t>K</w:t>
            </w:r>
            <w:r>
              <w:rPr>
                <w:rFonts w:hint="eastAsia" w:cs="Times New Roman"/>
                <w:color w:val="auto"/>
                <w:sz w:val="24"/>
                <w:vertAlign w:val="subscript"/>
                <w:lang w:val="en-US" w:eastAsia="zh-CN"/>
              </w:rPr>
              <w:t>S</w:t>
            </w:r>
            <w:r>
              <w:rPr>
                <w:color w:val="auto"/>
                <w:sz w:val="24"/>
                <w:szCs w:val="24"/>
              </w:rPr>
              <w:t>——</w:t>
            </w:r>
            <w:r>
              <w:rPr>
                <w:rFonts w:hint="eastAsia"/>
                <w:color w:val="auto"/>
                <w:sz w:val="24"/>
                <w:szCs w:val="24"/>
                <w:lang w:val="en-US" w:eastAsia="zh-CN"/>
              </w:rPr>
              <w:t xml:space="preserve">排放蒸汽饱和因子，无量纲量。 </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drawing>
                <wp:inline distT="0" distB="0" distL="114300" distR="114300">
                  <wp:extent cx="5114925" cy="666750"/>
                  <wp:effectExtent l="0" t="0" r="9525" b="0"/>
                  <wp:docPr id="44" name="图片 44" descr="微信截图_2023022010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微信截图_20230220101648"/>
                          <pic:cNvPicPr>
                            <a:picLocks noChangeAspect="1"/>
                          </pic:cNvPicPr>
                        </pic:nvPicPr>
                        <pic:blipFill>
                          <a:blip r:embed="rId19"/>
                          <a:srcRect t="60204" b="4082"/>
                          <a:stretch>
                            <a:fillRect/>
                          </a:stretch>
                        </pic:blipFill>
                        <pic:spPr>
                          <a:xfrm>
                            <a:off x="0" y="0"/>
                            <a:ext cx="5114925" cy="6667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式中：</w:t>
            </w:r>
            <w:r>
              <w:rPr>
                <w:rFonts w:hint="default" w:cs="Times New Roman"/>
                <w:color w:val="auto"/>
                <w:sz w:val="24"/>
                <w:lang w:val="en-US" w:eastAsia="zh-CN"/>
              </w:rPr>
              <w:t>M</w:t>
            </w:r>
            <w:r>
              <w:rPr>
                <w:rFonts w:hint="default" w:cs="Times New Roman"/>
                <w:color w:val="auto"/>
                <w:sz w:val="24"/>
                <w:vertAlign w:val="subscript"/>
                <w:lang w:val="en-US" w:eastAsia="zh-CN"/>
              </w:rPr>
              <w:t>V</w:t>
            </w:r>
            <w:r>
              <w:rPr>
                <w:color w:val="auto"/>
                <w:sz w:val="24"/>
                <w:szCs w:val="24"/>
              </w:rPr>
              <w:t>——</w:t>
            </w:r>
            <w:r>
              <w:rPr>
                <w:rFonts w:hint="eastAsia" w:cs="Times New Roman"/>
                <w:color w:val="auto"/>
                <w:sz w:val="24"/>
                <w:lang w:val="en-US" w:eastAsia="zh-CN"/>
              </w:rPr>
              <w:t>气相分子量，</w:t>
            </w:r>
            <w:r>
              <w:rPr>
                <w:rFonts w:hint="default" w:cs="Times New Roman"/>
                <w:color w:val="auto"/>
                <w:sz w:val="24"/>
                <w:lang w:val="en-US" w:eastAsia="zh-CN"/>
              </w:rPr>
              <w:t>lb/lb-mol</w:t>
            </w:r>
            <w:r>
              <w:rPr>
                <w:rFonts w:hint="eastAsia"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cs="Times New Roman"/>
                <w:color w:val="auto"/>
                <w:sz w:val="24"/>
                <w:lang w:val="en-US" w:eastAsia="zh-CN"/>
              </w:rPr>
            </w:pPr>
            <w:r>
              <w:rPr>
                <w:rFonts w:hint="default" w:cs="Times New Roman"/>
                <w:color w:val="auto"/>
                <w:sz w:val="24"/>
                <w:lang w:val="en-US" w:eastAsia="zh-CN"/>
              </w:rPr>
              <w:t>P</w:t>
            </w:r>
            <w:r>
              <w:rPr>
                <w:rFonts w:hint="default" w:cs="Times New Roman"/>
                <w:color w:val="auto"/>
                <w:sz w:val="24"/>
                <w:vertAlign w:val="subscript"/>
                <w:lang w:val="en-US" w:eastAsia="zh-CN"/>
              </w:rPr>
              <w:t>VA</w:t>
            </w:r>
            <w:r>
              <w:rPr>
                <w:color w:val="auto"/>
                <w:sz w:val="24"/>
                <w:szCs w:val="24"/>
              </w:rPr>
              <w:t>——</w:t>
            </w:r>
            <w:r>
              <w:rPr>
                <w:rFonts w:hint="eastAsia" w:cs="Times New Roman"/>
                <w:color w:val="auto"/>
                <w:sz w:val="24"/>
                <w:lang w:val="en-US" w:eastAsia="zh-CN"/>
              </w:rPr>
              <w:t>真实蒸汽压，</w:t>
            </w:r>
            <w:r>
              <w:rPr>
                <w:rFonts w:hint="default" w:cs="Times New Roman"/>
                <w:color w:val="auto"/>
                <w:sz w:val="24"/>
                <w:lang w:val="en-US" w:eastAsia="zh-CN"/>
              </w:rPr>
              <w:t>psia</w:t>
            </w:r>
            <w:r>
              <w:rPr>
                <w:rFonts w:hint="eastAsia"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default" w:cs="Times New Roman"/>
                <w:color w:val="auto"/>
                <w:sz w:val="24"/>
                <w:lang w:val="en-US" w:eastAsia="zh-CN"/>
              </w:rPr>
            </w:pPr>
            <w:r>
              <w:rPr>
                <w:rFonts w:hint="default" w:cs="Times New Roman"/>
                <w:color w:val="auto"/>
                <w:sz w:val="24"/>
                <w:lang w:val="en-US" w:eastAsia="zh-CN"/>
              </w:rPr>
              <w:t>Q</w:t>
            </w:r>
            <w:r>
              <w:rPr>
                <w:color w:val="auto"/>
                <w:sz w:val="24"/>
                <w:szCs w:val="24"/>
              </w:rPr>
              <w:t>——</w:t>
            </w:r>
            <w:r>
              <w:rPr>
                <w:rFonts w:hint="eastAsia" w:cs="Times New Roman"/>
                <w:color w:val="auto"/>
                <w:sz w:val="24"/>
                <w:lang w:val="en-US" w:eastAsia="zh-CN"/>
              </w:rPr>
              <w:t>年周转量，</w:t>
            </w:r>
            <w:r>
              <w:rPr>
                <w:rFonts w:hint="default" w:cs="Times New Roman"/>
                <w:color w:val="auto"/>
                <w:sz w:val="24"/>
                <w:lang w:val="en-US" w:eastAsia="zh-CN"/>
              </w:rPr>
              <w:t>bbl/a</w:t>
            </w:r>
            <w:r>
              <w:rPr>
                <w:rFonts w:hint="eastAsia"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cs="Times New Roman"/>
                <w:color w:val="auto"/>
                <w:sz w:val="24"/>
                <w:lang w:val="en-US" w:eastAsia="zh-CN"/>
              </w:rPr>
            </w:pPr>
            <w:r>
              <w:rPr>
                <w:rFonts w:hint="default" w:cs="Times New Roman"/>
                <w:color w:val="auto"/>
                <w:sz w:val="24"/>
                <w:lang w:val="en-US" w:eastAsia="zh-CN"/>
              </w:rPr>
              <w:t>K</w:t>
            </w:r>
            <w:r>
              <w:rPr>
                <w:rFonts w:hint="default" w:cs="Times New Roman"/>
                <w:color w:val="auto"/>
                <w:sz w:val="24"/>
                <w:vertAlign w:val="subscript"/>
                <w:lang w:val="en-US" w:eastAsia="zh-CN"/>
              </w:rPr>
              <w:t>P</w:t>
            </w:r>
            <w:r>
              <w:rPr>
                <w:color w:val="auto"/>
                <w:sz w:val="24"/>
                <w:szCs w:val="24"/>
              </w:rPr>
              <w:t>——</w:t>
            </w:r>
            <w:r>
              <w:rPr>
                <w:rFonts w:hint="eastAsia" w:cs="Times New Roman"/>
                <w:color w:val="auto"/>
                <w:sz w:val="24"/>
                <w:lang w:val="en-US" w:eastAsia="zh-CN"/>
              </w:rPr>
              <w:t>工作损耗产品因子，无量纲量；</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cs="Times New Roman"/>
                <w:color w:val="auto"/>
                <w:sz w:val="24"/>
                <w:lang w:val="en-US" w:eastAsia="zh-CN"/>
              </w:rPr>
            </w:pPr>
            <w:r>
              <w:rPr>
                <w:rFonts w:hint="default" w:cs="Times New Roman"/>
                <w:color w:val="auto"/>
                <w:sz w:val="24"/>
                <w:lang w:val="en-US" w:eastAsia="zh-CN"/>
              </w:rPr>
              <w:t>K</w:t>
            </w:r>
            <w:r>
              <w:rPr>
                <w:rFonts w:hint="default" w:cs="Times New Roman"/>
                <w:color w:val="auto"/>
                <w:sz w:val="24"/>
                <w:vertAlign w:val="subscript"/>
                <w:lang w:val="en-US" w:eastAsia="zh-CN"/>
              </w:rPr>
              <w:t>N</w:t>
            </w:r>
            <w:r>
              <w:rPr>
                <w:color w:val="auto"/>
                <w:sz w:val="24"/>
                <w:szCs w:val="24"/>
              </w:rPr>
              <w:t>——</w:t>
            </w:r>
            <w:r>
              <w:rPr>
                <w:rFonts w:hint="eastAsia" w:cs="Times New Roman"/>
                <w:color w:val="auto"/>
                <w:sz w:val="24"/>
                <w:lang w:val="en-US" w:eastAsia="zh-CN"/>
              </w:rPr>
              <w:t>工作排放周转（饱和）因子，无量纲量；</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eastAsia" w:cs="Times New Roman"/>
                <w:color w:val="auto"/>
                <w:sz w:val="24"/>
                <w:lang w:val="en-US" w:eastAsia="zh-CN"/>
              </w:rPr>
            </w:pPr>
            <w:r>
              <w:rPr>
                <w:rFonts w:hint="default" w:cs="Times New Roman"/>
                <w:color w:val="auto"/>
                <w:sz w:val="24"/>
                <w:lang w:val="en-US" w:eastAsia="zh-CN"/>
              </w:rPr>
              <w:t>K</w:t>
            </w:r>
            <w:r>
              <w:rPr>
                <w:rFonts w:hint="default" w:cs="Times New Roman"/>
                <w:color w:val="auto"/>
                <w:sz w:val="24"/>
                <w:vertAlign w:val="subscript"/>
                <w:lang w:val="en-US" w:eastAsia="zh-CN"/>
              </w:rPr>
              <w:t>B</w:t>
            </w:r>
            <w:r>
              <w:rPr>
                <w:color w:val="auto"/>
                <w:sz w:val="24"/>
                <w:szCs w:val="24"/>
              </w:rPr>
              <w:t>——</w:t>
            </w:r>
            <w:r>
              <w:rPr>
                <w:rFonts w:hint="eastAsia" w:cs="Times New Roman"/>
                <w:color w:val="auto"/>
                <w:sz w:val="24"/>
                <w:lang w:val="en-US" w:eastAsia="zh-CN"/>
              </w:rPr>
              <w:t xml:space="preserve">呼吸阀工作校正因子。 </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w:t>
            </w:r>
            <w:r>
              <w:rPr>
                <w:rFonts w:hint="eastAsia" w:eastAsia="黑体" w:cs="Times New Roman"/>
                <w:b w:val="0"/>
                <w:bCs w:val="0"/>
                <w:color w:val="auto"/>
                <w:kern w:val="0"/>
                <w:sz w:val="24"/>
                <w:szCs w:val="24"/>
                <w:lang w:val="en-US" w:eastAsia="zh-CN"/>
              </w:rPr>
              <w:t xml:space="preserve">4-7 </w:t>
            </w:r>
            <w:r>
              <w:rPr>
                <w:rFonts w:hint="eastAsia" w:ascii="Times New Roman" w:hAnsi="Times New Roman" w:eastAsia="黑体" w:cs="Times New Roman"/>
                <w:b w:val="0"/>
                <w:bCs w:val="0"/>
                <w:color w:val="auto"/>
                <w:kern w:val="0"/>
                <w:sz w:val="24"/>
                <w:szCs w:val="24"/>
                <w:lang w:val="en-US" w:eastAsia="zh-CN"/>
              </w:rPr>
              <w:t>本项目罐区储罐废气计算公式各参数确定及产生情况一览表  单位：t/a</w:t>
            </w:r>
          </w:p>
          <w:tbl>
            <w:tblPr>
              <w:tblStyle w:val="26"/>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28" w:type="dxa"/>
                <w:bottom w:w="0" w:type="dxa"/>
                <w:right w:w="28" w:type="dxa"/>
              </w:tblCellMar>
            </w:tblPr>
            <w:tblGrid>
              <w:gridCol w:w="1040"/>
              <w:gridCol w:w="918"/>
              <w:gridCol w:w="898"/>
              <w:gridCol w:w="898"/>
              <w:gridCol w:w="1218"/>
              <w:gridCol w:w="1010"/>
              <w:gridCol w:w="1247"/>
              <w:gridCol w:w="12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cs="Times New Roman"/>
                      <w:b w:val="0"/>
                      <w:bCs w:val="0"/>
                      <w:i w:val="0"/>
                      <w:iCs w:val="0"/>
                      <w:color w:val="auto"/>
                      <w:kern w:val="0"/>
                      <w:sz w:val="21"/>
                      <w:szCs w:val="21"/>
                      <w:highlight w:val="none"/>
                      <w:u w:val="none"/>
                      <w:lang w:val="en-US" w:eastAsia="zh-CN" w:bidi="ar"/>
                    </w:rPr>
                    <w:t>储罐编号</w:t>
                  </w:r>
                </w:p>
              </w:tc>
              <w:tc>
                <w:tcPr>
                  <w:tcW w:w="542"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cs="Times New Roman"/>
                      <w:b w:val="0"/>
                      <w:bCs w:val="0"/>
                      <w:i w:val="0"/>
                      <w:iCs w:val="0"/>
                      <w:color w:val="auto"/>
                      <w:kern w:val="0"/>
                      <w:sz w:val="21"/>
                      <w:szCs w:val="21"/>
                      <w:highlight w:val="none"/>
                      <w:u w:val="none"/>
                      <w:lang w:val="en-US" w:eastAsia="zh-CN" w:bidi="ar"/>
                    </w:rPr>
                    <w:t>物料</w:t>
                  </w:r>
                </w:p>
              </w:tc>
              <w:tc>
                <w:tcPr>
                  <w:tcW w:w="530"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ascii="Times New Roman" w:hAnsi="Times New Roman" w:eastAsia="宋体" w:cs="Times New Roman"/>
                      <w:b w:val="0"/>
                      <w:bCs w:val="0"/>
                      <w:i w:val="0"/>
                      <w:iCs w:val="0"/>
                      <w:color w:val="auto"/>
                      <w:sz w:val="21"/>
                      <w:szCs w:val="21"/>
                      <w:highlight w:val="none"/>
                      <w:u w:val="none"/>
                    </w:rPr>
                    <w:t>密度</w:t>
                  </w:r>
                </w:p>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ascii="Times New Roman" w:hAnsi="Times New Roman" w:eastAsia="宋体" w:cs="Times New Roman"/>
                      <w:b w:val="0"/>
                      <w:bCs w:val="0"/>
                      <w:i w:val="0"/>
                      <w:iCs w:val="0"/>
                      <w:color w:val="auto"/>
                      <w:sz w:val="21"/>
                      <w:szCs w:val="21"/>
                      <w:highlight w:val="none"/>
                      <w:u w:val="none"/>
                    </w:rPr>
                    <w:t>kg/m</w:t>
                  </w:r>
                  <w:r>
                    <w:rPr>
                      <w:rFonts w:hint="eastAsia" w:ascii="Times New Roman" w:hAnsi="Times New Roman" w:eastAsia="宋体" w:cs="Times New Roman"/>
                      <w:b w:val="0"/>
                      <w:bCs w:val="0"/>
                      <w:i w:val="0"/>
                      <w:iCs w:val="0"/>
                      <w:color w:val="auto"/>
                      <w:sz w:val="21"/>
                      <w:szCs w:val="21"/>
                      <w:highlight w:val="none"/>
                      <w:u w:val="none"/>
                      <w:vertAlign w:val="superscript"/>
                    </w:rPr>
                    <w:t>3</w:t>
                  </w:r>
                </w:p>
              </w:tc>
              <w:tc>
                <w:tcPr>
                  <w:tcW w:w="530"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kern w:val="0"/>
                      <w:sz w:val="21"/>
                      <w:szCs w:val="21"/>
                      <w:highlight w:val="none"/>
                      <w:u w:val="none"/>
                      <w:lang w:val="en-US" w:eastAsia="zh-CN" w:bidi="ar"/>
                    </w:rPr>
                    <w:t>容积</w:t>
                  </w:r>
                  <w:r>
                    <w:rPr>
                      <w:rFonts w:hint="default" w:ascii="Times New Roman" w:hAnsi="Times New Roman" w:cs="Times New Roman"/>
                      <w:b w:val="0"/>
                      <w:bCs w:val="0"/>
                      <w:i w:val="0"/>
                      <w:iCs w:val="0"/>
                      <w:color w:val="auto"/>
                      <w:sz w:val="21"/>
                      <w:szCs w:val="21"/>
                      <w:highlight w:val="none"/>
                      <w:u w:val="none"/>
                      <w:lang w:eastAsia="zh-CN"/>
                    </w:rPr>
                    <w:t>m</w:t>
                  </w:r>
                  <w:r>
                    <w:rPr>
                      <w:rFonts w:hint="default" w:ascii="Times New Roman" w:hAnsi="Times New Roman" w:cs="Times New Roman"/>
                      <w:b w:val="0"/>
                      <w:bCs w:val="0"/>
                      <w:i w:val="0"/>
                      <w:iCs w:val="0"/>
                      <w:color w:val="auto"/>
                      <w:sz w:val="21"/>
                      <w:szCs w:val="21"/>
                      <w:highlight w:val="none"/>
                      <w:u w:val="none"/>
                      <w:vertAlign w:val="superscript"/>
                      <w:lang w:eastAsia="zh-CN"/>
                    </w:rPr>
                    <w:t>3</w:t>
                  </w:r>
                </w:p>
              </w:tc>
              <w:tc>
                <w:tcPr>
                  <w:tcW w:w="719"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bidi="ar"/>
                    </w:rPr>
                  </w:pPr>
                  <w:r>
                    <w:rPr>
                      <w:rFonts w:hint="eastAsia" w:ascii="Times New Roman" w:hAnsi="Times New Roman" w:cs="Times New Roman"/>
                      <w:b w:val="0"/>
                      <w:bCs w:val="0"/>
                      <w:i w:val="0"/>
                      <w:iCs w:val="0"/>
                      <w:color w:val="auto"/>
                      <w:kern w:val="0"/>
                      <w:sz w:val="21"/>
                      <w:szCs w:val="21"/>
                      <w:highlight w:val="none"/>
                      <w:u w:val="none"/>
                      <w:lang w:val="en-US" w:eastAsia="zh-CN" w:bidi="ar"/>
                    </w:rPr>
                    <w:t>储罐直径（m）</w:t>
                  </w:r>
                </w:p>
              </w:tc>
              <w:tc>
                <w:tcPr>
                  <w:tcW w:w="5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bidi="ar"/>
                    </w:rPr>
                  </w:pPr>
                  <w:r>
                    <w:rPr>
                      <w:rFonts w:hint="eastAsia" w:ascii="Times New Roman" w:hAnsi="Times New Roman" w:cs="Times New Roman"/>
                      <w:b w:val="0"/>
                      <w:bCs w:val="0"/>
                      <w:i w:val="0"/>
                      <w:iCs w:val="0"/>
                      <w:color w:val="auto"/>
                      <w:kern w:val="0"/>
                      <w:sz w:val="21"/>
                      <w:szCs w:val="21"/>
                      <w:highlight w:val="none"/>
                      <w:u w:val="none"/>
                      <w:lang w:val="en-US" w:eastAsia="zh-CN" w:bidi="ar"/>
                    </w:rPr>
                    <w:t>储罐高度（m）</w:t>
                  </w:r>
                </w:p>
              </w:tc>
              <w:tc>
                <w:tcPr>
                  <w:tcW w:w="732"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Times New Roman" w:hAnsi="Times New Roman" w:cs="Times New Roman"/>
                      <w:b w:val="0"/>
                      <w:bCs w:val="0"/>
                      <w:i w:val="0"/>
                      <w:iCs w:val="0"/>
                      <w:color w:val="auto"/>
                      <w:kern w:val="0"/>
                      <w:sz w:val="21"/>
                      <w:szCs w:val="21"/>
                      <w:highlight w:val="none"/>
                      <w:u w:val="none"/>
                      <w:lang w:val="en-US" w:eastAsia="zh-CN" w:bidi="ar"/>
                    </w:rPr>
                  </w:pPr>
                  <w:r>
                    <w:rPr>
                      <w:rFonts w:hint="eastAsia" w:ascii="Times New Roman" w:hAnsi="Times New Roman" w:cs="Times New Roman"/>
                      <w:b w:val="0"/>
                      <w:bCs w:val="0"/>
                      <w:i w:val="0"/>
                      <w:iCs w:val="0"/>
                      <w:color w:val="auto"/>
                      <w:kern w:val="0"/>
                      <w:sz w:val="21"/>
                      <w:szCs w:val="21"/>
                      <w:highlight w:val="none"/>
                      <w:u w:val="none"/>
                      <w:lang w:val="en-US" w:eastAsia="zh-CN" w:bidi="ar"/>
                    </w:rPr>
                    <w:t>装载量</w:t>
                  </w:r>
                </w:p>
                <w:p>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bidi="ar"/>
                    </w:rPr>
                  </w:pPr>
                  <w:r>
                    <w:rPr>
                      <w:rFonts w:hint="eastAsia" w:ascii="Times New Roman" w:hAnsi="Times New Roman" w:cs="Times New Roman"/>
                      <w:b w:val="0"/>
                      <w:bCs w:val="0"/>
                      <w:i w:val="0"/>
                      <w:iCs w:val="0"/>
                      <w:color w:val="auto"/>
                      <w:kern w:val="0"/>
                      <w:sz w:val="21"/>
                      <w:szCs w:val="21"/>
                      <w:highlight w:val="none"/>
                      <w:u w:val="none"/>
                      <w:lang w:val="en-US" w:eastAsia="zh-CN" w:bidi="ar"/>
                    </w:rPr>
                    <w:t>t/a</w:t>
                  </w:r>
                </w:p>
              </w:tc>
              <w:tc>
                <w:tcPr>
                  <w:tcW w:w="732"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bidi="ar"/>
                    </w:rPr>
                  </w:pPr>
                  <w:r>
                    <w:rPr>
                      <w:rFonts w:hint="eastAsia" w:ascii="Times New Roman" w:hAnsi="Times New Roman" w:cs="Times New Roman"/>
                      <w:b w:val="0"/>
                      <w:bCs w:val="0"/>
                      <w:i w:val="0"/>
                      <w:iCs w:val="0"/>
                      <w:color w:val="auto"/>
                      <w:kern w:val="0"/>
                      <w:sz w:val="21"/>
                      <w:szCs w:val="21"/>
                      <w:highlight w:val="none"/>
                      <w:u w:val="none"/>
                      <w:lang w:val="en-US" w:eastAsia="zh-CN" w:bidi="ar"/>
                    </w:rPr>
                    <w:t>VOCs</w:t>
                  </w:r>
                  <w:r>
                    <w:rPr>
                      <w:rFonts w:hint="eastAsia" w:cs="Times New Roman"/>
                      <w:b w:val="0"/>
                      <w:bCs w:val="0"/>
                      <w:i w:val="0"/>
                      <w:iCs w:val="0"/>
                      <w:color w:val="auto"/>
                      <w:kern w:val="0"/>
                      <w:sz w:val="21"/>
                      <w:szCs w:val="21"/>
                      <w:highlight w:val="none"/>
                      <w:u w:val="none"/>
                      <w:lang w:val="en-US" w:eastAsia="zh-CN" w:bidi="ar"/>
                    </w:rPr>
                    <w:t>产生量</w:t>
                  </w:r>
                  <w:r>
                    <w:rPr>
                      <w:rFonts w:hint="eastAsia" w:ascii="Times New Roman" w:hAnsi="Times New Roman" w:cs="Times New Roman"/>
                      <w:b w:val="0"/>
                      <w:bCs w:val="0"/>
                      <w:i w:val="0"/>
                      <w:iCs w:val="0"/>
                      <w:color w:val="auto"/>
                      <w:kern w:val="0"/>
                      <w:sz w:val="21"/>
                      <w:szCs w:val="21"/>
                      <w:highlight w:val="none"/>
                      <w:u w:val="none"/>
                      <w:lang w:val="en-US" w:eastAsia="zh-CN" w:bidi="ar"/>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V1001A</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柴油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840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10000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28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20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30240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0.89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V1001B</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柴油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840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10000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28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20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30240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0.89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V1001C</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柴油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840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10000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28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20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30240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0.89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V1001D</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柴油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840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10000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28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20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30240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0.89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V1002A</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汽油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750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10000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sz w:val="21"/>
                      <w:szCs w:val="21"/>
                      <w:highlight w:val="none"/>
                      <w:u w:val="none"/>
                      <w:lang w:val="en-US" w:eastAsia="zh-CN"/>
                    </w:rPr>
                    <w:t>28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20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27000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kern w:val="2"/>
                      <w:sz w:val="21"/>
                      <w:szCs w:val="21"/>
                      <w:highlight w:val="none"/>
                      <w:u w:val="none"/>
                      <w:lang w:val="en-US" w:eastAsia="zh-CN" w:bidi="ar-SA"/>
                    </w:rPr>
                    <w:t>5.</w:t>
                  </w:r>
                  <w:r>
                    <w:rPr>
                      <w:rFonts w:hint="eastAsia" w:cs="Times New Roman"/>
                      <w:b w:val="0"/>
                      <w:bCs w:val="0"/>
                      <w:i w:val="0"/>
                      <w:iCs w:val="0"/>
                      <w:color w:val="auto"/>
                      <w:kern w:val="2"/>
                      <w:sz w:val="21"/>
                      <w:szCs w:val="21"/>
                      <w:highlight w:val="none"/>
                      <w:u w:val="none"/>
                      <w:lang w:val="en-US" w:eastAsia="zh-CN" w:bidi="ar-SA"/>
                    </w:rPr>
                    <w:t>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V1002B</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汽油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750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10000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28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20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27000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kern w:val="2"/>
                      <w:sz w:val="21"/>
                      <w:szCs w:val="21"/>
                      <w:highlight w:val="none"/>
                      <w:u w:val="none"/>
                      <w:lang w:val="en-US" w:eastAsia="zh-CN" w:bidi="ar-SA"/>
                    </w:rPr>
                    <w:t>5.</w:t>
                  </w:r>
                  <w:r>
                    <w:rPr>
                      <w:rFonts w:hint="eastAsia" w:cs="Times New Roman"/>
                      <w:b w:val="0"/>
                      <w:bCs w:val="0"/>
                      <w:i w:val="0"/>
                      <w:iCs w:val="0"/>
                      <w:color w:val="auto"/>
                      <w:kern w:val="2"/>
                      <w:sz w:val="21"/>
                      <w:szCs w:val="21"/>
                      <w:highlight w:val="none"/>
                      <w:u w:val="none"/>
                      <w:lang w:val="en-US" w:eastAsia="zh-CN" w:bidi="ar-SA"/>
                    </w:rPr>
                    <w:t>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V2001A</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甲醇</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791</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4</w:t>
                  </w:r>
                  <w:r>
                    <w:rPr>
                      <w:rFonts w:hint="default" w:ascii="Times New Roman" w:hAnsi="Times New Roman" w:cs="Times New Roman"/>
                      <w:b w:val="0"/>
                      <w:bCs w:val="0"/>
                      <w:i w:val="0"/>
                      <w:iCs w:val="0"/>
                      <w:color w:val="auto"/>
                      <w:sz w:val="21"/>
                      <w:szCs w:val="21"/>
                      <w:highlight w:val="none"/>
                      <w:u w:val="none"/>
                      <w:lang w:eastAsia="zh-CN"/>
                    </w:rPr>
                    <w:t>000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1</w:t>
                  </w:r>
                  <w:r>
                    <w:rPr>
                      <w:rFonts w:hint="default" w:ascii="Times New Roman" w:hAnsi="Times New Roman" w:cs="Times New Roman"/>
                      <w:b w:val="0"/>
                      <w:bCs w:val="0"/>
                      <w:i w:val="0"/>
                      <w:iCs w:val="0"/>
                      <w:color w:val="auto"/>
                      <w:sz w:val="21"/>
                      <w:szCs w:val="21"/>
                      <w:highlight w:val="none"/>
                      <w:u w:val="none"/>
                      <w:lang w:eastAsia="zh-CN"/>
                    </w:rPr>
                    <w:t>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18</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11390.4</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kern w:val="2"/>
                      <w:sz w:val="21"/>
                      <w:szCs w:val="21"/>
                      <w:highlight w:val="none"/>
                      <w:u w:val="none"/>
                      <w:lang w:val="en-US" w:eastAsia="zh-CN" w:bidi="ar-SA"/>
                    </w:rPr>
                    <w:t>0.16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V2001B</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甲醇</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791</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4</w:t>
                  </w:r>
                  <w:r>
                    <w:rPr>
                      <w:rFonts w:hint="default" w:ascii="Times New Roman" w:hAnsi="Times New Roman" w:cs="Times New Roman"/>
                      <w:b w:val="0"/>
                      <w:bCs w:val="0"/>
                      <w:i w:val="0"/>
                      <w:iCs w:val="0"/>
                      <w:color w:val="auto"/>
                      <w:sz w:val="21"/>
                      <w:szCs w:val="21"/>
                      <w:highlight w:val="none"/>
                      <w:u w:val="none"/>
                      <w:lang w:eastAsia="zh-CN"/>
                    </w:rPr>
                    <w:t>000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1</w:t>
                  </w:r>
                  <w:r>
                    <w:rPr>
                      <w:rFonts w:hint="default" w:ascii="Times New Roman" w:hAnsi="Times New Roman" w:cs="Times New Roman"/>
                      <w:b w:val="0"/>
                      <w:bCs w:val="0"/>
                      <w:i w:val="0"/>
                      <w:iCs w:val="0"/>
                      <w:color w:val="auto"/>
                      <w:sz w:val="21"/>
                      <w:szCs w:val="21"/>
                      <w:highlight w:val="none"/>
                      <w:u w:val="none"/>
                      <w:lang w:eastAsia="zh-CN"/>
                    </w:rPr>
                    <w:t>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18</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11390.4</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0.16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V2001C</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甲醇</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791</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4</w:t>
                  </w:r>
                  <w:r>
                    <w:rPr>
                      <w:rFonts w:hint="default" w:ascii="Times New Roman" w:hAnsi="Times New Roman" w:cs="Times New Roman"/>
                      <w:b w:val="0"/>
                      <w:bCs w:val="0"/>
                      <w:i w:val="0"/>
                      <w:iCs w:val="0"/>
                      <w:color w:val="auto"/>
                      <w:sz w:val="21"/>
                      <w:szCs w:val="21"/>
                      <w:highlight w:val="none"/>
                      <w:u w:val="none"/>
                      <w:lang w:eastAsia="zh-CN"/>
                    </w:rPr>
                    <w:t>000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1</w:t>
                  </w:r>
                  <w:r>
                    <w:rPr>
                      <w:rFonts w:hint="default" w:ascii="Times New Roman" w:hAnsi="Times New Roman" w:cs="Times New Roman"/>
                      <w:b w:val="0"/>
                      <w:bCs w:val="0"/>
                      <w:i w:val="0"/>
                      <w:iCs w:val="0"/>
                      <w:color w:val="auto"/>
                      <w:sz w:val="21"/>
                      <w:szCs w:val="21"/>
                      <w:highlight w:val="none"/>
                      <w:u w:val="none"/>
                      <w:lang w:eastAsia="zh-CN"/>
                    </w:rPr>
                    <w:t>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18</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11390.4</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0.16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V2002A</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2"/>
                      <w:sz w:val="21"/>
                      <w:szCs w:val="21"/>
                      <w:highlight w:val="none"/>
                      <w:u w:val="none"/>
                      <w:lang w:val="en-US" w:eastAsia="zh-CN" w:bidi="ar-SA"/>
                    </w:rPr>
                    <w:t>汽油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kern w:val="2"/>
                      <w:sz w:val="21"/>
                      <w:szCs w:val="21"/>
                      <w:highlight w:val="none"/>
                      <w:u w:val="none"/>
                      <w:lang w:val="en-US" w:eastAsia="zh-CN" w:bidi="ar-SA"/>
                    </w:rPr>
                    <w:t>750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2"/>
                      <w:sz w:val="21"/>
                      <w:szCs w:val="21"/>
                      <w:highlight w:val="none"/>
                      <w:u w:val="none"/>
                      <w:lang w:val="en-US" w:eastAsia="zh-CN" w:bidi="ar-SA"/>
                    </w:rPr>
                    <w:t>4000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2"/>
                      <w:sz w:val="21"/>
                      <w:szCs w:val="21"/>
                      <w:highlight w:val="none"/>
                      <w:u w:val="none"/>
                      <w:lang w:val="en-US" w:eastAsia="zh-CN" w:bidi="ar-SA"/>
                    </w:rPr>
                    <w:t>18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2"/>
                      <w:sz w:val="21"/>
                      <w:szCs w:val="21"/>
                      <w:highlight w:val="none"/>
                      <w:u w:val="none"/>
                      <w:lang w:val="en-US" w:eastAsia="zh-CN" w:bidi="ar-SA"/>
                    </w:rPr>
                    <w:t>18</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kern w:val="2"/>
                      <w:sz w:val="21"/>
                      <w:szCs w:val="21"/>
                      <w:highlight w:val="none"/>
                      <w:u w:val="none"/>
                      <w:lang w:val="en-US" w:eastAsia="zh-CN" w:bidi="ar-SA"/>
                    </w:rPr>
                    <w:t>10800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kern w:val="2"/>
                      <w:sz w:val="21"/>
                      <w:szCs w:val="21"/>
                      <w:highlight w:val="none"/>
                      <w:u w:val="none"/>
                      <w:lang w:val="en-US" w:eastAsia="zh-CN" w:bidi="ar-SA"/>
                    </w:rPr>
                    <w:t>2.39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V2002B</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2"/>
                      <w:sz w:val="21"/>
                      <w:szCs w:val="21"/>
                      <w:highlight w:val="none"/>
                      <w:u w:val="none"/>
                      <w:lang w:val="en-US" w:eastAsia="zh-CN" w:bidi="ar-SA"/>
                    </w:rPr>
                    <w:t>汽油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kern w:val="2"/>
                      <w:sz w:val="21"/>
                      <w:szCs w:val="21"/>
                      <w:highlight w:val="none"/>
                      <w:u w:val="none"/>
                      <w:lang w:val="en-US" w:eastAsia="zh-CN" w:bidi="ar-SA"/>
                    </w:rPr>
                    <w:t>750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2"/>
                      <w:sz w:val="21"/>
                      <w:szCs w:val="21"/>
                      <w:highlight w:val="none"/>
                      <w:u w:val="none"/>
                      <w:lang w:val="en-US" w:eastAsia="zh-CN" w:bidi="ar-SA"/>
                    </w:rPr>
                    <w:t>4000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2"/>
                      <w:sz w:val="21"/>
                      <w:szCs w:val="21"/>
                      <w:highlight w:val="none"/>
                      <w:u w:val="none"/>
                      <w:lang w:val="en-US" w:eastAsia="zh-CN" w:bidi="ar-SA"/>
                    </w:rPr>
                    <w:t>18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kern w:val="2"/>
                      <w:sz w:val="21"/>
                      <w:szCs w:val="21"/>
                      <w:highlight w:val="none"/>
                      <w:u w:val="none"/>
                      <w:lang w:val="en-US" w:eastAsia="zh-CN" w:bidi="ar-SA"/>
                    </w:rPr>
                    <w:t>18</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kern w:val="2"/>
                      <w:sz w:val="21"/>
                      <w:szCs w:val="21"/>
                      <w:highlight w:val="none"/>
                      <w:u w:val="none"/>
                      <w:lang w:val="en-US" w:eastAsia="zh-CN" w:bidi="ar-SA"/>
                    </w:rPr>
                    <w:t>10800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kern w:val="2"/>
                      <w:sz w:val="21"/>
                      <w:szCs w:val="21"/>
                      <w:highlight w:val="none"/>
                      <w:u w:val="none"/>
                      <w:lang w:val="en-US" w:eastAsia="zh-CN" w:bidi="ar-SA"/>
                    </w:rPr>
                    <w:t>2.39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V2002C</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eastAsia="zh-CN"/>
                    </w:rPr>
                    <w:t>汽油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750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sz w:val="21"/>
                      <w:szCs w:val="21"/>
                      <w:highlight w:val="none"/>
                      <w:u w:val="none"/>
                      <w:lang w:val="en-US" w:eastAsia="zh-CN"/>
                    </w:rPr>
                    <w:t>2</w:t>
                  </w:r>
                  <w:r>
                    <w:rPr>
                      <w:rFonts w:hint="default" w:ascii="Times New Roman" w:hAnsi="Times New Roman" w:cs="Times New Roman"/>
                      <w:b w:val="0"/>
                      <w:bCs w:val="0"/>
                      <w:i w:val="0"/>
                      <w:iCs w:val="0"/>
                      <w:color w:val="auto"/>
                      <w:sz w:val="21"/>
                      <w:szCs w:val="21"/>
                      <w:highlight w:val="none"/>
                      <w:u w:val="none"/>
                      <w:lang w:eastAsia="zh-CN"/>
                    </w:rPr>
                    <w:t>000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1</w:t>
                  </w:r>
                  <w:r>
                    <w:rPr>
                      <w:rFonts w:hint="eastAsia" w:cs="Times New Roman"/>
                      <w:b w:val="0"/>
                      <w:bCs w:val="0"/>
                      <w:i w:val="0"/>
                      <w:iCs w:val="0"/>
                      <w:color w:val="auto"/>
                      <w:sz w:val="21"/>
                      <w:szCs w:val="21"/>
                      <w:highlight w:val="none"/>
                      <w:u w:val="none"/>
                      <w:lang w:val="en-US" w:eastAsia="zh-CN"/>
                    </w:rPr>
                    <w:t>4</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w:t>
                  </w:r>
                  <w:r>
                    <w:rPr>
                      <w:rFonts w:hint="eastAsia" w:cs="Times New Roman"/>
                      <w:b w:val="0"/>
                      <w:bCs w:val="0"/>
                      <w:i w:val="0"/>
                      <w:iCs w:val="0"/>
                      <w:color w:val="auto"/>
                      <w:sz w:val="21"/>
                      <w:szCs w:val="21"/>
                      <w:highlight w:val="none"/>
                      <w:u w:val="none"/>
                      <w:lang w:val="en-US" w:eastAsia="zh-CN"/>
                    </w:rPr>
                    <w:t>4.</w:t>
                  </w:r>
                  <w:r>
                    <w:rPr>
                      <w:rFonts w:hint="default" w:ascii="Times New Roman" w:hAnsi="Times New Roman" w:cs="Times New Roman"/>
                      <w:b w:val="0"/>
                      <w:bCs w:val="0"/>
                      <w:i w:val="0"/>
                      <w:iCs w:val="0"/>
                      <w:color w:val="auto"/>
                      <w:sz w:val="21"/>
                      <w:szCs w:val="21"/>
                      <w:highlight w:val="none"/>
                      <w:u w:val="none"/>
                      <w:lang w:val="en-US" w:eastAsia="zh-CN"/>
                    </w:rPr>
                    <w:t>8</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10800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kern w:val="2"/>
                      <w:sz w:val="21"/>
                      <w:szCs w:val="21"/>
                      <w:highlight w:val="none"/>
                      <w:u w:val="none"/>
                      <w:lang w:val="en-US" w:eastAsia="zh-CN" w:bidi="ar-SA"/>
                    </w:rPr>
                    <w:t>1.49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V3001A</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eastAsia="zh-CN"/>
                    </w:rPr>
                    <w:t>汽油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750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5</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sz w:val="21"/>
                      <w:szCs w:val="21"/>
                      <w:highlight w:val="none"/>
                      <w:u w:val="none"/>
                      <w:lang w:val="en-US" w:eastAsia="zh-CN"/>
                    </w:rPr>
                    <w:t>12</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1350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kern w:val="2"/>
                      <w:sz w:val="21"/>
                      <w:szCs w:val="21"/>
                      <w:highlight w:val="none"/>
                      <w:u w:val="none"/>
                      <w:lang w:val="en-US" w:eastAsia="zh-CN" w:bidi="ar-SA"/>
                    </w:rPr>
                    <w:t>0.34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V3001B</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汽油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750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5</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sz w:val="21"/>
                      <w:szCs w:val="21"/>
                      <w:highlight w:val="none"/>
                      <w:u w:val="none"/>
                      <w:lang w:val="en-US" w:eastAsia="zh-CN"/>
                    </w:rPr>
                    <w:t>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sz w:val="21"/>
                      <w:szCs w:val="21"/>
                      <w:highlight w:val="none"/>
                      <w:u w:val="none"/>
                      <w:lang w:val="en-US" w:eastAsia="zh-CN"/>
                    </w:rPr>
                    <w:t>12</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1350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kern w:val="2"/>
                      <w:sz w:val="21"/>
                      <w:szCs w:val="21"/>
                      <w:highlight w:val="none"/>
                      <w:u w:val="none"/>
                      <w:lang w:val="en-US" w:eastAsia="zh-CN" w:bidi="ar-SA"/>
                    </w:rPr>
                    <w:t>0.34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V3002A</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汽油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750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20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14</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14.8</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5400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V3002B</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汽油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750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20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14</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14.8</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5400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V3002C</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汽油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750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20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14</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14.8</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5400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eastAsia" w:cs="Times New Roman"/>
                      <w:b w:val="0"/>
                      <w:bCs w:val="0"/>
                      <w:i w:val="0"/>
                      <w:iCs w:val="0"/>
                      <w:color w:val="auto"/>
                      <w:sz w:val="21"/>
                      <w:szCs w:val="21"/>
                      <w:highlight w:val="none"/>
                      <w:u w:val="none"/>
                      <w:lang w:val="en-US" w:eastAsia="zh-CN"/>
                    </w:rPr>
                    <w:t>V4001A</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石脑油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700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12600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kern w:val="2"/>
                      <w:sz w:val="21"/>
                      <w:szCs w:val="21"/>
                      <w:highlight w:val="none"/>
                      <w:u w:val="none"/>
                      <w:lang w:val="en-US" w:eastAsia="zh-CN" w:bidi="ar-SA"/>
                    </w:rPr>
                    <w:t>2.19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V4001B</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石脑油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700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12600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2.19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V4001C</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石脑油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700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12600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2.19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V4001D</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石脑油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700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12600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2.19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V4001E</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石脑油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700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12600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2.19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V4001F</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石脑油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700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12600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2.19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V4001G</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石脑油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700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12600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2.19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V4001H</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石脑油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700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12600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2.19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V4002</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eastAsia="zh-CN"/>
                    </w:rPr>
                    <w:t>柴油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840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190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38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20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57456</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kern w:val="2"/>
                      <w:sz w:val="21"/>
                      <w:szCs w:val="21"/>
                      <w:highlight w:val="none"/>
                      <w:u w:val="none"/>
                      <w:lang w:val="en-US" w:eastAsia="zh-CN" w:bidi="ar-SA"/>
                    </w:rPr>
                    <w:t>1.46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sz w:val="21"/>
                      <w:szCs w:val="21"/>
                      <w:highlight w:val="none"/>
                      <w:u w:val="none"/>
                      <w:lang w:val="en-US" w:eastAsia="zh-CN"/>
                    </w:rPr>
                    <w:t>V5001A</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eastAsia="zh-CN"/>
                    </w:rPr>
                    <w:t>汽油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750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val="en-US" w:eastAsia="zh-CN"/>
                    </w:rPr>
                    <w:t>5</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12</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1350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kern w:val="2"/>
                      <w:sz w:val="21"/>
                      <w:szCs w:val="21"/>
                      <w:highlight w:val="none"/>
                      <w:u w:val="none"/>
                      <w:lang w:val="en-US" w:eastAsia="zh-CN" w:bidi="ar-SA"/>
                    </w:rPr>
                    <w:t>0.34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sz w:val="21"/>
                      <w:szCs w:val="21"/>
                      <w:highlight w:val="none"/>
                      <w:u w:val="none"/>
                      <w:lang w:val="en-US" w:eastAsia="zh-CN"/>
                    </w:rPr>
                    <w:t>V5001B</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eastAsia="zh-CN"/>
                    </w:rPr>
                    <w:t>汽油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750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5</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8</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12</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1350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kern w:val="2"/>
                      <w:sz w:val="21"/>
                      <w:szCs w:val="21"/>
                      <w:highlight w:val="none"/>
                      <w:u w:val="none"/>
                      <w:lang w:val="en-US" w:eastAsia="zh-CN" w:bidi="ar-SA"/>
                    </w:rPr>
                    <w:t>0.34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sz w:val="21"/>
                      <w:szCs w:val="21"/>
                      <w:highlight w:val="none"/>
                      <w:u w:val="none"/>
                      <w:lang w:val="en-US" w:eastAsia="zh-CN"/>
                    </w:rPr>
                    <w:t>V6001</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沥青</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1200</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21600</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kern w:val="2"/>
                      <w:sz w:val="21"/>
                      <w:szCs w:val="21"/>
                      <w:highlight w:val="none"/>
                      <w:u w:val="none"/>
                      <w:lang w:val="en-US" w:eastAsia="zh-CN" w:bidi="ar-SA"/>
                    </w:rPr>
                    <w:t>0.08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sz w:val="21"/>
                      <w:szCs w:val="21"/>
                      <w:highlight w:val="none"/>
                      <w:u w:val="none"/>
                      <w:lang w:val="en-US" w:eastAsia="zh-CN"/>
                    </w:rPr>
                    <w:t>V6002A</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重油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992</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17856</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kern w:val="2"/>
                      <w:sz w:val="21"/>
                      <w:szCs w:val="21"/>
                      <w:highlight w:val="none"/>
                      <w:u w:val="none"/>
                      <w:lang w:val="en-US" w:eastAsia="zh-CN" w:bidi="ar-SA"/>
                    </w:rPr>
                    <w:t>0.23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V6002B</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重油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992</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17856</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0.23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V6002C</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重油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992</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17856</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0.23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V6002D</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重油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992</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17856</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0.23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V6003A</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渣油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781</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14058</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0.08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V6003B</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渣油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781</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14058</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0.08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V6003C</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渣油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781</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14058</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kern w:val="2"/>
                      <w:sz w:val="21"/>
                      <w:szCs w:val="21"/>
                      <w:highlight w:val="none"/>
                      <w:u w:val="none"/>
                      <w:lang w:val="en-US" w:eastAsia="zh-CN" w:bidi="ar-SA"/>
                    </w:rPr>
                    <w:t>0.08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61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V6003D</w:t>
                  </w:r>
                </w:p>
              </w:tc>
              <w:tc>
                <w:tcPr>
                  <w:tcW w:w="54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eastAsia="zh-CN"/>
                    </w:rPr>
                  </w:pPr>
                  <w:r>
                    <w:rPr>
                      <w:rFonts w:hint="default" w:ascii="Times New Roman" w:hAnsi="Times New Roman" w:cs="Times New Roman"/>
                      <w:b w:val="0"/>
                      <w:bCs w:val="0"/>
                      <w:i w:val="0"/>
                      <w:iCs w:val="0"/>
                      <w:color w:val="auto"/>
                      <w:sz w:val="21"/>
                      <w:szCs w:val="21"/>
                      <w:highlight w:val="none"/>
                      <w:u w:val="none"/>
                      <w:lang w:eastAsia="zh-CN"/>
                    </w:rPr>
                    <w:t>渣油</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781</w:t>
                  </w:r>
                </w:p>
              </w:tc>
              <w:tc>
                <w:tcPr>
                  <w:tcW w:w="53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sz w:val="21"/>
                      <w:szCs w:val="21"/>
                      <w:highlight w:val="none"/>
                      <w:u w:val="none"/>
                      <w:lang w:val="en-US" w:eastAsia="zh-CN"/>
                    </w:rPr>
                    <w:t>50</w:t>
                  </w:r>
                  <w:r>
                    <w:rPr>
                      <w:rFonts w:hint="default" w:ascii="Times New Roman" w:hAnsi="Times New Roman" w:cs="Times New Roman"/>
                      <w:b w:val="0"/>
                      <w:bCs w:val="0"/>
                      <w:i w:val="0"/>
                      <w:iCs w:val="0"/>
                      <w:color w:val="auto"/>
                      <w:sz w:val="21"/>
                      <w:szCs w:val="21"/>
                      <w:highlight w:val="none"/>
                      <w:u w:val="none"/>
                      <w:lang w:eastAsia="zh-CN"/>
                    </w:rPr>
                    <w:t>00</w:t>
                  </w:r>
                </w:p>
              </w:tc>
              <w:tc>
                <w:tcPr>
                  <w:tcW w:w="71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22</w:t>
                  </w:r>
                </w:p>
              </w:tc>
              <w:tc>
                <w:tcPr>
                  <w:tcW w:w="59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cs="Times New Roman"/>
                      <w:b w:val="0"/>
                      <w:bCs w:val="0"/>
                      <w:i w:val="0"/>
                      <w:iCs w:val="0"/>
                      <w:color w:val="auto"/>
                      <w:sz w:val="21"/>
                      <w:szCs w:val="21"/>
                      <w:highlight w:val="none"/>
                      <w:u w:val="none"/>
                      <w:lang w:val="en-US" w:eastAsia="zh-CN"/>
                    </w:rPr>
                    <w:t>14.5</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14058</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kern w:val="2"/>
                      <w:sz w:val="21"/>
                      <w:szCs w:val="21"/>
                      <w:highlight w:val="none"/>
                      <w:u w:val="none"/>
                      <w:lang w:val="en-US" w:eastAsia="zh-CN" w:bidi="ar-SA"/>
                    </w:rPr>
                    <w:t>0.08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267" w:type="pct"/>
                  <w:gridSpan w:val="7"/>
                  <w:tcBorders>
                    <w:tl2br w:val="nil"/>
                    <w:tr2bl w:val="nil"/>
                  </w:tcBorders>
                  <w:shd w:val="clear" w:color="auto" w:fill="auto"/>
                  <w:noWrap/>
                  <w:vAlign w:val="center"/>
                </w:tcPr>
                <w:p>
                  <w:pPr>
                    <w:keepNext w:val="0"/>
                    <w:keepLines w:val="0"/>
                    <w:widowControl/>
                    <w:suppressLineNumbers w:val="0"/>
                    <w:jc w:val="center"/>
                    <w:textAlignment w:val="center"/>
                    <w:rPr>
                      <w:rFonts w:hint="eastAsia"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合计</w:t>
                  </w:r>
                </w:p>
              </w:tc>
              <w:tc>
                <w:tcPr>
                  <w:tcW w:w="73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b w:val="0"/>
                      <w:bCs w:val="0"/>
                      <w:i w:val="0"/>
                      <w:iCs w:val="0"/>
                      <w:color w:val="auto"/>
                      <w:kern w:val="2"/>
                      <w:sz w:val="21"/>
                      <w:szCs w:val="21"/>
                      <w:highlight w:val="none"/>
                      <w:u w:val="none"/>
                      <w:lang w:val="en-US" w:eastAsia="zh-CN" w:bidi="ar-SA"/>
                    </w:rPr>
                  </w:pPr>
                  <w:r>
                    <w:rPr>
                      <w:rFonts w:hint="eastAsia" w:cs="Times New Roman"/>
                      <w:b w:val="0"/>
                      <w:bCs w:val="0"/>
                      <w:i w:val="0"/>
                      <w:iCs w:val="0"/>
                      <w:color w:val="auto"/>
                      <w:kern w:val="2"/>
                      <w:sz w:val="21"/>
                      <w:szCs w:val="21"/>
                      <w:highlight w:val="none"/>
                      <w:u w:val="none"/>
                      <w:lang w:val="en-US" w:eastAsia="zh-CN" w:bidi="ar-SA"/>
                    </w:rPr>
                    <w:t>47.34</w:t>
                  </w:r>
                </w:p>
              </w:tc>
            </w:tr>
          </w:tbl>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备注：</w:t>
            </w:r>
            <w:r>
              <w:rPr>
                <w:rFonts w:hint="default" w:ascii="Times New Roman" w:hAnsi="Times New Roman" w:eastAsia="宋体" w:cs="Times New Roman"/>
                <w:color w:val="auto"/>
                <w:sz w:val="24"/>
                <w:lang w:val="en-US" w:eastAsia="zh-CN"/>
              </w:rPr>
              <w:t>该项目涉及的物料沥青不属于易挥发物质。项目储存沥青，储罐加热温度一般在40-50℃，不会产生沥青烟及苯并芘（沥青烟就是沥青加热和含沥青物质的燃烧产生的气溶胶和蒸气，一般是沥青混合料加热到150℃容易产生，本项目不涉及拌和过程且加热温度较低，因此储存过程不考虑沥青烟），大小呼吸废气主要成分为VOCs。</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eastAsia" w:cs="Times New Roman"/>
                <w:color w:val="auto"/>
                <w:sz w:val="24"/>
                <w:lang w:val="en-US" w:eastAsia="zh-CN"/>
              </w:rPr>
              <w:t>②</w:t>
            </w:r>
            <w:r>
              <w:rPr>
                <w:rFonts w:hint="eastAsia" w:ascii="Times New Roman" w:hAnsi="Times New Roman" w:eastAsia="宋体" w:cs="Times New Roman"/>
                <w:color w:val="auto"/>
                <w:sz w:val="24"/>
                <w:lang w:val="en-US" w:eastAsia="zh-CN"/>
              </w:rPr>
              <w:t>装卸车</w:t>
            </w:r>
            <w:r>
              <w:rPr>
                <w:rFonts w:hint="eastAsia" w:cs="Times New Roman"/>
                <w:color w:val="auto"/>
                <w:sz w:val="24"/>
                <w:lang w:val="en-US" w:eastAsia="zh-CN"/>
              </w:rPr>
              <w:t>VOCs</w:t>
            </w:r>
            <w:r>
              <w:rPr>
                <w:rFonts w:hint="eastAsia" w:ascii="Times New Roman" w:hAnsi="Times New Roman" w:eastAsia="宋体" w:cs="Times New Roman"/>
                <w:color w:val="auto"/>
                <w:sz w:val="24"/>
                <w:lang w:val="en-US" w:eastAsia="zh-CN"/>
              </w:rPr>
              <w:t>废气产生情况</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项目卸车过程中产生的VOCs已在罐区大呼吸损失中考虑，本次考虑装车过程产生的VOCs。</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根据《污染源源强核算技术指南</w:t>
            </w:r>
            <w:r>
              <w:rPr>
                <w:rFonts w:hint="eastAsia" w:ascii="Times New Roman" w:hAnsi="Times New Roman" w:cs="Times New Roman"/>
                <w:color w:val="auto"/>
                <w:sz w:val="24"/>
                <w:lang w:val="en-US" w:eastAsia="zh-CN"/>
              </w:rPr>
              <w:t xml:space="preserve"> </w:t>
            </w:r>
            <w:r>
              <w:rPr>
                <w:rFonts w:hint="default" w:ascii="Times New Roman" w:hAnsi="Times New Roman" w:cs="Times New Roman"/>
                <w:color w:val="auto"/>
                <w:sz w:val="24"/>
                <w:lang w:val="en-US" w:eastAsia="zh-CN"/>
              </w:rPr>
              <w:t>石油炼制工业》（HJ982-2018），装载过程挥发性有机物的核算方法采用产污系数法。挥发性有机液体装载过程VOCs的产生量采用</w:t>
            </w:r>
            <w:r>
              <w:rPr>
                <w:rFonts w:hint="eastAsia" w:ascii="Times New Roman" w:hAnsi="Times New Roman" w:cs="Times New Roman"/>
                <w:color w:val="auto"/>
                <w:sz w:val="24"/>
                <w:lang w:val="en-US" w:eastAsia="zh-CN"/>
              </w:rPr>
              <w:t>下</w:t>
            </w:r>
            <w:r>
              <w:rPr>
                <w:rFonts w:hint="default" w:ascii="Times New Roman" w:hAnsi="Times New Roman" w:cs="Times New Roman"/>
                <w:color w:val="auto"/>
                <w:sz w:val="24"/>
                <w:lang w:val="en-US" w:eastAsia="zh-CN"/>
              </w:rPr>
              <w:t>式核算。</w:t>
            </w:r>
          </w:p>
          <w:p>
            <w:pPr>
              <w:spacing w:line="360" w:lineRule="auto"/>
              <w:ind w:firstLine="3570" w:firstLineChars="1700"/>
              <w:contextualSpacing/>
              <w:rPr>
                <w:rFonts w:ascii="宋体" w:hAnsi="宋体"/>
                <w:color w:val="auto"/>
                <w:kern w:val="24"/>
                <w:szCs w:val="21"/>
              </w:rPr>
            </w:pPr>
            <w:r>
              <w:rPr>
                <w:rFonts w:ascii="宋体" w:hAnsi="宋体"/>
                <w:color w:val="auto"/>
                <w:kern w:val="24"/>
                <w:szCs w:val="21"/>
              </w:rPr>
              <w:drawing>
                <wp:inline distT="0" distB="0" distL="0" distR="0">
                  <wp:extent cx="790575" cy="409575"/>
                  <wp:effectExtent l="0" t="0" r="0" b="889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90575" cy="409575"/>
                          </a:xfrm>
                          <a:prstGeom prst="rect">
                            <a:avLst/>
                          </a:prstGeom>
                          <a:noFill/>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式中：D</w:t>
            </w:r>
            <w:r>
              <w:rPr>
                <w:color w:val="auto"/>
                <w:sz w:val="24"/>
                <w:szCs w:val="24"/>
              </w:rPr>
              <w:t>——</w:t>
            </w:r>
            <w:r>
              <w:rPr>
                <w:rFonts w:hint="default" w:ascii="Times New Roman" w:hAnsi="Times New Roman" w:eastAsia="宋体" w:cs="Times New Roman"/>
                <w:color w:val="auto"/>
                <w:sz w:val="24"/>
                <w:lang w:val="en-US" w:eastAsia="zh-CN"/>
              </w:rPr>
              <w:t>核算时段内挥发性有机液体装载过程VOCs的产生量，t/a；</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L</w:t>
            </w:r>
            <w:r>
              <w:rPr>
                <w:rFonts w:hint="default" w:ascii="Times New Roman" w:hAnsi="Times New Roman" w:eastAsia="宋体" w:cs="Times New Roman"/>
                <w:color w:val="auto"/>
                <w:sz w:val="24"/>
                <w:vertAlign w:val="subscript"/>
                <w:lang w:val="en-US" w:eastAsia="zh-CN"/>
              </w:rPr>
              <w:t>L</w:t>
            </w:r>
            <w:r>
              <w:rPr>
                <w:color w:val="auto"/>
                <w:sz w:val="24"/>
                <w:szCs w:val="24"/>
              </w:rPr>
              <w:t>——</w:t>
            </w:r>
            <w:r>
              <w:rPr>
                <w:rFonts w:hint="default" w:ascii="Times New Roman" w:hAnsi="Times New Roman" w:eastAsia="宋体" w:cs="Times New Roman"/>
                <w:color w:val="auto"/>
                <w:sz w:val="24"/>
                <w:lang w:val="en-US" w:eastAsia="zh-CN"/>
              </w:rPr>
              <w:t>挥发性有机液体装载过程的排放系数，kg/m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1200" w:firstLineChars="5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Q</w:t>
            </w:r>
            <w:r>
              <w:rPr>
                <w:color w:val="auto"/>
                <w:sz w:val="24"/>
                <w:szCs w:val="24"/>
              </w:rPr>
              <w:t>——</w:t>
            </w:r>
            <w:r>
              <w:rPr>
                <w:rFonts w:hint="default" w:ascii="Times New Roman" w:hAnsi="Times New Roman" w:eastAsia="宋体" w:cs="Times New Roman"/>
                <w:color w:val="auto"/>
                <w:sz w:val="24"/>
                <w:lang w:val="en-US" w:eastAsia="zh-CN"/>
              </w:rPr>
              <w:t>核算时段内物料装载量，m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/a。</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装载过程排放系数LL采用</w:t>
            </w:r>
            <w:r>
              <w:rPr>
                <w:rFonts w:hint="eastAsia" w:ascii="Times New Roman" w:hAnsi="Times New Roman" w:eastAsia="宋体" w:cs="Times New Roman"/>
                <w:color w:val="auto"/>
                <w:sz w:val="24"/>
                <w:lang w:val="en-US" w:eastAsia="zh-CN"/>
              </w:rPr>
              <w:t>下</w:t>
            </w:r>
            <w:r>
              <w:rPr>
                <w:rFonts w:hint="default" w:ascii="Times New Roman" w:hAnsi="Times New Roman" w:eastAsia="宋体" w:cs="Times New Roman"/>
                <w:color w:val="auto"/>
                <w:sz w:val="24"/>
                <w:lang w:val="en-US" w:eastAsia="zh-CN"/>
              </w:rPr>
              <w:t>式计算。</w:t>
            </w:r>
          </w:p>
          <w:p>
            <w:pPr>
              <w:spacing w:line="360" w:lineRule="auto"/>
              <w:ind w:firstLine="2310" w:firstLineChars="1100"/>
              <w:contextualSpacing/>
              <w:rPr>
                <w:rFonts w:ascii="宋体" w:hAnsi="宋体"/>
                <w:color w:val="auto"/>
                <w:kern w:val="24"/>
                <w:szCs w:val="21"/>
              </w:rPr>
            </w:pPr>
            <w:r>
              <w:rPr>
                <w:rFonts w:ascii="宋体" w:hAnsi="宋体"/>
                <w:color w:val="auto"/>
                <w:kern w:val="24"/>
                <w:szCs w:val="21"/>
              </w:rPr>
              <w:drawing>
                <wp:inline distT="0" distB="0" distL="0" distR="0">
                  <wp:extent cx="2133600" cy="4572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133600" cy="457200"/>
                          </a:xfrm>
                          <a:prstGeom prst="rect">
                            <a:avLst/>
                          </a:prstGeom>
                          <a:noFill/>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式中：S</w:t>
            </w:r>
            <w:r>
              <w:rPr>
                <w:color w:val="auto"/>
                <w:sz w:val="24"/>
                <w:szCs w:val="24"/>
              </w:rPr>
              <w:t>——</w:t>
            </w:r>
            <w:r>
              <w:rPr>
                <w:rFonts w:hint="default" w:ascii="Times New Roman" w:hAnsi="Times New Roman" w:eastAsia="宋体" w:cs="Times New Roman"/>
                <w:color w:val="auto"/>
                <w:sz w:val="24"/>
                <w:lang w:val="en-US" w:eastAsia="zh-CN"/>
              </w:rPr>
              <w:t>饱和系数，无量纲，一般取0.6；</w:t>
            </w:r>
          </w:p>
          <w:p>
            <w:pPr>
              <w:spacing w:line="360" w:lineRule="auto"/>
              <w:ind w:firstLine="1200" w:firstLineChars="500"/>
              <w:contextualSpacing/>
              <w:rPr>
                <w:rFonts w:hint="default" w:ascii="Times New Roman" w:hAnsi="Times New Roman" w:eastAsia="宋体" w:cs="Times New Roman"/>
                <w:color w:val="auto"/>
                <w:kern w:val="24"/>
                <w:sz w:val="24"/>
                <w:szCs w:val="24"/>
              </w:rPr>
            </w:pPr>
            <w:r>
              <w:rPr>
                <w:rFonts w:hint="default" w:ascii="Times New Roman" w:hAnsi="Times New Roman" w:eastAsia="宋体" w:cs="Times New Roman"/>
                <w:color w:val="auto"/>
                <w:kern w:val="24"/>
                <w:sz w:val="24"/>
                <w:szCs w:val="24"/>
              </w:rPr>
              <w:t>P</w:t>
            </w:r>
            <w:r>
              <w:rPr>
                <w:rFonts w:hint="default" w:ascii="Times New Roman" w:hAnsi="Times New Roman" w:eastAsia="宋体" w:cs="Times New Roman"/>
                <w:color w:val="auto"/>
                <w:kern w:val="24"/>
                <w:sz w:val="24"/>
                <w:szCs w:val="24"/>
                <w:vertAlign w:val="subscript"/>
              </w:rPr>
              <w:t>T</w:t>
            </w:r>
            <w:r>
              <w:rPr>
                <w:color w:val="auto"/>
                <w:sz w:val="24"/>
                <w:szCs w:val="24"/>
              </w:rPr>
              <w:t>——</w:t>
            </w:r>
            <w:r>
              <w:rPr>
                <w:rFonts w:hint="default" w:ascii="Times New Roman" w:hAnsi="Times New Roman" w:eastAsia="宋体" w:cs="Times New Roman"/>
                <w:color w:val="auto"/>
                <w:kern w:val="24"/>
                <w:sz w:val="24"/>
                <w:szCs w:val="24"/>
              </w:rPr>
              <w:t>温度T时装载物料的真实蒸汽压，Pa；</w:t>
            </w:r>
          </w:p>
          <w:p>
            <w:pPr>
              <w:spacing w:line="360" w:lineRule="auto"/>
              <w:ind w:firstLine="1200" w:firstLineChars="500"/>
              <w:contextualSpacing/>
              <w:rPr>
                <w:rFonts w:hint="default" w:ascii="Times New Roman" w:hAnsi="Times New Roman" w:eastAsia="宋体" w:cs="Times New Roman"/>
                <w:color w:val="auto"/>
                <w:kern w:val="24"/>
                <w:sz w:val="24"/>
                <w:szCs w:val="24"/>
              </w:rPr>
            </w:pPr>
            <w:r>
              <w:rPr>
                <w:rFonts w:hint="default" w:ascii="Times New Roman" w:hAnsi="Times New Roman" w:eastAsia="宋体" w:cs="Times New Roman"/>
                <w:color w:val="auto"/>
                <w:kern w:val="24"/>
                <w:sz w:val="24"/>
                <w:szCs w:val="24"/>
              </w:rPr>
              <w:t>Mvap</w:t>
            </w:r>
            <w:r>
              <w:rPr>
                <w:color w:val="auto"/>
                <w:sz w:val="24"/>
                <w:szCs w:val="24"/>
              </w:rPr>
              <w:t>——</w:t>
            </w:r>
            <w:r>
              <w:rPr>
                <w:rFonts w:hint="default" w:ascii="Times New Roman" w:hAnsi="Times New Roman" w:eastAsia="宋体" w:cs="Times New Roman"/>
                <w:color w:val="auto"/>
                <w:kern w:val="24"/>
                <w:sz w:val="24"/>
                <w:szCs w:val="24"/>
              </w:rPr>
              <w:t>油气分子量，g/mol；</w:t>
            </w:r>
          </w:p>
          <w:p>
            <w:pPr>
              <w:spacing w:line="360" w:lineRule="auto"/>
              <w:ind w:firstLine="1200" w:firstLineChars="500"/>
              <w:contextualSpacing/>
              <w:rPr>
                <w:rFonts w:hint="default" w:ascii="Times New Roman" w:hAnsi="Times New Roman" w:eastAsia="宋体" w:cs="Times New Roman"/>
                <w:color w:val="auto"/>
                <w:kern w:val="24"/>
                <w:sz w:val="24"/>
                <w:szCs w:val="24"/>
              </w:rPr>
            </w:pPr>
            <w:r>
              <w:rPr>
                <w:rFonts w:hint="default" w:ascii="Times New Roman" w:hAnsi="Times New Roman" w:eastAsia="宋体" w:cs="Times New Roman"/>
                <w:color w:val="auto"/>
                <w:kern w:val="24"/>
                <w:sz w:val="24"/>
                <w:szCs w:val="24"/>
              </w:rPr>
              <w:t>T</w:t>
            </w:r>
            <w:r>
              <w:rPr>
                <w:color w:val="auto"/>
                <w:sz w:val="24"/>
                <w:szCs w:val="24"/>
              </w:rPr>
              <w:t>——</w:t>
            </w:r>
            <w:r>
              <w:rPr>
                <w:rFonts w:hint="default" w:ascii="Times New Roman" w:hAnsi="Times New Roman" w:eastAsia="宋体" w:cs="Times New Roman"/>
                <w:color w:val="auto"/>
                <w:kern w:val="24"/>
                <w:sz w:val="24"/>
                <w:szCs w:val="24"/>
              </w:rPr>
              <w:t>物料装载温度，℃。</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w:t>
            </w:r>
            <w:r>
              <w:rPr>
                <w:rFonts w:hint="default" w:ascii="Times New Roman" w:hAnsi="Times New Roman" w:eastAsia="宋体" w:cs="Times New Roman"/>
                <w:color w:val="auto"/>
                <w:sz w:val="24"/>
                <w:lang w:val="en-US" w:eastAsia="zh-CN"/>
              </w:rPr>
              <w:t>涉及的挥发性有机液体装载过程VOCs的产生量计算参数选取及计算结果见</w:t>
            </w:r>
            <w:r>
              <w:rPr>
                <w:rFonts w:hint="eastAsia" w:ascii="Times New Roman" w:hAnsi="Times New Roman" w:eastAsia="宋体" w:cs="Times New Roman"/>
                <w:color w:val="auto"/>
                <w:sz w:val="24"/>
                <w:lang w:val="en-US" w:eastAsia="zh-CN"/>
              </w:rPr>
              <w:t>下</w:t>
            </w:r>
            <w:r>
              <w:rPr>
                <w:rFonts w:hint="default" w:ascii="Times New Roman" w:hAnsi="Times New Roman" w:eastAsia="宋体" w:cs="Times New Roman"/>
                <w:color w:val="auto"/>
                <w:sz w:val="24"/>
                <w:lang w:val="en-US" w:eastAsia="zh-CN"/>
              </w:rPr>
              <w:t>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表4-</w:t>
            </w:r>
            <w:r>
              <w:rPr>
                <w:rFonts w:hint="eastAsia" w:eastAsia="黑体" w:cs="Times New Roman"/>
                <w:b w:val="0"/>
                <w:bCs w:val="0"/>
                <w:color w:val="auto"/>
                <w:kern w:val="0"/>
                <w:sz w:val="24"/>
                <w:szCs w:val="24"/>
                <w:lang w:val="en-US" w:eastAsia="zh-CN"/>
              </w:rPr>
              <w:t>8</w:t>
            </w:r>
            <w:r>
              <w:rPr>
                <w:rFonts w:hint="eastAsia" w:ascii="Times New Roman" w:hAnsi="Times New Roman" w:eastAsia="黑体" w:cs="Times New Roman"/>
                <w:b w:val="0"/>
                <w:bCs w:val="0"/>
                <w:color w:val="auto"/>
                <w:kern w:val="0"/>
                <w:sz w:val="24"/>
                <w:szCs w:val="24"/>
                <w:lang w:val="en-US" w:eastAsia="zh-CN"/>
              </w:rPr>
              <w:t xml:space="preserve"> 挥发性有机液体装载过程VOCs的产生量计算结果</w:t>
            </w:r>
          </w:p>
          <w:tbl>
            <w:tblPr>
              <w:tblStyle w:val="2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28" w:type="dxa"/>
                <w:bottom w:w="0" w:type="dxa"/>
                <w:right w:w="28" w:type="dxa"/>
              </w:tblCellMar>
            </w:tblPr>
            <w:tblGrid>
              <w:gridCol w:w="1644"/>
              <w:gridCol w:w="1452"/>
              <w:gridCol w:w="1417"/>
              <w:gridCol w:w="1988"/>
              <w:gridCol w:w="19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cs="Times New Roman"/>
                      <w:b w:val="0"/>
                      <w:bCs w:val="0"/>
                      <w:i w:val="0"/>
                      <w:iCs w:val="0"/>
                      <w:color w:val="auto"/>
                      <w:kern w:val="0"/>
                      <w:sz w:val="21"/>
                      <w:szCs w:val="21"/>
                      <w:highlight w:val="none"/>
                      <w:u w:val="none"/>
                      <w:lang w:val="en-US" w:eastAsia="zh-CN" w:bidi="ar"/>
                    </w:rPr>
                    <w:t>储罐编号</w:t>
                  </w:r>
                </w:p>
              </w:tc>
              <w:tc>
                <w:tcPr>
                  <w:tcW w:w="857"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cs="Times New Roman"/>
                      <w:b w:val="0"/>
                      <w:bCs w:val="0"/>
                      <w:i w:val="0"/>
                      <w:iCs w:val="0"/>
                      <w:color w:val="auto"/>
                      <w:kern w:val="0"/>
                      <w:sz w:val="21"/>
                      <w:szCs w:val="21"/>
                      <w:highlight w:val="none"/>
                      <w:u w:val="none"/>
                      <w:lang w:val="en-US" w:eastAsia="zh-CN" w:bidi="ar"/>
                    </w:rPr>
                    <w:t>物料</w:t>
                  </w:r>
                </w:p>
              </w:tc>
              <w:tc>
                <w:tcPr>
                  <w:tcW w:w="836"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ascii="Times New Roman" w:hAnsi="Times New Roman" w:eastAsia="宋体" w:cs="Times New Roman"/>
                      <w:b w:val="0"/>
                      <w:bCs w:val="0"/>
                      <w:i w:val="0"/>
                      <w:iCs w:val="0"/>
                      <w:color w:val="auto"/>
                      <w:sz w:val="21"/>
                      <w:szCs w:val="21"/>
                      <w:highlight w:val="none"/>
                      <w:u w:val="none"/>
                    </w:rPr>
                    <w:t>密度kg/m</w:t>
                  </w:r>
                  <w:r>
                    <w:rPr>
                      <w:rFonts w:hint="eastAsia" w:ascii="Times New Roman" w:hAnsi="Times New Roman" w:eastAsia="宋体" w:cs="Times New Roman"/>
                      <w:b w:val="0"/>
                      <w:bCs w:val="0"/>
                      <w:i w:val="0"/>
                      <w:iCs w:val="0"/>
                      <w:color w:val="auto"/>
                      <w:sz w:val="21"/>
                      <w:szCs w:val="21"/>
                      <w:highlight w:val="none"/>
                      <w:u w:val="none"/>
                      <w:vertAlign w:val="superscript"/>
                    </w:rPr>
                    <w:t>3</w:t>
                  </w:r>
                </w:p>
              </w:tc>
              <w:tc>
                <w:tcPr>
                  <w:tcW w:w="1171"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cs="Times New Roman"/>
                      <w:b w:val="0"/>
                      <w:bCs w:val="0"/>
                      <w:i w:val="0"/>
                      <w:iCs w:val="0"/>
                      <w:color w:val="auto"/>
                      <w:kern w:val="0"/>
                      <w:sz w:val="21"/>
                      <w:szCs w:val="21"/>
                      <w:highlight w:val="none"/>
                      <w:u w:val="none"/>
                      <w:lang w:val="en-US" w:eastAsia="zh-CN" w:bidi="ar"/>
                    </w:rPr>
                    <w:t>装载量</w:t>
                  </w:r>
                  <w:r>
                    <w:rPr>
                      <w:rFonts w:hint="default" w:ascii="Times New Roman" w:hAnsi="Times New Roman" w:cs="Times New Roman"/>
                      <w:b w:val="0"/>
                      <w:bCs w:val="0"/>
                      <w:i w:val="0"/>
                      <w:iCs w:val="0"/>
                      <w:color w:val="auto"/>
                      <w:sz w:val="21"/>
                      <w:szCs w:val="21"/>
                      <w:highlight w:val="none"/>
                      <w:u w:val="none"/>
                      <w:lang w:eastAsia="zh-CN"/>
                    </w:rPr>
                    <w:t>m</w:t>
                  </w:r>
                  <w:r>
                    <w:rPr>
                      <w:rFonts w:hint="default" w:ascii="Times New Roman" w:hAnsi="Times New Roman" w:cs="Times New Roman"/>
                      <w:b w:val="0"/>
                      <w:bCs w:val="0"/>
                      <w:i w:val="0"/>
                      <w:iCs w:val="0"/>
                      <w:color w:val="auto"/>
                      <w:sz w:val="21"/>
                      <w:szCs w:val="21"/>
                      <w:highlight w:val="none"/>
                      <w:u w:val="none"/>
                      <w:vertAlign w:val="superscript"/>
                      <w:lang w:eastAsia="zh-CN"/>
                    </w:rPr>
                    <w:t>3</w:t>
                  </w:r>
                  <w:r>
                    <w:rPr>
                      <w:rFonts w:hint="eastAsia" w:ascii="Times New Roman" w:hAnsi="Times New Roman" w:cs="Times New Roman"/>
                      <w:b w:val="0"/>
                      <w:bCs w:val="0"/>
                      <w:i w:val="0"/>
                      <w:iCs w:val="0"/>
                      <w:color w:val="auto"/>
                      <w:kern w:val="0"/>
                      <w:sz w:val="21"/>
                      <w:szCs w:val="21"/>
                      <w:highlight w:val="none"/>
                      <w:u w:val="none"/>
                      <w:lang w:val="en-US" w:eastAsia="zh-CN" w:bidi="ar"/>
                    </w:rPr>
                    <w:t>/a</w:t>
                  </w:r>
                </w:p>
              </w:tc>
              <w:tc>
                <w:tcPr>
                  <w:tcW w:w="1163" w:type="pct"/>
                  <w:tcBorders>
                    <w:tl2br w:val="nil"/>
                    <w:tr2bl w:val="nil"/>
                  </w:tcBorders>
                  <w:shd w:val="clear" w:color="auto" w:fill="auto"/>
                  <w:noWrap w:val="0"/>
                  <w:vAlign w:val="center"/>
                </w:tcPr>
                <w:p>
                  <w:pPr>
                    <w:keepNext w:val="0"/>
                    <w:keepLines w:val="0"/>
                    <w:widowControl/>
                    <w:suppressLineNumbers w:val="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bidi="ar"/>
                    </w:rPr>
                  </w:pPr>
                  <w:r>
                    <w:rPr>
                      <w:rFonts w:hint="eastAsia" w:ascii="Times New Roman" w:hAnsi="Times New Roman" w:cs="Times New Roman"/>
                      <w:b w:val="0"/>
                      <w:bCs w:val="0"/>
                      <w:i w:val="0"/>
                      <w:iCs w:val="0"/>
                      <w:color w:val="auto"/>
                      <w:kern w:val="0"/>
                      <w:sz w:val="21"/>
                      <w:szCs w:val="21"/>
                      <w:highlight w:val="none"/>
                      <w:u w:val="none"/>
                      <w:lang w:val="en-US" w:eastAsia="zh-CN" w:bidi="ar"/>
                    </w:rPr>
                    <w:t>VOCs</w:t>
                  </w:r>
                  <w:r>
                    <w:rPr>
                      <w:rFonts w:hint="eastAsia" w:cs="Times New Roman"/>
                      <w:b w:val="0"/>
                      <w:bCs w:val="0"/>
                      <w:i w:val="0"/>
                      <w:iCs w:val="0"/>
                      <w:color w:val="auto"/>
                      <w:kern w:val="0"/>
                      <w:sz w:val="21"/>
                      <w:szCs w:val="21"/>
                      <w:highlight w:val="none"/>
                      <w:u w:val="none"/>
                      <w:lang w:val="en-US" w:eastAsia="zh-CN" w:bidi="ar"/>
                    </w:rPr>
                    <w:t>产生量</w:t>
                  </w:r>
                  <w:r>
                    <w:rPr>
                      <w:rFonts w:hint="eastAsia" w:ascii="Times New Roman" w:hAnsi="Times New Roman" w:cs="Times New Roman"/>
                      <w:b w:val="0"/>
                      <w:bCs w:val="0"/>
                      <w:i w:val="0"/>
                      <w:iCs w:val="0"/>
                      <w:color w:val="auto"/>
                      <w:kern w:val="0"/>
                      <w:sz w:val="21"/>
                      <w:szCs w:val="21"/>
                      <w:highlight w:val="none"/>
                      <w:u w:val="none"/>
                      <w:lang w:val="en-US" w:eastAsia="zh-CN" w:bidi="ar"/>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V1001A</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柴油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840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36</w:t>
                  </w:r>
                  <w:r>
                    <w:rPr>
                      <w:rFonts w:hint="default" w:ascii="Times New Roman" w:hAnsi="Times New Roman" w:cs="Times New Roman"/>
                      <w:i w:val="0"/>
                      <w:iCs w:val="0"/>
                      <w:color w:val="auto"/>
                      <w:sz w:val="21"/>
                      <w:szCs w:val="21"/>
                      <w:highlight w:val="none"/>
                      <w:u w:val="none"/>
                      <w:lang w:eastAsia="zh-CN"/>
                    </w:rPr>
                    <w:t>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1.27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V1001B</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柴油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840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36</w:t>
                  </w:r>
                  <w:r>
                    <w:rPr>
                      <w:rFonts w:hint="default" w:ascii="Times New Roman" w:hAnsi="Times New Roman" w:cs="Times New Roman"/>
                      <w:i w:val="0"/>
                      <w:iCs w:val="0"/>
                      <w:color w:val="auto"/>
                      <w:sz w:val="21"/>
                      <w:szCs w:val="21"/>
                      <w:highlight w:val="none"/>
                      <w:u w:val="none"/>
                      <w:lang w:eastAsia="zh-CN"/>
                    </w:rPr>
                    <w:t>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1.27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V1001C</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柴油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840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36</w:t>
                  </w:r>
                  <w:r>
                    <w:rPr>
                      <w:rFonts w:hint="default" w:ascii="Times New Roman" w:hAnsi="Times New Roman" w:cs="Times New Roman"/>
                      <w:i w:val="0"/>
                      <w:iCs w:val="0"/>
                      <w:color w:val="auto"/>
                      <w:sz w:val="21"/>
                      <w:szCs w:val="21"/>
                      <w:highlight w:val="none"/>
                      <w:u w:val="none"/>
                      <w:lang w:eastAsia="zh-CN"/>
                    </w:rPr>
                    <w:t>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1.27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V1001D</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柴油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840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36</w:t>
                  </w:r>
                  <w:r>
                    <w:rPr>
                      <w:rFonts w:hint="default" w:ascii="Times New Roman" w:hAnsi="Times New Roman" w:cs="Times New Roman"/>
                      <w:i w:val="0"/>
                      <w:iCs w:val="0"/>
                      <w:color w:val="auto"/>
                      <w:sz w:val="21"/>
                      <w:szCs w:val="21"/>
                      <w:highlight w:val="none"/>
                      <w:u w:val="none"/>
                      <w:lang w:eastAsia="zh-CN"/>
                    </w:rPr>
                    <w:t>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1.27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V1002A</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eastAsia="zh-CN"/>
                    </w:rPr>
                    <w:t>汽油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750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36</w:t>
                  </w:r>
                  <w:r>
                    <w:rPr>
                      <w:rFonts w:hint="default" w:ascii="Times New Roman" w:hAnsi="Times New Roman" w:cs="Times New Roman"/>
                      <w:i w:val="0"/>
                      <w:iCs w:val="0"/>
                      <w:color w:val="auto"/>
                      <w:sz w:val="21"/>
                      <w:szCs w:val="21"/>
                      <w:highlight w:val="none"/>
                      <w:u w:val="none"/>
                      <w:lang w:eastAsia="zh-CN"/>
                    </w:rPr>
                    <w:t>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3</w:t>
                  </w:r>
                  <w:r>
                    <w:rPr>
                      <w:rFonts w:hint="eastAsia" w:cs="Times New Roman"/>
                      <w:i w:val="0"/>
                      <w:iCs w:val="0"/>
                      <w:color w:val="auto"/>
                      <w:kern w:val="2"/>
                      <w:sz w:val="21"/>
                      <w:szCs w:val="21"/>
                      <w:highlight w:val="none"/>
                      <w:u w:val="none"/>
                      <w:lang w:val="en-US" w:eastAsia="zh-CN" w:bidi="ar-SA"/>
                    </w:rPr>
                    <w:t>5</w:t>
                  </w:r>
                  <w:r>
                    <w:rPr>
                      <w:rFonts w:hint="eastAsia" w:ascii="Times New Roman" w:hAnsi="Times New Roman" w:eastAsia="宋体" w:cs="Times New Roman"/>
                      <w:i w:val="0"/>
                      <w:iCs w:val="0"/>
                      <w:color w:val="auto"/>
                      <w:kern w:val="2"/>
                      <w:sz w:val="21"/>
                      <w:szCs w:val="21"/>
                      <w:highlight w:val="none"/>
                      <w:u w:val="none"/>
                      <w:lang w:val="en-US" w:eastAsia="zh-CN" w:bidi="ar-SA"/>
                    </w:rPr>
                    <w:t>.0</w:t>
                  </w:r>
                  <w:r>
                    <w:rPr>
                      <w:rFonts w:hint="eastAsia" w:cs="Times New Roman"/>
                      <w:i w:val="0"/>
                      <w:iCs w:val="0"/>
                      <w:color w:val="auto"/>
                      <w:kern w:val="2"/>
                      <w:sz w:val="21"/>
                      <w:szCs w:val="21"/>
                      <w:highlight w:val="none"/>
                      <w:u w:val="none"/>
                      <w:lang w:val="en-US" w:eastAsia="zh-CN" w:bidi="ar-SA"/>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V1002B</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汽油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750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36</w:t>
                  </w:r>
                  <w:r>
                    <w:rPr>
                      <w:rFonts w:hint="default" w:ascii="Times New Roman" w:hAnsi="Times New Roman" w:cs="Times New Roman"/>
                      <w:i w:val="0"/>
                      <w:iCs w:val="0"/>
                      <w:color w:val="auto"/>
                      <w:sz w:val="21"/>
                      <w:szCs w:val="21"/>
                      <w:highlight w:val="none"/>
                      <w:u w:val="none"/>
                      <w:lang w:eastAsia="zh-CN"/>
                    </w:rPr>
                    <w:t>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3</w:t>
                  </w:r>
                  <w:r>
                    <w:rPr>
                      <w:rFonts w:hint="eastAsia" w:cs="Times New Roman"/>
                      <w:i w:val="0"/>
                      <w:iCs w:val="0"/>
                      <w:color w:val="auto"/>
                      <w:kern w:val="2"/>
                      <w:sz w:val="21"/>
                      <w:szCs w:val="21"/>
                      <w:highlight w:val="none"/>
                      <w:u w:val="none"/>
                      <w:lang w:val="en-US" w:eastAsia="zh-CN" w:bidi="ar-SA"/>
                    </w:rPr>
                    <w:t>5</w:t>
                  </w:r>
                  <w:r>
                    <w:rPr>
                      <w:rFonts w:hint="eastAsia" w:ascii="Times New Roman" w:hAnsi="Times New Roman" w:eastAsia="宋体" w:cs="Times New Roman"/>
                      <w:i w:val="0"/>
                      <w:iCs w:val="0"/>
                      <w:color w:val="auto"/>
                      <w:kern w:val="2"/>
                      <w:sz w:val="21"/>
                      <w:szCs w:val="21"/>
                      <w:highlight w:val="none"/>
                      <w:u w:val="none"/>
                      <w:lang w:val="en-US" w:eastAsia="zh-CN" w:bidi="ar-SA"/>
                    </w:rPr>
                    <w:t>.0</w:t>
                  </w:r>
                  <w:r>
                    <w:rPr>
                      <w:rFonts w:hint="eastAsia" w:cs="Times New Roman"/>
                      <w:i w:val="0"/>
                      <w:iCs w:val="0"/>
                      <w:color w:val="auto"/>
                      <w:kern w:val="2"/>
                      <w:sz w:val="21"/>
                      <w:szCs w:val="21"/>
                      <w:highlight w:val="none"/>
                      <w:u w:val="none"/>
                      <w:lang w:val="en-US" w:eastAsia="zh-CN" w:bidi="ar-SA"/>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V2001A</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甲醇</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791</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14400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1.46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V2001B</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甲醇</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791</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14400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2"/>
                      <w:sz w:val="21"/>
                      <w:szCs w:val="21"/>
                      <w:highlight w:val="none"/>
                      <w:u w:val="none"/>
                      <w:lang w:val="en-US" w:eastAsia="zh-CN" w:bidi="ar-SA"/>
                    </w:rPr>
                    <w:t>1.46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V2001C</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甲醇</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791</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14400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2"/>
                      <w:sz w:val="21"/>
                      <w:szCs w:val="21"/>
                      <w:highlight w:val="none"/>
                      <w:u w:val="none"/>
                      <w:lang w:val="en-US" w:eastAsia="zh-CN" w:bidi="ar-SA"/>
                    </w:rPr>
                    <w:t>1.46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V2002A</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汽油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750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14400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1</w:t>
                  </w:r>
                  <w:r>
                    <w:rPr>
                      <w:rFonts w:hint="eastAsia" w:cs="Times New Roman"/>
                      <w:i w:val="0"/>
                      <w:iCs w:val="0"/>
                      <w:color w:val="auto"/>
                      <w:sz w:val="21"/>
                      <w:szCs w:val="21"/>
                      <w:highlight w:val="none"/>
                      <w:u w:val="none"/>
                      <w:lang w:val="en-US" w:eastAsia="zh-CN"/>
                    </w:rPr>
                    <w:t>4</w:t>
                  </w:r>
                  <w:r>
                    <w:rPr>
                      <w:rFonts w:hint="eastAsia" w:ascii="Times New Roman" w:hAnsi="Times New Roman" w:cs="Times New Roman"/>
                      <w:i w:val="0"/>
                      <w:iCs w:val="0"/>
                      <w:color w:val="auto"/>
                      <w:sz w:val="21"/>
                      <w:szCs w:val="21"/>
                      <w:highlight w:val="none"/>
                      <w:u w:val="none"/>
                      <w:lang w:val="en-US" w:eastAsia="zh-CN"/>
                    </w:rPr>
                    <w:t>.</w:t>
                  </w:r>
                  <w:r>
                    <w:rPr>
                      <w:rFonts w:hint="eastAsia" w:cs="Times New Roman"/>
                      <w:i w:val="0"/>
                      <w:iCs w:val="0"/>
                      <w:color w:val="auto"/>
                      <w:sz w:val="21"/>
                      <w:szCs w:val="21"/>
                      <w:highlight w:val="none"/>
                      <w:u w:val="none"/>
                      <w:lang w:val="en-US" w:eastAsia="zh-CN"/>
                    </w:rPr>
                    <w:t>1</w:t>
                  </w:r>
                  <w:r>
                    <w:rPr>
                      <w:rFonts w:hint="eastAsia" w:ascii="Times New Roman" w:hAnsi="Times New Roman" w:cs="Times New Roman"/>
                      <w:i w:val="0"/>
                      <w:iCs w:val="0"/>
                      <w:color w:val="auto"/>
                      <w:sz w:val="21"/>
                      <w:szCs w:val="21"/>
                      <w:highlight w:val="none"/>
                      <w:u w:val="none"/>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V2002B</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汽油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750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14400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1</w:t>
                  </w:r>
                  <w:r>
                    <w:rPr>
                      <w:rFonts w:hint="eastAsia" w:cs="Times New Roman"/>
                      <w:i w:val="0"/>
                      <w:iCs w:val="0"/>
                      <w:color w:val="auto"/>
                      <w:sz w:val="21"/>
                      <w:szCs w:val="21"/>
                      <w:highlight w:val="none"/>
                      <w:u w:val="none"/>
                      <w:lang w:val="en-US" w:eastAsia="zh-CN"/>
                    </w:rPr>
                    <w:t>4</w:t>
                  </w:r>
                  <w:r>
                    <w:rPr>
                      <w:rFonts w:hint="eastAsia" w:ascii="Times New Roman" w:hAnsi="Times New Roman" w:cs="Times New Roman"/>
                      <w:i w:val="0"/>
                      <w:iCs w:val="0"/>
                      <w:color w:val="auto"/>
                      <w:sz w:val="21"/>
                      <w:szCs w:val="21"/>
                      <w:highlight w:val="none"/>
                      <w:u w:val="none"/>
                      <w:lang w:val="en-US" w:eastAsia="zh-CN"/>
                    </w:rPr>
                    <w:t>.</w:t>
                  </w:r>
                  <w:r>
                    <w:rPr>
                      <w:rFonts w:hint="eastAsia" w:cs="Times New Roman"/>
                      <w:i w:val="0"/>
                      <w:iCs w:val="0"/>
                      <w:color w:val="auto"/>
                      <w:sz w:val="21"/>
                      <w:szCs w:val="21"/>
                      <w:highlight w:val="none"/>
                      <w:u w:val="none"/>
                      <w:lang w:val="en-US" w:eastAsia="zh-CN"/>
                    </w:rPr>
                    <w:t>1</w:t>
                  </w:r>
                  <w:r>
                    <w:rPr>
                      <w:rFonts w:hint="eastAsia" w:ascii="Times New Roman" w:hAnsi="Times New Roman" w:cs="Times New Roman"/>
                      <w:i w:val="0"/>
                      <w:iCs w:val="0"/>
                      <w:color w:val="auto"/>
                      <w:sz w:val="21"/>
                      <w:szCs w:val="21"/>
                      <w:highlight w:val="none"/>
                      <w:u w:val="none"/>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V2002C</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eastAsia="zh-CN"/>
                    </w:rPr>
                    <w:t>汽油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750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72</w:t>
                  </w:r>
                  <w:r>
                    <w:rPr>
                      <w:rFonts w:hint="eastAsia" w:ascii="Times New Roman" w:hAnsi="Times New Roman" w:cs="Times New Roman"/>
                      <w:i w:val="0"/>
                      <w:iCs w:val="0"/>
                      <w:color w:val="auto"/>
                      <w:sz w:val="21"/>
                      <w:szCs w:val="21"/>
                      <w:highlight w:val="none"/>
                      <w:u w:val="none"/>
                      <w:lang w:val="en-US" w:eastAsia="zh-CN"/>
                    </w:rPr>
                    <w:t>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6.81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V3001A</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eastAsia="zh-CN"/>
                    </w:rPr>
                    <w:t>汽油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750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V3001B</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eastAsia="zh-CN"/>
                    </w:rPr>
                    <w:t>汽油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750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V3002A</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汽油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750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7200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6.</w:t>
                  </w:r>
                  <w:r>
                    <w:rPr>
                      <w:rFonts w:hint="eastAsia" w:cs="Times New Roman"/>
                      <w:i w:val="0"/>
                      <w:iCs w:val="0"/>
                      <w:color w:val="auto"/>
                      <w:sz w:val="21"/>
                      <w:szCs w:val="21"/>
                      <w:highlight w:val="none"/>
                      <w:u w:val="none"/>
                      <w:lang w:val="en-US" w:eastAsia="zh-CN"/>
                    </w:rPr>
                    <w:t>8</w:t>
                  </w:r>
                  <w:r>
                    <w:rPr>
                      <w:rFonts w:hint="eastAsia" w:ascii="Times New Roman" w:hAnsi="Times New Roman" w:cs="Times New Roman"/>
                      <w:i w:val="0"/>
                      <w:iCs w:val="0"/>
                      <w:color w:val="auto"/>
                      <w:sz w:val="21"/>
                      <w:szCs w:val="21"/>
                      <w:highlight w:val="none"/>
                      <w:u w:val="none"/>
                      <w:lang w:val="en-US" w:eastAsia="zh-CN"/>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V3002B</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汽油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750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7200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6.</w:t>
                  </w:r>
                  <w:r>
                    <w:rPr>
                      <w:rFonts w:hint="eastAsia" w:cs="Times New Roman"/>
                      <w:i w:val="0"/>
                      <w:iCs w:val="0"/>
                      <w:color w:val="auto"/>
                      <w:sz w:val="21"/>
                      <w:szCs w:val="21"/>
                      <w:highlight w:val="none"/>
                      <w:u w:val="none"/>
                      <w:lang w:val="en-US" w:eastAsia="zh-CN"/>
                    </w:rPr>
                    <w:t>8</w:t>
                  </w:r>
                  <w:r>
                    <w:rPr>
                      <w:rFonts w:hint="eastAsia" w:ascii="Times New Roman" w:hAnsi="Times New Roman" w:cs="Times New Roman"/>
                      <w:i w:val="0"/>
                      <w:iCs w:val="0"/>
                      <w:color w:val="auto"/>
                      <w:sz w:val="21"/>
                      <w:szCs w:val="21"/>
                      <w:highlight w:val="none"/>
                      <w:u w:val="none"/>
                      <w:lang w:val="en-US" w:eastAsia="zh-CN"/>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V3002C</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汽油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750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7200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6.</w:t>
                  </w:r>
                  <w:r>
                    <w:rPr>
                      <w:rFonts w:hint="eastAsia" w:cs="Times New Roman"/>
                      <w:i w:val="0"/>
                      <w:iCs w:val="0"/>
                      <w:color w:val="auto"/>
                      <w:sz w:val="21"/>
                      <w:szCs w:val="21"/>
                      <w:highlight w:val="none"/>
                      <w:u w:val="none"/>
                      <w:lang w:val="en-US" w:eastAsia="zh-CN"/>
                    </w:rPr>
                    <w:t>8</w:t>
                  </w:r>
                  <w:r>
                    <w:rPr>
                      <w:rFonts w:hint="eastAsia" w:ascii="Times New Roman" w:hAnsi="Times New Roman" w:cs="Times New Roman"/>
                      <w:i w:val="0"/>
                      <w:iCs w:val="0"/>
                      <w:color w:val="auto"/>
                      <w:sz w:val="21"/>
                      <w:szCs w:val="21"/>
                      <w:highlight w:val="none"/>
                      <w:u w:val="none"/>
                      <w:lang w:val="en-US" w:eastAsia="zh-CN"/>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eastAsia" w:cs="Times New Roman"/>
                      <w:i w:val="0"/>
                      <w:iCs w:val="0"/>
                      <w:color w:val="auto"/>
                      <w:sz w:val="21"/>
                      <w:szCs w:val="21"/>
                      <w:highlight w:val="none"/>
                      <w:u w:val="none"/>
                      <w:lang w:val="en-US" w:eastAsia="zh-CN"/>
                    </w:rPr>
                    <w:t>V4001A</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700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11.32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V4001B</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700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2"/>
                      <w:sz w:val="21"/>
                      <w:szCs w:val="21"/>
                      <w:highlight w:val="none"/>
                      <w:u w:val="none"/>
                      <w:lang w:val="en-US" w:eastAsia="zh-CN" w:bidi="ar-SA"/>
                    </w:rPr>
                    <w:t>11.32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V4001C</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700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2"/>
                      <w:sz w:val="21"/>
                      <w:szCs w:val="21"/>
                      <w:highlight w:val="none"/>
                      <w:u w:val="none"/>
                      <w:lang w:val="en-US" w:eastAsia="zh-CN" w:bidi="ar-SA"/>
                    </w:rPr>
                    <w:t>11.32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V4001D</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700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2"/>
                      <w:sz w:val="21"/>
                      <w:szCs w:val="21"/>
                      <w:highlight w:val="none"/>
                      <w:u w:val="none"/>
                      <w:lang w:val="en-US" w:eastAsia="zh-CN" w:bidi="ar-SA"/>
                    </w:rPr>
                    <w:t>11.32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V4001E</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700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2"/>
                      <w:sz w:val="21"/>
                      <w:szCs w:val="21"/>
                      <w:highlight w:val="none"/>
                      <w:u w:val="none"/>
                      <w:lang w:val="en-US" w:eastAsia="zh-CN" w:bidi="ar-SA"/>
                    </w:rPr>
                    <w:t>11.32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V4001F</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700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2"/>
                      <w:sz w:val="21"/>
                      <w:szCs w:val="21"/>
                      <w:highlight w:val="none"/>
                      <w:u w:val="none"/>
                      <w:lang w:val="en-US" w:eastAsia="zh-CN" w:bidi="ar-SA"/>
                    </w:rPr>
                    <w:t>11.32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V4001G</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700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2"/>
                      <w:sz w:val="21"/>
                      <w:szCs w:val="21"/>
                      <w:highlight w:val="none"/>
                      <w:u w:val="none"/>
                      <w:lang w:val="en-US" w:eastAsia="zh-CN" w:bidi="ar-SA"/>
                    </w:rPr>
                    <w:t>11.32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V4001H</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石脑油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700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2"/>
                      <w:sz w:val="21"/>
                      <w:szCs w:val="21"/>
                      <w:highlight w:val="none"/>
                      <w:u w:val="none"/>
                      <w:lang w:val="en-US" w:eastAsia="zh-CN" w:bidi="ar-SA"/>
                    </w:rPr>
                    <w:t>11.32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V4002</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eastAsia="zh-CN"/>
                    </w:rPr>
                    <w:t>柴油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840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68400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2.41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V5001A</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eastAsia="zh-CN"/>
                    </w:rPr>
                    <w:t>汽油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750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V5001B</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sz w:val="21"/>
                      <w:szCs w:val="21"/>
                      <w:highlight w:val="none"/>
                      <w:u w:val="none"/>
                      <w:lang w:eastAsia="zh-CN"/>
                    </w:rPr>
                    <w:t>汽油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750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1.65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V6001</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沥青</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1200</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V6002A</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重油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992</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2"/>
                      <w:sz w:val="21"/>
                      <w:szCs w:val="21"/>
                      <w:highlight w:val="none"/>
                      <w:u w:val="none"/>
                      <w:lang w:val="en-US" w:eastAsia="zh-CN" w:bidi="ar-SA"/>
                    </w:rPr>
                    <w:t>0.51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V6002B</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重油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992</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2"/>
                      <w:sz w:val="21"/>
                      <w:szCs w:val="21"/>
                      <w:highlight w:val="none"/>
                      <w:u w:val="none"/>
                      <w:lang w:val="en-US" w:eastAsia="zh-CN" w:bidi="ar-SA"/>
                    </w:rPr>
                    <w:t>0.51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V6002C</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重油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992</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2"/>
                      <w:sz w:val="21"/>
                      <w:szCs w:val="21"/>
                      <w:highlight w:val="none"/>
                      <w:u w:val="none"/>
                      <w:lang w:val="en-US" w:eastAsia="zh-CN" w:bidi="ar-SA"/>
                    </w:rPr>
                    <w:t>0.51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V6002D</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重油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992</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2"/>
                      <w:sz w:val="21"/>
                      <w:szCs w:val="21"/>
                      <w:highlight w:val="none"/>
                      <w:u w:val="none"/>
                      <w:lang w:val="en-US" w:eastAsia="zh-CN" w:bidi="ar-SA"/>
                    </w:rPr>
                    <w:t>0.51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V6003A</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渣油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781</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0.26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V6003B</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渣油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781</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0.26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V6003C</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渣油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781</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0.26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7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V6003D</w:t>
                  </w:r>
                </w:p>
              </w:tc>
              <w:tc>
                <w:tcPr>
                  <w:tcW w:w="857"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eastAsia="zh-CN"/>
                    </w:rPr>
                  </w:pPr>
                  <w:r>
                    <w:rPr>
                      <w:rFonts w:hint="default" w:ascii="Times New Roman" w:hAnsi="Times New Roman" w:cs="Times New Roman"/>
                      <w:i w:val="0"/>
                      <w:iCs w:val="0"/>
                      <w:color w:val="auto"/>
                      <w:sz w:val="21"/>
                      <w:szCs w:val="21"/>
                      <w:highlight w:val="none"/>
                      <w:u w:val="none"/>
                      <w:lang w:eastAsia="zh-CN"/>
                    </w:rPr>
                    <w:t>渣油</w:t>
                  </w:r>
                </w:p>
              </w:tc>
              <w:tc>
                <w:tcPr>
                  <w:tcW w:w="836"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781</w:t>
                  </w:r>
                </w:p>
              </w:tc>
              <w:tc>
                <w:tcPr>
                  <w:tcW w:w="117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18000</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sz w:val="21"/>
                      <w:szCs w:val="21"/>
                      <w:highlight w:val="none"/>
                      <w:u w:val="none"/>
                      <w:lang w:val="en-US" w:eastAsia="zh-CN"/>
                    </w:rPr>
                    <w:t>0.26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36" w:type="pct"/>
                  <w:gridSpan w:val="4"/>
                  <w:tcBorders>
                    <w:tl2br w:val="nil"/>
                    <w:tr2bl w:val="nil"/>
                  </w:tcBorders>
                  <w:shd w:val="clear" w:color="auto" w:fill="auto"/>
                  <w:noWrap/>
                  <w:vAlign w:val="center"/>
                </w:tcPr>
                <w:p>
                  <w:pPr>
                    <w:keepNext w:val="0"/>
                    <w:keepLines w:val="0"/>
                    <w:widowControl/>
                    <w:suppressLineNumbers w:val="0"/>
                    <w:jc w:val="center"/>
                    <w:textAlignment w:val="center"/>
                    <w:rPr>
                      <w:rFonts w:hint="eastAsia"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合计</w:t>
                  </w:r>
                </w:p>
              </w:tc>
              <w:tc>
                <w:tcPr>
                  <w:tcW w:w="116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237.96</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③沥青存储及装卸车沥青烟</w:t>
            </w:r>
            <w:r>
              <w:rPr>
                <w:rFonts w:hint="eastAsia" w:ascii="Times New Roman" w:hAnsi="Times New Roman" w:eastAsia="宋体" w:cs="Times New Roman"/>
                <w:color w:val="auto"/>
                <w:sz w:val="24"/>
                <w:lang w:val="en-US" w:eastAsia="zh-CN"/>
              </w:rPr>
              <w:t>产生情况</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的沥青为石油沥青，它是原油蒸馏后的残渣，石油沥青色黑而有光泽，具有较高的感温性，由于它在生产过程中蒸馏至400℃以上，因而所含挥发成分甚少，但沥青在沥青保温加热过程中，仍会产生少量沥青烟。沥青烟是一种石油沥青或沥青制品在使用、储存、运输等过程中产生的少量的有机物和空气粉尘结合的一种污染物，主要组成为多环芳烃，其中污染性、有害性最强的污染物为苯并芘。</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才洪美在其博士论文《沥青使用过程中对环境的影响研究》中，研究了沥青在不同加热温度下，产生的沥青烟中各个组分的含量。在论文中的“表2-3温度对沥青烟各组分含量的影响”中（如下表所示），描述了在六种加热温度下，饱和烃、稠环芳烃、杂原子芳烃等族组成的产生量。研究表明，在沥青加热过程中，产生的沥青烟中饱和烃含量最高，3环芳烃和4环芳烃的产生量较少。并且，随着加热温度的逐渐升高，沥青烟中各个组成的产生量也逐渐增加，当加热温度固定时，沥青烟中芳烃环数越大产生量越低。当加热温度较低时（90℃、120℃、140℃），不会产生3环芳烃和4环芳烃，随着反应温度增加（163℃、180℃、200℃），3环芳烃和4环芳烃开始产生。</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a.沥青加热储存沥青烟</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szCs w:val="24"/>
              </w:rPr>
            </w:pPr>
            <w:r>
              <w:rPr>
                <w:rFonts w:hint="eastAsia"/>
                <w:color w:val="auto"/>
                <w:sz w:val="24"/>
                <w:szCs w:val="24"/>
                <w:lang w:val="en-US" w:eastAsia="zh-CN"/>
              </w:rPr>
              <w:t>根据企业提供的设计资料，项目沥青加热储存时设定的保温温度在130-140℃之间，会产生一定量的沥青烟，按照下表140℃加热温度对应沥青烟产生量系数，则本项目沥青烟的产生量源强系数为3.8923mg/kg（沥青烟产生量/沥青量）。沥青最大储存量5400t/a，因此计算本项目沥青烟的产生量为21.02kg/a。沥青储存产生的沥青烟全部收集送入</w:t>
            </w:r>
            <w:r>
              <w:rPr>
                <w:rFonts w:hint="eastAsia" w:ascii="Times New Roman" w:hAnsi="Times New Roman" w:cs="Times New Roman"/>
                <w:color w:val="auto"/>
                <w:sz w:val="24"/>
                <w:lang w:val="en-US" w:eastAsia="zh-CN"/>
              </w:rPr>
              <w:t>RTO废气处理装置</w:t>
            </w:r>
            <w:r>
              <w:rPr>
                <w:rFonts w:hint="eastAsia"/>
                <w:color w:val="auto"/>
                <w:sz w:val="24"/>
                <w:szCs w:val="24"/>
                <w:lang w:val="en-US" w:eastAsia="zh-CN"/>
              </w:rPr>
              <w:t>处理。</w:t>
            </w:r>
          </w:p>
          <w:p>
            <w:pPr>
              <w:pStyle w:val="101"/>
              <w:ind w:firstLine="420"/>
              <w:rPr>
                <w:rFonts w:hint="default"/>
                <w:color w:val="auto"/>
                <w:sz w:val="24"/>
                <w:szCs w:val="24"/>
                <w:lang w:val="en-US" w:eastAsia="zh-CN"/>
              </w:rPr>
            </w:pPr>
            <w:r>
              <w:rPr>
                <w:rFonts w:hint="eastAsia"/>
                <w:color w:val="auto"/>
                <w:sz w:val="24"/>
                <w:szCs w:val="24"/>
                <w:lang w:val="en-US" w:eastAsia="zh-CN"/>
              </w:rPr>
              <w:t>b.沥青装车工序沥青烟</w:t>
            </w:r>
          </w:p>
          <w:p>
            <w:pPr>
              <w:pStyle w:val="101"/>
              <w:ind w:firstLine="420"/>
              <w:rPr>
                <w:rFonts w:hint="eastAsia"/>
                <w:color w:val="auto"/>
                <w:sz w:val="24"/>
                <w:szCs w:val="24"/>
                <w:lang w:val="en-US" w:eastAsia="zh-CN"/>
              </w:rPr>
            </w:pPr>
            <w:r>
              <w:rPr>
                <w:rFonts w:hint="eastAsia"/>
                <w:color w:val="auto"/>
                <w:sz w:val="24"/>
                <w:szCs w:val="24"/>
                <w:lang w:val="en-US" w:eastAsia="zh-CN"/>
              </w:rPr>
              <w:t>根据企业提供的设计资料，沥青装卸过程的保温温度在130~140℃之间，会产生一定量的沥青烟，按照下表中140℃加热温度对应沥青烟产生量系数，则本项目沥青烟的产生量源强系数为3.8923mg/kg（沥青烟产生量/沥青量）。沥青的周转量为21600t/a，因此计算本项目沥青烟的产生量为84.07kg/a。产生的沥青烟全部收集送入</w:t>
            </w:r>
            <w:r>
              <w:rPr>
                <w:rFonts w:hint="eastAsia" w:ascii="Times New Roman" w:hAnsi="Times New Roman" w:cs="Times New Roman"/>
                <w:color w:val="auto"/>
                <w:sz w:val="24"/>
                <w:lang w:val="en-US" w:eastAsia="zh-CN"/>
              </w:rPr>
              <w:t>RTO废气处理装置</w:t>
            </w:r>
            <w:r>
              <w:rPr>
                <w:rFonts w:hint="eastAsia"/>
                <w:color w:val="auto"/>
                <w:sz w:val="24"/>
                <w:szCs w:val="24"/>
                <w:lang w:val="en-US" w:eastAsia="zh-CN"/>
              </w:rPr>
              <w:t>处理。</w:t>
            </w:r>
          </w:p>
          <w:p>
            <w:pPr>
              <w:pStyle w:val="101"/>
              <w:ind w:firstLine="420"/>
              <w:rPr>
                <w:rFonts w:hint="default"/>
                <w:color w:val="auto"/>
                <w:sz w:val="24"/>
                <w:szCs w:val="24"/>
                <w:lang w:val="en-US" w:eastAsia="zh-CN"/>
              </w:rPr>
            </w:pPr>
            <w:r>
              <w:rPr>
                <w:rFonts w:hint="eastAsia"/>
                <w:color w:val="auto"/>
                <w:sz w:val="24"/>
                <w:szCs w:val="24"/>
                <w:lang w:val="en-US" w:eastAsia="zh-CN"/>
              </w:rPr>
              <w:t>本项目沥青储罐的保温温度在130~140℃之间，通过上述分析可知，沥青烟中不会含有3环芳烃和4环芳烃。而苯并[a]芘和苯并[e]芘均为5环化合物，因此在70~80℃的保温温度下，本项目沥青储罐产生的沥青烟中不含有苯并[a]芘和苯并[e]芘化合物。因此，本项目运营期可不识别苯并[a]芘和苯并[e]芘化合物。</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表4-</w:t>
            </w:r>
            <w:r>
              <w:rPr>
                <w:rFonts w:hint="eastAsia" w:eastAsia="黑体" w:cs="Times New Roman"/>
                <w:b w:val="0"/>
                <w:bCs w:val="0"/>
                <w:color w:val="auto"/>
                <w:kern w:val="0"/>
                <w:sz w:val="24"/>
                <w:szCs w:val="24"/>
                <w:lang w:val="en-US" w:eastAsia="zh-CN"/>
              </w:rPr>
              <w:t xml:space="preserve">9 </w:t>
            </w:r>
            <w:r>
              <w:rPr>
                <w:rFonts w:hint="eastAsia" w:ascii="Times New Roman" w:hAnsi="Times New Roman" w:eastAsia="黑体" w:cs="Times New Roman"/>
                <w:b w:val="0"/>
                <w:bCs w:val="0"/>
                <w:color w:val="auto"/>
                <w:kern w:val="0"/>
                <w:sz w:val="24"/>
                <w:szCs w:val="24"/>
                <w:lang w:val="en-US" w:eastAsia="zh-CN"/>
              </w:rPr>
              <w:t>沥青使用过程中对环境的影响研究中沥青烟产生量和组成分析</w:t>
            </w:r>
          </w:p>
          <w:tbl>
            <w:tblPr>
              <w:tblStyle w:val="26"/>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09"/>
              <w:gridCol w:w="1209"/>
              <w:gridCol w:w="1209"/>
              <w:gridCol w:w="1209"/>
              <w:gridCol w:w="1209"/>
              <w:gridCol w:w="1209"/>
              <w:gridCol w:w="121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714" w:type="pct"/>
                  <w:vMerge w:val="restart"/>
                  <w:tcBorders>
                    <w:tl2br w:val="nil"/>
                    <w:tr2bl w:val="nil"/>
                  </w:tcBorders>
                  <w:noWrap w:val="0"/>
                  <w:vAlign w:val="center"/>
                </w:tcPr>
                <w:p>
                  <w:pPr>
                    <w:spacing w:line="240" w:lineRule="auto"/>
                    <w:ind w:firstLine="0" w:firstLineChars="0"/>
                    <w:jc w:val="center"/>
                    <w:rPr>
                      <w:rFonts w:hint="eastAsia" w:eastAsia="宋体"/>
                      <w:b w:val="0"/>
                      <w:bCs/>
                      <w:color w:val="auto"/>
                      <w:szCs w:val="21"/>
                      <w:lang w:eastAsia="zh-CN"/>
                    </w:rPr>
                  </w:pPr>
                  <w:r>
                    <w:rPr>
                      <w:rFonts w:hint="eastAsia"/>
                      <w:b w:val="0"/>
                      <w:bCs/>
                      <w:color w:val="auto"/>
                      <w:szCs w:val="21"/>
                      <w:lang w:val="en-US" w:eastAsia="zh-CN"/>
                    </w:rPr>
                    <w:t>化合物</w:t>
                  </w:r>
                </w:p>
              </w:tc>
              <w:tc>
                <w:tcPr>
                  <w:tcW w:w="4285" w:type="pct"/>
                  <w:gridSpan w:val="6"/>
                  <w:tcBorders>
                    <w:tl2br w:val="nil"/>
                    <w:tr2bl w:val="nil"/>
                  </w:tcBorders>
                  <w:noWrap w:val="0"/>
                  <w:vAlign w:val="center"/>
                </w:tcPr>
                <w:p>
                  <w:pPr>
                    <w:spacing w:line="240" w:lineRule="auto"/>
                    <w:ind w:firstLine="0" w:firstLineChars="0"/>
                    <w:jc w:val="center"/>
                    <w:rPr>
                      <w:rFonts w:hint="eastAsia"/>
                      <w:b w:val="0"/>
                      <w:bCs/>
                      <w:color w:val="auto"/>
                      <w:szCs w:val="21"/>
                      <w:lang w:val="en-US" w:eastAsia="zh-CN"/>
                    </w:rPr>
                  </w:pPr>
                  <w:r>
                    <w:rPr>
                      <w:rFonts w:hint="eastAsia"/>
                      <w:b w:val="0"/>
                      <w:bCs/>
                      <w:color w:val="auto"/>
                      <w:szCs w:val="21"/>
                      <w:lang w:val="en-US" w:eastAsia="zh-CN"/>
                    </w:rPr>
                    <w:t>含量mg/kg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714" w:type="pct"/>
                  <w:vMerge w:val="continue"/>
                  <w:tcBorders>
                    <w:tl2br w:val="nil"/>
                    <w:tr2bl w:val="nil"/>
                  </w:tcBorders>
                  <w:noWrap w:val="0"/>
                  <w:vAlign w:val="center"/>
                </w:tcPr>
                <w:p>
                  <w:pPr>
                    <w:spacing w:line="240" w:lineRule="auto"/>
                    <w:ind w:firstLine="0" w:firstLineChars="0"/>
                    <w:jc w:val="center"/>
                    <w:rPr>
                      <w:b w:val="0"/>
                      <w:bCs/>
                      <w:color w:val="auto"/>
                      <w:szCs w:val="21"/>
                    </w:rPr>
                  </w:pP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90℃</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120℃</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140℃</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163℃</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180℃</w:t>
                  </w:r>
                </w:p>
              </w:tc>
              <w:tc>
                <w:tcPr>
                  <w:tcW w:w="715"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200℃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714" w:type="pct"/>
                  <w:tcBorders>
                    <w:tl2br w:val="nil"/>
                    <w:tr2bl w:val="nil"/>
                  </w:tcBorders>
                  <w:noWrap w:val="0"/>
                  <w:vAlign w:val="center"/>
                </w:tcPr>
                <w:p>
                  <w:pPr>
                    <w:spacing w:line="240" w:lineRule="auto"/>
                    <w:ind w:firstLine="0" w:firstLineChars="0"/>
                    <w:jc w:val="center"/>
                    <w:rPr>
                      <w:rFonts w:hint="eastAsia" w:eastAsia="宋体"/>
                      <w:b w:val="0"/>
                      <w:bCs/>
                      <w:color w:val="auto"/>
                      <w:szCs w:val="21"/>
                      <w:lang w:val="en-US" w:eastAsia="zh-CN"/>
                    </w:rPr>
                  </w:pPr>
                  <w:r>
                    <w:rPr>
                      <w:rFonts w:hint="eastAsia"/>
                      <w:b w:val="0"/>
                      <w:bCs/>
                      <w:color w:val="auto"/>
                      <w:szCs w:val="21"/>
                      <w:lang w:val="en-US" w:eastAsia="zh-CN"/>
                    </w:rPr>
                    <w:t>饱和烃</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0.8738</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1.7561</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3.4126</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13.7452</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28.7318</w:t>
                  </w:r>
                </w:p>
              </w:tc>
              <w:tc>
                <w:tcPr>
                  <w:tcW w:w="715"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63.7543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1环芳烃</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0.0405</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0.0976</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0.2173</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1.4058</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7.1463</w:t>
                  </w:r>
                </w:p>
              </w:tc>
              <w:tc>
                <w:tcPr>
                  <w:tcW w:w="715"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11.6624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714" w:type="pct"/>
                  <w:tcBorders>
                    <w:tl2br w:val="nil"/>
                    <w:tr2bl w:val="nil"/>
                  </w:tcBorders>
                  <w:noWrap w:val="0"/>
                  <w:vAlign w:val="center"/>
                </w:tcPr>
                <w:p>
                  <w:pPr>
                    <w:spacing w:line="240" w:lineRule="auto"/>
                    <w:ind w:firstLine="0" w:firstLineChars="0"/>
                    <w:jc w:val="center"/>
                    <w:rPr>
                      <w:rFonts w:hint="eastAsia"/>
                      <w:b w:val="0"/>
                      <w:bCs/>
                      <w:color w:val="auto"/>
                      <w:szCs w:val="21"/>
                    </w:rPr>
                  </w:pPr>
                  <w:r>
                    <w:rPr>
                      <w:rFonts w:hint="eastAsia"/>
                      <w:b w:val="0"/>
                      <w:bCs/>
                      <w:color w:val="auto"/>
                      <w:szCs w:val="21"/>
                      <w:lang w:val="en-US" w:eastAsia="zh-CN"/>
                    </w:rPr>
                    <w:t>2环芳烃</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0.0153</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0.0370</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0.0744</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1.6322</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3.2859</w:t>
                  </w:r>
                </w:p>
              </w:tc>
              <w:tc>
                <w:tcPr>
                  <w:tcW w:w="715"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6.2815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714" w:type="pct"/>
                  <w:tcBorders>
                    <w:tl2br w:val="nil"/>
                    <w:tr2bl w:val="nil"/>
                  </w:tcBorders>
                  <w:noWrap w:val="0"/>
                  <w:vAlign w:val="center"/>
                </w:tcPr>
                <w:p>
                  <w:pPr>
                    <w:spacing w:line="240" w:lineRule="auto"/>
                    <w:ind w:firstLine="0" w:firstLineChars="0"/>
                    <w:jc w:val="center"/>
                    <w:rPr>
                      <w:rFonts w:hint="eastAsia"/>
                      <w:b w:val="0"/>
                      <w:bCs/>
                      <w:color w:val="auto"/>
                      <w:szCs w:val="21"/>
                    </w:rPr>
                  </w:pPr>
                  <w:r>
                    <w:rPr>
                      <w:rFonts w:hint="eastAsia"/>
                      <w:b w:val="0"/>
                      <w:bCs/>
                      <w:color w:val="auto"/>
                      <w:szCs w:val="21"/>
                      <w:lang w:val="en-US" w:eastAsia="zh-CN"/>
                    </w:rPr>
                    <w:t>3环芳烃</w:t>
                  </w:r>
                </w:p>
              </w:tc>
              <w:tc>
                <w:tcPr>
                  <w:tcW w:w="714" w:type="pct"/>
                  <w:tcBorders>
                    <w:tl2br w:val="nil"/>
                    <w:tr2bl w:val="nil"/>
                  </w:tcBorders>
                  <w:noWrap w:val="0"/>
                  <w:vAlign w:val="center"/>
                </w:tcPr>
                <w:p>
                  <w:pPr>
                    <w:spacing w:line="240" w:lineRule="auto"/>
                    <w:ind w:firstLine="0" w:firstLineChars="0"/>
                    <w:jc w:val="center"/>
                    <w:rPr>
                      <w:rFonts w:hint="eastAsia" w:eastAsia="宋体"/>
                      <w:b w:val="0"/>
                      <w:bCs/>
                      <w:color w:val="auto"/>
                      <w:szCs w:val="21"/>
                      <w:lang w:val="en-US" w:eastAsia="zh-CN"/>
                    </w:rPr>
                  </w:pPr>
                  <w:r>
                    <w:rPr>
                      <w:rFonts w:hint="eastAsia"/>
                      <w:b w:val="0"/>
                      <w:bCs/>
                      <w:color w:val="auto"/>
                      <w:szCs w:val="21"/>
                      <w:lang w:val="en-US" w:eastAsia="zh-CN"/>
                    </w:rPr>
                    <w:t>0</w:t>
                  </w:r>
                </w:p>
              </w:tc>
              <w:tc>
                <w:tcPr>
                  <w:tcW w:w="714" w:type="pct"/>
                  <w:tcBorders>
                    <w:tl2br w:val="nil"/>
                    <w:tr2bl w:val="nil"/>
                  </w:tcBorders>
                  <w:noWrap w:val="0"/>
                  <w:vAlign w:val="center"/>
                </w:tcPr>
                <w:p>
                  <w:pPr>
                    <w:spacing w:line="240" w:lineRule="auto"/>
                    <w:ind w:firstLine="0" w:firstLineChars="0"/>
                    <w:jc w:val="center"/>
                    <w:rPr>
                      <w:rFonts w:hint="eastAsia" w:eastAsia="宋体"/>
                      <w:b w:val="0"/>
                      <w:bCs/>
                      <w:color w:val="auto"/>
                      <w:kern w:val="2"/>
                      <w:sz w:val="21"/>
                      <w:szCs w:val="21"/>
                      <w:lang w:val="en-US" w:eastAsia="zh-CN" w:bidi="ar-SA"/>
                    </w:rPr>
                  </w:pPr>
                  <w:r>
                    <w:rPr>
                      <w:rFonts w:hint="eastAsia"/>
                      <w:b w:val="0"/>
                      <w:bCs/>
                      <w:color w:val="auto"/>
                      <w:szCs w:val="21"/>
                      <w:lang w:val="en-US" w:eastAsia="zh-CN"/>
                    </w:rPr>
                    <w:t>0</w:t>
                  </w:r>
                </w:p>
              </w:tc>
              <w:tc>
                <w:tcPr>
                  <w:tcW w:w="714" w:type="pct"/>
                  <w:tcBorders>
                    <w:tl2br w:val="nil"/>
                    <w:tr2bl w:val="nil"/>
                  </w:tcBorders>
                  <w:noWrap w:val="0"/>
                  <w:vAlign w:val="center"/>
                </w:tcPr>
                <w:p>
                  <w:pPr>
                    <w:spacing w:line="240" w:lineRule="auto"/>
                    <w:ind w:firstLine="0" w:firstLineChars="0"/>
                    <w:jc w:val="center"/>
                    <w:rPr>
                      <w:rFonts w:hint="eastAsia" w:eastAsia="宋体"/>
                      <w:b w:val="0"/>
                      <w:bCs/>
                      <w:color w:val="auto"/>
                      <w:kern w:val="2"/>
                      <w:sz w:val="21"/>
                      <w:szCs w:val="21"/>
                      <w:lang w:val="en-US" w:eastAsia="zh-CN" w:bidi="ar-SA"/>
                    </w:rPr>
                  </w:pPr>
                  <w:r>
                    <w:rPr>
                      <w:rFonts w:hint="eastAsia"/>
                      <w:b w:val="0"/>
                      <w:bCs/>
                      <w:color w:val="auto"/>
                      <w:szCs w:val="21"/>
                      <w:lang w:val="en-US" w:eastAsia="zh-CN"/>
                    </w:rPr>
                    <w:t>0</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kern w:val="2"/>
                      <w:sz w:val="21"/>
                      <w:szCs w:val="21"/>
                      <w:lang w:val="en-US" w:eastAsia="zh-CN" w:bidi="ar-SA"/>
                    </w:rPr>
                  </w:pPr>
                  <w:r>
                    <w:rPr>
                      <w:rFonts w:hint="eastAsia" w:eastAsia="宋体"/>
                      <w:b w:val="0"/>
                      <w:bCs/>
                      <w:color w:val="auto"/>
                      <w:kern w:val="2"/>
                      <w:sz w:val="21"/>
                      <w:szCs w:val="21"/>
                      <w:lang w:val="en-US" w:eastAsia="zh-CN" w:bidi="ar-SA"/>
                    </w:rPr>
                    <w:t>0.1261</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kern w:val="2"/>
                      <w:sz w:val="21"/>
                      <w:szCs w:val="21"/>
                      <w:lang w:val="en-US" w:eastAsia="zh-CN" w:bidi="ar-SA"/>
                    </w:rPr>
                  </w:pPr>
                  <w:r>
                    <w:rPr>
                      <w:rFonts w:hint="eastAsia" w:eastAsia="宋体"/>
                      <w:b w:val="0"/>
                      <w:bCs/>
                      <w:color w:val="auto"/>
                      <w:kern w:val="2"/>
                      <w:sz w:val="21"/>
                      <w:szCs w:val="21"/>
                      <w:lang w:val="en-US" w:eastAsia="zh-CN" w:bidi="ar-SA"/>
                    </w:rPr>
                    <w:t>3.1706</w:t>
                  </w:r>
                </w:p>
              </w:tc>
              <w:tc>
                <w:tcPr>
                  <w:tcW w:w="715" w:type="pct"/>
                  <w:tcBorders>
                    <w:tl2br w:val="nil"/>
                    <w:tr2bl w:val="nil"/>
                  </w:tcBorders>
                  <w:noWrap w:val="0"/>
                  <w:vAlign w:val="center"/>
                </w:tcPr>
                <w:p>
                  <w:pPr>
                    <w:spacing w:line="240" w:lineRule="auto"/>
                    <w:ind w:firstLine="0" w:firstLineChars="0"/>
                    <w:jc w:val="center"/>
                    <w:rPr>
                      <w:rFonts w:hint="default" w:eastAsia="宋体"/>
                      <w:b w:val="0"/>
                      <w:bCs/>
                      <w:color w:val="auto"/>
                      <w:kern w:val="2"/>
                      <w:sz w:val="21"/>
                      <w:szCs w:val="21"/>
                      <w:lang w:val="en-US" w:eastAsia="zh-CN" w:bidi="ar-SA"/>
                    </w:rPr>
                  </w:pPr>
                  <w:r>
                    <w:rPr>
                      <w:rFonts w:hint="eastAsia" w:eastAsia="宋体"/>
                      <w:b w:val="0"/>
                      <w:bCs/>
                      <w:color w:val="auto"/>
                      <w:kern w:val="2"/>
                      <w:sz w:val="21"/>
                      <w:szCs w:val="21"/>
                      <w:lang w:val="en-US" w:eastAsia="zh-CN" w:bidi="ar-SA"/>
                    </w:rPr>
                    <w:t>0.8414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714" w:type="pct"/>
                  <w:tcBorders>
                    <w:tl2br w:val="nil"/>
                    <w:tr2bl w:val="nil"/>
                  </w:tcBorders>
                  <w:noWrap w:val="0"/>
                  <w:vAlign w:val="center"/>
                </w:tcPr>
                <w:p>
                  <w:pPr>
                    <w:spacing w:line="240" w:lineRule="auto"/>
                    <w:ind w:firstLine="0" w:firstLineChars="0"/>
                    <w:jc w:val="center"/>
                    <w:rPr>
                      <w:rFonts w:hint="eastAsia"/>
                      <w:b w:val="0"/>
                      <w:bCs/>
                      <w:color w:val="auto"/>
                      <w:szCs w:val="21"/>
                    </w:rPr>
                  </w:pPr>
                  <w:r>
                    <w:rPr>
                      <w:rFonts w:hint="eastAsia"/>
                      <w:b w:val="0"/>
                      <w:bCs/>
                      <w:color w:val="auto"/>
                      <w:szCs w:val="21"/>
                      <w:lang w:val="en-US" w:eastAsia="zh-CN"/>
                    </w:rPr>
                    <w:t>4环芳烃</w:t>
                  </w:r>
                </w:p>
              </w:tc>
              <w:tc>
                <w:tcPr>
                  <w:tcW w:w="714" w:type="pct"/>
                  <w:tcBorders>
                    <w:tl2br w:val="nil"/>
                    <w:tr2bl w:val="nil"/>
                  </w:tcBorders>
                  <w:noWrap w:val="0"/>
                  <w:vAlign w:val="center"/>
                </w:tcPr>
                <w:p>
                  <w:pPr>
                    <w:spacing w:line="240" w:lineRule="auto"/>
                    <w:ind w:firstLine="0" w:firstLineChars="0"/>
                    <w:jc w:val="center"/>
                    <w:rPr>
                      <w:rFonts w:hint="eastAsia" w:eastAsia="宋体"/>
                      <w:b w:val="0"/>
                      <w:bCs/>
                      <w:color w:val="auto"/>
                      <w:szCs w:val="21"/>
                      <w:lang w:val="en-US" w:eastAsia="zh-CN"/>
                    </w:rPr>
                  </w:pPr>
                  <w:r>
                    <w:rPr>
                      <w:rFonts w:hint="eastAsia"/>
                      <w:b w:val="0"/>
                      <w:bCs/>
                      <w:color w:val="auto"/>
                      <w:szCs w:val="21"/>
                      <w:lang w:val="en-US" w:eastAsia="zh-CN"/>
                    </w:rPr>
                    <w:t>0</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kern w:val="2"/>
                      <w:sz w:val="21"/>
                      <w:szCs w:val="21"/>
                      <w:lang w:val="en-US" w:eastAsia="zh-CN" w:bidi="ar-SA"/>
                    </w:rPr>
                  </w:pPr>
                  <w:r>
                    <w:rPr>
                      <w:rFonts w:hint="eastAsia"/>
                      <w:b w:val="0"/>
                      <w:bCs/>
                      <w:color w:val="auto"/>
                      <w:szCs w:val="21"/>
                      <w:lang w:val="en-US" w:eastAsia="zh-CN"/>
                    </w:rPr>
                    <w:t>0</w:t>
                  </w:r>
                </w:p>
              </w:tc>
              <w:tc>
                <w:tcPr>
                  <w:tcW w:w="714" w:type="pct"/>
                  <w:tcBorders>
                    <w:tl2br w:val="nil"/>
                    <w:tr2bl w:val="nil"/>
                  </w:tcBorders>
                  <w:noWrap w:val="0"/>
                  <w:vAlign w:val="center"/>
                </w:tcPr>
                <w:p>
                  <w:pPr>
                    <w:spacing w:line="240" w:lineRule="auto"/>
                    <w:ind w:firstLine="0" w:firstLineChars="0"/>
                    <w:jc w:val="center"/>
                    <w:rPr>
                      <w:rFonts w:hint="eastAsia" w:eastAsia="宋体"/>
                      <w:b w:val="0"/>
                      <w:bCs/>
                      <w:color w:val="auto"/>
                      <w:kern w:val="2"/>
                      <w:sz w:val="21"/>
                      <w:szCs w:val="21"/>
                      <w:lang w:val="en-US" w:eastAsia="zh-CN" w:bidi="ar-SA"/>
                    </w:rPr>
                  </w:pPr>
                  <w:r>
                    <w:rPr>
                      <w:rFonts w:hint="eastAsia"/>
                      <w:b w:val="0"/>
                      <w:bCs/>
                      <w:color w:val="auto"/>
                      <w:szCs w:val="21"/>
                      <w:lang w:val="en-US" w:eastAsia="zh-CN"/>
                    </w:rPr>
                    <w:t>0</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kern w:val="2"/>
                      <w:sz w:val="21"/>
                      <w:szCs w:val="21"/>
                      <w:lang w:val="en-US" w:eastAsia="zh-CN" w:bidi="ar-SA"/>
                    </w:rPr>
                  </w:pPr>
                  <w:r>
                    <w:rPr>
                      <w:rFonts w:hint="eastAsia" w:eastAsia="宋体"/>
                      <w:b w:val="0"/>
                      <w:bCs/>
                      <w:color w:val="auto"/>
                      <w:kern w:val="2"/>
                      <w:sz w:val="21"/>
                      <w:szCs w:val="21"/>
                      <w:lang w:val="en-US" w:eastAsia="zh-CN" w:bidi="ar-SA"/>
                    </w:rPr>
                    <w:t>0.0382</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kern w:val="2"/>
                      <w:sz w:val="21"/>
                      <w:szCs w:val="21"/>
                      <w:lang w:val="en-US" w:eastAsia="zh-CN" w:bidi="ar-SA"/>
                    </w:rPr>
                  </w:pPr>
                  <w:r>
                    <w:rPr>
                      <w:rFonts w:hint="eastAsia" w:eastAsia="宋体"/>
                      <w:b w:val="0"/>
                      <w:bCs/>
                      <w:color w:val="auto"/>
                      <w:kern w:val="2"/>
                      <w:sz w:val="21"/>
                      <w:szCs w:val="21"/>
                      <w:lang w:val="en-US" w:eastAsia="zh-CN" w:bidi="ar-SA"/>
                    </w:rPr>
                    <w:t>0.8599</w:t>
                  </w:r>
                </w:p>
              </w:tc>
              <w:tc>
                <w:tcPr>
                  <w:tcW w:w="715" w:type="pct"/>
                  <w:tcBorders>
                    <w:tl2br w:val="nil"/>
                    <w:tr2bl w:val="nil"/>
                  </w:tcBorders>
                  <w:noWrap w:val="0"/>
                  <w:vAlign w:val="center"/>
                </w:tcPr>
                <w:p>
                  <w:pPr>
                    <w:spacing w:line="240" w:lineRule="auto"/>
                    <w:ind w:firstLine="0" w:firstLineChars="0"/>
                    <w:jc w:val="center"/>
                    <w:rPr>
                      <w:rFonts w:hint="default" w:eastAsia="宋体"/>
                      <w:b w:val="0"/>
                      <w:bCs/>
                      <w:color w:val="auto"/>
                      <w:kern w:val="2"/>
                      <w:sz w:val="21"/>
                      <w:szCs w:val="21"/>
                      <w:lang w:val="en-US" w:eastAsia="zh-CN" w:bidi="ar-SA"/>
                    </w:rPr>
                  </w:pPr>
                  <w:r>
                    <w:rPr>
                      <w:rFonts w:hint="eastAsia" w:eastAsia="宋体"/>
                      <w:b w:val="0"/>
                      <w:bCs/>
                      <w:color w:val="auto"/>
                      <w:kern w:val="2"/>
                      <w:sz w:val="21"/>
                      <w:szCs w:val="21"/>
                      <w:lang w:val="en-US" w:eastAsia="zh-CN" w:bidi="ar-SA"/>
                    </w:rPr>
                    <w:t>2.4304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含硫杂环</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0.0140</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0.0655</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0.2136</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2.0804</w:t>
                  </w:r>
                </w:p>
              </w:tc>
              <w:tc>
                <w:tcPr>
                  <w:tcW w:w="715"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1.2853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含氮杂环</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0.0337</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0.0372</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0.1031</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0.6011</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6.1826</w:t>
                  </w:r>
                </w:p>
              </w:tc>
              <w:tc>
                <w:tcPr>
                  <w:tcW w:w="715"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8.2573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714" w:type="pct"/>
                  <w:tcBorders>
                    <w:tl2br w:val="nil"/>
                    <w:tr2bl w:val="nil"/>
                  </w:tcBorders>
                  <w:noWrap w:val="0"/>
                  <w:vAlign w:val="center"/>
                </w:tcPr>
                <w:p>
                  <w:pPr>
                    <w:spacing w:line="240" w:lineRule="auto"/>
                    <w:ind w:firstLine="0" w:firstLineChars="0"/>
                    <w:jc w:val="center"/>
                    <w:rPr>
                      <w:rFonts w:hint="eastAsia" w:eastAsia="宋体"/>
                      <w:b w:val="0"/>
                      <w:bCs/>
                      <w:color w:val="auto"/>
                      <w:szCs w:val="21"/>
                      <w:lang w:val="en-US" w:eastAsia="zh-CN"/>
                    </w:rPr>
                  </w:pPr>
                  <w:r>
                    <w:rPr>
                      <w:rFonts w:hint="eastAsia"/>
                      <w:b w:val="0"/>
                      <w:bCs/>
                      <w:color w:val="auto"/>
                      <w:szCs w:val="21"/>
                      <w:lang w:val="en-US" w:eastAsia="zh-CN"/>
                    </w:rPr>
                    <w:t>含氧杂环</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0.0156</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0.0375</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0.0194</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0.5860</w:t>
                  </w:r>
                </w:p>
              </w:tc>
              <w:tc>
                <w:tcPr>
                  <w:tcW w:w="714"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3.7692</w:t>
                  </w:r>
                </w:p>
              </w:tc>
              <w:tc>
                <w:tcPr>
                  <w:tcW w:w="715" w:type="pct"/>
                  <w:tcBorders>
                    <w:tl2br w:val="nil"/>
                    <w:tr2bl w:val="nil"/>
                  </w:tcBorders>
                  <w:noWrap w:val="0"/>
                  <w:vAlign w:val="center"/>
                </w:tcPr>
                <w:p>
                  <w:pPr>
                    <w:spacing w:line="240" w:lineRule="auto"/>
                    <w:ind w:firstLine="0" w:firstLineChars="0"/>
                    <w:jc w:val="center"/>
                    <w:rPr>
                      <w:rFonts w:hint="default" w:eastAsia="宋体"/>
                      <w:b w:val="0"/>
                      <w:bCs/>
                      <w:color w:val="auto"/>
                      <w:szCs w:val="21"/>
                      <w:lang w:val="en-US" w:eastAsia="zh-CN"/>
                    </w:rPr>
                  </w:pPr>
                  <w:r>
                    <w:rPr>
                      <w:rFonts w:hint="eastAsia"/>
                      <w:b w:val="0"/>
                      <w:bCs/>
                      <w:color w:val="auto"/>
                      <w:szCs w:val="21"/>
                      <w:lang w:val="en-US" w:eastAsia="zh-CN"/>
                    </w:rPr>
                    <w:t>4.1291</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lang w:val="en-US" w:eastAsia="zh-CN"/>
              </w:rPr>
            </w:pPr>
            <w:r>
              <w:rPr>
                <w:rFonts w:hint="eastAsia" w:ascii="Times New Roman" w:hAnsi="Times New Roman" w:cs="Times New Roman"/>
                <w:color w:val="auto"/>
                <w:sz w:val="24"/>
                <w:lang w:val="en-US" w:eastAsia="zh-CN"/>
              </w:rPr>
              <w:t>④RTO废气处理装置</w:t>
            </w:r>
            <w:r>
              <w:rPr>
                <w:rFonts w:hint="eastAsia" w:ascii="Times New Roman" w:hAnsi="Times New Roman" w:eastAsia="宋体" w:cs="Times New Roman"/>
                <w:color w:val="auto"/>
                <w:sz w:val="24"/>
                <w:szCs w:val="24"/>
                <w:lang w:val="en-US" w:eastAsia="zh-CN"/>
              </w:rPr>
              <w:t>废气产生及排放情况汇总</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储罐VOCs废气柴油、汽油、石脑油储罐大小呼吸废气经油气回收装置处理后与甲醇、沥青、重油、渣油储罐大小呼吸废气一同进入RTO废气处理装置焚烧后通过排气筒（DA001）排放；装卸车VOCs废气柴油、汽油、石脑油装载废气经油气回收装置处理后与甲醇、沥青、重油、渣油装载废气一同进入RTO废气处理装置焚烧后通过排气筒（DA001）排放；沥青存储及装卸车沥青烟进入RTO废气处理装置焚烧后通过排气筒（DA001）排放。VOCs产生量为285.3t/a、沥青烟产生量为105.09</w:t>
            </w:r>
            <w:r>
              <w:rPr>
                <w:rFonts w:hint="eastAsia"/>
                <w:color w:val="auto"/>
                <w:sz w:val="24"/>
                <w:szCs w:val="24"/>
                <w:lang w:val="en-US" w:eastAsia="zh-CN"/>
              </w:rPr>
              <w:t>kg/a</w:t>
            </w:r>
            <w:r>
              <w:rPr>
                <w:rFonts w:hint="eastAsia" w:ascii="Times New Roman" w:hAnsi="Times New Roman" w:eastAsia="宋体"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上述废气处理装置中油气回收装置（三级冷凝设施）去除效率为65%、RTO</w:t>
            </w:r>
            <w:r>
              <w:rPr>
                <w:rFonts w:hint="eastAsia" w:ascii="Times New Roman" w:hAnsi="Times New Roman" w:cs="Times New Roman"/>
                <w:color w:val="auto"/>
                <w:sz w:val="24"/>
                <w:lang w:val="en-US" w:eastAsia="zh-CN"/>
              </w:rPr>
              <w:t>废气处理装置处理效率为99%、风机风量为10000m</w:t>
            </w:r>
            <w:r>
              <w:rPr>
                <w:rFonts w:hint="eastAsia" w:ascii="Times New Roman" w:hAnsi="Times New Roman" w:cs="Times New Roman"/>
                <w:color w:val="auto"/>
                <w:sz w:val="24"/>
                <w:vertAlign w:val="superscript"/>
                <w:lang w:val="en-US" w:eastAsia="zh-CN"/>
              </w:rPr>
              <w:t>3</w:t>
            </w:r>
            <w:r>
              <w:rPr>
                <w:rFonts w:hint="eastAsia" w:ascii="Times New Roman" w:hAnsi="Times New Roman" w:cs="Times New Roman"/>
                <w:color w:val="auto"/>
                <w:sz w:val="24"/>
                <w:lang w:val="en-US" w:eastAsia="zh-CN"/>
              </w:rPr>
              <w:t>/h、年工作时间为8000h。则</w:t>
            </w:r>
            <w:r>
              <w:rPr>
                <w:rFonts w:hint="eastAsia" w:ascii="Times New Roman" w:hAnsi="Times New Roman" w:eastAsia="宋体" w:cs="Times New Roman"/>
                <w:color w:val="auto"/>
                <w:sz w:val="24"/>
                <w:lang w:val="en-US" w:eastAsia="zh-CN"/>
              </w:rPr>
              <w:t>VOCs排放量为1.06t/a、排放速率为0.1325kg/h、排放浓度为13.25mg/m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cs="Times New Roman"/>
                <w:color w:val="auto"/>
                <w:sz w:val="24"/>
                <w:lang w:val="en-US" w:eastAsia="zh-CN"/>
              </w:rPr>
              <w:t>，</w:t>
            </w:r>
            <w:r>
              <w:rPr>
                <w:rFonts w:hint="eastAsia" w:ascii="Times New Roman" w:hAnsi="Times New Roman" w:eastAsia="宋体" w:cs="Times New Roman"/>
                <w:color w:val="auto"/>
                <w:sz w:val="24"/>
                <w:lang w:val="en-US" w:eastAsia="zh-CN"/>
              </w:rPr>
              <w:t>满足《挥发性有机物排放标准 第7部分：其他行业》（DB 37/2801.7-2019）表</w:t>
            </w:r>
            <w:r>
              <w:rPr>
                <w:rFonts w:hint="eastAsia" w:cs="Times New Roman"/>
                <w:color w:val="auto"/>
                <w:sz w:val="24"/>
                <w:lang w:val="en-US" w:eastAsia="zh-CN"/>
              </w:rPr>
              <w:t>1</w:t>
            </w:r>
            <w:r>
              <w:rPr>
                <w:rFonts w:hint="eastAsia" w:ascii="Times New Roman" w:hAnsi="Times New Roman" w:eastAsia="宋体" w:cs="Times New Roman"/>
                <w:color w:val="auto"/>
                <w:sz w:val="24"/>
                <w:lang w:val="en-US" w:eastAsia="zh-CN"/>
              </w:rPr>
              <w:t>中Ⅱ时段排放标准限值（60mg/m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3</w:t>
            </w:r>
            <w:r>
              <w:rPr>
                <w:rFonts w:hint="eastAsia" w:ascii="Times New Roman" w:hAnsi="Times New Roman" w:eastAsia="宋体" w:cs="Times New Roman"/>
                <w:color w:val="auto"/>
                <w:sz w:val="24"/>
                <w:lang w:val="en-US" w:eastAsia="zh-CN"/>
              </w:rPr>
              <w:t>kg/h）；沥青烟排放量为1.05×10</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t/a、排放速率为1.31×10</w:t>
            </w:r>
            <w:r>
              <w:rPr>
                <w:rFonts w:hint="eastAsia" w:ascii="Times New Roman" w:hAnsi="Times New Roman" w:eastAsia="宋体" w:cs="Times New Roman"/>
                <w:color w:val="auto"/>
                <w:sz w:val="24"/>
                <w:vertAlign w:val="superscript"/>
                <w:lang w:val="en-US" w:eastAsia="zh-CN"/>
              </w:rPr>
              <w:t>-4</w:t>
            </w:r>
            <w:r>
              <w:rPr>
                <w:rFonts w:hint="eastAsia" w:ascii="Times New Roman" w:hAnsi="Times New Roman" w:eastAsia="宋体" w:cs="Times New Roman"/>
                <w:color w:val="auto"/>
                <w:sz w:val="24"/>
                <w:lang w:val="en-US" w:eastAsia="zh-CN"/>
              </w:rPr>
              <w:t>kg/h、排放浓度为0.013mg/m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，满足《大气污染物综合排放标准》（GB16297-1996）表2中二级标准（40mg/m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，1.8kg/h）。</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⑤RTO助燃废气产生情况</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项目</w:t>
            </w:r>
            <w:r>
              <w:rPr>
                <w:rFonts w:hint="eastAsia" w:ascii="Times New Roman" w:hAnsi="Times New Roman" w:cs="Times New Roman"/>
                <w:color w:val="auto"/>
                <w:sz w:val="24"/>
                <w:lang w:val="en-US" w:eastAsia="zh-CN"/>
              </w:rPr>
              <w:t>RTO废气处理装置采用天然气助燃焚烧</w:t>
            </w:r>
            <w:r>
              <w:rPr>
                <w:rFonts w:hint="eastAsia" w:ascii="Times New Roman" w:hAnsi="Times New Roman" w:eastAsia="宋体" w:cs="Times New Roman"/>
                <w:color w:val="auto"/>
                <w:sz w:val="24"/>
                <w:lang w:val="en-US" w:eastAsia="zh-CN"/>
              </w:rPr>
              <w:t>，运行时间8000h，用气量7.21m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/h。项目用气</w:t>
            </w:r>
            <w:r>
              <w:rPr>
                <w:rFonts w:hint="eastAsia" w:cs="Times New Roman"/>
                <w:color w:val="auto"/>
                <w:sz w:val="24"/>
                <w:szCs w:val="24"/>
                <w:lang w:val="en-US" w:eastAsia="zh-CN"/>
              </w:rPr>
              <w:t>由当地燃气管线接入</w:t>
            </w:r>
            <w:r>
              <w:rPr>
                <w:rFonts w:hint="eastAsia" w:ascii="Times New Roman" w:hAnsi="Times New Roman" w:eastAsia="宋体" w:cs="Times New Roman"/>
                <w:color w:val="auto"/>
                <w:sz w:val="24"/>
                <w:lang w:val="en-US" w:eastAsia="zh-CN"/>
              </w:rPr>
              <w:t>。</w:t>
            </w:r>
            <w:r>
              <w:rPr>
                <w:rFonts w:hint="eastAsia" w:ascii="Times New Roman" w:hAnsi="Times New Roman" w:eastAsia="宋体" w:cs="Times New Roman"/>
                <w:snapToGrid/>
                <w:color w:val="auto"/>
                <w:kern w:val="2"/>
                <w:sz w:val="24"/>
                <w:szCs w:val="24"/>
                <w:lang w:val="en-US" w:eastAsia="zh-CN" w:bidi="ar-SA"/>
              </w:rPr>
              <w:t>所用天然气达到《天然气》（GB17820-2018）中的二类指标，即总硫含量≤100mg/m</w:t>
            </w:r>
            <w:r>
              <w:rPr>
                <w:rFonts w:hint="eastAsia" w:ascii="Times New Roman" w:hAnsi="Times New Roman" w:eastAsia="宋体" w:cs="Times New Roman"/>
                <w:snapToGrid/>
                <w:color w:val="auto"/>
                <w:kern w:val="2"/>
                <w:sz w:val="24"/>
                <w:szCs w:val="24"/>
                <w:vertAlign w:val="superscript"/>
                <w:lang w:val="en-US" w:eastAsia="zh-CN" w:bidi="ar-SA"/>
              </w:rPr>
              <w:t>3</w:t>
            </w:r>
            <w:r>
              <w:rPr>
                <w:rFonts w:hint="eastAsia" w:ascii="Times New Roman" w:hAnsi="Times New Roman" w:eastAsia="宋体" w:cs="Times New Roman"/>
                <w:snapToGrid/>
                <w:color w:val="auto"/>
                <w:kern w:val="2"/>
                <w:sz w:val="24"/>
                <w:szCs w:val="24"/>
                <w:lang w:val="en-US" w:eastAsia="zh-CN" w:bidi="ar-SA"/>
              </w:rPr>
              <w:t>，热值为35547KJ/m</w:t>
            </w:r>
            <w:r>
              <w:rPr>
                <w:rFonts w:hint="eastAsia" w:ascii="Times New Roman" w:hAnsi="Times New Roman" w:eastAsia="宋体" w:cs="Times New Roman"/>
                <w:snapToGrid/>
                <w:color w:val="auto"/>
                <w:kern w:val="2"/>
                <w:sz w:val="24"/>
                <w:szCs w:val="24"/>
                <w:vertAlign w:val="superscript"/>
                <w:lang w:val="en-US" w:eastAsia="zh-CN" w:bidi="ar-SA"/>
              </w:rPr>
              <w:t>3</w:t>
            </w:r>
            <w:r>
              <w:rPr>
                <w:rFonts w:hint="eastAsia" w:ascii="Times New Roman" w:hAnsi="Times New Roman" w:eastAsia="宋体" w:cs="Times New Roman"/>
                <w:snapToGrid/>
                <w:color w:val="auto"/>
                <w:kern w:val="2"/>
                <w:sz w:val="24"/>
                <w:szCs w:val="24"/>
                <w:lang w:val="en-US" w:eastAsia="zh-CN" w:bidi="ar-SA"/>
              </w:rPr>
              <w:t>（8500大卡/m</w:t>
            </w:r>
            <w:r>
              <w:rPr>
                <w:rFonts w:hint="eastAsia" w:ascii="Times New Roman" w:hAnsi="Times New Roman" w:eastAsia="宋体" w:cs="Times New Roman"/>
                <w:snapToGrid/>
                <w:color w:val="auto"/>
                <w:kern w:val="2"/>
                <w:sz w:val="24"/>
                <w:szCs w:val="24"/>
                <w:vertAlign w:val="superscript"/>
                <w:lang w:val="en-US" w:eastAsia="zh-CN" w:bidi="ar-SA"/>
              </w:rPr>
              <w:t>3</w:t>
            </w:r>
            <w:r>
              <w:rPr>
                <w:rFonts w:hint="eastAsia" w:ascii="Times New Roman" w:hAnsi="Times New Roman" w:eastAsia="宋体" w:cs="Times New Roman"/>
                <w:snapToGrid/>
                <w:color w:val="auto"/>
                <w:kern w:val="2"/>
                <w:sz w:val="24"/>
                <w:szCs w:val="24"/>
                <w:lang w:val="en-US" w:eastAsia="zh-CN" w:bidi="ar-SA"/>
              </w:rPr>
              <w:t>）。</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eastAsia" w:ascii="Times New Roman" w:hAnsi="Times New Roman" w:eastAsia="宋体" w:cs="Times New Roman"/>
                <w:snapToGrid/>
                <w:color w:val="auto"/>
                <w:kern w:val="2"/>
                <w:sz w:val="24"/>
                <w:szCs w:val="24"/>
                <w:highlight w:val="none"/>
                <w:lang w:val="en-US" w:eastAsia="zh-CN" w:bidi="ar-SA"/>
              </w:rPr>
            </w:pPr>
            <w:r>
              <w:rPr>
                <w:rFonts w:hint="eastAsia" w:ascii="Times New Roman" w:hAnsi="Times New Roman" w:eastAsia="宋体" w:cs="Times New Roman"/>
                <w:snapToGrid/>
                <w:color w:val="auto"/>
                <w:kern w:val="2"/>
                <w:sz w:val="24"/>
                <w:szCs w:val="24"/>
                <w:highlight w:val="none"/>
                <w:lang w:val="en-US" w:eastAsia="zh-CN" w:bidi="ar-SA"/>
              </w:rPr>
              <w:t>a.烟气量</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snapToGrid/>
                <w:color w:val="auto"/>
                <w:kern w:val="2"/>
                <w:sz w:val="24"/>
                <w:szCs w:val="24"/>
                <w:highlight w:val="none"/>
                <w:lang w:val="en-US" w:eastAsia="zh-CN" w:bidi="ar-SA"/>
              </w:rPr>
            </w:pPr>
            <w:r>
              <w:rPr>
                <w:rFonts w:hint="eastAsia" w:ascii="Times New Roman" w:hAnsi="Times New Roman" w:eastAsia="宋体" w:cs="Times New Roman"/>
                <w:snapToGrid/>
                <w:color w:val="auto"/>
                <w:kern w:val="2"/>
                <w:sz w:val="24"/>
                <w:szCs w:val="24"/>
                <w:highlight w:val="none"/>
                <w:lang w:val="en-US" w:eastAsia="zh-CN" w:bidi="ar-SA"/>
              </w:rPr>
              <w:t>根据《排污许可证申请与核发技术规范 锅炉》（HJ953-2018）经验公式，天然气锅炉燃烧基准烟气量Vgy=0.285Qnet+0.343，该项目天然气热值Qnet为35.547MJ/m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（8500大卡/m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），则天然气锅炉燃烧烟气量Vgy=10.47Nm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w:t>
            </w:r>
            <w:r>
              <w:rPr>
                <w:rFonts w:hint="eastAsia" w:ascii="Times New Roman" w:eastAsia="宋体" w:cs="Times New Roman"/>
                <w:snapToGrid/>
                <w:color w:val="auto"/>
                <w:kern w:val="2"/>
                <w:sz w:val="24"/>
                <w:szCs w:val="24"/>
                <w:highlight w:val="none"/>
                <w:lang w:val="en-US" w:eastAsia="zh-CN" w:bidi="ar-SA"/>
              </w:rPr>
              <w:t>项目用天然气的量为5.768万m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/a（7.21m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/h），则废气量为60.391万m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/a（75.49m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/h）。</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snapToGrid/>
                <w:color w:val="auto"/>
                <w:kern w:val="2"/>
                <w:sz w:val="24"/>
                <w:szCs w:val="24"/>
                <w:highlight w:val="none"/>
                <w:lang w:val="en-US" w:eastAsia="zh-CN" w:bidi="ar-SA"/>
              </w:rPr>
            </w:pPr>
            <w:r>
              <w:rPr>
                <w:rFonts w:hint="eastAsia" w:ascii="Times New Roman" w:hAnsi="Times New Roman" w:eastAsia="宋体" w:cs="Times New Roman"/>
                <w:snapToGrid/>
                <w:color w:val="auto"/>
                <w:kern w:val="2"/>
                <w:sz w:val="24"/>
                <w:szCs w:val="24"/>
                <w:highlight w:val="none"/>
                <w:lang w:val="en-US" w:eastAsia="zh-CN" w:bidi="ar-SA"/>
              </w:rPr>
              <w:t>b.污染物</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snapToGrid/>
                <w:color w:val="auto"/>
                <w:kern w:val="2"/>
                <w:sz w:val="24"/>
                <w:szCs w:val="24"/>
                <w:highlight w:val="none"/>
                <w:lang w:val="en-US" w:eastAsia="zh-CN" w:bidi="ar-SA"/>
              </w:rPr>
            </w:pPr>
            <w:r>
              <w:rPr>
                <w:rFonts w:hint="eastAsia" w:ascii="Times New Roman" w:hAnsi="Times New Roman" w:eastAsia="宋体" w:cs="Times New Roman"/>
                <w:snapToGrid/>
                <w:color w:val="auto"/>
                <w:kern w:val="2"/>
                <w:sz w:val="24"/>
                <w:szCs w:val="24"/>
                <w:highlight w:val="none"/>
                <w:lang w:val="en-US" w:eastAsia="zh-CN" w:bidi="ar-SA"/>
              </w:rPr>
              <w:t>根据《排污许可证申请与核发技术规范 锅炉》（HJ953-2018）附录F3，蒸汽/热水/其他天然气锅炉污染物的产排污系数分别为：SO</w:t>
            </w:r>
            <w:r>
              <w:rPr>
                <w:rFonts w:hint="eastAsia" w:ascii="Times New Roman" w:hAnsi="Times New Roman" w:eastAsia="宋体" w:cs="Times New Roman"/>
                <w:snapToGrid/>
                <w:color w:val="auto"/>
                <w:kern w:val="2"/>
                <w:sz w:val="24"/>
                <w:szCs w:val="24"/>
                <w:highlight w:val="none"/>
                <w:vertAlign w:val="subscript"/>
                <w:lang w:val="en-US" w:eastAsia="zh-CN" w:bidi="ar-SA"/>
              </w:rPr>
              <w:t>2</w:t>
            </w:r>
            <w:r>
              <w:rPr>
                <w:rFonts w:hint="eastAsia" w:ascii="Times New Roman" w:hAnsi="Times New Roman" w:eastAsia="宋体" w:cs="Times New Roman"/>
                <w:snapToGrid/>
                <w:color w:val="auto"/>
                <w:kern w:val="2"/>
                <w:sz w:val="24"/>
                <w:szCs w:val="24"/>
                <w:highlight w:val="none"/>
                <w:lang w:val="en-US" w:eastAsia="zh-CN" w:bidi="ar-SA"/>
              </w:rPr>
              <w:t>0.02Skg/万m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天然气、NOx（低氮燃烧</w:t>
            </w:r>
            <w:r>
              <w:rPr>
                <w:rFonts w:hint="eastAsia" w:ascii="Times New Roman" w:eastAsia="宋体" w:cs="Times New Roman"/>
                <w:snapToGrid/>
                <w:color w:val="auto"/>
                <w:kern w:val="2"/>
                <w:sz w:val="24"/>
                <w:szCs w:val="24"/>
                <w:highlight w:val="none"/>
                <w:lang w:val="en-US" w:eastAsia="zh-CN" w:bidi="ar-SA"/>
              </w:rPr>
              <w:t>-国际领先</w:t>
            </w:r>
            <w:r>
              <w:rPr>
                <w:rFonts w:hint="eastAsia" w:ascii="Times New Roman" w:hAnsi="Times New Roman" w:eastAsia="宋体" w:cs="Times New Roman"/>
                <w:snapToGrid/>
                <w:color w:val="auto"/>
                <w:kern w:val="2"/>
                <w:sz w:val="24"/>
                <w:szCs w:val="24"/>
                <w:highlight w:val="none"/>
                <w:lang w:val="en-US" w:eastAsia="zh-CN" w:bidi="ar-SA"/>
              </w:rPr>
              <w:t>）</w:t>
            </w:r>
            <w:r>
              <w:rPr>
                <w:rFonts w:hint="eastAsia" w:ascii="Times New Roman" w:eastAsia="宋体" w:cs="Times New Roman"/>
                <w:snapToGrid/>
                <w:color w:val="auto"/>
                <w:kern w:val="2"/>
                <w:sz w:val="24"/>
                <w:szCs w:val="24"/>
                <w:highlight w:val="none"/>
                <w:lang w:val="en-US" w:eastAsia="zh-CN" w:bidi="ar-SA"/>
              </w:rPr>
              <w:t>3.03</w:t>
            </w:r>
            <w:r>
              <w:rPr>
                <w:rFonts w:hint="eastAsia" w:ascii="Times New Roman" w:hAnsi="Times New Roman" w:eastAsia="宋体" w:cs="Times New Roman"/>
                <w:snapToGrid/>
                <w:color w:val="auto"/>
                <w:kern w:val="2"/>
                <w:sz w:val="24"/>
                <w:szCs w:val="24"/>
                <w:highlight w:val="none"/>
                <w:lang w:val="en-US" w:eastAsia="zh-CN" w:bidi="ar-SA"/>
              </w:rPr>
              <w:t>kg/万m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天然气。该项目采用的天然气满足《天然气》（GB17820-2018）中的二类指标，即总硫含量S≤100mg/m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，本次S取值100mg/m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，则SO</w:t>
            </w:r>
            <w:r>
              <w:rPr>
                <w:rFonts w:hint="eastAsia" w:ascii="Times New Roman" w:hAnsi="Times New Roman" w:eastAsia="宋体" w:cs="Times New Roman"/>
                <w:snapToGrid/>
                <w:color w:val="auto"/>
                <w:kern w:val="2"/>
                <w:sz w:val="24"/>
                <w:szCs w:val="24"/>
                <w:highlight w:val="none"/>
                <w:vertAlign w:val="subscript"/>
                <w:lang w:val="en-US" w:eastAsia="zh-CN" w:bidi="ar-SA"/>
              </w:rPr>
              <w:t>2</w:t>
            </w:r>
            <w:r>
              <w:rPr>
                <w:rFonts w:hint="eastAsia" w:ascii="Times New Roman" w:hAnsi="Times New Roman" w:eastAsia="宋体" w:cs="Times New Roman"/>
                <w:snapToGrid/>
                <w:color w:val="auto"/>
                <w:kern w:val="2"/>
                <w:sz w:val="24"/>
                <w:szCs w:val="24"/>
                <w:highlight w:val="none"/>
                <w:lang w:val="en-US" w:eastAsia="zh-CN" w:bidi="ar-SA"/>
              </w:rPr>
              <w:t>的产污系数为2kg/万m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天然气</w:t>
            </w:r>
            <w:r>
              <w:rPr>
                <w:rFonts w:hint="eastAsia" w:ascii="Times New Roman" w:eastAsia="宋体" w:cs="Times New Roman"/>
                <w:snapToGrid/>
                <w:color w:val="auto"/>
                <w:kern w:val="2"/>
                <w:sz w:val="24"/>
                <w:szCs w:val="24"/>
                <w:highlight w:val="none"/>
                <w:lang w:val="en-US" w:eastAsia="zh-CN" w:bidi="ar-SA"/>
              </w:rPr>
              <w:t>，项目用天然气的量为5.768万m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/a（7.21m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/h），则SO</w:t>
            </w:r>
            <w:r>
              <w:rPr>
                <w:rFonts w:hint="eastAsia" w:ascii="Times New Roman" w:eastAsia="宋体" w:cs="Times New Roman"/>
                <w:snapToGrid/>
                <w:color w:val="auto"/>
                <w:kern w:val="2"/>
                <w:sz w:val="24"/>
                <w:szCs w:val="24"/>
                <w:highlight w:val="none"/>
                <w:vertAlign w:val="subscript"/>
                <w:lang w:val="en-US" w:eastAsia="zh-CN" w:bidi="ar-SA"/>
              </w:rPr>
              <w:t>2</w:t>
            </w:r>
            <w:r>
              <w:rPr>
                <w:rFonts w:hint="eastAsia" w:ascii="Times New Roman" w:eastAsia="宋体" w:cs="Times New Roman"/>
                <w:snapToGrid/>
                <w:color w:val="auto"/>
                <w:kern w:val="2"/>
                <w:sz w:val="24"/>
                <w:szCs w:val="24"/>
                <w:highlight w:val="none"/>
                <w:lang w:val="en-US" w:eastAsia="zh-CN" w:bidi="ar-SA"/>
              </w:rPr>
              <w:t>产生量为0.0115t/a（0.0014kg/h），NO</w:t>
            </w:r>
            <w:r>
              <w:rPr>
                <w:rFonts w:hint="eastAsia" w:ascii="Times New Roman" w:eastAsia="宋体" w:cs="Times New Roman"/>
                <w:snapToGrid/>
                <w:color w:val="auto"/>
                <w:kern w:val="2"/>
                <w:sz w:val="24"/>
                <w:szCs w:val="24"/>
                <w:highlight w:val="none"/>
                <w:vertAlign w:val="subscript"/>
                <w:lang w:val="en-US" w:eastAsia="zh-CN" w:bidi="ar-SA"/>
              </w:rPr>
              <w:t>X</w:t>
            </w:r>
            <w:r>
              <w:rPr>
                <w:rFonts w:hint="eastAsia" w:ascii="Times New Roman" w:eastAsia="宋体" w:cs="Times New Roman"/>
                <w:snapToGrid/>
                <w:color w:val="auto"/>
                <w:kern w:val="2"/>
                <w:sz w:val="24"/>
                <w:szCs w:val="24"/>
                <w:highlight w:val="none"/>
                <w:lang w:val="en-US" w:eastAsia="zh-CN" w:bidi="ar-SA"/>
              </w:rPr>
              <w:t>产生量为0.0175t/a（0.0022kg/h）。</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eastAsia" w:ascii="Times New Roman" w:hAnsi="Times New Roman" w:eastAsia="宋体" w:cs="Times New Roman"/>
                <w:snapToGrid/>
                <w:color w:val="auto"/>
                <w:kern w:val="2"/>
                <w:sz w:val="24"/>
                <w:szCs w:val="24"/>
                <w:highlight w:val="none"/>
                <w:lang w:val="en-US" w:eastAsia="zh-CN" w:bidi="ar-SA"/>
              </w:rPr>
            </w:pPr>
            <w:r>
              <w:rPr>
                <w:rFonts w:hint="eastAsia" w:ascii="Times New Roman" w:eastAsia="宋体" w:cs="Times New Roman"/>
                <w:snapToGrid/>
                <w:color w:val="auto"/>
                <w:kern w:val="2"/>
                <w:sz w:val="24"/>
                <w:szCs w:val="24"/>
                <w:highlight w:val="none"/>
                <w:lang w:val="en-US" w:eastAsia="zh-CN" w:bidi="ar-SA"/>
              </w:rPr>
              <w:t>烟尘的产生源强参照《北京环境总体规划研究》中相关数据，每燃烧1万m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天然气，燃气锅炉污染物中烟尘的排放量0.45kg，则烟尘的产生量为0.0026t/a（0.0003kg/h）</w:t>
            </w:r>
            <w:r>
              <w:rPr>
                <w:rFonts w:hint="eastAsia" w:ascii="Times New Roman" w:hAnsi="Times New Roman" w:eastAsia="宋体" w:cs="Times New Roman"/>
                <w:snapToGrid/>
                <w:color w:val="auto"/>
                <w:kern w:val="2"/>
                <w:sz w:val="24"/>
                <w:szCs w:val="24"/>
                <w:highlight w:val="none"/>
                <w:lang w:val="en-US" w:eastAsia="zh-CN" w:bidi="ar-SA"/>
              </w:rPr>
              <w:t>。</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snapToGrid/>
                <w:color w:val="auto"/>
                <w:kern w:val="2"/>
                <w:sz w:val="24"/>
                <w:szCs w:val="24"/>
                <w:lang w:val="en-US" w:eastAsia="zh-CN" w:bidi="ar-SA"/>
              </w:rPr>
            </w:pPr>
            <w:r>
              <w:rPr>
                <w:rFonts w:hint="default" w:ascii="Times New Roman" w:hAnsi="Times New Roman" w:eastAsia="宋体" w:cs="Times New Roman"/>
                <w:color w:val="auto"/>
                <w:sz w:val="24"/>
                <w:szCs w:val="24"/>
                <w:highlight w:val="none"/>
              </w:rPr>
              <w:t>天然气</w:t>
            </w:r>
            <w:r>
              <w:rPr>
                <w:rFonts w:hint="eastAsia" w:ascii="Times New Roman" w:hAnsi="Times New Roman" w:eastAsia="宋体" w:cs="Times New Roman"/>
                <w:color w:val="auto"/>
                <w:sz w:val="24"/>
                <w:szCs w:val="24"/>
                <w:highlight w:val="none"/>
                <w:lang w:val="en-US" w:eastAsia="zh-CN"/>
              </w:rPr>
              <w:t>锅炉的废气量为</w:t>
            </w:r>
            <w:r>
              <w:rPr>
                <w:rFonts w:hint="eastAsia" w:ascii="Times New Roman" w:eastAsia="宋体" w:cs="Times New Roman"/>
                <w:snapToGrid/>
                <w:color w:val="auto"/>
                <w:kern w:val="2"/>
                <w:sz w:val="24"/>
                <w:szCs w:val="24"/>
                <w:highlight w:val="none"/>
                <w:lang w:val="en-US" w:eastAsia="zh-CN" w:bidi="ar-SA"/>
              </w:rPr>
              <w:t>75.49m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/h则污染物的排放浓度分别为SO</w:t>
            </w:r>
            <w:r>
              <w:rPr>
                <w:rFonts w:hint="eastAsia" w:ascii="Times New Roman" w:eastAsia="宋体" w:cs="Times New Roman"/>
                <w:snapToGrid/>
                <w:color w:val="auto"/>
                <w:kern w:val="2"/>
                <w:sz w:val="24"/>
                <w:szCs w:val="24"/>
                <w:highlight w:val="none"/>
                <w:vertAlign w:val="subscript"/>
                <w:lang w:val="en-US" w:eastAsia="zh-CN" w:bidi="ar-SA"/>
              </w:rPr>
              <w:t>2</w:t>
            </w:r>
            <w:r>
              <w:rPr>
                <w:rFonts w:hint="eastAsia" w:ascii="Times New Roman" w:eastAsia="宋体" w:cs="Times New Roman"/>
                <w:snapToGrid/>
                <w:color w:val="auto"/>
                <w:kern w:val="2"/>
                <w:sz w:val="24"/>
                <w:szCs w:val="24"/>
                <w:highlight w:val="none"/>
                <w:lang w:val="en-US" w:eastAsia="zh-CN" w:bidi="ar-SA"/>
              </w:rPr>
              <w:t>：19.04mg/m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，NO</w:t>
            </w:r>
            <w:r>
              <w:rPr>
                <w:rFonts w:hint="eastAsia" w:ascii="Times New Roman" w:eastAsia="宋体" w:cs="Times New Roman"/>
                <w:snapToGrid/>
                <w:color w:val="auto"/>
                <w:kern w:val="2"/>
                <w:sz w:val="24"/>
                <w:szCs w:val="24"/>
                <w:highlight w:val="none"/>
                <w:vertAlign w:val="subscript"/>
                <w:lang w:val="en-US" w:eastAsia="zh-CN" w:bidi="ar-SA"/>
              </w:rPr>
              <w:t>X</w:t>
            </w:r>
            <w:r>
              <w:rPr>
                <w:rFonts w:hint="eastAsia" w:ascii="Times New Roman" w:eastAsia="宋体" w:cs="Times New Roman"/>
                <w:snapToGrid/>
                <w:color w:val="auto"/>
                <w:kern w:val="2"/>
                <w:sz w:val="24"/>
                <w:szCs w:val="24"/>
                <w:highlight w:val="none"/>
                <w:lang w:val="en-US" w:eastAsia="zh-CN" w:bidi="ar-SA"/>
              </w:rPr>
              <w:t>：28.94mg/m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，烟尘：4.31mg/m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，后通过</w:t>
            </w:r>
            <w:r>
              <w:rPr>
                <w:rFonts w:hint="default" w:ascii="Times New Roman" w:hAnsi="Times New Roman" w:eastAsia="宋体" w:cs="Times New Roman"/>
                <w:color w:val="auto"/>
                <w:sz w:val="24"/>
                <w:szCs w:val="24"/>
                <w:lang w:val="de-DE"/>
              </w:rPr>
              <w:t>15m高排气筒</w:t>
            </w:r>
            <w:r>
              <w:rPr>
                <w:rFonts w:hint="eastAsia" w:ascii="Times New Roman" w:hAnsi="Times New Roman" w:eastAsia="宋体" w:cs="Times New Roman"/>
                <w:color w:val="auto"/>
                <w:sz w:val="24"/>
                <w:szCs w:val="24"/>
                <w:lang w:val="de-DE" w:eastAsia="zh-CN"/>
              </w:rPr>
              <w:t>（</w:t>
            </w:r>
            <w:r>
              <w:rPr>
                <w:rFonts w:hint="default" w:ascii="Times New Roman" w:hAnsi="Times New Roman" w:eastAsia="宋体" w:cs="Times New Roman"/>
                <w:color w:val="auto"/>
                <w:sz w:val="24"/>
                <w:szCs w:val="24"/>
                <w:lang w:val="de-DE"/>
              </w:rPr>
              <w:t>DA00</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de-DE" w:eastAsia="zh-CN"/>
              </w:rPr>
              <w:t>）</w:t>
            </w:r>
            <w:r>
              <w:rPr>
                <w:rFonts w:hint="default" w:ascii="Times New Roman" w:hAnsi="Times New Roman" w:eastAsia="宋体" w:cs="Times New Roman"/>
                <w:color w:val="auto"/>
                <w:sz w:val="24"/>
                <w:szCs w:val="24"/>
                <w:lang w:val="de-DE"/>
              </w:rPr>
              <w:t>排放</w:t>
            </w:r>
            <w:r>
              <w:rPr>
                <w:rFonts w:hint="default" w:ascii="Times New Roman" w:hAnsi="Times New Roman" w:eastAsia="宋体" w:cs="Times New Roman"/>
                <w:color w:val="auto"/>
                <w:sz w:val="24"/>
                <w:szCs w:val="24"/>
              </w:rPr>
              <w:t>，可以满足《区域性大气污染物综合排放标准》（DB37/2376-2019）中表1中重点控制区大气污染物排放浓度限值（SO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50mg/m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、NO</w:t>
            </w:r>
            <w:r>
              <w:rPr>
                <w:rFonts w:hint="default" w:ascii="Times New Roman" w:hAnsi="Times New Roman" w:eastAsia="宋体" w:cs="Times New Roman"/>
                <w:color w:val="auto"/>
                <w:sz w:val="24"/>
                <w:szCs w:val="24"/>
                <w:vertAlign w:val="subscript"/>
              </w:rPr>
              <w:t>x</w:t>
            </w:r>
            <w:r>
              <w:rPr>
                <w:rFonts w:hint="eastAsia" w:asci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rPr>
              <w:t>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、烟尘10mg/m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cs="Times New Roman"/>
                <w:color w:val="auto"/>
                <w:sz w:val="24"/>
                <w:szCs w:val="24"/>
                <w:lang w:val="en-US" w:eastAsia="zh-CN"/>
              </w:rPr>
              <w:t>（2）</w:t>
            </w:r>
            <w:r>
              <w:rPr>
                <w:rFonts w:hint="eastAsia" w:cs="Times New Roman"/>
                <w:color w:val="auto"/>
                <w:sz w:val="24"/>
                <w:lang w:val="en-US" w:eastAsia="zh-CN"/>
              </w:rPr>
              <w:t>导热油锅炉天然气燃烧废气</w:t>
            </w:r>
            <w:r>
              <w:rPr>
                <w:rFonts w:hint="eastAsia" w:ascii="Times New Roman" w:hAnsi="Times New Roman" w:eastAsia="宋体" w:cs="Times New Roman"/>
                <w:color w:val="auto"/>
                <w:sz w:val="24"/>
                <w:szCs w:val="24"/>
                <w:lang w:val="en-US" w:eastAsia="zh-CN"/>
              </w:rPr>
              <w:t>产生及排放情况</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snapToGrid/>
                <w:color w:val="auto"/>
                <w:kern w:val="2"/>
                <w:sz w:val="24"/>
                <w:szCs w:val="24"/>
                <w:lang w:val="en-US" w:eastAsia="zh-CN" w:bidi="ar-SA"/>
              </w:rPr>
            </w:pPr>
            <w:r>
              <w:rPr>
                <w:rFonts w:hint="eastAsia" w:ascii="Times New Roman" w:hAnsi="Times New Roman" w:eastAsia="宋体" w:cs="Times New Roman"/>
                <w:color w:val="auto"/>
                <w:sz w:val="24"/>
                <w:lang w:val="en-US" w:eastAsia="zh-CN"/>
              </w:rPr>
              <w:t>项目使用一台4t/h的</w:t>
            </w:r>
            <w:r>
              <w:rPr>
                <w:rFonts w:hint="eastAsia" w:cs="Times New Roman"/>
                <w:color w:val="auto"/>
                <w:sz w:val="24"/>
                <w:lang w:val="en-US" w:eastAsia="zh-CN"/>
              </w:rPr>
              <w:t>导热油锅炉，用于沥青罐体保温</w:t>
            </w:r>
            <w:r>
              <w:rPr>
                <w:rFonts w:hint="eastAsia" w:ascii="Times New Roman" w:hAnsi="Times New Roman" w:eastAsia="宋体" w:cs="Times New Roman"/>
                <w:color w:val="auto"/>
                <w:sz w:val="24"/>
                <w:lang w:val="en-US" w:eastAsia="zh-CN"/>
              </w:rPr>
              <w:t>，运行时间8000h，用气量</w:t>
            </w:r>
            <w:r>
              <w:rPr>
                <w:rFonts w:hint="eastAsia" w:cs="Times New Roman"/>
                <w:color w:val="auto"/>
                <w:sz w:val="24"/>
                <w:lang w:val="en-US" w:eastAsia="zh-CN"/>
              </w:rPr>
              <w:t>392</w:t>
            </w:r>
            <w:r>
              <w:rPr>
                <w:rFonts w:hint="eastAsia" w:ascii="Times New Roman" w:hAnsi="Times New Roman" w:eastAsia="宋体" w:cs="Times New Roman"/>
                <w:color w:val="auto"/>
                <w:sz w:val="24"/>
                <w:lang w:val="en-US" w:eastAsia="zh-CN"/>
              </w:rPr>
              <w:t>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/h。项目用气</w:t>
            </w:r>
            <w:r>
              <w:rPr>
                <w:rFonts w:hint="eastAsia" w:cs="Times New Roman"/>
                <w:color w:val="auto"/>
                <w:sz w:val="24"/>
                <w:szCs w:val="24"/>
                <w:lang w:val="en-US" w:eastAsia="zh-CN"/>
              </w:rPr>
              <w:t>由当地燃气管线接入</w:t>
            </w:r>
            <w:r>
              <w:rPr>
                <w:rFonts w:hint="eastAsia" w:ascii="Times New Roman" w:hAnsi="Times New Roman" w:eastAsia="宋体" w:cs="Times New Roman"/>
                <w:color w:val="auto"/>
                <w:sz w:val="24"/>
                <w:lang w:val="en-US" w:eastAsia="zh-CN"/>
              </w:rPr>
              <w:t>。</w:t>
            </w:r>
            <w:r>
              <w:rPr>
                <w:rFonts w:hint="eastAsia" w:ascii="Times New Roman" w:hAnsi="Times New Roman" w:eastAsia="宋体" w:cs="Times New Roman"/>
                <w:snapToGrid/>
                <w:color w:val="auto"/>
                <w:kern w:val="2"/>
                <w:sz w:val="24"/>
                <w:szCs w:val="24"/>
                <w:lang w:val="en-US" w:eastAsia="zh-CN" w:bidi="ar-SA"/>
              </w:rPr>
              <w:t>所用天然气达到《天然气》（GB17820-2018）中的二类指标，即总硫含量≤100mg/m</w:t>
            </w:r>
            <w:r>
              <w:rPr>
                <w:rFonts w:hint="eastAsia" w:ascii="Times New Roman" w:hAnsi="Times New Roman" w:eastAsia="宋体" w:cs="Times New Roman"/>
                <w:snapToGrid/>
                <w:color w:val="auto"/>
                <w:kern w:val="2"/>
                <w:sz w:val="24"/>
                <w:szCs w:val="24"/>
                <w:vertAlign w:val="superscript"/>
                <w:lang w:val="en-US" w:eastAsia="zh-CN" w:bidi="ar-SA"/>
              </w:rPr>
              <w:t>3</w:t>
            </w:r>
            <w:r>
              <w:rPr>
                <w:rFonts w:hint="eastAsia" w:ascii="Times New Roman" w:hAnsi="Times New Roman" w:eastAsia="宋体" w:cs="Times New Roman"/>
                <w:snapToGrid/>
                <w:color w:val="auto"/>
                <w:kern w:val="2"/>
                <w:sz w:val="24"/>
                <w:szCs w:val="24"/>
                <w:lang w:val="en-US" w:eastAsia="zh-CN" w:bidi="ar-SA"/>
              </w:rPr>
              <w:t>，热值为35547KJ/m</w:t>
            </w:r>
            <w:r>
              <w:rPr>
                <w:rFonts w:hint="eastAsia" w:ascii="Times New Roman" w:hAnsi="Times New Roman" w:eastAsia="宋体" w:cs="Times New Roman"/>
                <w:snapToGrid/>
                <w:color w:val="auto"/>
                <w:kern w:val="2"/>
                <w:sz w:val="24"/>
                <w:szCs w:val="24"/>
                <w:vertAlign w:val="superscript"/>
                <w:lang w:val="en-US" w:eastAsia="zh-CN" w:bidi="ar-SA"/>
              </w:rPr>
              <w:t>3</w:t>
            </w:r>
            <w:r>
              <w:rPr>
                <w:rFonts w:hint="eastAsia" w:ascii="Times New Roman" w:hAnsi="Times New Roman" w:eastAsia="宋体" w:cs="Times New Roman"/>
                <w:snapToGrid/>
                <w:color w:val="auto"/>
                <w:kern w:val="2"/>
                <w:sz w:val="24"/>
                <w:szCs w:val="24"/>
                <w:lang w:val="en-US" w:eastAsia="zh-CN" w:bidi="ar-SA"/>
              </w:rPr>
              <w:t>（8500大卡/m</w:t>
            </w:r>
            <w:r>
              <w:rPr>
                <w:rFonts w:hint="eastAsia" w:ascii="Times New Roman" w:hAnsi="Times New Roman" w:eastAsia="宋体" w:cs="Times New Roman"/>
                <w:snapToGrid/>
                <w:color w:val="auto"/>
                <w:kern w:val="2"/>
                <w:sz w:val="24"/>
                <w:szCs w:val="24"/>
                <w:vertAlign w:val="superscript"/>
                <w:lang w:val="en-US" w:eastAsia="zh-CN" w:bidi="ar-SA"/>
              </w:rPr>
              <w:t>3</w:t>
            </w:r>
            <w:r>
              <w:rPr>
                <w:rFonts w:hint="eastAsia" w:ascii="Times New Roman" w:hAnsi="Times New Roman" w:eastAsia="宋体" w:cs="Times New Roman"/>
                <w:snapToGrid/>
                <w:color w:val="auto"/>
                <w:kern w:val="2"/>
                <w:sz w:val="24"/>
                <w:szCs w:val="24"/>
                <w:lang w:val="en-US" w:eastAsia="zh-CN" w:bidi="ar-SA"/>
              </w:rPr>
              <w:t>）。</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eastAsia" w:ascii="Times New Roman" w:hAnsi="Times New Roman" w:eastAsia="宋体" w:cs="Times New Roman"/>
                <w:snapToGrid/>
                <w:color w:val="auto"/>
                <w:kern w:val="2"/>
                <w:sz w:val="24"/>
                <w:szCs w:val="24"/>
                <w:highlight w:val="none"/>
                <w:lang w:val="en-US" w:eastAsia="zh-CN" w:bidi="ar-SA"/>
              </w:rPr>
            </w:pPr>
            <w:r>
              <w:rPr>
                <w:rFonts w:hint="eastAsia" w:ascii="Times New Roman" w:hAnsi="Times New Roman" w:eastAsia="宋体" w:cs="Times New Roman"/>
                <w:snapToGrid/>
                <w:color w:val="auto"/>
                <w:kern w:val="2"/>
                <w:sz w:val="24"/>
                <w:szCs w:val="24"/>
                <w:highlight w:val="none"/>
                <w:lang w:val="en-US" w:eastAsia="zh-CN" w:bidi="ar-SA"/>
              </w:rPr>
              <w:t>a.烟气量</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snapToGrid/>
                <w:color w:val="auto"/>
                <w:kern w:val="2"/>
                <w:sz w:val="24"/>
                <w:szCs w:val="24"/>
                <w:highlight w:val="none"/>
                <w:lang w:val="en-US" w:eastAsia="zh-CN" w:bidi="ar-SA"/>
              </w:rPr>
            </w:pPr>
            <w:r>
              <w:rPr>
                <w:rFonts w:hint="eastAsia" w:ascii="Times New Roman" w:hAnsi="Times New Roman" w:eastAsia="宋体" w:cs="Times New Roman"/>
                <w:snapToGrid/>
                <w:color w:val="auto"/>
                <w:kern w:val="2"/>
                <w:sz w:val="24"/>
                <w:szCs w:val="24"/>
                <w:highlight w:val="none"/>
                <w:lang w:val="en-US" w:eastAsia="zh-CN" w:bidi="ar-SA"/>
              </w:rPr>
              <w:t>根据《排污许可证申请与核发技术规范 锅炉》（HJ953-2018）经验公式，</w:t>
            </w:r>
            <w:r>
              <w:rPr>
                <w:rFonts w:hint="eastAsia" w:ascii="Times New Roman" w:eastAsia="宋体" w:cs="Times New Roman"/>
                <w:snapToGrid/>
                <w:color w:val="auto"/>
                <w:kern w:val="2"/>
                <w:sz w:val="24"/>
                <w:szCs w:val="24"/>
                <w:highlight w:val="none"/>
                <w:lang w:val="en-US" w:eastAsia="zh-CN" w:bidi="ar-SA"/>
              </w:rPr>
              <w:t>导热油锅炉</w:t>
            </w:r>
            <w:r>
              <w:rPr>
                <w:rFonts w:hint="eastAsia" w:ascii="Times New Roman" w:hAnsi="Times New Roman" w:eastAsia="宋体" w:cs="Times New Roman"/>
                <w:snapToGrid/>
                <w:color w:val="auto"/>
                <w:kern w:val="2"/>
                <w:sz w:val="24"/>
                <w:szCs w:val="24"/>
                <w:highlight w:val="none"/>
                <w:lang w:val="en-US" w:eastAsia="zh-CN" w:bidi="ar-SA"/>
              </w:rPr>
              <w:t>燃烧基准烟气量Vgy=0.285Qnet+0.343，该项目天然气热值Qnet为35.547MJ/m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（8500大卡/m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），则</w:t>
            </w:r>
            <w:r>
              <w:rPr>
                <w:rFonts w:hint="eastAsia" w:ascii="Times New Roman" w:eastAsia="宋体" w:cs="Times New Roman"/>
                <w:snapToGrid/>
                <w:color w:val="auto"/>
                <w:kern w:val="2"/>
                <w:sz w:val="24"/>
                <w:szCs w:val="24"/>
                <w:highlight w:val="none"/>
                <w:lang w:val="en-US" w:eastAsia="zh-CN" w:bidi="ar-SA"/>
              </w:rPr>
              <w:t>导热油锅炉</w:t>
            </w:r>
            <w:r>
              <w:rPr>
                <w:rFonts w:hint="eastAsia" w:ascii="Times New Roman" w:hAnsi="Times New Roman" w:eastAsia="宋体" w:cs="Times New Roman"/>
                <w:snapToGrid/>
                <w:color w:val="auto"/>
                <w:kern w:val="2"/>
                <w:sz w:val="24"/>
                <w:szCs w:val="24"/>
                <w:highlight w:val="none"/>
                <w:lang w:val="en-US" w:eastAsia="zh-CN" w:bidi="ar-SA"/>
              </w:rPr>
              <w:t>燃烧烟气量Vgy=10.47Nm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w:t>
            </w:r>
            <w:r>
              <w:rPr>
                <w:rFonts w:hint="eastAsia" w:ascii="Times New Roman" w:eastAsia="宋体" w:cs="Times New Roman"/>
                <w:snapToGrid/>
                <w:color w:val="auto"/>
                <w:kern w:val="2"/>
                <w:sz w:val="24"/>
                <w:szCs w:val="24"/>
                <w:highlight w:val="none"/>
                <w:lang w:val="en-US" w:eastAsia="zh-CN" w:bidi="ar-SA"/>
              </w:rPr>
              <w:t>项目用天然气的量为313.6万m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/a（392m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/h），则废气量为3283.392万m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/a（4104.24m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/h）。</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snapToGrid/>
                <w:color w:val="auto"/>
                <w:kern w:val="2"/>
                <w:sz w:val="24"/>
                <w:szCs w:val="24"/>
                <w:highlight w:val="none"/>
                <w:lang w:val="en-US" w:eastAsia="zh-CN" w:bidi="ar-SA"/>
              </w:rPr>
            </w:pPr>
            <w:r>
              <w:rPr>
                <w:rFonts w:hint="eastAsia" w:ascii="Times New Roman" w:hAnsi="Times New Roman" w:eastAsia="宋体" w:cs="Times New Roman"/>
                <w:snapToGrid/>
                <w:color w:val="auto"/>
                <w:kern w:val="2"/>
                <w:sz w:val="24"/>
                <w:szCs w:val="24"/>
                <w:highlight w:val="none"/>
                <w:lang w:val="en-US" w:eastAsia="zh-CN" w:bidi="ar-SA"/>
              </w:rPr>
              <w:t>b.污染物</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snapToGrid/>
                <w:color w:val="auto"/>
                <w:kern w:val="2"/>
                <w:sz w:val="24"/>
                <w:szCs w:val="24"/>
                <w:highlight w:val="none"/>
                <w:lang w:val="en-US" w:eastAsia="zh-CN" w:bidi="ar-SA"/>
              </w:rPr>
            </w:pPr>
            <w:r>
              <w:rPr>
                <w:rFonts w:hint="eastAsia" w:ascii="Times New Roman" w:hAnsi="Times New Roman" w:eastAsia="宋体" w:cs="Times New Roman"/>
                <w:snapToGrid/>
                <w:color w:val="auto"/>
                <w:kern w:val="2"/>
                <w:sz w:val="24"/>
                <w:szCs w:val="24"/>
                <w:highlight w:val="none"/>
                <w:lang w:val="en-US" w:eastAsia="zh-CN" w:bidi="ar-SA"/>
              </w:rPr>
              <w:t>根据《排污许可证申请与核发技术规范 锅炉》（HJ953-2018）附录F3，蒸汽/热水/其他天然气锅炉污染物的产排污系数分别为：SO</w:t>
            </w:r>
            <w:r>
              <w:rPr>
                <w:rFonts w:hint="eastAsia" w:ascii="Times New Roman" w:hAnsi="Times New Roman" w:eastAsia="宋体" w:cs="Times New Roman"/>
                <w:snapToGrid/>
                <w:color w:val="auto"/>
                <w:kern w:val="2"/>
                <w:sz w:val="24"/>
                <w:szCs w:val="24"/>
                <w:highlight w:val="none"/>
                <w:vertAlign w:val="subscript"/>
                <w:lang w:val="en-US" w:eastAsia="zh-CN" w:bidi="ar-SA"/>
              </w:rPr>
              <w:t>2</w:t>
            </w:r>
            <w:r>
              <w:rPr>
                <w:rFonts w:hint="eastAsia" w:ascii="Times New Roman" w:hAnsi="Times New Roman" w:eastAsia="宋体" w:cs="Times New Roman"/>
                <w:snapToGrid/>
                <w:color w:val="auto"/>
                <w:kern w:val="2"/>
                <w:sz w:val="24"/>
                <w:szCs w:val="24"/>
                <w:highlight w:val="none"/>
                <w:lang w:val="en-US" w:eastAsia="zh-CN" w:bidi="ar-SA"/>
              </w:rPr>
              <w:t>0.02Skg/万m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天然气、NOx（低氮燃烧</w:t>
            </w:r>
            <w:r>
              <w:rPr>
                <w:rFonts w:hint="eastAsia" w:ascii="Times New Roman" w:eastAsia="宋体" w:cs="Times New Roman"/>
                <w:snapToGrid/>
                <w:color w:val="auto"/>
                <w:kern w:val="2"/>
                <w:sz w:val="24"/>
                <w:szCs w:val="24"/>
                <w:highlight w:val="none"/>
                <w:lang w:val="en-US" w:eastAsia="zh-CN" w:bidi="ar-SA"/>
              </w:rPr>
              <w:t>-国际领先</w:t>
            </w:r>
            <w:r>
              <w:rPr>
                <w:rFonts w:hint="eastAsia" w:ascii="Times New Roman" w:hAnsi="Times New Roman" w:eastAsia="宋体" w:cs="Times New Roman"/>
                <w:snapToGrid/>
                <w:color w:val="auto"/>
                <w:kern w:val="2"/>
                <w:sz w:val="24"/>
                <w:szCs w:val="24"/>
                <w:highlight w:val="none"/>
                <w:lang w:val="en-US" w:eastAsia="zh-CN" w:bidi="ar-SA"/>
              </w:rPr>
              <w:t>）</w:t>
            </w:r>
            <w:r>
              <w:rPr>
                <w:rFonts w:hint="eastAsia" w:ascii="Times New Roman" w:eastAsia="宋体" w:cs="Times New Roman"/>
                <w:snapToGrid/>
                <w:color w:val="auto"/>
                <w:kern w:val="2"/>
                <w:sz w:val="24"/>
                <w:szCs w:val="24"/>
                <w:highlight w:val="none"/>
                <w:lang w:val="en-US" w:eastAsia="zh-CN" w:bidi="ar-SA"/>
              </w:rPr>
              <w:t>3.03</w:t>
            </w:r>
            <w:r>
              <w:rPr>
                <w:rFonts w:hint="eastAsia" w:ascii="Times New Roman" w:hAnsi="Times New Roman" w:eastAsia="宋体" w:cs="Times New Roman"/>
                <w:snapToGrid/>
                <w:color w:val="auto"/>
                <w:kern w:val="2"/>
                <w:sz w:val="24"/>
                <w:szCs w:val="24"/>
                <w:highlight w:val="none"/>
                <w:lang w:val="en-US" w:eastAsia="zh-CN" w:bidi="ar-SA"/>
              </w:rPr>
              <w:t>kg/万m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天然气。该项目采用的天然气满足《天然气》（GB17820-2018）中的二类指标，即总硫含量S≤100mg/m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，本次S取值100mg/m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，则SO</w:t>
            </w:r>
            <w:r>
              <w:rPr>
                <w:rFonts w:hint="eastAsia" w:ascii="Times New Roman" w:hAnsi="Times New Roman" w:eastAsia="宋体" w:cs="Times New Roman"/>
                <w:snapToGrid/>
                <w:color w:val="auto"/>
                <w:kern w:val="2"/>
                <w:sz w:val="24"/>
                <w:szCs w:val="24"/>
                <w:highlight w:val="none"/>
                <w:vertAlign w:val="subscript"/>
                <w:lang w:val="en-US" w:eastAsia="zh-CN" w:bidi="ar-SA"/>
              </w:rPr>
              <w:t>2</w:t>
            </w:r>
            <w:r>
              <w:rPr>
                <w:rFonts w:hint="eastAsia" w:ascii="Times New Roman" w:hAnsi="Times New Roman" w:eastAsia="宋体" w:cs="Times New Roman"/>
                <w:snapToGrid/>
                <w:color w:val="auto"/>
                <w:kern w:val="2"/>
                <w:sz w:val="24"/>
                <w:szCs w:val="24"/>
                <w:highlight w:val="none"/>
                <w:lang w:val="en-US" w:eastAsia="zh-CN" w:bidi="ar-SA"/>
              </w:rPr>
              <w:t>的产污系数为2kg/万m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天然气</w:t>
            </w:r>
            <w:r>
              <w:rPr>
                <w:rFonts w:hint="eastAsia" w:ascii="Times New Roman" w:eastAsia="宋体" w:cs="Times New Roman"/>
                <w:snapToGrid/>
                <w:color w:val="auto"/>
                <w:kern w:val="2"/>
                <w:sz w:val="24"/>
                <w:szCs w:val="24"/>
                <w:highlight w:val="none"/>
                <w:lang w:val="en-US" w:eastAsia="zh-CN" w:bidi="ar-SA"/>
              </w:rPr>
              <w:t>，项目用天然气的量为313.6万m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/a（392m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/h），则SO</w:t>
            </w:r>
            <w:r>
              <w:rPr>
                <w:rFonts w:hint="eastAsia" w:ascii="Times New Roman" w:eastAsia="宋体" w:cs="Times New Roman"/>
                <w:snapToGrid/>
                <w:color w:val="auto"/>
                <w:kern w:val="2"/>
                <w:sz w:val="24"/>
                <w:szCs w:val="24"/>
                <w:highlight w:val="none"/>
                <w:vertAlign w:val="subscript"/>
                <w:lang w:val="en-US" w:eastAsia="zh-CN" w:bidi="ar-SA"/>
              </w:rPr>
              <w:t>2</w:t>
            </w:r>
            <w:r>
              <w:rPr>
                <w:rFonts w:hint="eastAsia" w:ascii="Times New Roman" w:eastAsia="宋体" w:cs="Times New Roman"/>
                <w:snapToGrid/>
                <w:color w:val="auto"/>
                <w:kern w:val="2"/>
                <w:sz w:val="24"/>
                <w:szCs w:val="24"/>
                <w:highlight w:val="none"/>
                <w:lang w:val="en-US" w:eastAsia="zh-CN" w:bidi="ar-SA"/>
              </w:rPr>
              <w:t>产生量为0.6272t/a（0.0784kg/h），NO</w:t>
            </w:r>
            <w:r>
              <w:rPr>
                <w:rFonts w:hint="eastAsia" w:ascii="Times New Roman" w:eastAsia="宋体" w:cs="Times New Roman"/>
                <w:snapToGrid/>
                <w:color w:val="auto"/>
                <w:kern w:val="2"/>
                <w:sz w:val="24"/>
                <w:szCs w:val="24"/>
                <w:highlight w:val="none"/>
                <w:vertAlign w:val="subscript"/>
                <w:lang w:val="en-US" w:eastAsia="zh-CN" w:bidi="ar-SA"/>
              </w:rPr>
              <w:t>X</w:t>
            </w:r>
            <w:r>
              <w:rPr>
                <w:rFonts w:hint="eastAsia" w:ascii="Times New Roman" w:eastAsia="宋体" w:cs="Times New Roman"/>
                <w:snapToGrid/>
                <w:color w:val="auto"/>
                <w:kern w:val="2"/>
                <w:sz w:val="24"/>
                <w:szCs w:val="24"/>
                <w:highlight w:val="none"/>
                <w:lang w:val="en-US" w:eastAsia="zh-CN" w:bidi="ar-SA"/>
              </w:rPr>
              <w:t>产生量为0.9502t/a（0.1188kg/h）。</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eastAsia" w:ascii="Times New Roman" w:hAnsi="Times New Roman" w:eastAsia="宋体" w:cs="Times New Roman"/>
                <w:snapToGrid/>
                <w:color w:val="auto"/>
                <w:kern w:val="2"/>
                <w:sz w:val="24"/>
                <w:szCs w:val="24"/>
                <w:highlight w:val="none"/>
                <w:lang w:val="en-US" w:eastAsia="zh-CN" w:bidi="ar-SA"/>
              </w:rPr>
            </w:pPr>
            <w:r>
              <w:rPr>
                <w:rFonts w:hint="eastAsia" w:ascii="Times New Roman" w:eastAsia="宋体" w:cs="Times New Roman"/>
                <w:snapToGrid/>
                <w:color w:val="auto"/>
                <w:kern w:val="2"/>
                <w:sz w:val="24"/>
                <w:szCs w:val="24"/>
                <w:highlight w:val="none"/>
                <w:lang w:val="en-US" w:eastAsia="zh-CN" w:bidi="ar-SA"/>
              </w:rPr>
              <w:t>烟尘的产生源强参照《北京环境总体规划研究》中相关数据，每燃烧1万m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天然气，燃气锅炉污染物中烟尘的排放量0.45kg，则烟尘的产生量为0.1411t/a（0.0177kg/h）</w:t>
            </w:r>
            <w:r>
              <w:rPr>
                <w:rFonts w:hint="eastAsia" w:ascii="Times New Roman" w:hAnsi="Times New Roman" w:eastAsia="宋体" w:cs="Times New Roman"/>
                <w:snapToGrid/>
                <w:color w:val="auto"/>
                <w:kern w:val="2"/>
                <w:sz w:val="24"/>
                <w:szCs w:val="24"/>
                <w:highlight w:val="none"/>
                <w:lang w:val="en-US" w:eastAsia="zh-CN" w:bidi="ar-SA"/>
              </w:rPr>
              <w:t>。</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snapToGrid/>
                <w:color w:val="auto"/>
                <w:kern w:val="2"/>
                <w:sz w:val="24"/>
                <w:szCs w:val="24"/>
                <w:lang w:val="en-US" w:eastAsia="zh-CN" w:bidi="ar-SA"/>
              </w:rPr>
            </w:pPr>
            <w:r>
              <w:rPr>
                <w:rFonts w:hint="default" w:ascii="Times New Roman" w:hAnsi="Times New Roman" w:eastAsia="宋体" w:cs="Times New Roman"/>
                <w:color w:val="auto"/>
                <w:sz w:val="24"/>
                <w:szCs w:val="24"/>
                <w:highlight w:val="none"/>
              </w:rPr>
              <w:t>天然气</w:t>
            </w:r>
            <w:r>
              <w:rPr>
                <w:rFonts w:hint="eastAsia" w:ascii="Times New Roman" w:hAnsi="Times New Roman" w:eastAsia="宋体" w:cs="Times New Roman"/>
                <w:color w:val="auto"/>
                <w:sz w:val="24"/>
                <w:szCs w:val="24"/>
                <w:highlight w:val="none"/>
                <w:lang w:val="en-US" w:eastAsia="zh-CN"/>
              </w:rPr>
              <w:t>锅炉的废气量为</w:t>
            </w:r>
            <w:r>
              <w:rPr>
                <w:rFonts w:hint="eastAsia" w:ascii="Times New Roman" w:eastAsia="宋体" w:cs="Times New Roman"/>
                <w:snapToGrid/>
                <w:color w:val="auto"/>
                <w:kern w:val="2"/>
                <w:sz w:val="24"/>
                <w:szCs w:val="24"/>
                <w:highlight w:val="none"/>
                <w:lang w:val="en-US" w:eastAsia="zh-CN" w:bidi="ar-SA"/>
              </w:rPr>
              <w:t>4104.24m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/h则污染物的排放浓度分别为SO</w:t>
            </w:r>
            <w:r>
              <w:rPr>
                <w:rFonts w:hint="eastAsia" w:ascii="Times New Roman" w:eastAsia="宋体" w:cs="Times New Roman"/>
                <w:snapToGrid/>
                <w:color w:val="auto"/>
                <w:kern w:val="2"/>
                <w:sz w:val="24"/>
                <w:szCs w:val="24"/>
                <w:highlight w:val="none"/>
                <w:vertAlign w:val="subscript"/>
                <w:lang w:val="en-US" w:eastAsia="zh-CN" w:bidi="ar-SA"/>
              </w:rPr>
              <w:t>2</w:t>
            </w:r>
            <w:r>
              <w:rPr>
                <w:rFonts w:hint="eastAsia" w:ascii="Times New Roman" w:eastAsia="宋体" w:cs="Times New Roman"/>
                <w:snapToGrid/>
                <w:color w:val="auto"/>
                <w:kern w:val="2"/>
                <w:sz w:val="24"/>
                <w:szCs w:val="24"/>
                <w:highlight w:val="none"/>
                <w:lang w:val="en-US" w:eastAsia="zh-CN" w:bidi="ar-SA"/>
              </w:rPr>
              <w:t>：19.10mg/m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，NO</w:t>
            </w:r>
            <w:r>
              <w:rPr>
                <w:rFonts w:hint="eastAsia" w:ascii="Times New Roman" w:eastAsia="宋体" w:cs="Times New Roman"/>
                <w:snapToGrid/>
                <w:color w:val="auto"/>
                <w:kern w:val="2"/>
                <w:sz w:val="24"/>
                <w:szCs w:val="24"/>
                <w:highlight w:val="none"/>
                <w:vertAlign w:val="subscript"/>
                <w:lang w:val="en-US" w:eastAsia="zh-CN" w:bidi="ar-SA"/>
              </w:rPr>
              <w:t>X</w:t>
            </w:r>
            <w:r>
              <w:rPr>
                <w:rFonts w:hint="eastAsia" w:ascii="Times New Roman" w:eastAsia="宋体" w:cs="Times New Roman"/>
                <w:snapToGrid/>
                <w:color w:val="auto"/>
                <w:kern w:val="2"/>
                <w:sz w:val="24"/>
                <w:szCs w:val="24"/>
                <w:highlight w:val="none"/>
                <w:lang w:val="en-US" w:eastAsia="zh-CN" w:bidi="ar-SA"/>
              </w:rPr>
              <w:t>：28.95mg/m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，烟尘：4.30mg/m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，后通过</w:t>
            </w:r>
            <w:r>
              <w:rPr>
                <w:rFonts w:hint="default" w:ascii="Times New Roman" w:hAnsi="Times New Roman" w:eastAsia="宋体" w:cs="Times New Roman"/>
                <w:color w:val="auto"/>
                <w:sz w:val="24"/>
                <w:szCs w:val="24"/>
                <w:lang w:val="de-DE"/>
              </w:rPr>
              <w:t>15m高排气筒</w:t>
            </w:r>
            <w:r>
              <w:rPr>
                <w:rFonts w:hint="eastAsia" w:ascii="Times New Roman" w:hAnsi="Times New Roman" w:eastAsia="宋体" w:cs="Times New Roman"/>
                <w:color w:val="auto"/>
                <w:sz w:val="24"/>
                <w:szCs w:val="24"/>
                <w:lang w:val="de-DE" w:eastAsia="zh-CN"/>
              </w:rPr>
              <w:t>（</w:t>
            </w:r>
            <w:r>
              <w:rPr>
                <w:rFonts w:hint="default" w:ascii="Times New Roman" w:hAnsi="Times New Roman" w:eastAsia="宋体" w:cs="Times New Roman"/>
                <w:color w:val="auto"/>
                <w:sz w:val="24"/>
                <w:szCs w:val="24"/>
                <w:lang w:val="de-DE"/>
              </w:rPr>
              <w:t>DA00</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de-DE" w:eastAsia="zh-CN"/>
              </w:rPr>
              <w:t>）</w:t>
            </w:r>
            <w:r>
              <w:rPr>
                <w:rFonts w:hint="default" w:ascii="Times New Roman" w:hAnsi="Times New Roman" w:eastAsia="宋体" w:cs="Times New Roman"/>
                <w:color w:val="auto"/>
                <w:sz w:val="24"/>
                <w:szCs w:val="24"/>
                <w:lang w:val="de-DE"/>
              </w:rPr>
              <w:t>排放</w:t>
            </w:r>
            <w:r>
              <w:rPr>
                <w:rFonts w:hint="default" w:ascii="Times New Roman" w:hAnsi="Times New Roman" w:eastAsia="宋体" w:cs="Times New Roman"/>
                <w:color w:val="auto"/>
                <w:sz w:val="24"/>
                <w:szCs w:val="24"/>
              </w:rPr>
              <w:t>，可以满足《锅炉大气污染物排放标准》（DB37/2374-2018）表2大气污染物排放浓度限值重点控制区标准要求及《淄博市锅炉氮氧化物专项整治工作方案》中的标准要求（SO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50mg/m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、NO</w:t>
            </w:r>
            <w:r>
              <w:rPr>
                <w:rFonts w:hint="default" w:ascii="Times New Roman" w:hAnsi="Times New Roman" w:eastAsia="宋体" w:cs="Times New Roman"/>
                <w:color w:val="auto"/>
                <w:sz w:val="24"/>
                <w:szCs w:val="24"/>
                <w:vertAlign w:val="subscript"/>
              </w:rPr>
              <w:t>x</w:t>
            </w:r>
            <w:r>
              <w:rPr>
                <w:rFonts w:hint="default" w:ascii="Times New Roman" w:hAnsi="Times New Roman" w:eastAsia="宋体" w:cs="Times New Roman"/>
                <w:color w:val="auto"/>
                <w:sz w:val="24"/>
                <w:szCs w:val="24"/>
              </w:rPr>
              <w:t>50mg/m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、烟尘</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10mg/m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cs="Times New Roman"/>
                <w:color w:val="auto"/>
                <w:sz w:val="24"/>
                <w:szCs w:val="24"/>
                <w:lang w:val="en-US" w:eastAsia="zh-CN"/>
              </w:rPr>
              <w:t>（3）</w:t>
            </w:r>
            <w:r>
              <w:rPr>
                <w:rFonts w:hint="eastAsia" w:cs="Times New Roman"/>
                <w:color w:val="auto"/>
                <w:sz w:val="24"/>
                <w:lang w:val="en-US" w:eastAsia="zh-CN"/>
              </w:rPr>
              <w:t>蒸汽锅炉天然气燃烧废气</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snapToGrid/>
                <w:color w:val="auto"/>
                <w:kern w:val="2"/>
                <w:sz w:val="24"/>
                <w:szCs w:val="24"/>
                <w:lang w:val="en-US" w:eastAsia="zh-CN" w:bidi="ar-SA"/>
              </w:rPr>
            </w:pPr>
            <w:r>
              <w:rPr>
                <w:rFonts w:hint="eastAsia" w:ascii="Times New Roman" w:hAnsi="Times New Roman" w:eastAsia="宋体" w:cs="Times New Roman"/>
                <w:color w:val="auto"/>
                <w:sz w:val="24"/>
                <w:lang w:val="en-US" w:eastAsia="zh-CN"/>
              </w:rPr>
              <w:t>项目使用一台4t/h的</w:t>
            </w:r>
            <w:r>
              <w:rPr>
                <w:rFonts w:hint="eastAsia" w:cs="Times New Roman"/>
                <w:color w:val="auto"/>
                <w:sz w:val="24"/>
                <w:lang w:val="en-US" w:eastAsia="zh-CN"/>
              </w:rPr>
              <w:t>蒸汽</w:t>
            </w:r>
            <w:r>
              <w:rPr>
                <w:rFonts w:hint="eastAsia" w:ascii="Times New Roman" w:hAnsi="Times New Roman" w:eastAsia="宋体" w:cs="Times New Roman"/>
                <w:color w:val="auto"/>
                <w:sz w:val="24"/>
                <w:lang w:val="en-US" w:eastAsia="zh-CN"/>
              </w:rPr>
              <w:t>锅炉，用于渣油等高凝固点油品的储存和管道伴热，运行时间8000h，用气量</w:t>
            </w:r>
            <w:r>
              <w:rPr>
                <w:rFonts w:hint="eastAsia" w:cs="Times New Roman"/>
                <w:color w:val="auto"/>
                <w:sz w:val="24"/>
                <w:lang w:val="en-US" w:eastAsia="zh-CN"/>
              </w:rPr>
              <w:t>392</w:t>
            </w:r>
            <w:r>
              <w:rPr>
                <w:rFonts w:hint="eastAsia" w:ascii="Times New Roman" w:hAnsi="Times New Roman" w:eastAsia="宋体" w:cs="Times New Roman"/>
                <w:color w:val="auto"/>
                <w:sz w:val="24"/>
                <w:lang w:val="en-US" w:eastAsia="zh-CN"/>
              </w:rPr>
              <w:t>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/h。项目用气</w:t>
            </w:r>
            <w:r>
              <w:rPr>
                <w:rFonts w:hint="eastAsia" w:cs="Times New Roman"/>
                <w:color w:val="auto"/>
                <w:sz w:val="24"/>
                <w:szCs w:val="24"/>
                <w:lang w:val="en-US" w:eastAsia="zh-CN"/>
              </w:rPr>
              <w:t>由当地燃气管线接入</w:t>
            </w:r>
            <w:r>
              <w:rPr>
                <w:rFonts w:hint="eastAsia" w:ascii="Times New Roman" w:hAnsi="Times New Roman" w:eastAsia="宋体" w:cs="Times New Roman"/>
                <w:color w:val="auto"/>
                <w:sz w:val="24"/>
                <w:lang w:val="en-US" w:eastAsia="zh-CN"/>
              </w:rPr>
              <w:t>。</w:t>
            </w:r>
            <w:r>
              <w:rPr>
                <w:rFonts w:hint="eastAsia" w:ascii="Times New Roman" w:hAnsi="Times New Roman" w:eastAsia="宋体" w:cs="Times New Roman"/>
                <w:snapToGrid/>
                <w:color w:val="auto"/>
                <w:kern w:val="2"/>
                <w:sz w:val="24"/>
                <w:szCs w:val="24"/>
                <w:lang w:val="en-US" w:eastAsia="zh-CN" w:bidi="ar-SA"/>
              </w:rPr>
              <w:t>所用天然气达到《天然气》（GB17820-2018）中的二类指标，即总硫含量≤100mg/m</w:t>
            </w:r>
            <w:r>
              <w:rPr>
                <w:rFonts w:hint="eastAsia" w:ascii="Times New Roman" w:hAnsi="Times New Roman" w:eastAsia="宋体" w:cs="Times New Roman"/>
                <w:snapToGrid/>
                <w:color w:val="auto"/>
                <w:kern w:val="2"/>
                <w:sz w:val="24"/>
                <w:szCs w:val="24"/>
                <w:vertAlign w:val="superscript"/>
                <w:lang w:val="en-US" w:eastAsia="zh-CN" w:bidi="ar-SA"/>
              </w:rPr>
              <w:t>3</w:t>
            </w:r>
            <w:r>
              <w:rPr>
                <w:rFonts w:hint="eastAsia" w:ascii="Times New Roman" w:hAnsi="Times New Roman" w:eastAsia="宋体" w:cs="Times New Roman"/>
                <w:snapToGrid/>
                <w:color w:val="auto"/>
                <w:kern w:val="2"/>
                <w:sz w:val="24"/>
                <w:szCs w:val="24"/>
                <w:lang w:val="en-US" w:eastAsia="zh-CN" w:bidi="ar-SA"/>
              </w:rPr>
              <w:t>，热值为35547KJ/m</w:t>
            </w:r>
            <w:r>
              <w:rPr>
                <w:rFonts w:hint="eastAsia" w:ascii="Times New Roman" w:hAnsi="Times New Roman" w:eastAsia="宋体" w:cs="Times New Roman"/>
                <w:snapToGrid/>
                <w:color w:val="auto"/>
                <w:kern w:val="2"/>
                <w:sz w:val="24"/>
                <w:szCs w:val="24"/>
                <w:vertAlign w:val="superscript"/>
                <w:lang w:val="en-US" w:eastAsia="zh-CN" w:bidi="ar-SA"/>
              </w:rPr>
              <w:t>3</w:t>
            </w:r>
            <w:r>
              <w:rPr>
                <w:rFonts w:hint="eastAsia" w:ascii="Times New Roman" w:hAnsi="Times New Roman" w:eastAsia="宋体" w:cs="Times New Roman"/>
                <w:snapToGrid/>
                <w:color w:val="auto"/>
                <w:kern w:val="2"/>
                <w:sz w:val="24"/>
                <w:szCs w:val="24"/>
                <w:lang w:val="en-US" w:eastAsia="zh-CN" w:bidi="ar-SA"/>
              </w:rPr>
              <w:t>（8500大卡/m</w:t>
            </w:r>
            <w:r>
              <w:rPr>
                <w:rFonts w:hint="eastAsia" w:ascii="Times New Roman" w:hAnsi="Times New Roman" w:eastAsia="宋体" w:cs="Times New Roman"/>
                <w:snapToGrid/>
                <w:color w:val="auto"/>
                <w:kern w:val="2"/>
                <w:sz w:val="24"/>
                <w:szCs w:val="24"/>
                <w:vertAlign w:val="superscript"/>
                <w:lang w:val="en-US" w:eastAsia="zh-CN" w:bidi="ar-SA"/>
              </w:rPr>
              <w:t>3</w:t>
            </w:r>
            <w:r>
              <w:rPr>
                <w:rFonts w:hint="eastAsia" w:ascii="Times New Roman" w:hAnsi="Times New Roman" w:eastAsia="宋体" w:cs="Times New Roman"/>
                <w:snapToGrid/>
                <w:color w:val="auto"/>
                <w:kern w:val="2"/>
                <w:sz w:val="24"/>
                <w:szCs w:val="24"/>
                <w:lang w:val="en-US" w:eastAsia="zh-CN" w:bidi="ar-SA"/>
              </w:rPr>
              <w:t>）。</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eastAsia" w:ascii="Times New Roman" w:hAnsi="Times New Roman" w:eastAsia="宋体" w:cs="Times New Roman"/>
                <w:snapToGrid/>
                <w:color w:val="auto"/>
                <w:kern w:val="2"/>
                <w:sz w:val="24"/>
                <w:szCs w:val="24"/>
                <w:highlight w:val="none"/>
                <w:lang w:val="en-US" w:eastAsia="zh-CN" w:bidi="ar-SA"/>
              </w:rPr>
            </w:pPr>
            <w:r>
              <w:rPr>
                <w:rFonts w:hint="eastAsia" w:ascii="Times New Roman" w:hAnsi="Times New Roman" w:eastAsia="宋体" w:cs="Times New Roman"/>
                <w:snapToGrid/>
                <w:color w:val="auto"/>
                <w:kern w:val="2"/>
                <w:sz w:val="24"/>
                <w:szCs w:val="24"/>
                <w:highlight w:val="none"/>
                <w:lang w:val="en-US" w:eastAsia="zh-CN" w:bidi="ar-SA"/>
              </w:rPr>
              <w:t>a.烟气量</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snapToGrid/>
                <w:color w:val="auto"/>
                <w:kern w:val="2"/>
                <w:sz w:val="24"/>
                <w:szCs w:val="24"/>
                <w:highlight w:val="none"/>
                <w:lang w:val="en-US" w:eastAsia="zh-CN" w:bidi="ar-SA"/>
              </w:rPr>
            </w:pPr>
            <w:r>
              <w:rPr>
                <w:rFonts w:hint="eastAsia" w:ascii="Times New Roman" w:hAnsi="Times New Roman" w:eastAsia="宋体" w:cs="Times New Roman"/>
                <w:snapToGrid/>
                <w:color w:val="auto"/>
                <w:kern w:val="2"/>
                <w:sz w:val="24"/>
                <w:szCs w:val="24"/>
                <w:highlight w:val="none"/>
                <w:lang w:val="en-US" w:eastAsia="zh-CN" w:bidi="ar-SA"/>
              </w:rPr>
              <w:t>根据《排污许可证申请与核发技术规范 锅炉》（HJ953-2018）经验公式，天然气锅炉燃烧基准烟气量Vgy=0.285Qnet+0.343，该项目天然气热值Qnet为35.547MJ/m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（8500大卡/m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），则天然气锅炉燃烧烟气量Vgy=10.47Nm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w:t>
            </w:r>
            <w:r>
              <w:rPr>
                <w:rFonts w:hint="eastAsia" w:ascii="Times New Roman" w:eastAsia="宋体" w:cs="Times New Roman"/>
                <w:snapToGrid/>
                <w:color w:val="auto"/>
                <w:kern w:val="2"/>
                <w:sz w:val="24"/>
                <w:szCs w:val="24"/>
                <w:highlight w:val="none"/>
                <w:lang w:val="en-US" w:eastAsia="zh-CN" w:bidi="ar-SA"/>
              </w:rPr>
              <w:t>项目用天然气的量为313.6万m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/a（392m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/h），则废气量为3283.392万m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/a（4104.24m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/h）。</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snapToGrid/>
                <w:color w:val="auto"/>
                <w:kern w:val="2"/>
                <w:sz w:val="24"/>
                <w:szCs w:val="24"/>
                <w:highlight w:val="none"/>
                <w:lang w:val="en-US" w:eastAsia="zh-CN" w:bidi="ar-SA"/>
              </w:rPr>
            </w:pPr>
            <w:r>
              <w:rPr>
                <w:rFonts w:hint="eastAsia" w:ascii="Times New Roman" w:hAnsi="Times New Roman" w:eastAsia="宋体" w:cs="Times New Roman"/>
                <w:snapToGrid/>
                <w:color w:val="auto"/>
                <w:kern w:val="2"/>
                <w:sz w:val="24"/>
                <w:szCs w:val="24"/>
                <w:highlight w:val="none"/>
                <w:lang w:val="en-US" w:eastAsia="zh-CN" w:bidi="ar-SA"/>
              </w:rPr>
              <w:t>b.污染物</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snapToGrid/>
                <w:color w:val="auto"/>
                <w:kern w:val="2"/>
                <w:sz w:val="24"/>
                <w:szCs w:val="24"/>
                <w:highlight w:val="none"/>
                <w:lang w:val="en-US" w:eastAsia="zh-CN" w:bidi="ar-SA"/>
              </w:rPr>
            </w:pPr>
            <w:r>
              <w:rPr>
                <w:rFonts w:hint="eastAsia" w:ascii="Times New Roman" w:hAnsi="Times New Roman" w:eastAsia="宋体" w:cs="Times New Roman"/>
                <w:snapToGrid/>
                <w:color w:val="auto"/>
                <w:kern w:val="2"/>
                <w:sz w:val="24"/>
                <w:szCs w:val="24"/>
                <w:highlight w:val="none"/>
                <w:lang w:val="en-US" w:eastAsia="zh-CN" w:bidi="ar-SA"/>
              </w:rPr>
              <w:t>根据《排污许可证申请与核发技术规范 锅炉》（HJ953-2018）附录F3，蒸汽/热水/其他天然气锅炉污染物的产排污系数分别为：SO</w:t>
            </w:r>
            <w:r>
              <w:rPr>
                <w:rFonts w:hint="eastAsia" w:ascii="Times New Roman" w:hAnsi="Times New Roman" w:eastAsia="宋体" w:cs="Times New Roman"/>
                <w:snapToGrid/>
                <w:color w:val="auto"/>
                <w:kern w:val="2"/>
                <w:sz w:val="24"/>
                <w:szCs w:val="24"/>
                <w:highlight w:val="none"/>
                <w:vertAlign w:val="subscript"/>
                <w:lang w:val="en-US" w:eastAsia="zh-CN" w:bidi="ar-SA"/>
              </w:rPr>
              <w:t>2</w:t>
            </w:r>
            <w:r>
              <w:rPr>
                <w:rFonts w:hint="eastAsia" w:ascii="Times New Roman" w:hAnsi="Times New Roman" w:eastAsia="宋体" w:cs="Times New Roman"/>
                <w:snapToGrid/>
                <w:color w:val="auto"/>
                <w:kern w:val="2"/>
                <w:sz w:val="24"/>
                <w:szCs w:val="24"/>
                <w:highlight w:val="none"/>
                <w:lang w:val="en-US" w:eastAsia="zh-CN" w:bidi="ar-SA"/>
              </w:rPr>
              <w:t>0.02Skg/万m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天然气、NOx（低氮燃烧</w:t>
            </w:r>
            <w:r>
              <w:rPr>
                <w:rFonts w:hint="eastAsia" w:ascii="Times New Roman" w:eastAsia="宋体" w:cs="Times New Roman"/>
                <w:snapToGrid/>
                <w:color w:val="auto"/>
                <w:kern w:val="2"/>
                <w:sz w:val="24"/>
                <w:szCs w:val="24"/>
                <w:highlight w:val="none"/>
                <w:lang w:val="en-US" w:eastAsia="zh-CN" w:bidi="ar-SA"/>
              </w:rPr>
              <w:t>-国际领先</w:t>
            </w:r>
            <w:r>
              <w:rPr>
                <w:rFonts w:hint="eastAsia" w:ascii="Times New Roman" w:hAnsi="Times New Roman" w:eastAsia="宋体" w:cs="Times New Roman"/>
                <w:snapToGrid/>
                <w:color w:val="auto"/>
                <w:kern w:val="2"/>
                <w:sz w:val="24"/>
                <w:szCs w:val="24"/>
                <w:highlight w:val="none"/>
                <w:lang w:val="en-US" w:eastAsia="zh-CN" w:bidi="ar-SA"/>
              </w:rPr>
              <w:t>）</w:t>
            </w:r>
            <w:r>
              <w:rPr>
                <w:rFonts w:hint="eastAsia" w:ascii="Times New Roman" w:eastAsia="宋体" w:cs="Times New Roman"/>
                <w:snapToGrid/>
                <w:color w:val="auto"/>
                <w:kern w:val="2"/>
                <w:sz w:val="24"/>
                <w:szCs w:val="24"/>
                <w:highlight w:val="none"/>
                <w:lang w:val="en-US" w:eastAsia="zh-CN" w:bidi="ar-SA"/>
              </w:rPr>
              <w:t>3.03</w:t>
            </w:r>
            <w:r>
              <w:rPr>
                <w:rFonts w:hint="eastAsia" w:ascii="Times New Roman" w:hAnsi="Times New Roman" w:eastAsia="宋体" w:cs="Times New Roman"/>
                <w:snapToGrid/>
                <w:color w:val="auto"/>
                <w:kern w:val="2"/>
                <w:sz w:val="24"/>
                <w:szCs w:val="24"/>
                <w:highlight w:val="none"/>
                <w:lang w:val="en-US" w:eastAsia="zh-CN" w:bidi="ar-SA"/>
              </w:rPr>
              <w:t>kg/万m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天然气。该项目采用的天然气满足《天然气》（GB17820-2018）中的二类指标，即总硫含量S≤100mg/m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，本次S取值100mg/m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，则SO</w:t>
            </w:r>
            <w:r>
              <w:rPr>
                <w:rFonts w:hint="eastAsia" w:ascii="Times New Roman" w:hAnsi="Times New Roman" w:eastAsia="宋体" w:cs="Times New Roman"/>
                <w:snapToGrid/>
                <w:color w:val="auto"/>
                <w:kern w:val="2"/>
                <w:sz w:val="24"/>
                <w:szCs w:val="24"/>
                <w:highlight w:val="none"/>
                <w:vertAlign w:val="subscript"/>
                <w:lang w:val="en-US" w:eastAsia="zh-CN" w:bidi="ar-SA"/>
              </w:rPr>
              <w:t>2</w:t>
            </w:r>
            <w:r>
              <w:rPr>
                <w:rFonts w:hint="eastAsia" w:ascii="Times New Roman" w:hAnsi="Times New Roman" w:eastAsia="宋体" w:cs="Times New Roman"/>
                <w:snapToGrid/>
                <w:color w:val="auto"/>
                <w:kern w:val="2"/>
                <w:sz w:val="24"/>
                <w:szCs w:val="24"/>
                <w:highlight w:val="none"/>
                <w:lang w:val="en-US" w:eastAsia="zh-CN" w:bidi="ar-SA"/>
              </w:rPr>
              <w:t>的产污系数为2kg/万m</w:t>
            </w:r>
            <w:r>
              <w:rPr>
                <w:rFonts w:hint="eastAsia" w:ascii="Times New Roman" w:hAnsi="Times New Roman" w:eastAsia="宋体" w:cs="Times New Roman"/>
                <w:snapToGrid/>
                <w:color w:val="auto"/>
                <w:kern w:val="2"/>
                <w:sz w:val="24"/>
                <w:szCs w:val="24"/>
                <w:highlight w:val="none"/>
                <w:vertAlign w:val="superscript"/>
                <w:lang w:val="en-US" w:eastAsia="zh-CN" w:bidi="ar-SA"/>
              </w:rPr>
              <w:t>3</w:t>
            </w:r>
            <w:r>
              <w:rPr>
                <w:rFonts w:hint="eastAsia" w:ascii="Times New Roman" w:hAnsi="Times New Roman" w:eastAsia="宋体" w:cs="Times New Roman"/>
                <w:snapToGrid/>
                <w:color w:val="auto"/>
                <w:kern w:val="2"/>
                <w:sz w:val="24"/>
                <w:szCs w:val="24"/>
                <w:highlight w:val="none"/>
                <w:lang w:val="en-US" w:eastAsia="zh-CN" w:bidi="ar-SA"/>
              </w:rPr>
              <w:t>天然气</w:t>
            </w:r>
            <w:r>
              <w:rPr>
                <w:rFonts w:hint="eastAsia" w:ascii="Times New Roman" w:eastAsia="宋体" w:cs="Times New Roman"/>
                <w:snapToGrid/>
                <w:color w:val="auto"/>
                <w:kern w:val="2"/>
                <w:sz w:val="24"/>
                <w:szCs w:val="24"/>
                <w:highlight w:val="none"/>
                <w:lang w:val="en-US" w:eastAsia="zh-CN" w:bidi="ar-SA"/>
              </w:rPr>
              <w:t>，项目用天然气的量为313.6万m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/a（392m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/h），则SO</w:t>
            </w:r>
            <w:r>
              <w:rPr>
                <w:rFonts w:hint="eastAsia" w:ascii="Times New Roman" w:eastAsia="宋体" w:cs="Times New Roman"/>
                <w:snapToGrid/>
                <w:color w:val="auto"/>
                <w:kern w:val="2"/>
                <w:sz w:val="24"/>
                <w:szCs w:val="24"/>
                <w:highlight w:val="none"/>
                <w:vertAlign w:val="subscript"/>
                <w:lang w:val="en-US" w:eastAsia="zh-CN" w:bidi="ar-SA"/>
              </w:rPr>
              <w:t>2</w:t>
            </w:r>
            <w:r>
              <w:rPr>
                <w:rFonts w:hint="eastAsia" w:ascii="Times New Roman" w:eastAsia="宋体" w:cs="Times New Roman"/>
                <w:snapToGrid/>
                <w:color w:val="auto"/>
                <w:kern w:val="2"/>
                <w:sz w:val="24"/>
                <w:szCs w:val="24"/>
                <w:highlight w:val="none"/>
                <w:lang w:val="en-US" w:eastAsia="zh-CN" w:bidi="ar-SA"/>
              </w:rPr>
              <w:t>产生量为0.6272t/a（0.0784kg/h），NO</w:t>
            </w:r>
            <w:r>
              <w:rPr>
                <w:rFonts w:hint="eastAsia" w:ascii="Times New Roman" w:eastAsia="宋体" w:cs="Times New Roman"/>
                <w:snapToGrid/>
                <w:color w:val="auto"/>
                <w:kern w:val="2"/>
                <w:sz w:val="24"/>
                <w:szCs w:val="24"/>
                <w:highlight w:val="none"/>
                <w:vertAlign w:val="subscript"/>
                <w:lang w:val="en-US" w:eastAsia="zh-CN" w:bidi="ar-SA"/>
              </w:rPr>
              <w:t>X</w:t>
            </w:r>
            <w:r>
              <w:rPr>
                <w:rFonts w:hint="eastAsia" w:ascii="Times New Roman" w:eastAsia="宋体" w:cs="Times New Roman"/>
                <w:snapToGrid/>
                <w:color w:val="auto"/>
                <w:kern w:val="2"/>
                <w:sz w:val="24"/>
                <w:szCs w:val="24"/>
                <w:highlight w:val="none"/>
                <w:lang w:val="en-US" w:eastAsia="zh-CN" w:bidi="ar-SA"/>
              </w:rPr>
              <w:t>产生量为0.9502t/a（0.1188kg/h）。</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eastAsia" w:ascii="Times New Roman" w:hAnsi="Times New Roman" w:eastAsia="宋体" w:cs="Times New Roman"/>
                <w:snapToGrid/>
                <w:color w:val="auto"/>
                <w:kern w:val="2"/>
                <w:sz w:val="24"/>
                <w:szCs w:val="24"/>
                <w:highlight w:val="none"/>
                <w:lang w:val="en-US" w:eastAsia="zh-CN" w:bidi="ar-SA"/>
              </w:rPr>
            </w:pPr>
            <w:r>
              <w:rPr>
                <w:rFonts w:hint="eastAsia" w:ascii="Times New Roman" w:eastAsia="宋体" w:cs="Times New Roman"/>
                <w:snapToGrid/>
                <w:color w:val="auto"/>
                <w:kern w:val="2"/>
                <w:sz w:val="24"/>
                <w:szCs w:val="24"/>
                <w:highlight w:val="none"/>
                <w:lang w:val="en-US" w:eastAsia="zh-CN" w:bidi="ar-SA"/>
              </w:rPr>
              <w:t>烟尘的产生源强参照《北京环境总体规划研究》中相关数据，每燃烧1万m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天然气，燃气锅炉污染物中烟尘的排放量0.45kg，则烟尘的产生量为0.1411t/a（0.0177kg/h）</w:t>
            </w:r>
            <w:r>
              <w:rPr>
                <w:rFonts w:hint="eastAsia" w:ascii="Times New Roman" w:hAnsi="Times New Roman" w:eastAsia="宋体" w:cs="Times New Roman"/>
                <w:snapToGrid/>
                <w:color w:val="auto"/>
                <w:kern w:val="2"/>
                <w:sz w:val="24"/>
                <w:szCs w:val="24"/>
                <w:highlight w:val="none"/>
                <w:lang w:val="en-US" w:eastAsia="zh-CN" w:bidi="ar-SA"/>
              </w:rPr>
              <w:t>。</w:t>
            </w:r>
          </w:p>
          <w:p>
            <w:pPr>
              <w:pStyle w:val="96"/>
              <w:keepNext w:val="0"/>
              <w:keepLines w:val="0"/>
              <w:pageBreakBefore w:val="0"/>
              <w:widowControl w:val="0"/>
              <w:kinsoku/>
              <w:wordWrap/>
              <w:overflowPunct/>
              <w:topLinePunct w:val="0"/>
              <w:autoSpaceDE/>
              <w:autoSpaceDN/>
              <w:bidi w:val="0"/>
              <w:adjustRightInd w:val="0"/>
              <w:snapToGrid w:val="0"/>
              <w:spacing w:line="360" w:lineRule="auto"/>
              <w:ind w:firstLine="480"/>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szCs w:val="24"/>
                <w:highlight w:val="none"/>
              </w:rPr>
              <w:t>天然气</w:t>
            </w:r>
            <w:r>
              <w:rPr>
                <w:rFonts w:hint="eastAsia" w:ascii="Times New Roman" w:hAnsi="Times New Roman" w:eastAsia="宋体" w:cs="Times New Roman"/>
                <w:color w:val="auto"/>
                <w:sz w:val="24"/>
                <w:szCs w:val="24"/>
                <w:highlight w:val="none"/>
                <w:lang w:val="en-US" w:eastAsia="zh-CN"/>
              </w:rPr>
              <w:t>锅炉的废气量为</w:t>
            </w:r>
            <w:r>
              <w:rPr>
                <w:rFonts w:hint="eastAsia" w:ascii="Times New Roman" w:eastAsia="宋体" w:cs="Times New Roman"/>
                <w:snapToGrid/>
                <w:color w:val="auto"/>
                <w:kern w:val="2"/>
                <w:sz w:val="24"/>
                <w:szCs w:val="24"/>
                <w:highlight w:val="none"/>
                <w:lang w:val="en-US" w:eastAsia="zh-CN" w:bidi="ar-SA"/>
              </w:rPr>
              <w:t>4104.24m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/h则污染物的排放浓度分别为SO</w:t>
            </w:r>
            <w:r>
              <w:rPr>
                <w:rFonts w:hint="eastAsia" w:ascii="Times New Roman" w:eastAsia="宋体" w:cs="Times New Roman"/>
                <w:snapToGrid/>
                <w:color w:val="auto"/>
                <w:kern w:val="2"/>
                <w:sz w:val="24"/>
                <w:szCs w:val="24"/>
                <w:highlight w:val="none"/>
                <w:vertAlign w:val="subscript"/>
                <w:lang w:val="en-US" w:eastAsia="zh-CN" w:bidi="ar-SA"/>
              </w:rPr>
              <w:t>2</w:t>
            </w:r>
            <w:r>
              <w:rPr>
                <w:rFonts w:hint="eastAsia" w:ascii="Times New Roman" w:eastAsia="宋体" w:cs="Times New Roman"/>
                <w:snapToGrid/>
                <w:color w:val="auto"/>
                <w:kern w:val="2"/>
                <w:sz w:val="24"/>
                <w:szCs w:val="24"/>
                <w:highlight w:val="none"/>
                <w:lang w:val="en-US" w:eastAsia="zh-CN" w:bidi="ar-SA"/>
              </w:rPr>
              <w:t>：19.10mg/m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，NO</w:t>
            </w:r>
            <w:r>
              <w:rPr>
                <w:rFonts w:hint="eastAsia" w:ascii="Times New Roman" w:eastAsia="宋体" w:cs="Times New Roman"/>
                <w:snapToGrid/>
                <w:color w:val="auto"/>
                <w:kern w:val="2"/>
                <w:sz w:val="24"/>
                <w:szCs w:val="24"/>
                <w:highlight w:val="none"/>
                <w:vertAlign w:val="subscript"/>
                <w:lang w:val="en-US" w:eastAsia="zh-CN" w:bidi="ar-SA"/>
              </w:rPr>
              <w:t>X</w:t>
            </w:r>
            <w:r>
              <w:rPr>
                <w:rFonts w:hint="eastAsia" w:ascii="Times New Roman" w:eastAsia="宋体" w:cs="Times New Roman"/>
                <w:snapToGrid/>
                <w:color w:val="auto"/>
                <w:kern w:val="2"/>
                <w:sz w:val="24"/>
                <w:szCs w:val="24"/>
                <w:highlight w:val="none"/>
                <w:lang w:val="en-US" w:eastAsia="zh-CN" w:bidi="ar-SA"/>
              </w:rPr>
              <w:t>：28.95mg/m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，烟尘：4.30mg/m</w:t>
            </w:r>
            <w:r>
              <w:rPr>
                <w:rFonts w:hint="eastAsia" w:ascii="Times New Roman" w:eastAsia="宋体" w:cs="Times New Roman"/>
                <w:snapToGrid/>
                <w:color w:val="auto"/>
                <w:kern w:val="2"/>
                <w:sz w:val="24"/>
                <w:szCs w:val="24"/>
                <w:highlight w:val="none"/>
                <w:vertAlign w:val="superscript"/>
                <w:lang w:val="en-US" w:eastAsia="zh-CN" w:bidi="ar-SA"/>
              </w:rPr>
              <w:t>3</w:t>
            </w:r>
            <w:r>
              <w:rPr>
                <w:rFonts w:hint="eastAsia" w:ascii="Times New Roman" w:eastAsia="宋体" w:cs="Times New Roman"/>
                <w:snapToGrid/>
                <w:color w:val="auto"/>
                <w:kern w:val="2"/>
                <w:sz w:val="24"/>
                <w:szCs w:val="24"/>
                <w:highlight w:val="none"/>
                <w:lang w:val="en-US" w:eastAsia="zh-CN" w:bidi="ar-SA"/>
              </w:rPr>
              <w:t>，后通过</w:t>
            </w:r>
            <w:r>
              <w:rPr>
                <w:rFonts w:hint="default" w:ascii="Times New Roman" w:hAnsi="Times New Roman" w:eastAsia="宋体" w:cs="Times New Roman"/>
                <w:color w:val="auto"/>
                <w:sz w:val="24"/>
                <w:szCs w:val="24"/>
                <w:lang w:val="de-DE"/>
              </w:rPr>
              <w:t>15m高排气筒</w:t>
            </w:r>
            <w:r>
              <w:rPr>
                <w:rFonts w:hint="eastAsia" w:ascii="Times New Roman" w:hAnsi="Times New Roman" w:eastAsia="宋体" w:cs="Times New Roman"/>
                <w:color w:val="auto"/>
                <w:sz w:val="24"/>
                <w:szCs w:val="24"/>
                <w:lang w:val="de-DE" w:eastAsia="zh-CN"/>
              </w:rPr>
              <w:t>（</w:t>
            </w:r>
            <w:r>
              <w:rPr>
                <w:rFonts w:hint="default" w:ascii="Times New Roman" w:hAnsi="Times New Roman" w:eastAsia="宋体" w:cs="Times New Roman"/>
                <w:color w:val="auto"/>
                <w:sz w:val="24"/>
                <w:szCs w:val="24"/>
                <w:lang w:val="de-DE"/>
              </w:rPr>
              <w:t>DA00</w:t>
            </w:r>
            <w:r>
              <w:rPr>
                <w:rFonts w:hint="eastAsia" w:asci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val="de-DE" w:eastAsia="zh-CN"/>
              </w:rPr>
              <w:t>）</w:t>
            </w:r>
            <w:r>
              <w:rPr>
                <w:rFonts w:hint="default" w:ascii="Times New Roman" w:hAnsi="Times New Roman" w:eastAsia="宋体" w:cs="Times New Roman"/>
                <w:color w:val="auto"/>
                <w:sz w:val="24"/>
                <w:szCs w:val="24"/>
                <w:lang w:val="de-DE"/>
              </w:rPr>
              <w:t>排放</w:t>
            </w:r>
            <w:r>
              <w:rPr>
                <w:rFonts w:hint="default" w:ascii="Times New Roman" w:hAnsi="Times New Roman" w:eastAsia="宋体" w:cs="Times New Roman"/>
                <w:color w:val="auto"/>
                <w:sz w:val="24"/>
                <w:szCs w:val="24"/>
              </w:rPr>
              <w:t>，可以满足《锅炉大气污染物排放标准》（DB37/2374-2018）表2大气污染物排放浓度限值重点控制区标准要求及《淄博市锅炉氮氧化物专项整治工作方案》中的标准要求（SO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50mg/m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、NO</w:t>
            </w:r>
            <w:r>
              <w:rPr>
                <w:rFonts w:hint="default" w:ascii="Times New Roman" w:hAnsi="Times New Roman" w:eastAsia="宋体" w:cs="Times New Roman"/>
                <w:color w:val="auto"/>
                <w:sz w:val="24"/>
                <w:szCs w:val="24"/>
                <w:vertAlign w:val="subscript"/>
              </w:rPr>
              <w:t>x</w:t>
            </w:r>
            <w:r>
              <w:rPr>
                <w:rFonts w:hint="default" w:ascii="Times New Roman" w:hAnsi="Times New Roman" w:eastAsia="宋体" w:cs="Times New Roman"/>
                <w:color w:val="auto"/>
                <w:sz w:val="24"/>
                <w:szCs w:val="24"/>
              </w:rPr>
              <w:t>50mg/m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、烟尘</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10mg/m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eastAsia" w:cs="Times New Roman"/>
                <w:color w:val="auto"/>
                <w:sz w:val="24"/>
                <w:szCs w:val="24"/>
                <w:lang w:val="en-US" w:eastAsia="zh-CN"/>
              </w:rPr>
              <w:t>（4）</w:t>
            </w:r>
            <w:r>
              <w:rPr>
                <w:rFonts w:hint="default" w:ascii="Times New Roman" w:hAnsi="Times New Roman" w:eastAsia="宋体" w:cs="Times New Roman"/>
                <w:b w:val="0"/>
                <w:bCs/>
                <w:color w:val="auto"/>
                <w:sz w:val="24"/>
                <w:szCs w:val="24"/>
                <w:highlight w:val="none"/>
                <w:lang w:val="en-US" w:eastAsia="zh-CN"/>
              </w:rPr>
              <w:t>污水处理站恶臭气体</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cs="Times New Roman"/>
                <w:color w:val="auto"/>
                <w:sz w:val="24"/>
                <w:szCs w:val="24"/>
                <w:highlight w:val="none"/>
                <w:lang w:val="en-US" w:eastAsia="zh-CN"/>
              </w:rPr>
              <w:t>项目</w:t>
            </w:r>
            <w:r>
              <w:rPr>
                <w:rFonts w:hint="default" w:ascii="Times New Roman" w:hAnsi="Times New Roman" w:cs="Times New Roman"/>
                <w:color w:val="auto"/>
                <w:sz w:val="24"/>
                <w:szCs w:val="24"/>
                <w:highlight w:val="none"/>
                <w:lang w:val="en-US" w:eastAsia="zh-CN"/>
              </w:rPr>
              <w:t>污水处理站</w:t>
            </w:r>
            <w:r>
              <w:rPr>
                <w:rFonts w:hint="default" w:ascii="Times New Roman" w:hAnsi="Times New Roman" w:cs="Times New Roman"/>
                <w:bCs/>
                <w:color w:val="auto"/>
                <w:sz w:val="24"/>
                <w:highlight w:val="none"/>
              </w:rPr>
              <w:t>废水处理过程会产生臭气</w:t>
            </w:r>
            <w:r>
              <w:rPr>
                <w:rFonts w:hint="default" w:ascii="Times New Roman" w:hAnsi="Times New Roman" w:cs="Times New Roman"/>
                <w:bCs/>
                <w:color w:val="auto"/>
                <w:sz w:val="24"/>
                <w:highlight w:val="none"/>
                <w:lang w:val="en-US" w:eastAsia="zh-CN"/>
              </w:rPr>
              <w:t>浓度</w:t>
            </w:r>
            <w:r>
              <w:rPr>
                <w:rFonts w:hint="default" w:ascii="Times New Roman" w:hAnsi="Times New Roman" w:cs="Times New Roman"/>
                <w:bCs/>
                <w:color w:val="auto"/>
                <w:sz w:val="24"/>
                <w:highlight w:val="none"/>
              </w:rPr>
              <w:t>、NH</w:t>
            </w:r>
            <w:r>
              <w:rPr>
                <w:rFonts w:hint="default" w:ascii="Times New Roman" w:hAnsi="Times New Roman" w:cs="Times New Roman"/>
                <w:bCs/>
                <w:color w:val="auto"/>
                <w:sz w:val="24"/>
                <w:highlight w:val="none"/>
                <w:vertAlign w:val="subscript"/>
              </w:rPr>
              <w:t>3</w:t>
            </w:r>
            <w:r>
              <w:rPr>
                <w:rFonts w:hint="default" w:ascii="Times New Roman" w:hAnsi="Times New Roman" w:cs="Times New Roman"/>
                <w:bCs/>
                <w:color w:val="auto"/>
                <w:sz w:val="24"/>
                <w:highlight w:val="none"/>
              </w:rPr>
              <w:t>、H</w:t>
            </w:r>
            <w:r>
              <w:rPr>
                <w:rFonts w:hint="default" w:ascii="Times New Roman" w:hAnsi="Times New Roman" w:cs="Times New Roman"/>
                <w:bCs/>
                <w:color w:val="auto"/>
                <w:sz w:val="24"/>
                <w:highlight w:val="none"/>
                <w:vertAlign w:val="subscript"/>
              </w:rPr>
              <w:t>2</w:t>
            </w:r>
            <w:r>
              <w:rPr>
                <w:rFonts w:hint="default" w:ascii="Times New Roman" w:hAnsi="Times New Roman" w:cs="Times New Roman"/>
                <w:bCs/>
                <w:color w:val="auto"/>
                <w:sz w:val="24"/>
                <w:highlight w:val="none"/>
              </w:rPr>
              <w:t>S等废气</w:t>
            </w:r>
            <w:r>
              <w:rPr>
                <w:rFonts w:hint="eastAsia" w:ascii="Times New Roman" w:hAnsi="Times New Roman" w:cs="Times New Roman"/>
                <w:bCs/>
                <w:color w:val="auto"/>
                <w:sz w:val="24"/>
                <w:highlight w:val="none"/>
                <w:lang w:eastAsia="zh-CN"/>
              </w:rPr>
              <w:t>。</w:t>
            </w:r>
            <w:r>
              <w:rPr>
                <w:rFonts w:hint="default" w:ascii="Times New Roman" w:hAnsi="Times New Roman" w:cs="Times New Roman"/>
                <w:color w:val="auto"/>
                <w:sz w:val="24"/>
                <w:highlight w:val="none"/>
              </w:rPr>
              <w:t>根据美国EPA对城市污水处理厂恶臭污染物产生情况的研究，即每处理1g的BOD</w:t>
            </w:r>
            <w:r>
              <w:rPr>
                <w:rFonts w:hint="default" w:ascii="Times New Roman" w:hAnsi="Times New Roman" w:cs="Times New Roman"/>
                <w:color w:val="auto"/>
                <w:sz w:val="24"/>
                <w:highlight w:val="none"/>
                <w:vertAlign w:val="subscript"/>
              </w:rPr>
              <w:t>5</w:t>
            </w:r>
            <w:r>
              <w:rPr>
                <w:rFonts w:hint="default" w:ascii="Times New Roman" w:hAnsi="Times New Roman" w:cs="Times New Roman"/>
                <w:color w:val="auto"/>
                <w:sz w:val="24"/>
                <w:highlight w:val="none"/>
              </w:rPr>
              <w:t>，可产生0.0031gNH</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和0.00012gH</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S，根据该经验公式核算，本项目污水处理站连续运行，</w:t>
            </w:r>
            <w:r>
              <w:rPr>
                <w:rFonts w:hint="default" w:ascii="Times New Roman" w:hAnsi="Times New Roman" w:cs="Times New Roman"/>
                <w:color w:val="auto"/>
                <w:sz w:val="24"/>
                <w:highlight w:val="none"/>
                <w:lang w:eastAsia="zh-CN"/>
              </w:rPr>
              <w:t>根据废水处理工艺计算，</w:t>
            </w:r>
            <w:r>
              <w:rPr>
                <w:rFonts w:hint="default" w:ascii="Times New Roman" w:hAnsi="Times New Roman" w:cs="Times New Roman"/>
                <w:color w:val="auto"/>
                <w:sz w:val="24"/>
                <w:highlight w:val="none"/>
                <w:lang w:val="en-US" w:eastAsia="zh-CN"/>
              </w:rPr>
              <w:t>污水处理站</w:t>
            </w:r>
            <w:r>
              <w:rPr>
                <w:rFonts w:hint="default" w:ascii="Times New Roman" w:hAnsi="Times New Roman" w:cs="Times New Roman"/>
                <w:color w:val="auto"/>
                <w:sz w:val="24"/>
                <w:highlight w:val="none"/>
              </w:rPr>
              <w:t>处理BOD</w:t>
            </w:r>
            <w:r>
              <w:rPr>
                <w:rFonts w:hint="default" w:ascii="Times New Roman" w:hAnsi="Times New Roman" w:cs="Times New Roman"/>
                <w:color w:val="auto"/>
                <w:sz w:val="24"/>
                <w:highlight w:val="none"/>
                <w:vertAlign w:val="subscript"/>
              </w:rPr>
              <w:t>5</w:t>
            </w:r>
            <w:r>
              <w:rPr>
                <w:rFonts w:hint="eastAsia" w:ascii="Times New Roman" w:hAnsi="Times New Roman" w:cs="Times New Roman"/>
                <w:color w:val="auto"/>
                <w:sz w:val="24"/>
                <w:highlight w:val="none"/>
                <w:vertAlign w:val="baseline"/>
                <w:lang w:val="en-US" w:eastAsia="zh-CN"/>
              </w:rPr>
              <w:t>量为2.846</w:t>
            </w:r>
            <w:r>
              <w:rPr>
                <w:rFonts w:hint="default" w:ascii="Times New Roman" w:hAnsi="Times New Roman" w:cs="Times New Roman"/>
                <w:color w:val="auto"/>
                <w:sz w:val="24"/>
                <w:highlight w:val="none"/>
                <w:lang w:val="en-US" w:eastAsia="zh-CN"/>
              </w:rPr>
              <w:t>t/a。则污水处理站</w:t>
            </w:r>
            <w:r>
              <w:rPr>
                <w:rFonts w:hint="default" w:ascii="Times New Roman" w:hAnsi="Times New Roman" w:eastAsia="宋体" w:cs="Times New Roman"/>
                <w:color w:val="auto"/>
                <w:sz w:val="24"/>
                <w:highlight w:val="none"/>
              </w:rPr>
              <w:t>NH</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S</w:t>
            </w:r>
            <w:r>
              <w:rPr>
                <w:rFonts w:hint="default" w:ascii="Times New Roman" w:hAnsi="Times New Roman" w:eastAsia="宋体" w:cs="Times New Roman"/>
                <w:color w:val="auto"/>
                <w:sz w:val="24"/>
                <w:highlight w:val="none"/>
                <w:lang w:val="en-US" w:eastAsia="zh-CN"/>
              </w:rPr>
              <w:t>产生量约为</w:t>
            </w:r>
            <w:r>
              <w:rPr>
                <w:rFonts w:hint="eastAsia" w:ascii="Times New Roman" w:hAnsi="Times New Roman" w:cs="Times New Roman"/>
                <w:color w:val="auto"/>
                <w:sz w:val="24"/>
                <w:highlight w:val="none"/>
                <w:lang w:val="en-US" w:eastAsia="zh-CN"/>
              </w:rPr>
              <w:t>0.0088</w:t>
            </w: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/a、</w:t>
            </w:r>
            <w:r>
              <w:rPr>
                <w:rFonts w:hint="eastAsia" w:ascii="Times New Roman" w:hAnsi="Times New Roman" w:eastAsia="宋体" w:cs="Times New Roman"/>
                <w:color w:val="auto"/>
                <w:sz w:val="24"/>
                <w:highlight w:val="none"/>
                <w:lang w:val="en-US" w:eastAsia="zh-CN"/>
              </w:rPr>
              <w:t>0.</w:t>
            </w:r>
            <w:r>
              <w:rPr>
                <w:rFonts w:hint="eastAsia" w:ascii="Times New Roman" w:hAnsi="Times New Roman" w:cs="Times New Roman"/>
                <w:color w:val="auto"/>
                <w:sz w:val="24"/>
                <w:highlight w:val="none"/>
                <w:lang w:val="en-US" w:eastAsia="zh-CN"/>
              </w:rPr>
              <w:t>00034</w:t>
            </w: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/a</w:t>
            </w:r>
            <w:r>
              <w:rPr>
                <w:rFonts w:hint="eastAsia" w:ascii="Times New Roman" w:hAnsi="Times New Roman" w:eastAsia="宋体" w:cs="Times New Roman"/>
                <w:color w:val="auto"/>
                <w:sz w:val="24"/>
                <w:highlight w:val="none"/>
                <w:lang w:eastAsia="zh-CN"/>
              </w:rPr>
              <w:t>。</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color w:val="auto"/>
                <w:sz w:val="24"/>
                <w:szCs w:val="24"/>
                <w:highlight w:val="none"/>
                <w:lang w:val="en-US" w:eastAsia="zh-CN"/>
              </w:rPr>
              <w:t>恶臭气体经管道</w:t>
            </w:r>
            <w:r>
              <w:rPr>
                <w:rFonts w:hint="default" w:ascii="Times New Roman" w:hAnsi="Times New Roman" w:eastAsia="宋体" w:cs="Times New Roman"/>
                <w:color w:val="auto"/>
                <w:sz w:val="24"/>
                <w:szCs w:val="24"/>
                <w:highlight w:val="none"/>
                <w:lang w:val="en-US" w:eastAsia="zh-CN"/>
              </w:rPr>
              <w:t>引入生物滤塔处理后通过15m排放口DA00</w:t>
            </w:r>
            <w:r>
              <w:rPr>
                <w:rFonts w:hint="eastAsia"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有组织排放</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生物滤塔</w:t>
            </w:r>
            <w:r>
              <w:rPr>
                <w:rFonts w:hint="eastAsia" w:cs="Times New Roman"/>
                <w:color w:val="auto"/>
                <w:sz w:val="24"/>
                <w:szCs w:val="24"/>
                <w:highlight w:val="none"/>
                <w:lang w:val="en-US" w:eastAsia="zh-CN"/>
              </w:rPr>
              <w:t>风机风量为1000</w:t>
            </w:r>
            <w:r>
              <w:rPr>
                <w:rFonts w:hint="eastAsia" w:ascii="Times New Roman" w:hAnsi="Times New Roman" w:eastAsia="宋体" w:cs="Times New Roman"/>
                <w:color w:val="auto"/>
                <w:sz w:val="24"/>
                <w:lang w:val="en-US" w:eastAsia="zh-CN"/>
              </w:rPr>
              <w:t>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a、年工作时间为8760h、处理效率为90%。则</w:t>
            </w:r>
            <w:r>
              <w:rPr>
                <w:rFonts w:hint="default" w:ascii="Times New Roman" w:hAnsi="Times New Roman" w:eastAsia="宋体" w:cs="Times New Roman"/>
                <w:color w:val="auto"/>
                <w:sz w:val="24"/>
                <w:highlight w:val="none"/>
              </w:rPr>
              <w:t>NH</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S</w:t>
            </w:r>
            <w:r>
              <w:rPr>
                <w:rFonts w:hint="eastAsia" w:cs="Times New Roman"/>
                <w:color w:val="auto"/>
                <w:sz w:val="24"/>
                <w:highlight w:val="none"/>
                <w:lang w:val="en-US" w:eastAsia="zh-CN"/>
              </w:rPr>
              <w:t>排放</w:t>
            </w:r>
            <w:r>
              <w:rPr>
                <w:rFonts w:hint="default" w:ascii="Times New Roman" w:hAnsi="Times New Roman" w:eastAsia="宋体" w:cs="Times New Roman"/>
                <w:color w:val="auto"/>
                <w:sz w:val="24"/>
                <w:highlight w:val="none"/>
                <w:lang w:val="en-US" w:eastAsia="zh-CN"/>
              </w:rPr>
              <w:t>量</w:t>
            </w:r>
            <w:r>
              <w:rPr>
                <w:rFonts w:hint="eastAsia" w:cs="Times New Roman"/>
                <w:color w:val="auto"/>
                <w:sz w:val="24"/>
                <w:highlight w:val="none"/>
                <w:lang w:val="en-US" w:eastAsia="zh-CN"/>
              </w:rPr>
              <w:t>分别</w:t>
            </w:r>
            <w:r>
              <w:rPr>
                <w:rFonts w:hint="default" w:ascii="Times New Roman" w:hAnsi="Times New Roman" w:eastAsia="宋体" w:cs="Times New Roman"/>
                <w:color w:val="auto"/>
                <w:sz w:val="24"/>
                <w:highlight w:val="none"/>
                <w:lang w:val="en-US" w:eastAsia="zh-CN"/>
              </w:rPr>
              <w:t>为</w:t>
            </w:r>
            <w:r>
              <w:rPr>
                <w:rFonts w:hint="eastAsia" w:ascii="Times New Roman" w:hAnsi="Times New Roman" w:cs="Times New Roman"/>
                <w:color w:val="auto"/>
                <w:sz w:val="24"/>
                <w:highlight w:val="none"/>
                <w:lang w:val="en-US" w:eastAsia="zh-CN"/>
              </w:rPr>
              <w:t>0.</w:t>
            </w:r>
            <w:r>
              <w:rPr>
                <w:rFonts w:hint="eastAsia" w:cs="Times New Roman"/>
                <w:color w:val="auto"/>
                <w:sz w:val="24"/>
                <w:highlight w:val="none"/>
                <w:lang w:val="en-US" w:eastAsia="zh-CN"/>
              </w:rPr>
              <w:t>0</w:t>
            </w:r>
            <w:r>
              <w:rPr>
                <w:rFonts w:hint="eastAsia" w:ascii="Times New Roman" w:hAnsi="Times New Roman" w:cs="Times New Roman"/>
                <w:color w:val="auto"/>
                <w:sz w:val="24"/>
                <w:highlight w:val="none"/>
                <w:lang w:val="en-US" w:eastAsia="zh-CN"/>
              </w:rPr>
              <w:t>0088</w:t>
            </w: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/a、</w:t>
            </w:r>
            <w:r>
              <w:rPr>
                <w:rFonts w:hint="eastAsia" w:ascii="Times New Roman" w:hAnsi="Times New Roman" w:eastAsia="宋体" w:cs="Times New Roman"/>
                <w:color w:val="auto"/>
                <w:sz w:val="24"/>
                <w:highlight w:val="none"/>
                <w:lang w:val="en-US" w:eastAsia="zh-CN"/>
              </w:rPr>
              <w:t>0.</w:t>
            </w:r>
            <w:r>
              <w:rPr>
                <w:rFonts w:hint="eastAsia" w:ascii="Times New Roman" w:hAnsi="Times New Roman" w:cs="Times New Roman"/>
                <w:color w:val="auto"/>
                <w:sz w:val="24"/>
                <w:highlight w:val="none"/>
                <w:lang w:val="en-US" w:eastAsia="zh-CN"/>
              </w:rPr>
              <w:t>000</w:t>
            </w:r>
            <w:r>
              <w:rPr>
                <w:rFonts w:hint="eastAsia" w:cs="Times New Roman"/>
                <w:color w:val="auto"/>
                <w:sz w:val="24"/>
                <w:highlight w:val="none"/>
                <w:lang w:val="en-US" w:eastAsia="zh-CN"/>
              </w:rPr>
              <w:t>0</w:t>
            </w:r>
            <w:r>
              <w:rPr>
                <w:rFonts w:hint="eastAsia" w:ascii="Times New Roman" w:hAnsi="Times New Roman" w:cs="Times New Roman"/>
                <w:color w:val="auto"/>
                <w:sz w:val="24"/>
                <w:highlight w:val="none"/>
                <w:lang w:val="en-US" w:eastAsia="zh-CN"/>
              </w:rPr>
              <w:t>34</w:t>
            </w: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/a</w:t>
            </w:r>
            <w:r>
              <w:rPr>
                <w:rFonts w:hint="eastAsia" w:cs="Times New Roman"/>
                <w:color w:val="auto"/>
                <w:sz w:val="24"/>
                <w:highlight w:val="none"/>
                <w:lang w:eastAsia="zh-CN"/>
              </w:rPr>
              <w:t>；排放速率分别为</w:t>
            </w:r>
            <w:r>
              <w:rPr>
                <w:rFonts w:hint="eastAsia" w:cs="Times New Roman"/>
                <w:color w:val="auto"/>
                <w:sz w:val="24"/>
                <w:highlight w:val="none"/>
                <w:lang w:val="en-US" w:eastAsia="zh-CN"/>
              </w:rPr>
              <w:t>1×10</w:t>
            </w:r>
            <w:r>
              <w:rPr>
                <w:rFonts w:hint="eastAsia" w:cs="Times New Roman"/>
                <w:color w:val="auto"/>
                <w:sz w:val="24"/>
                <w:highlight w:val="none"/>
                <w:vertAlign w:val="superscript"/>
                <w:lang w:val="en-US" w:eastAsia="zh-CN"/>
              </w:rPr>
              <w:t>-4</w:t>
            </w:r>
            <w:r>
              <w:rPr>
                <w:rFonts w:hint="eastAsia" w:cs="Times New Roman"/>
                <w:color w:val="auto"/>
                <w:sz w:val="24"/>
                <w:highlight w:val="none"/>
                <w:lang w:val="en-US" w:eastAsia="zh-CN"/>
              </w:rPr>
              <w:t>kg/h、3.88×10</w:t>
            </w:r>
            <w:r>
              <w:rPr>
                <w:rFonts w:hint="eastAsia" w:cs="Times New Roman"/>
                <w:color w:val="auto"/>
                <w:sz w:val="24"/>
                <w:highlight w:val="none"/>
                <w:vertAlign w:val="superscript"/>
                <w:lang w:val="en-US" w:eastAsia="zh-CN"/>
              </w:rPr>
              <w:t>-6</w:t>
            </w:r>
            <w:r>
              <w:rPr>
                <w:rFonts w:hint="eastAsia" w:cs="Times New Roman"/>
                <w:color w:val="auto"/>
                <w:sz w:val="24"/>
                <w:highlight w:val="none"/>
                <w:lang w:val="en-US" w:eastAsia="zh-CN"/>
              </w:rPr>
              <w:t>kg/h</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b w:val="0"/>
                <w:bCs/>
                <w:color w:val="auto"/>
                <w:sz w:val="24"/>
                <w:szCs w:val="24"/>
                <w:highlight w:val="none"/>
                <w:lang w:val="en-US" w:eastAsia="zh-CN"/>
              </w:rPr>
              <w:t>污水处理站硫化氢、氨气、臭气浓度均满足</w:t>
            </w:r>
            <w:r>
              <w:rPr>
                <w:rFonts w:hint="default" w:ascii="Times New Roman" w:hAnsi="Times New Roman" w:cs="Times New Roman"/>
                <w:b w:val="0"/>
                <w:bCs/>
                <w:color w:val="auto"/>
                <w:sz w:val="24"/>
                <w:szCs w:val="24"/>
                <w:highlight w:val="none"/>
                <w:lang w:val="en-US" w:eastAsia="zh-CN"/>
              </w:rPr>
              <w:t>《恶臭污染物排放标准》（GB14554-93）表2恶臭污染物排放标准值要求（氨：4.9kg/h，硫化氢：0.33kg/h，臭气浓度：2000（无量纲））</w:t>
            </w:r>
            <w:r>
              <w:rPr>
                <w:rFonts w:hint="eastAsia" w:ascii="Times New Roman" w:hAnsi="Times New Roman" w:cs="Times New Roman"/>
                <w:b w:val="0"/>
                <w:bCs/>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2）无组织废气产生及排放情况</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bookmarkStart w:id="11" w:name="_Hlk96675535"/>
            <w:r>
              <w:rPr>
                <w:rFonts w:hint="eastAsia" w:ascii="Times New Roman" w:hAnsi="Times New Roman" w:eastAsia="宋体" w:cs="Times New Roman"/>
                <w:color w:val="auto"/>
                <w:sz w:val="24"/>
                <w:lang w:val="en-US" w:eastAsia="zh-CN"/>
              </w:rPr>
              <w:t>（1）设备动静密封点泄漏源强核算</w:t>
            </w:r>
            <w:bookmarkEnd w:id="11"/>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项目装置采用LDAR技术，参考《污染源源强核算技术指南</w:t>
            </w:r>
            <w:r>
              <w:rPr>
                <w:rFonts w:hint="eastAsia" w:cs="Times New Roman"/>
                <w:color w:val="auto"/>
                <w:sz w:val="24"/>
                <w:lang w:val="en-US" w:eastAsia="zh-CN"/>
              </w:rPr>
              <w:t xml:space="preserve"> </w:t>
            </w:r>
            <w:r>
              <w:rPr>
                <w:rFonts w:hint="eastAsia" w:ascii="Times New Roman" w:hAnsi="Times New Roman" w:eastAsia="宋体" w:cs="Times New Roman"/>
                <w:color w:val="auto"/>
                <w:sz w:val="24"/>
                <w:lang w:val="en-US" w:eastAsia="zh-CN"/>
              </w:rPr>
              <w:t>石油炼制工业》（HJ 982-2018），设备动静密封处泄漏VOCs泄漏排放量应采用以下方式计算：</w:t>
            </w:r>
          </w:p>
          <w:p>
            <w:pPr>
              <w:jc w:val="center"/>
              <w:rPr>
                <w:bCs/>
                <w:color w:val="auto"/>
              </w:rPr>
            </w:pPr>
            <w:r>
              <w:rPr>
                <w:bCs/>
                <w:color w:val="auto"/>
              </w:rPr>
              <w:drawing>
                <wp:inline distT="0" distB="0" distL="0" distR="0">
                  <wp:extent cx="5711825" cy="1951355"/>
                  <wp:effectExtent l="0" t="0" r="3175" b="1079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2" cstate="print">
                            <a:extLst>
                              <a:ext uri="{28A0092B-C50C-407E-A947-70E740481C1C}">
                                <a14:useLocalDpi xmlns:a14="http://schemas.microsoft.com/office/drawing/2010/main" val="0"/>
                              </a:ext>
                            </a:extLst>
                          </a:blip>
                          <a:srcRect t="10283" b="23570"/>
                          <a:stretch>
                            <a:fillRect/>
                          </a:stretch>
                        </pic:blipFill>
                        <pic:spPr>
                          <a:xfrm>
                            <a:off x="0" y="0"/>
                            <a:ext cx="5714956" cy="19513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20" w:firstLineChars="200"/>
              <w:textAlignment w:val="auto"/>
              <w:rPr>
                <w:rFonts w:hint="eastAsia" w:ascii="Times New Roman" w:hAnsi="Times New Roman" w:eastAsia="宋体" w:cs="Times New Roman"/>
                <w:color w:val="auto"/>
                <w:sz w:val="24"/>
                <w:lang w:val="en-US" w:eastAsia="zh-CN"/>
              </w:rPr>
            </w:pPr>
            <w:r>
              <w:rPr>
                <w:bCs/>
                <w:color w:val="auto"/>
              </w:rPr>
              <w:drawing>
                <wp:inline distT="0" distB="0" distL="0" distR="0">
                  <wp:extent cx="5711825" cy="665480"/>
                  <wp:effectExtent l="0" t="0" r="3175" b="12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22" cstate="print">
                            <a:extLst>
                              <a:ext uri="{28A0092B-C50C-407E-A947-70E740481C1C}">
                                <a14:useLocalDpi xmlns:a14="http://schemas.microsoft.com/office/drawing/2010/main" val="0"/>
                              </a:ext>
                            </a:extLst>
                          </a:blip>
                          <a:srcRect t="77442"/>
                          <a:stretch>
                            <a:fillRect/>
                          </a:stretch>
                        </pic:blipFill>
                        <pic:spPr>
                          <a:xfrm>
                            <a:off x="0" y="0"/>
                            <a:ext cx="5714956" cy="665480"/>
                          </a:xfrm>
                          <a:prstGeom prst="rect">
                            <a:avLst/>
                          </a:prstGeom>
                          <a:noFill/>
                          <a:ln>
                            <a:noFill/>
                          </a:ln>
                        </pic:spPr>
                      </pic:pic>
                    </a:graphicData>
                  </a:graphic>
                </wp:inline>
              </w:drawing>
            </w:r>
            <w:r>
              <w:rPr>
                <w:rFonts w:hint="eastAsia" w:ascii="Times New Roman" w:hAnsi="Times New Roman" w:eastAsia="宋体" w:cs="Times New Roman"/>
                <w:color w:val="auto"/>
                <w:sz w:val="24"/>
                <w:lang w:val="en-US" w:eastAsia="zh-CN"/>
              </w:rPr>
              <w:t>以上公式中，α参考《排污许可证申请与核发技术规范 石化工业》（HJ 853-2017）中取值0.003，WF</w:t>
            </w:r>
            <w:r>
              <w:rPr>
                <w:rFonts w:hint="eastAsia" w:ascii="Times New Roman" w:hAnsi="Times New Roman" w:eastAsia="宋体" w:cs="Times New Roman"/>
                <w:color w:val="auto"/>
                <w:sz w:val="24"/>
                <w:vertAlign w:val="subscript"/>
                <w:lang w:val="en-US" w:eastAsia="zh-CN"/>
              </w:rPr>
              <w:t>VOCs,i</w:t>
            </w:r>
            <w:r>
              <w:rPr>
                <w:rFonts w:hint="eastAsia" w:ascii="Times New Roman" w:hAnsi="Times New Roman" w:eastAsia="宋体" w:cs="Times New Roman"/>
                <w:color w:val="auto"/>
                <w:sz w:val="24"/>
                <w:lang w:val="en-US" w:eastAsia="zh-CN"/>
              </w:rPr>
              <w:t>/WF</w:t>
            </w:r>
            <w:r>
              <w:rPr>
                <w:rFonts w:hint="eastAsia" w:ascii="Times New Roman" w:hAnsi="Times New Roman" w:eastAsia="宋体" w:cs="Times New Roman"/>
                <w:color w:val="auto"/>
                <w:sz w:val="24"/>
                <w:vertAlign w:val="subscript"/>
                <w:lang w:val="en-US" w:eastAsia="zh-CN"/>
              </w:rPr>
              <w:t>TOCs,i</w:t>
            </w:r>
            <w:r>
              <w:rPr>
                <w:rFonts w:hint="eastAsia" w:ascii="Times New Roman" w:hAnsi="Times New Roman" w:eastAsia="宋体" w:cs="Times New Roman"/>
                <w:color w:val="auto"/>
                <w:sz w:val="24"/>
                <w:lang w:val="en-US" w:eastAsia="zh-CN"/>
              </w:rPr>
              <w:t>取值1。</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表4-</w:t>
            </w:r>
            <w:r>
              <w:rPr>
                <w:rFonts w:hint="eastAsia" w:eastAsia="黑体" w:cs="Times New Roman"/>
                <w:b w:val="0"/>
                <w:bCs w:val="0"/>
                <w:color w:val="auto"/>
                <w:kern w:val="0"/>
                <w:sz w:val="24"/>
                <w:szCs w:val="24"/>
                <w:lang w:val="en-US" w:eastAsia="zh-CN"/>
              </w:rPr>
              <w:t>10</w:t>
            </w:r>
            <w:r>
              <w:rPr>
                <w:rFonts w:hint="eastAsia" w:ascii="Times New Roman" w:hAnsi="Times New Roman" w:eastAsia="黑体" w:cs="Times New Roman"/>
                <w:b w:val="0"/>
                <w:bCs w:val="0"/>
                <w:color w:val="auto"/>
                <w:kern w:val="0"/>
                <w:sz w:val="24"/>
                <w:szCs w:val="24"/>
                <w:lang w:val="en-US" w:eastAsia="zh-CN"/>
              </w:rPr>
              <w:t xml:space="preserve"> 设备与管线e</w:t>
            </w:r>
            <w:r>
              <w:rPr>
                <w:rFonts w:hint="eastAsia" w:ascii="Times New Roman" w:hAnsi="Times New Roman" w:eastAsia="黑体" w:cs="Times New Roman"/>
                <w:b w:val="0"/>
                <w:bCs w:val="0"/>
                <w:color w:val="auto"/>
                <w:kern w:val="0"/>
                <w:sz w:val="24"/>
                <w:szCs w:val="24"/>
                <w:vertAlign w:val="subscript"/>
                <w:lang w:val="en-US" w:eastAsia="zh-CN"/>
              </w:rPr>
              <w:t>TOC</w:t>
            </w:r>
            <w:r>
              <w:rPr>
                <w:rFonts w:hint="eastAsia" w:ascii="Times New Roman" w:hAnsi="Times New Roman" w:eastAsia="黑体" w:cs="Times New Roman"/>
                <w:b w:val="0"/>
                <w:bCs w:val="0"/>
                <w:color w:val="auto"/>
                <w:kern w:val="0"/>
                <w:sz w:val="24"/>
                <w:szCs w:val="24"/>
                <w:lang w:val="en-US" w:eastAsia="zh-CN"/>
              </w:rPr>
              <w:t>排放取值参数表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2"/>
              <w:gridCol w:w="3744"/>
              <w:gridCol w:w="2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4"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类型</w:t>
                  </w:r>
                </w:p>
              </w:tc>
              <w:tc>
                <w:tcPr>
                  <w:tcW w:w="2209"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设备类型</w:t>
                  </w:r>
                </w:p>
              </w:tc>
              <w:tc>
                <w:tcPr>
                  <w:tcW w:w="1557"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排放速率（kg/h/排放源）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4" w:type="pct"/>
                  <w:vMerge w:val="restar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石油化学工业</w:t>
                  </w:r>
                </w:p>
              </w:tc>
              <w:tc>
                <w:tcPr>
                  <w:tcW w:w="2209"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气体阀门</w:t>
                  </w:r>
                </w:p>
              </w:tc>
              <w:tc>
                <w:tcPr>
                  <w:tcW w:w="1557"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0</w:t>
                  </w:r>
                  <w:r>
                    <w:rPr>
                      <w:rFonts w:ascii="宋体" w:hAnsi="宋体"/>
                      <w:color w:val="auto"/>
                      <w:szCs w:val="21"/>
                      <w:lang w:val="zh-CN"/>
                    </w:rPr>
                    <w:t>.024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4" w:type="pct"/>
                  <w:vMerge w:val="continue"/>
                  <w:shd w:val="clear" w:color="auto" w:fill="auto"/>
                  <w:vAlign w:val="center"/>
                </w:tcPr>
                <w:p>
                  <w:pPr>
                    <w:autoSpaceDE w:val="0"/>
                    <w:autoSpaceDN w:val="0"/>
                    <w:spacing w:line="360" w:lineRule="exact"/>
                    <w:jc w:val="center"/>
                    <w:rPr>
                      <w:rFonts w:ascii="宋体" w:hAnsi="宋体"/>
                      <w:color w:val="auto"/>
                      <w:szCs w:val="21"/>
                      <w:lang w:val="zh-CN"/>
                    </w:rPr>
                  </w:pPr>
                </w:p>
              </w:tc>
              <w:tc>
                <w:tcPr>
                  <w:tcW w:w="2209"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开口阀或开口管线</w:t>
                  </w:r>
                </w:p>
              </w:tc>
              <w:tc>
                <w:tcPr>
                  <w:tcW w:w="1557"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0</w:t>
                  </w:r>
                  <w:r>
                    <w:rPr>
                      <w:rFonts w:ascii="宋体" w:hAnsi="宋体"/>
                      <w:color w:val="auto"/>
                      <w:szCs w:val="21"/>
                      <w:lang w:val="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4" w:type="pct"/>
                  <w:vMerge w:val="continue"/>
                  <w:shd w:val="clear" w:color="auto" w:fill="auto"/>
                  <w:vAlign w:val="center"/>
                </w:tcPr>
                <w:p>
                  <w:pPr>
                    <w:autoSpaceDE w:val="0"/>
                    <w:autoSpaceDN w:val="0"/>
                    <w:spacing w:line="360" w:lineRule="exact"/>
                    <w:jc w:val="center"/>
                    <w:rPr>
                      <w:rFonts w:ascii="宋体" w:hAnsi="宋体"/>
                      <w:color w:val="auto"/>
                      <w:szCs w:val="21"/>
                      <w:lang w:val="zh-CN"/>
                    </w:rPr>
                  </w:pPr>
                </w:p>
              </w:tc>
              <w:tc>
                <w:tcPr>
                  <w:tcW w:w="2209"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有机液体阀门</w:t>
                  </w:r>
                </w:p>
              </w:tc>
              <w:tc>
                <w:tcPr>
                  <w:tcW w:w="1557"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0</w:t>
                  </w:r>
                  <w:r>
                    <w:rPr>
                      <w:rFonts w:ascii="宋体" w:hAnsi="宋体"/>
                      <w:color w:val="auto"/>
                      <w:szCs w:val="21"/>
                      <w:lang w:val="zh-CN"/>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4" w:type="pct"/>
                  <w:vMerge w:val="continue"/>
                  <w:shd w:val="clear" w:color="auto" w:fill="auto"/>
                  <w:vAlign w:val="center"/>
                </w:tcPr>
                <w:p>
                  <w:pPr>
                    <w:autoSpaceDE w:val="0"/>
                    <w:autoSpaceDN w:val="0"/>
                    <w:spacing w:line="360" w:lineRule="exact"/>
                    <w:jc w:val="center"/>
                    <w:rPr>
                      <w:rFonts w:ascii="宋体" w:hAnsi="宋体"/>
                      <w:color w:val="auto"/>
                      <w:szCs w:val="21"/>
                      <w:lang w:val="zh-CN"/>
                    </w:rPr>
                  </w:pPr>
                </w:p>
              </w:tc>
              <w:tc>
                <w:tcPr>
                  <w:tcW w:w="2209"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法兰或连接件</w:t>
                  </w:r>
                </w:p>
              </w:tc>
              <w:tc>
                <w:tcPr>
                  <w:tcW w:w="1557"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0</w:t>
                  </w:r>
                  <w:r>
                    <w:rPr>
                      <w:rFonts w:ascii="宋体" w:hAnsi="宋体"/>
                      <w:color w:val="auto"/>
                      <w:szCs w:val="21"/>
                      <w:lang w:val="zh-CN"/>
                    </w:rPr>
                    <w:t>.044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4" w:type="pct"/>
                  <w:vMerge w:val="continue"/>
                  <w:shd w:val="clear" w:color="auto" w:fill="auto"/>
                  <w:vAlign w:val="center"/>
                </w:tcPr>
                <w:p>
                  <w:pPr>
                    <w:autoSpaceDE w:val="0"/>
                    <w:autoSpaceDN w:val="0"/>
                    <w:spacing w:line="360" w:lineRule="exact"/>
                    <w:jc w:val="center"/>
                    <w:rPr>
                      <w:rFonts w:ascii="宋体" w:hAnsi="宋体"/>
                      <w:color w:val="auto"/>
                      <w:szCs w:val="21"/>
                      <w:lang w:val="zh-CN"/>
                    </w:rPr>
                  </w:pPr>
                </w:p>
              </w:tc>
              <w:tc>
                <w:tcPr>
                  <w:tcW w:w="2209"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泵、压缩机、搅拌器、泄压设备</w:t>
                  </w:r>
                </w:p>
              </w:tc>
              <w:tc>
                <w:tcPr>
                  <w:tcW w:w="1557"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0</w:t>
                  </w:r>
                  <w:r>
                    <w:rPr>
                      <w:rFonts w:ascii="宋体" w:hAnsi="宋体"/>
                      <w:color w:val="auto"/>
                      <w:szCs w:val="21"/>
                      <w:lang w:val="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4" w:type="pct"/>
                  <w:vMerge w:val="continue"/>
                  <w:shd w:val="clear" w:color="auto" w:fill="auto"/>
                  <w:vAlign w:val="center"/>
                </w:tcPr>
                <w:p>
                  <w:pPr>
                    <w:autoSpaceDE w:val="0"/>
                    <w:autoSpaceDN w:val="0"/>
                    <w:spacing w:line="360" w:lineRule="exact"/>
                    <w:jc w:val="center"/>
                    <w:rPr>
                      <w:rFonts w:ascii="宋体" w:hAnsi="宋体"/>
                      <w:color w:val="auto"/>
                      <w:szCs w:val="21"/>
                      <w:lang w:val="zh-CN"/>
                    </w:rPr>
                  </w:pPr>
                </w:p>
              </w:tc>
              <w:tc>
                <w:tcPr>
                  <w:tcW w:w="2209"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其他</w:t>
                  </w:r>
                </w:p>
              </w:tc>
              <w:tc>
                <w:tcPr>
                  <w:tcW w:w="1557" w:type="pct"/>
                  <w:shd w:val="clear" w:color="auto" w:fill="auto"/>
                  <w:vAlign w:val="center"/>
                </w:tcPr>
                <w:p>
                  <w:pPr>
                    <w:autoSpaceDE w:val="0"/>
                    <w:autoSpaceDN w:val="0"/>
                    <w:spacing w:line="360" w:lineRule="exact"/>
                    <w:jc w:val="center"/>
                    <w:rPr>
                      <w:rFonts w:ascii="宋体" w:hAnsi="宋体"/>
                      <w:color w:val="auto"/>
                      <w:szCs w:val="21"/>
                      <w:lang w:val="zh-CN"/>
                    </w:rPr>
                  </w:pPr>
                  <w:r>
                    <w:rPr>
                      <w:rFonts w:hint="eastAsia" w:ascii="宋体" w:hAnsi="宋体"/>
                      <w:color w:val="auto"/>
                      <w:szCs w:val="21"/>
                      <w:lang w:val="zh-CN"/>
                    </w:rPr>
                    <w:t>0</w:t>
                  </w:r>
                  <w:r>
                    <w:rPr>
                      <w:rFonts w:ascii="宋体" w:hAnsi="宋体"/>
                      <w:color w:val="auto"/>
                      <w:szCs w:val="21"/>
                      <w:lang w:val="zh-CN"/>
                    </w:rPr>
                    <w:t>.073</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本项目各装置设备动静密封点数量统计见下表。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bookmarkStart w:id="12" w:name="_Hlk118982291"/>
            <w:r>
              <w:rPr>
                <w:rFonts w:hint="eastAsia" w:ascii="Times New Roman" w:hAnsi="Times New Roman" w:eastAsia="黑体" w:cs="Times New Roman"/>
                <w:b w:val="0"/>
                <w:bCs w:val="0"/>
                <w:color w:val="auto"/>
                <w:kern w:val="0"/>
                <w:sz w:val="24"/>
                <w:szCs w:val="24"/>
                <w:lang w:val="en-US" w:eastAsia="zh-CN"/>
              </w:rPr>
              <w:t>表4-</w:t>
            </w:r>
            <w:r>
              <w:rPr>
                <w:rFonts w:hint="eastAsia" w:eastAsia="黑体" w:cs="Times New Roman"/>
                <w:b w:val="0"/>
                <w:bCs w:val="0"/>
                <w:color w:val="auto"/>
                <w:kern w:val="0"/>
                <w:sz w:val="24"/>
                <w:szCs w:val="24"/>
                <w:lang w:val="en-US" w:eastAsia="zh-CN"/>
              </w:rPr>
              <w:t>11</w:t>
            </w:r>
            <w:r>
              <w:rPr>
                <w:rFonts w:hint="eastAsia" w:ascii="Times New Roman" w:hAnsi="Times New Roman" w:eastAsia="黑体" w:cs="Times New Roman"/>
                <w:b w:val="0"/>
                <w:bCs w:val="0"/>
                <w:color w:val="auto"/>
                <w:kern w:val="0"/>
                <w:sz w:val="24"/>
                <w:szCs w:val="24"/>
                <w:lang w:val="en-US" w:eastAsia="zh-CN"/>
              </w:rPr>
              <w:t xml:space="preserve"> 项目设备动静密封点一览表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24"/>
              <w:gridCol w:w="3661"/>
              <w:gridCol w:w="1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2" w:type="pct"/>
                  <w:vAlign w:val="center"/>
                </w:tcPr>
                <w:p>
                  <w:pPr>
                    <w:autoSpaceDE w:val="0"/>
                    <w:autoSpaceDN w:val="0"/>
                    <w:spacing w:line="360" w:lineRule="exact"/>
                    <w:jc w:val="center"/>
                    <w:rPr>
                      <w:rFonts w:ascii="宋体" w:hAnsi="宋体"/>
                      <w:color w:val="auto"/>
                      <w:szCs w:val="21"/>
                    </w:rPr>
                  </w:pPr>
                  <w:r>
                    <w:rPr>
                      <w:rFonts w:hint="eastAsia" w:ascii="宋体" w:hAnsi="宋体"/>
                      <w:color w:val="auto"/>
                      <w:szCs w:val="21"/>
                    </w:rPr>
                    <w:t>装置名称</w:t>
                  </w:r>
                </w:p>
              </w:tc>
              <w:tc>
                <w:tcPr>
                  <w:tcW w:w="2160" w:type="pct"/>
                  <w:vAlign w:val="center"/>
                </w:tcPr>
                <w:p>
                  <w:pPr>
                    <w:autoSpaceDE w:val="0"/>
                    <w:autoSpaceDN w:val="0"/>
                    <w:spacing w:line="360" w:lineRule="exact"/>
                    <w:jc w:val="center"/>
                    <w:rPr>
                      <w:rFonts w:ascii="宋体" w:hAnsi="宋体"/>
                      <w:color w:val="auto"/>
                      <w:szCs w:val="21"/>
                    </w:rPr>
                  </w:pPr>
                  <w:r>
                    <w:rPr>
                      <w:rFonts w:hint="eastAsia" w:ascii="宋体" w:hAnsi="宋体"/>
                      <w:color w:val="auto"/>
                      <w:szCs w:val="21"/>
                    </w:rPr>
                    <w:t>设备类型</w:t>
                  </w:r>
                </w:p>
              </w:tc>
              <w:tc>
                <w:tcPr>
                  <w:tcW w:w="938" w:type="pct"/>
                </w:tcPr>
                <w:p>
                  <w:pPr>
                    <w:autoSpaceDE w:val="0"/>
                    <w:autoSpaceDN w:val="0"/>
                    <w:spacing w:line="360" w:lineRule="exact"/>
                    <w:jc w:val="center"/>
                    <w:rPr>
                      <w:rFonts w:ascii="宋体" w:hAnsi="宋体"/>
                      <w:color w:val="auto"/>
                      <w:szCs w:val="21"/>
                    </w:rPr>
                  </w:pPr>
                  <w:r>
                    <w:rPr>
                      <w:rFonts w:hint="eastAsia" w:ascii="宋体" w:hAnsi="宋体"/>
                      <w:color w:val="auto"/>
                      <w:szCs w:val="21"/>
                    </w:rPr>
                    <w:t>数量（个）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2" w:type="pct"/>
                  <w:vMerge w:val="restart"/>
                  <w:vAlign w:val="center"/>
                </w:tcPr>
                <w:p>
                  <w:pPr>
                    <w:autoSpaceDE w:val="0"/>
                    <w:autoSpaceDN w:val="0"/>
                    <w:spacing w:line="360" w:lineRule="exact"/>
                    <w:jc w:val="center"/>
                    <w:rPr>
                      <w:rFonts w:ascii="宋体" w:hAnsi="宋体"/>
                      <w:color w:val="auto"/>
                      <w:szCs w:val="21"/>
                    </w:rPr>
                  </w:pPr>
                  <w:r>
                    <w:rPr>
                      <w:rFonts w:hint="eastAsia" w:ascii="宋体" w:hAnsi="宋体"/>
                      <w:color w:val="auto"/>
                      <w:szCs w:val="21"/>
                    </w:rPr>
                    <w:t>罐区</w:t>
                  </w:r>
                </w:p>
              </w:tc>
              <w:tc>
                <w:tcPr>
                  <w:tcW w:w="2160" w:type="pct"/>
                </w:tcPr>
                <w:p>
                  <w:pPr>
                    <w:autoSpaceDE w:val="0"/>
                    <w:autoSpaceDN w:val="0"/>
                    <w:spacing w:line="360" w:lineRule="exact"/>
                    <w:jc w:val="center"/>
                    <w:rPr>
                      <w:rFonts w:ascii="宋体" w:hAnsi="宋体"/>
                      <w:color w:val="auto"/>
                      <w:szCs w:val="21"/>
                    </w:rPr>
                  </w:pPr>
                  <w:r>
                    <w:rPr>
                      <w:rFonts w:hint="eastAsia"/>
                      <w:color w:val="auto"/>
                    </w:rPr>
                    <w:t>气体阀门</w:t>
                  </w:r>
                </w:p>
              </w:tc>
              <w:tc>
                <w:tcPr>
                  <w:tcW w:w="938" w:type="pct"/>
                </w:tcPr>
                <w:p>
                  <w:pPr>
                    <w:autoSpaceDE w:val="0"/>
                    <w:autoSpaceDN w:val="0"/>
                    <w:spacing w:line="360" w:lineRule="exact"/>
                    <w:jc w:val="center"/>
                    <w:rPr>
                      <w:rFonts w:ascii="宋体" w:hAnsi="宋体"/>
                      <w:color w:val="auto"/>
                      <w:szCs w:val="21"/>
                    </w:rPr>
                  </w:pPr>
                  <w:r>
                    <w:rPr>
                      <w:rFonts w:ascii="宋体" w:hAnsi="宋体"/>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02" w:type="pct"/>
                  <w:vMerge w:val="continue"/>
                  <w:vAlign w:val="center"/>
                </w:tcPr>
                <w:p>
                  <w:pPr>
                    <w:autoSpaceDE w:val="0"/>
                    <w:autoSpaceDN w:val="0"/>
                    <w:spacing w:line="360" w:lineRule="exact"/>
                    <w:jc w:val="center"/>
                    <w:rPr>
                      <w:rFonts w:ascii="宋体" w:hAnsi="宋体"/>
                      <w:color w:val="auto"/>
                      <w:szCs w:val="21"/>
                    </w:rPr>
                  </w:pPr>
                </w:p>
              </w:tc>
              <w:tc>
                <w:tcPr>
                  <w:tcW w:w="2160" w:type="pct"/>
                </w:tcPr>
                <w:p>
                  <w:pPr>
                    <w:autoSpaceDE w:val="0"/>
                    <w:autoSpaceDN w:val="0"/>
                    <w:spacing w:line="360" w:lineRule="exact"/>
                    <w:jc w:val="center"/>
                    <w:rPr>
                      <w:rFonts w:ascii="宋体" w:hAnsi="宋体"/>
                      <w:color w:val="auto"/>
                      <w:szCs w:val="21"/>
                    </w:rPr>
                  </w:pPr>
                  <w:r>
                    <w:rPr>
                      <w:rFonts w:hint="eastAsia"/>
                      <w:color w:val="auto"/>
                    </w:rPr>
                    <w:t>开口阀或开口管线</w:t>
                  </w:r>
                </w:p>
              </w:tc>
              <w:tc>
                <w:tcPr>
                  <w:tcW w:w="938" w:type="pct"/>
                </w:tcPr>
                <w:p>
                  <w:pPr>
                    <w:autoSpaceDE w:val="0"/>
                    <w:autoSpaceDN w:val="0"/>
                    <w:spacing w:line="360" w:lineRule="exact"/>
                    <w:jc w:val="center"/>
                    <w:rPr>
                      <w:rFonts w:ascii="宋体" w:hAnsi="宋体"/>
                      <w:color w:val="auto"/>
                      <w:szCs w:val="21"/>
                    </w:rPr>
                  </w:pPr>
                  <w:r>
                    <w:rPr>
                      <w:rFonts w:ascii="宋体" w:hAnsi="宋体"/>
                      <w:color w:val="auto"/>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2" w:type="pct"/>
                  <w:vMerge w:val="continue"/>
                  <w:vAlign w:val="center"/>
                </w:tcPr>
                <w:p>
                  <w:pPr>
                    <w:autoSpaceDE w:val="0"/>
                    <w:autoSpaceDN w:val="0"/>
                    <w:spacing w:line="360" w:lineRule="exact"/>
                    <w:jc w:val="center"/>
                    <w:rPr>
                      <w:rFonts w:ascii="宋体" w:hAnsi="宋体"/>
                      <w:color w:val="auto"/>
                      <w:szCs w:val="21"/>
                    </w:rPr>
                  </w:pPr>
                </w:p>
              </w:tc>
              <w:tc>
                <w:tcPr>
                  <w:tcW w:w="2160" w:type="pct"/>
                </w:tcPr>
                <w:p>
                  <w:pPr>
                    <w:autoSpaceDE w:val="0"/>
                    <w:autoSpaceDN w:val="0"/>
                    <w:spacing w:line="360" w:lineRule="exact"/>
                    <w:jc w:val="center"/>
                    <w:rPr>
                      <w:color w:val="auto"/>
                    </w:rPr>
                  </w:pPr>
                  <w:r>
                    <w:rPr>
                      <w:rFonts w:hint="eastAsia"/>
                      <w:color w:val="auto"/>
                    </w:rPr>
                    <w:t>有机液体阀门</w:t>
                  </w:r>
                </w:p>
              </w:tc>
              <w:tc>
                <w:tcPr>
                  <w:tcW w:w="938" w:type="pct"/>
                </w:tcPr>
                <w:p>
                  <w:pPr>
                    <w:autoSpaceDE w:val="0"/>
                    <w:autoSpaceDN w:val="0"/>
                    <w:spacing w:line="360" w:lineRule="exact"/>
                    <w:jc w:val="center"/>
                    <w:rPr>
                      <w:rFonts w:ascii="宋体" w:hAnsi="宋体"/>
                      <w:color w:val="auto"/>
                      <w:szCs w:val="21"/>
                    </w:rPr>
                  </w:pPr>
                  <w:r>
                    <w:rPr>
                      <w:rFonts w:ascii="宋体" w:hAnsi="宋体"/>
                      <w:color w:val="auto"/>
                    </w:rPr>
                    <w:t>837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2" w:type="pct"/>
                  <w:vMerge w:val="continue"/>
                  <w:vAlign w:val="center"/>
                </w:tcPr>
                <w:p>
                  <w:pPr>
                    <w:autoSpaceDE w:val="0"/>
                    <w:autoSpaceDN w:val="0"/>
                    <w:spacing w:line="360" w:lineRule="exact"/>
                    <w:jc w:val="center"/>
                    <w:rPr>
                      <w:rFonts w:ascii="宋体" w:hAnsi="宋体"/>
                      <w:color w:val="auto"/>
                      <w:szCs w:val="21"/>
                    </w:rPr>
                  </w:pPr>
                </w:p>
              </w:tc>
              <w:tc>
                <w:tcPr>
                  <w:tcW w:w="2160" w:type="pct"/>
                </w:tcPr>
                <w:p>
                  <w:pPr>
                    <w:autoSpaceDE w:val="0"/>
                    <w:autoSpaceDN w:val="0"/>
                    <w:spacing w:line="360" w:lineRule="exact"/>
                    <w:jc w:val="center"/>
                    <w:rPr>
                      <w:rFonts w:ascii="宋体" w:hAnsi="宋体"/>
                      <w:color w:val="auto"/>
                      <w:szCs w:val="21"/>
                    </w:rPr>
                  </w:pPr>
                  <w:r>
                    <w:rPr>
                      <w:rFonts w:hint="eastAsia"/>
                      <w:color w:val="auto"/>
                    </w:rPr>
                    <w:t>法兰或连接件</w:t>
                  </w:r>
                </w:p>
              </w:tc>
              <w:tc>
                <w:tcPr>
                  <w:tcW w:w="938" w:type="pct"/>
                </w:tcPr>
                <w:p>
                  <w:pPr>
                    <w:autoSpaceDE w:val="0"/>
                    <w:autoSpaceDN w:val="0"/>
                    <w:spacing w:line="360" w:lineRule="exact"/>
                    <w:jc w:val="center"/>
                    <w:rPr>
                      <w:rFonts w:ascii="宋体" w:hAnsi="宋体"/>
                      <w:color w:val="auto"/>
                      <w:szCs w:val="21"/>
                    </w:rPr>
                  </w:pPr>
                  <w:r>
                    <w:rPr>
                      <w:rFonts w:ascii="宋体" w:hAnsi="宋体"/>
                      <w:color w:val="auto"/>
                    </w:rPr>
                    <w:t>2428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 w:hRule="atLeast"/>
              </w:trPr>
              <w:tc>
                <w:tcPr>
                  <w:tcW w:w="1902" w:type="pct"/>
                  <w:vMerge w:val="continue"/>
                  <w:vAlign w:val="center"/>
                </w:tcPr>
                <w:p>
                  <w:pPr>
                    <w:autoSpaceDE w:val="0"/>
                    <w:autoSpaceDN w:val="0"/>
                    <w:spacing w:line="360" w:lineRule="exact"/>
                    <w:jc w:val="center"/>
                    <w:rPr>
                      <w:rFonts w:ascii="宋体" w:hAnsi="宋体"/>
                      <w:color w:val="auto"/>
                      <w:szCs w:val="21"/>
                    </w:rPr>
                  </w:pPr>
                </w:p>
              </w:tc>
              <w:tc>
                <w:tcPr>
                  <w:tcW w:w="2160" w:type="pct"/>
                </w:tcPr>
                <w:p>
                  <w:pPr>
                    <w:autoSpaceDE w:val="0"/>
                    <w:autoSpaceDN w:val="0"/>
                    <w:spacing w:line="360" w:lineRule="exact"/>
                    <w:jc w:val="center"/>
                    <w:rPr>
                      <w:rFonts w:ascii="宋体" w:hAnsi="宋体"/>
                      <w:color w:val="auto"/>
                      <w:szCs w:val="21"/>
                    </w:rPr>
                  </w:pPr>
                  <w:r>
                    <w:rPr>
                      <w:rFonts w:hint="eastAsia"/>
                      <w:color w:val="auto"/>
                    </w:rPr>
                    <w:t>泵、压缩机、搅拌器、泄压设备</w:t>
                  </w:r>
                </w:p>
              </w:tc>
              <w:tc>
                <w:tcPr>
                  <w:tcW w:w="938" w:type="pct"/>
                </w:tcPr>
                <w:p>
                  <w:pPr>
                    <w:autoSpaceDE w:val="0"/>
                    <w:autoSpaceDN w:val="0"/>
                    <w:spacing w:line="360" w:lineRule="exact"/>
                    <w:jc w:val="center"/>
                    <w:rPr>
                      <w:rFonts w:ascii="宋体" w:hAnsi="宋体"/>
                      <w:color w:val="auto"/>
                      <w:szCs w:val="21"/>
                    </w:rPr>
                  </w:pPr>
                  <w:r>
                    <w:rPr>
                      <w:rFonts w:ascii="宋体" w:hAnsi="宋体"/>
                      <w:color w:val="auto"/>
                    </w:rPr>
                    <w:t>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02" w:type="pct"/>
                  <w:vMerge w:val="continue"/>
                  <w:vAlign w:val="center"/>
                </w:tcPr>
                <w:p>
                  <w:pPr>
                    <w:autoSpaceDE w:val="0"/>
                    <w:autoSpaceDN w:val="0"/>
                    <w:spacing w:line="360" w:lineRule="exact"/>
                    <w:jc w:val="center"/>
                    <w:rPr>
                      <w:rFonts w:ascii="宋体" w:hAnsi="宋体"/>
                      <w:color w:val="auto"/>
                      <w:szCs w:val="21"/>
                    </w:rPr>
                  </w:pPr>
                </w:p>
              </w:tc>
              <w:tc>
                <w:tcPr>
                  <w:tcW w:w="2160" w:type="pct"/>
                </w:tcPr>
                <w:p>
                  <w:pPr>
                    <w:autoSpaceDE w:val="0"/>
                    <w:autoSpaceDN w:val="0"/>
                    <w:spacing w:line="360" w:lineRule="exact"/>
                    <w:jc w:val="center"/>
                    <w:rPr>
                      <w:rFonts w:ascii="宋体" w:hAnsi="宋体"/>
                      <w:color w:val="auto"/>
                      <w:szCs w:val="21"/>
                    </w:rPr>
                  </w:pPr>
                  <w:r>
                    <w:rPr>
                      <w:rFonts w:hint="eastAsia"/>
                      <w:color w:val="auto"/>
                    </w:rPr>
                    <w:t>其他</w:t>
                  </w:r>
                </w:p>
              </w:tc>
              <w:tc>
                <w:tcPr>
                  <w:tcW w:w="938" w:type="pct"/>
                </w:tcPr>
                <w:p>
                  <w:pPr>
                    <w:autoSpaceDE w:val="0"/>
                    <w:autoSpaceDN w:val="0"/>
                    <w:spacing w:line="360" w:lineRule="exact"/>
                    <w:jc w:val="center"/>
                    <w:rPr>
                      <w:rFonts w:ascii="宋体" w:hAnsi="宋体"/>
                      <w:color w:val="auto"/>
                      <w:szCs w:val="21"/>
                    </w:rPr>
                  </w:pPr>
                  <w:r>
                    <w:rPr>
                      <w:rFonts w:ascii="宋体" w:hAnsi="宋体"/>
                      <w:color w:val="auto"/>
                    </w:rPr>
                    <w:t>0</w:t>
                  </w:r>
                </w:p>
              </w:tc>
            </w:tr>
            <w:bookmarkEnd w:id="12"/>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2" w:type="pct"/>
                  <w:vMerge w:val="restart"/>
                  <w:vAlign w:val="center"/>
                </w:tcPr>
                <w:p>
                  <w:pPr>
                    <w:autoSpaceDE w:val="0"/>
                    <w:autoSpaceDN w:val="0"/>
                    <w:spacing w:line="360" w:lineRule="exact"/>
                    <w:jc w:val="center"/>
                    <w:rPr>
                      <w:rFonts w:hint="eastAsia" w:ascii="宋体" w:hAnsi="宋体" w:eastAsia="宋体"/>
                      <w:color w:val="auto"/>
                      <w:szCs w:val="21"/>
                      <w:lang w:eastAsia="zh-CN"/>
                    </w:rPr>
                  </w:pPr>
                  <w:r>
                    <w:rPr>
                      <w:rFonts w:hint="eastAsia" w:ascii="宋体" w:hAnsi="宋体"/>
                      <w:color w:val="auto"/>
                      <w:szCs w:val="21"/>
                      <w:lang w:eastAsia="zh-CN"/>
                    </w:rPr>
                    <w:t>装卸车区</w:t>
                  </w:r>
                </w:p>
              </w:tc>
              <w:tc>
                <w:tcPr>
                  <w:tcW w:w="2160" w:type="pct"/>
                </w:tcPr>
                <w:p>
                  <w:pPr>
                    <w:autoSpaceDE w:val="0"/>
                    <w:autoSpaceDN w:val="0"/>
                    <w:spacing w:line="360" w:lineRule="exact"/>
                    <w:jc w:val="center"/>
                    <w:rPr>
                      <w:rFonts w:ascii="宋体" w:hAnsi="宋体"/>
                      <w:color w:val="auto"/>
                      <w:szCs w:val="21"/>
                    </w:rPr>
                  </w:pPr>
                  <w:r>
                    <w:rPr>
                      <w:rFonts w:hint="eastAsia"/>
                      <w:color w:val="auto"/>
                    </w:rPr>
                    <w:t>气体阀门</w:t>
                  </w:r>
                </w:p>
              </w:tc>
              <w:tc>
                <w:tcPr>
                  <w:tcW w:w="938" w:type="pct"/>
                </w:tcPr>
                <w:p>
                  <w:pPr>
                    <w:autoSpaceDE w:val="0"/>
                    <w:autoSpaceDN w:val="0"/>
                    <w:spacing w:line="360" w:lineRule="exact"/>
                    <w:jc w:val="center"/>
                    <w:rPr>
                      <w:rFonts w:ascii="宋体" w:hAnsi="宋体"/>
                      <w:color w:val="auto"/>
                      <w:szCs w:val="21"/>
                    </w:rPr>
                  </w:pPr>
                  <w:r>
                    <w:rPr>
                      <w:rFonts w:ascii="宋体" w:hAnsi="宋体"/>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2" w:type="pct"/>
                  <w:vMerge w:val="continue"/>
                  <w:vAlign w:val="center"/>
                </w:tcPr>
                <w:p>
                  <w:pPr>
                    <w:autoSpaceDE w:val="0"/>
                    <w:autoSpaceDN w:val="0"/>
                    <w:spacing w:line="360" w:lineRule="exact"/>
                    <w:jc w:val="center"/>
                    <w:rPr>
                      <w:rFonts w:ascii="宋体" w:hAnsi="宋体"/>
                      <w:color w:val="auto"/>
                      <w:szCs w:val="21"/>
                    </w:rPr>
                  </w:pPr>
                </w:p>
              </w:tc>
              <w:tc>
                <w:tcPr>
                  <w:tcW w:w="2160" w:type="pct"/>
                </w:tcPr>
                <w:p>
                  <w:pPr>
                    <w:autoSpaceDE w:val="0"/>
                    <w:autoSpaceDN w:val="0"/>
                    <w:spacing w:line="360" w:lineRule="exact"/>
                    <w:jc w:val="center"/>
                    <w:rPr>
                      <w:rFonts w:ascii="宋体" w:hAnsi="宋体"/>
                      <w:color w:val="auto"/>
                      <w:szCs w:val="21"/>
                    </w:rPr>
                  </w:pPr>
                  <w:r>
                    <w:rPr>
                      <w:rFonts w:hint="eastAsia"/>
                      <w:color w:val="auto"/>
                    </w:rPr>
                    <w:t>开口阀或开口管线</w:t>
                  </w:r>
                </w:p>
              </w:tc>
              <w:tc>
                <w:tcPr>
                  <w:tcW w:w="938" w:type="pct"/>
                </w:tcPr>
                <w:p>
                  <w:pPr>
                    <w:autoSpaceDE w:val="0"/>
                    <w:autoSpaceDN w:val="0"/>
                    <w:spacing w:line="360" w:lineRule="exact"/>
                    <w:jc w:val="center"/>
                    <w:rPr>
                      <w:rFonts w:ascii="宋体" w:hAnsi="宋体"/>
                      <w:color w:val="auto"/>
                      <w:szCs w:val="21"/>
                    </w:rPr>
                  </w:pPr>
                  <w:r>
                    <w:rPr>
                      <w:rFonts w:ascii="宋体" w:hAnsi="宋体"/>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02" w:type="pct"/>
                  <w:vMerge w:val="continue"/>
                  <w:vAlign w:val="center"/>
                </w:tcPr>
                <w:p>
                  <w:pPr>
                    <w:autoSpaceDE w:val="0"/>
                    <w:autoSpaceDN w:val="0"/>
                    <w:spacing w:line="360" w:lineRule="exact"/>
                    <w:jc w:val="center"/>
                    <w:rPr>
                      <w:rFonts w:ascii="宋体" w:hAnsi="宋体"/>
                      <w:color w:val="auto"/>
                      <w:szCs w:val="21"/>
                    </w:rPr>
                  </w:pPr>
                </w:p>
              </w:tc>
              <w:tc>
                <w:tcPr>
                  <w:tcW w:w="2160" w:type="pct"/>
                </w:tcPr>
                <w:p>
                  <w:pPr>
                    <w:autoSpaceDE w:val="0"/>
                    <w:autoSpaceDN w:val="0"/>
                    <w:spacing w:line="360" w:lineRule="exact"/>
                    <w:jc w:val="center"/>
                    <w:rPr>
                      <w:color w:val="auto"/>
                    </w:rPr>
                  </w:pPr>
                  <w:r>
                    <w:rPr>
                      <w:rFonts w:hint="eastAsia"/>
                      <w:color w:val="auto"/>
                    </w:rPr>
                    <w:t>有机液体阀门</w:t>
                  </w:r>
                </w:p>
              </w:tc>
              <w:tc>
                <w:tcPr>
                  <w:tcW w:w="938" w:type="pct"/>
                </w:tcPr>
                <w:p>
                  <w:pPr>
                    <w:autoSpaceDE w:val="0"/>
                    <w:autoSpaceDN w:val="0"/>
                    <w:spacing w:line="360" w:lineRule="exact"/>
                    <w:jc w:val="center"/>
                    <w:rPr>
                      <w:rFonts w:ascii="宋体" w:hAnsi="宋体"/>
                      <w:color w:val="auto"/>
                      <w:szCs w:val="21"/>
                    </w:rPr>
                  </w:pPr>
                  <w:r>
                    <w:rPr>
                      <w:rFonts w:ascii="宋体" w:hAnsi="宋体"/>
                      <w:color w:val="auto"/>
                    </w:rPr>
                    <w:t>347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2" w:type="pct"/>
                  <w:vMerge w:val="continue"/>
                  <w:vAlign w:val="center"/>
                </w:tcPr>
                <w:p>
                  <w:pPr>
                    <w:autoSpaceDE w:val="0"/>
                    <w:autoSpaceDN w:val="0"/>
                    <w:spacing w:line="360" w:lineRule="exact"/>
                    <w:jc w:val="center"/>
                    <w:rPr>
                      <w:rFonts w:ascii="宋体" w:hAnsi="宋体"/>
                      <w:color w:val="auto"/>
                      <w:szCs w:val="21"/>
                    </w:rPr>
                  </w:pPr>
                </w:p>
              </w:tc>
              <w:tc>
                <w:tcPr>
                  <w:tcW w:w="2160" w:type="pct"/>
                </w:tcPr>
                <w:p>
                  <w:pPr>
                    <w:autoSpaceDE w:val="0"/>
                    <w:autoSpaceDN w:val="0"/>
                    <w:spacing w:line="360" w:lineRule="exact"/>
                    <w:jc w:val="center"/>
                    <w:rPr>
                      <w:rFonts w:ascii="宋体" w:hAnsi="宋体"/>
                      <w:color w:val="auto"/>
                      <w:szCs w:val="21"/>
                    </w:rPr>
                  </w:pPr>
                  <w:r>
                    <w:rPr>
                      <w:rFonts w:hint="eastAsia"/>
                      <w:color w:val="auto"/>
                    </w:rPr>
                    <w:t>法兰或连接件</w:t>
                  </w:r>
                </w:p>
              </w:tc>
              <w:tc>
                <w:tcPr>
                  <w:tcW w:w="938" w:type="pct"/>
                </w:tcPr>
                <w:p>
                  <w:pPr>
                    <w:autoSpaceDE w:val="0"/>
                    <w:autoSpaceDN w:val="0"/>
                    <w:spacing w:line="360" w:lineRule="exact"/>
                    <w:jc w:val="center"/>
                    <w:rPr>
                      <w:rFonts w:ascii="宋体" w:hAnsi="宋体"/>
                      <w:color w:val="auto"/>
                      <w:szCs w:val="21"/>
                    </w:rPr>
                  </w:pPr>
                  <w:r>
                    <w:rPr>
                      <w:rFonts w:ascii="宋体" w:hAnsi="宋体"/>
                      <w:color w:val="auto"/>
                    </w:rPr>
                    <w:t>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 w:hRule="atLeast"/>
              </w:trPr>
              <w:tc>
                <w:tcPr>
                  <w:tcW w:w="1902" w:type="pct"/>
                  <w:vMerge w:val="continue"/>
                  <w:vAlign w:val="center"/>
                </w:tcPr>
                <w:p>
                  <w:pPr>
                    <w:autoSpaceDE w:val="0"/>
                    <w:autoSpaceDN w:val="0"/>
                    <w:spacing w:line="360" w:lineRule="exact"/>
                    <w:jc w:val="center"/>
                    <w:rPr>
                      <w:rFonts w:ascii="宋体" w:hAnsi="宋体"/>
                      <w:color w:val="auto"/>
                      <w:szCs w:val="21"/>
                    </w:rPr>
                  </w:pPr>
                </w:p>
              </w:tc>
              <w:tc>
                <w:tcPr>
                  <w:tcW w:w="2160" w:type="pct"/>
                </w:tcPr>
                <w:p>
                  <w:pPr>
                    <w:autoSpaceDE w:val="0"/>
                    <w:autoSpaceDN w:val="0"/>
                    <w:spacing w:line="360" w:lineRule="exact"/>
                    <w:jc w:val="center"/>
                    <w:rPr>
                      <w:rFonts w:ascii="宋体" w:hAnsi="宋体"/>
                      <w:color w:val="auto"/>
                      <w:szCs w:val="21"/>
                    </w:rPr>
                  </w:pPr>
                  <w:r>
                    <w:rPr>
                      <w:rFonts w:hint="eastAsia"/>
                      <w:color w:val="auto"/>
                    </w:rPr>
                    <w:t>泵、压缩机、搅拌器、泄压设备</w:t>
                  </w:r>
                </w:p>
              </w:tc>
              <w:tc>
                <w:tcPr>
                  <w:tcW w:w="938" w:type="pct"/>
                </w:tcPr>
                <w:p>
                  <w:pPr>
                    <w:autoSpaceDE w:val="0"/>
                    <w:autoSpaceDN w:val="0"/>
                    <w:spacing w:line="360" w:lineRule="exact"/>
                    <w:jc w:val="center"/>
                    <w:rPr>
                      <w:rFonts w:ascii="宋体" w:hAnsi="宋体"/>
                      <w:color w:val="auto"/>
                      <w:szCs w:val="21"/>
                    </w:rPr>
                  </w:pPr>
                  <w:r>
                    <w:rPr>
                      <w:rFonts w:ascii="宋体" w:hAnsi="宋体"/>
                      <w:color w:val="auto"/>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2" w:type="pct"/>
                  <w:vMerge w:val="continue"/>
                  <w:vAlign w:val="center"/>
                </w:tcPr>
                <w:p>
                  <w:pPr>
                    <w:autoSpaceDE w:val="0"/>
                    <w:autoSpaceDN w:val="0"/>
                    <w:spacing w:line="360" w:lineRule="exact"/>
                    <w:jc w:val="center"/>
                    <w:rPr>
                      <w:rFonts w:ascii="宋体" w:hAnsi="宋体"/>
                      <w:color w:val="auto"/>
                      <w:szCs w:val="21"/>
                    </w:rPr>
                  </w:pPr>
                </w:p>
              </w:tc>
              <w:tc>
                <w:tcPr>
                  <w:tcW w:w="2160" w:type="pct"/>
                </w:tcPr>
                <w:p>
                  <w:pPr>
                    <w:autoSpaceDE w:val="0"/>
                    <w:autoSpaceDN w:val="0"/>
                    <w:spacing w:line="360" w:lineRule="exact"/>
                    <w:jc w:val="center"/>
                    <w:rPr>
                      <w:rFonts w:ascii="宋体" w:hAnsi="宋体"/>
                      <w:color w:val="auto"/>
                      <w:szCs w:val="21"/>
                    </w:rPr>
                  </w:pPr>
                  <w:r>
                    <w:rPr>
                      <w:rFonts w:hint="eastAsia"/>
                      <w:color w:val="auto"/>
                    </w:rPr>
                    <w:t>其他</w:t>
                  </w:r>
                </w:p>
              </w:tc>
              <w:tc>
                <w:tcPr>
                  <w:tcW w:w="938" w:type="pct"/>
                </w:tcPr>
                <w:p>
                  <w:pPr>
                    <w:autoSpaceDE w:val="0"/>
                    <w:autoSpaceDN w:val="0"/>
                    <w:spacing w:line="360" w:lineRule="exact"/>
                    <w:jc w:val="center"/>
                    <w:rPr>
                      <w:rFonts w:ascii="宋体" w:hAnsi="宋体"/>
                      <w:color w:val="auto"/>
                      <w:szCs w:val="21"/>
                    </w:rPr>
                  </w:pPr>
                  <w:r>
                    <w:rPr>
                      <w:rFonts w:ascii="宋体" w:hAnsi="宋体"/>
                      <w:color w:val="auto"/>
                    </w:rPr>
                    <w:t>0</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根据以上计算公式、总有机碳（TOC）排放取值参数及所统计的本工程动静密封点数量，计算得出本项目各装置设备动静密封点VOCs排放量为5.4t/a。</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（2）无组织废气控制措施符合性</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项目无组织废气控制措施按照《挥发性有机物无组织排放控制标准》（GB37822—2019）中要求进行设置，具体见下表。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表4-1</w:t>
            </w:r>
            <w:r>
              <w:rPr>
                <w:rFonts w:hint="eastAsia" w:eastAsia="黑体" w:cs="Times New Roman"/>
                <w:b w:val="0"/>
                <w:bCs w:val="0"/>
                <w:color w:val="auto"/>
                <w:kern w:val="0"/>
                <w:sz w:val="24"/>
                <w:szCs w:val="24"/>
                <w:lang w:val="en-US" w:eastAsia="zh-CN"/>
              </w:rPr>
              <w:t>2</w:t>
            </w:r>
            <w:r>
              <w:rPr>
                <w:rFonts w:hint="eastAsia" w:ascii="Times New Roman" w:hAnsi="Times New Roman" w:eastAsia="黑体" w:cs="Times New Roman"/>
                <w:b w:val="0"/>
                <w:bCs w:val="0"/>
                <w:color w:val="auto"/>
                <w:kern w:val="0"/>
                <w:sz w:val="24"/>
                <w:szCs w:val="24"/>
                <w:lang w:val="en-US" w:eastAsia="zh-CN"/>
              </w:rPr>
              <w:t xml:space="preserve"> 本项目采取的挥发性有机物控制措施与GB37822-2019对照表</w:t>
            </w:r>
          </w:p>
          <w:tbl>
            <w:tblPr>
              <w:tblStyle w:val="2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68"/>
              <w:gridCol w:w="5747"/>
              <w:gridCol w:w="20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4"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项目</w:t>
                  </w:r>
                </w:p>
              </w:tc>
              <w:tc>
                <w:tcPr>
                  <w:tcW w:w="3390"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GB37822—2019</w:t>
                  </w:r>
                </w:p>
              </w:tc>
              <w:tc>
                <w:tcPr>
                  <w:tcW w:w="1215"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本项目环评要求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27" w:hRule="atLeast"/>
              </w:trPr>
              <w:tc>
                <w:tcPr>
                  <w:tcW w:w="394"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5、VOCs物料储存无组织排放控制要求</w:t>
                  </w:r>
                </w:p>
              </w:tc>
              <w:tc>
                <w:tcPr>
                  <w:tcW w:w="3390"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5.2.2储罐特别控制要求</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5.2.2.1储存真实蒸气压≥76.6 kPa 的挥发性有机液体储罐，应采用低压罐、压力罐或其他等效措施</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5.2.1.1储存真实蒸气压≥76.6 kPa 且储罐容积≥75 m</w:t>
                  </w:r>
                  <w:r>
                    <w:rPr>
                      <w:rFonts w:hint="default" w:ascii="Times New Roman" w:hAnsi="Times New Roman" w:cs="Times New Roman" w:eastAsiaTheme="minorEastAsia"/>
                      <w:color w:val="auto"/>
                      <w:sz w:val="21"/>
                      <w:szCs w:val="21"/>
                      <w:vertAlign w:val="superscript"/>
                    </w:rPr>
                    <w:t>3</w:t>
                  </w:r>
                  <w:r>
                    <w:rPr>
                      <w:rFonts w:hint="default" w:ascii="Times New Roman" w:hAnsi="Times New Roman" w:cs="Times New Roman" w:eastAsiaTheme="minorEastAsia"/>
                      <w:color w:val="auto"/>
                      <w:sz w:val="21"/>
                      <w:szCs w:val="21"/>
                    </w:rPr>
                    <w:t>的挥发性有机液体储罐，应采用低压罐、压力罐或其他等效措施。</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5.2.2.2储存真实蒸气压≥27.6kPa但＜76.6kPa且储罐容积≥75m</w:t>
                  </w:r>
                  <w:r>
                    <w:rPr>
                      <w:rFonts w:hint="default" w:ascii="Times New Roman" w:hAnsi="Times New Roman" w:cs="Times New Roman" w:eastAsiaTheme="minorEastAsia"/>
                      <w:color w:val="auto"/>
                      <w:sz w:val="21"/>
                      <w:szCs w:val="21"/>
                      <w:vertAlign w:val="superscript"/>
                    </w:rPr>
                    <w:t>3</w:t>
                  </w:r>
                  <w:r>
                    <w:rPr>
                      <w:rFonts w:hint="default" w:ascii="Times New Roman" w:hAnsi="Times New Roman" w:cs="Times New Roman" w:eastAsiaTheme="minorEastAsia"/>
                      <w:color w:val="auto"/>
                      <w:sz w:val="21"/>
                      <w:szCs w:val="21"/>
                    </w:rPr>
                    <w:t>的挥发性有机液体储罐，以及储存真实蒸气压≥5.2kPa但＜27.6kPa且储罐容积≥150m</w:t>
                  </w:r>
                  <w:r>
                    <w:rPr>
                      <w:rFonts w:hint="default" w:ascii="Times New Roman" w:hAnsi="Times New Roman" w:cs="Times New Roman" w:eastAsiaTheme="minorEastAsia"/>
                      <w:color w:val="auto"/>
                      <w:sz w:val="21"/>
                      <w:szCs w:val="21"/>
                      <w:vertAlign w:val="superscript"/>
                    </w:rPr>
                    <w:t>3</w:t>
                  </w:r>
                  <w:r>
                    <w:rPr>
                      <w:rFonts w:hint="default" w:ascii="Times New Roman" w:hAnsi="Times New Roman" w:cs="Times New Roman" w:eastAsiaTheme="minorEastAsia"/>
                      <w:color w:val="auto"/>
                      <w:sz w:val="21"/>
                      <w:szCs w:val="21"/>
                    </w:rPr>
                    <w:t>的挥发性有机液体储罐，应符合下列规定之一：a）采用浮顶罐。对于内浮顶罐，浮顶与罐壁之间应采用浸液式密封、机械式鞋形密封等高效密封方式；对于外浮顶罐，浮顶与罐壁之间应采用双重密封，且一次密封应采用浸液式密封、机械式鞋形密封等高效密封方式。b）采用固定顶罐，排放的废气应收集处理并满足相关行业排放标准的要求（无行业排放标准的应满足GB16297的要求），或者处理效率不低于90%。c）采用气相平衡系统。d）采取其他等效措施</w:t>
                  </w:r>
                </w:p>
              </w:tc>
              <w:tc>
                <w:tcPr>
                  <w:tcW w:w="1215"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不涉及真实蒸气压≥76.6kPa物料，本项目储存物料</w:t>
                  </w:r>
                  <w:r>
                    <w:rPr>
                      <w:rFonts w:hint="eastAsia" w:cs="Times New Roman" w:eastAsiaTheme="minorEastAsia"/>
                      <w:color w:val="auto"/>
                      <w:sz w:val="21"/>
                      <w:szCs w:val="21"/>
                      <w:lang w:eastAsia="zh-CN"/>
                    </w:rPr>
                    <w:t>柴油、汽油、石脑油、甲醇</w:t>
                  </w:r>
                  <w:r>
                    <w:rPr>
                      <w:rFonts w:hint="default" w:ascii="Times New Roman" w:hAnsi="Times New Roman" w:cs="Times New Roman" w:eastAsiaTheme="minorEastAsia"/>
                      <w:color w:val="auto"/>
                      <w:sz w:val="21"/>
                      <w:szCs w:val="21"/>
                    </w:rPr>
                    <w:t>采用内浮顶储罐，</w:t>
                  </w:r>
                  <w:r>
                    <w:rPr>
                      <w:rFonts w:hint="default" w:ascii="Times New Roman" w:hAnsi="Times New Roman" w:cs="Times New Roman" w:eastAsiaTheme="minorEastAsia"/>
                      <w:color w:val="auto"/>
                      <w:sz w:val="21"/>
                      <w:szCs w:val="21"/>
                      <w:lang w:val="en-US" w:eastAsia="zh-CN"/>
                    </w:rPr>
                    <w:t>沥青、重油、渣油</w:t>
                  </w:r>
                  <w:r>
                    <w:rPr>
                      <w:rFonts w:hint="eastAsia" w:cs="Times New Roman" w:eastAsiaTheme="minorEastAsia"/>
                      <w:color w:val="auto"/>
                      <w:sz w:val="21"/>
                      <w:szCs w:val="21"/>
                      <w:lang w:val="en-US" w:eastAsia="zh-CN"/>
                    </w:rPr>
                    <w:t>采用固定顶储罐。</w:t>
                  </w:r>
                  <w:r>
                    <w:rPr>
                      <w:rFonts w:hint="default" w:ascii="Times New Roman" w:hAnsi="Times New Roman" w:cs="Times New Roman" w:eastAsiaTheme="minorEastAsia"/>
                      <w:color w:val="auto"/>
                      <w:sz w:val="21"/>
                      <w:szCs w:val="21"/>
                      <w:lang w:val="en-US" w:eastAsia="zh-CN"/>
                    </w:rPr>
                    <w:t>柴油、汽油、石脑油储罐大小呼吸废气经油气回收装置处理后与甲醇、沥青、重油、渣油储罐大小呼吸废气一同进入RTO废气处理装置焚烧后通过排气筒（DA001）排放</w:t>
                  </w:r>
                  <w:r>
                    <w:rPr>
                      <w:rFonts w:hint="eastAsia" w:cs="Times New Roman" w:eastAsiaTheme="minorEastAsia"/>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4" w:type="pct"/>
                  <w:vMerge w:val="restar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6、VOCs物料转移和输送无组织排放控制要求</w:t>
                  </w:r>
                </w:p>
              </w:tc>
              <w:tc>
                <w:tcPr>
                  <w:tcW w:w="3390"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6.1基本要求</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6.1.1液态VOCs物料应采用密闭管道输送。采用非管道输送方式转移液态VOCs物料时，应采用密闭容器、罐车。</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6.1.2粉状、粒状VOCs物料应采用气力输送设备、管状带式输送机、螺旋输送机等密闭输送方式，或者采用密闭的包装袋、容器或罐车进行物料转移。</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6.1.3对挥发性有机液体进行装载时，应符合6.2条规定。</w:t>
                  </w:r>
                </w:p>
              </w:tc>
              <w:tc>
                <w:tcPr>
                  <w:tcW w:w="1215" w:type="pct"/>
                  <w:tcBorders>
                    <w:top w:val="single" w:color="000000" w:sz="4" w:space="0"/>
                    <w:left w:val="single" w:color="000000" w:sz="4" w:space="0"/>
                    <w:bottom w:val="single" w:color="000000" w:sz="4" w:space="0"/>
                    <w:right w:val="single" w:color="000000" w:sz="4" w:space="0"/>
                  </w:tcBorders>
                  <w:vAlign w:val="center"/>
                </w:tcPr>
                <w:p>
                  <w:pP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项目液态VOCs物料全部采用密闭的管道输送；液态VOCs物料进出厂区时均采用密闭罐车输送，符合要求</w:t>
                  </w:r>
                  <w:r>
                    <w:rPr>
                      <w:rFonts w:hint="eastAsia" w:cs="Times New Roman" w:eastAsiaTheme="minorEastAsia"/>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4" w:type="pct"/>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color w:val="auto"/>
                      <w:sz w:val="21"/>
                      <w:szCs w:val="21"/>
                    </w:rPr>
                  </w:pPr>
                </w:p>
              </w:tc>
              <w:tc>
                <w:tcPr>
                  <w:tcW w:w="3390"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6.2挥发性有机液体装载</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6.2.1装载方式</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挥发性有机液体应采用底部装载方式；若采用顶部浸没式装载，出料管口距离槽（罐）底部高度应小于200mm。</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6.2.3装载特别控制要求</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装载物料真实蒸气压≥27.6kPa且单一装载设施的年装载量≥500m</w:t>
                  </w:r>
                  <w:r>
                    <w:rPr>
                      <w:rFonts w:hint="default" w:ascii="Times New Roman" w:hAnsi="Times New Roman" w:cs="Times New Roman" w:eastAsiaTheme="minorEastAsia"/>
                      <w:color w:val="auto"/>
                      <w:sz w:val="21"/>
                      <w:szCs w:val="21"/>
                      <w:vertAlign w:val="superscript"/>
                    </w:rPr>
                    <w:t>3</w:t>
                  </w:r>
                  <w:r>
                    <w:rPr>
                      <w:rFonts w:hint="default" w:ascii="Times New Roman" w:hAnsi="Times New Roman" w:cs="Times New Roman" w:eastAsiaTheme="minorEastAsia"/>
                      <w:color w:val="auto"/>
                      <w:sz w:val="21"/>
                      <w:szCs w:val="21"/>
                    </w:rPr>
                    <w:t>，以及装载物料真实蒸气压≥5.2kPa但＜27.6kPa且单一装载设施的年装载量≥2500m</w:t>
                  </w:r>
                  <w:r>
                    <w:rPr>
                      <w:rFonts w:hint="default" w:ascii="Times New Roman" w:hAnsi="Times New Roman" w:cs="Times New Roman" w:eastAsiaTheme="minorEastAsia"/>
                      <w:color w:val="auto"/>
                      <w:sz w:val="21"/>
                      <w:szCs w:val="21"/>
                      <w:vertAlign w:val="superscript"/>
                    </w:rPr>
                    <w:t>3</w:t>
                  </w:r>
                  <w:r>
                    <w:rPr>
                      <w:rFonts w:hint="default" w:ascii="Times New Roman" w:hAnsi="Times New Roman" w:cs="Times New Roman" w:eastAsiaTheme="minorEastAsia"/>
                      <w:color w:val="auto"/>
                      <w:sz w:val="21"/>
                      <w:szCs w:val="21"/>
                    </w:rPr>
                    <w:t>的，装载过程应符合下列规定之一：</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a）排放的废气应收集处理并满足相关行业排放标准的要求（无行业排放标准的应满足GB 16297的要求），或者处理效率不低于90%；</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b）排放的废气连接至气相平衡系统。</w:t>
                  </w:r>
                </w:p>
              </w:tc>
              <w:tc>
                <w:tcPr>
                  <w:tcW w:w="1215"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柴油、汽油、石脑油装载废气经油气回收装置处理后与甲醇、沥青、重油、渣油装载废气一同进入RTO废气处理装置焚烧后通过排气筒（DA001）排放</w:t>
                  </w:r>
                  <w:r>
                    <w:rPr>
                      <w:rFonts w:hint="eastAsia" w:cs="Times New Roman" w:eastAsiaTheme="minorEastAsia"/>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4" w:type="pct"/>
                  <w:vMerge w:val="restar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w:t>
                  </w:r>
                  <w:r>
                    <w:rPr>
                      <w:rFonts w:hint="eastAsia"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rPr>
                    <w:t>设备与管线组件VOCs泄漏控制要求</w:t>
                  </w:r>
                </w:p>
              </w:tc>
              <w:tc>
                <w:tcPr>
                  <w:tcW w:w="3390"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8.1管控范围</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企业中载有气态VOCs物料、液态VOCs物料的设备与管线组件的密封点≥2000个，应开展泄漏检测与修复工作。设备与管线组件包括：</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a）泵；b）压缩机；c）搅拌器（机）；d）阀门；e）开口阀或开口管线；f）法兰及其他连接件；g）泄压设备；h）取样连接系统；i）其他密封设备。</w:t>
                  </w:r>
                </w:p>
              </w:tc>
              <w:tc>
                <w:tcPr>
                  <w:tcW w:w="1215" w:type="pct"/>
                  <w:tcBorders>
                    <w:top w:val="single" w:color="000000" w:sz="4" w:space="0"/>
                    <w:left w:val="single" w:color="000000" w:sz="4" w:space="0"/>
                    <w:bottom w:val="single" w:color="000000" w:sz="4" w:space="0"/>
                    <w:right w:val="single" w:color="000000" w:sz="4" w:space="0"/>
                  </w:tcBorders>
                  <w:vAlign w:val="center"/>
                </w:tcPr>
                <w:p>
                  <w:pP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项目装置采用LDAR技术，控制无组织排放</w:t>
                  </w:r>
                  <w:r>
                    <w:rPr>
                      <w:rFonts w:hint="eastAsia" w:cs="Times New Roman" w:eastAsiaTheme="minorEastAsia"/>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4" w:type="pct"/>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color w:val="auto"/>
                      <w:sz w:val="21"/>
                      <w:szCs w:val="21"/>
                    </w:rPr>
                  </w:pPr>
                </w:p>
              </w:tc>
              <w:tc>
                <w:tcPr>
                  <w:tcW w:w="3390"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8.3泄漏检测</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8.3.1企业应按下列频次对设备与管线组件的密封点进行VOCs泄漏检测：</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a）对设备与管线组件的密封点每周进行目视观察，检查其密封处是否出现可见泄漏现象。</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b）泵、压缩机、搅拌器（机）、阀门、开口阀或开口管线、泄压设备、取样连接系统至少每6个月检测一次。</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c）法兰及其他连接件、其他密封设备至少每12个月检测一次。</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d）对于直接排放的泄压设备，在非泄压状态下进行泄漏检测。直接排放的泄压设备泄压后，应在泄压之日起5个工作日之内，对泄压设备进行泄漏检测。</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e）设备与管线组件初次启用或检维修后，应在90d内进行泄漏检测。</w:t>
                  </w:r>
                </w:p>
              </w:tc>
              <w:tc>
                <w:tcPr>
                  <w:tcW w:w="1215" w:type="pct"/>
                  <w:tcBorders>
                    <w:top w:val="single" w:color="000000" w:sz="4" w:space="0"/>
                    <w:left w:val="single" w:color="000000" w:sz="4" w:space="0"/>
                    <w:bottom w:val="single" w:color="000000" w:sz="4" w:space="0"/>
                    <w:right w:val="single" w:color="000000" w:sz="4" w:space="0"/>
                  </w:tcBorders>
                  <w:vAlign w:val="center"/>
                </w:tcPr>
                <w:p>
                  <w:pP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企业运行过程中，应参照标准要求进行泄漏检测与修复工作</w:t>
                  </w:r>
                  <w:r>
                    <w:rPr>
                      <w:rFonts w:hint="eastAsia" w:cs="Times New Roman" w:eastAsiaTheme="minorEastAsia"/>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4" w:type="pct"/>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color w:val="auto"/>
                      <w:sz w:val="21"/>
                      <w:szCs w:val="21"/>
                    </w:rPr>
                  </w:pPr>
                </w:p>
              </w:tc>
              <w:tc>
                <w:tcPr>
                  <w:tcW w:w="3390"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8.4泄漏源修复</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8.4.1当检测到泄漏时，对泄漏源应予以标识并及时修复。发现泄漏之日起5d内应进行首次修复，除8.4.2条规定外，应在发现泄漏之日起15d内完成修复。</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8.4.2符合下列条件之一的设备与管线组件可延迟修复。企业应将延迟修复方案报生态环境主管部门备案，并于下次停车（工）检修期间完成修复。</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a）装置停车（工）条件下才能修复；b）立即修复存在安全风险；c）其他特殊情况。</w:t>
                  </w:r>
                </w:p>
              </w:tc>
              <w:tc>
                <w:tcPr>
                  <w:tcW w:w="1215" w:type="pct"/>
                  <w:tcBorders>
                    <w:top w:val="single" w:color="000000" w:sz="4" w:space="0"/>
                    <w:left w:val="single" w:color="000000" w:sz="4" w:space="0"/>
                    <w:bottom w:val="single" w:color="000000" w:sz="4" w:space="0"/>
                    <w:right w:val="single" w:color="000000" w:sz="4" w:space="0"/>
                  </w:tcBorders>
                  <w:vAlign w:val="center"/>
                </w:tcPr>
                <w:p>
                  <w:pP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企业运行过程中，应参照标准要求进行泄漏检测与修复工作</w:t>
                  </w:r>
                  <w:r>
                    <w:rPr>
                      <w:rFonts w:hint="eastAsia" w:cs="Times New Roman" w:eastAsiaTheme="minorEastAsia"/>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4" w:type="pct"/>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color w:val="auto"/>
                      <w:sz w:val="21"/>
                      <w:szCs w:val="21"/>
                    </w:rPr>
                  </w:pPr>
                </w:p>
              </w:tc>
              <w:tc>
                <w:tcPr>
                  <w:tcW w:w="3390"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8.5记录要求</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泄漏检测应建立台账，记录检测时间、检测仪器读数、修复时间、采取的修复措施、修复后检测仪器读数等。台账保存期限不少于3年。</w:t>
                  </w:r>
                </w:p>
              </w:tc>
              <w:tc>
                <w:tcPr>
                  <w:tcW w:w="1215" w:type="pct"/>
                  <w:tcBorders>
                    <w:top w:val="single" w:color="000000" w:sz="4" w:space="0"/>
                    <w:left w:val="single" w:color="000000" w:sz="4" w:space="0"/>
                    <w:bottom w:val="single" w:color="000000" w:sz="4" w:space="0"/>
                    <w:right w:val="single" w:color="000000" w:sz="4" w:space="0"/>
                  </w:tcBorders>
                  <w:vAlign w:val="center"/>
                </w:tcPr>
                <w:p>
                  <w:pP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企业应该规范的设置泄漏检测台账</w:t>
                  </w:r>
                  <w:r>
                    <w:rPr>
                      <w:rFonts w:hint="eastAsia" w:cs="Times New Roman" w:eastAsiaTheme="minorEastAsia"/>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4" w:type="pct"/>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color w:val="auto"/>
                      <w:sz w:val="21"/>
                      <w:szCs w:val="21"/>
                    </w:rPr>
                  </w:pPr>
                </w:p>
              </w:tc>
              <w:tc>
                <w:tcPr>
                  <w:tcW w:w="3390"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8.6其他要求</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8.6.1在工艺和安全许可的条件下，泄压设备泄放的气体应接入VOCs废气收集处理系统。</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8.6.2开口阀或开口管线应满足下列要求：</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a）配备合适尺寸的盲法兰、盖子、塞子或二次阀；</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b）采用二次阀，应在关闭二次阀之前关闭管线上游的阀门。</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8.6.3气态VOCs物料和挥发性有机液体取样连接系统应符合下列规定之一：</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a）采用在线取样分析系统；</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b）采用密闭回路式取样连接系统；</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c）取样连接系统接入VOCs废气收集处理系统；</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d）采用密闭容器盛装，并记录样品回收量。</w:t>
                  </w:r>
                </w:p>
              </w:tc>
              <w:tc>
                <w:tcPr>
                  <w:tcW w:w="1215"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开口阀或开口管线按照要求配备相应的措施；</w:t>
                  </w:r>
                </w:p>
                <w:p>
                  <w:pP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气态VOCs物料和挥发性有机液体取样需要按照规范要求操作</w:t>
                  </w:r>
                  <w:r>
                    <w:rPr>
                      <w:rFonts w:hint="eastAsia" w:cs="Times New Roman" w:eastAsiaTheme="minorEastAsia"/>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4" w:type="pct"/>
                  <w:vMerge w:val="restar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w:t>
                  </w:r>
                  <w:r>
                    <w:rPr>
                      <w:rFonts w:hint="eastAsia"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rPr>
                    <w:t>VOCs无组织排放废气收集处理系统要求</w:t>
                  </w:r>
                </w:p>
              </w:tc>
              <w:tc>
                <w:tcPr>
                  <w:tcW w:w="3390"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10.1基本要求</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10.1.1针对VOCs无组织排放设置的废气收集处理系统应满足本章要求。</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10.1.2VOCs废气收集处理系统应与生产工艺设备同步运行。VOCs废气收集处理系统发生故障或检修时，对应的生产工艺设备应停止运行，待检修完毕后同步投入使用；生产工艺设备不能停止运行或不能及时停止运行的，应设置废气应急处理设施或采取其他替代措施。</w:t>
                  </w:r>
                </w:p>
              </w:tc>
              <w:tc>
                <w:tcPr>
                  <w:tcW w:w="1215"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企业在运行过程中应加强相关设备的维护。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4" w:type="pct"/>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color w:val="auto"/>
                      <w:sz w:val="21"/>
                      <w:szCs w:val="21"/>
                    </w:rPr>
                  </w:pPr>
                </w:p>
              </w:tc>
              <w:tc>
                <w:tcPr>
                  <w:tcW w:w="3390"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10.2废气收集系统要求</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10.2.1企业应考虑生产工艺、操作方式、废气性质、处理方法等因素，对VOCs废气进行分类收集。</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10.2.2废气收集系统排风罩（集气罩）的设置应符合GB/T16758的规定。采用外部排风罩的，应按GB/T16758、AQ/T4274—2016规定的方法测量控制风速，测量点应选取在距排风罩开口面最远处的VOCs无组织排放位置，控制风速不应低于0.3m/s（行业相关规范有具体规定的，按相关规定执行）。</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10.2.3废气收集系统的输送管道应密闭。废气收集系统应在负压下运行，若处于正压状态，应对输送管道组件的密封点进行泄漏检测，泄漏检测值不应超过500mmol/mol，亦不应有感官可察觉泄漏。泄漏检测频次、修复与记录的要求按照第8章规定执行。</w:t>
                  </w:r>
                </w:p>
              </w:tc>
              <w:tc>
                <w:tcPr>
                  <w:tcW w:w="1215" w:type="pct"/>
                  <w:tcBorders>
                    <w:top w:val="single" w:color="000000" w:sz="4" w:space="0"/>
                    <w:left w:val="single" w:color="000000" w:sz="4" w:space="0"/>
                    <w:bottom w:val="single" w:color="000000" w:sz="4" w:space="0"/>
                    <w:right w:val="single" w:color="000000" w:sz="4" w:space="0"/>
                  </w:tcBorders>
                  <w:vAlign w:val="center"/>
                </w:tcPr>
                <w:p>
                  <w:pP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项目废气采用分类处理，项目VOCs废气收集均位于密闭环境内，建设单位运行过程应针对输送管道采用LDAR技术，防止收集废气泄漏</w:t>
                  </w:r>
                  <w:r>
                    <w:rPr>
                      <w:rFonts w:hint="eastAsia" w:cs="Times New Roman" w:eastAsiaTheme="minorEastAsia"/>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4" w:type="pct"/>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color w:val="auto"/>
                      <w:sz w:val="21"/>
                      <w:szCs w:val="21"/>
                    </w:rPr>
                  </w:pPr>
                </w:p>
              </w:tc>
              <w:tc>
                <w:tcPr>
                  <w:tcW w:w="3390"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10.3VOCs排放控制要求</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10.3.1VOCs废气收集处理系统污染物排放应符合GB16297或相关行业排放标准的规定。</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10.3.2收集的废气中NMHC初始排放速率≥3kg/h时，应配置VOCs处理设施，处理效率不应低于80%；对于重点地区，收集的废气中NMHC初始排放速率≥2kg/h时，应配置VOCs处理设施，处理效率不应低于80%；采用的原辅材料符合国家有关低VOCs含量产品规定的除外。</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10.3.3进入VOCs燃烧（焚烧、氧化）装置的废气需要补充空气进行燃烧、氧化反应的，排气筒中实测大气污染物排放浓度，应按式（1）换算为基准含氧量为3%的大气污染物基准排放浓度。利用锅炉、工业炉窑、固废焚烧炉焚烧处理有机废气的，烟气基准含氧量按其排放标准规定执行。</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进入VOCs燃烧（焚烧、氧化）装置中废气含氧量可满足自身燃烧、氧化反应需要，不需另外补充空气的（燃烧器需要补充空气助燃的除外），以实测质量浓度作为达标判定依据，但装置出口烟气含氧量不得高于装置进口废气含氧量。</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吸附、吸收、冷凝、生物、膜分离等其他VOCs处理设施，以实测质量浓度作为达标判定依据，不得稀释排放。</w:t>
                  </w:r>
                </w:p>
              </w:tc>
              <w:tc>
                <w:tcPr>
                  <w:tcW w:w="1215"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eastAsia="zh-CN"/>
                    </w:rPr>
                    <w:t>污水处理站</w:t>
                  </w:r>
                  <w:r>
                    <w:rPr>
                      <w:rFonts w:hint="default" w:ascii="Times New Roman" w:hAnsi="Times New Roman" w:cs="Times New Roman" w:eastAsiaTheme="minorEastAsia"/>
                      <w:color w:val="auto"/>
                      <w:sz w:val="21"/>
                      <w:szCs w:val="21"/>
                    </w:rPr>
                    <w:t>各单元进行了密闭处理；</w:t>
                  </w:r>
                  <w:r>
                    <w:rPr>
                      <w:rFonts w:hint="default" w:ascii="Times New Roman" w:hAnsi="Times New Roman" w:cs="Times New Roman" w:eastAsiaTheme="minorEastAsia"/>
                      <w:color w:val="auto"/>
                      <w:sz w:val="21"/>
                      <w:szCs w:val="21"/>
                      <w:lang w:val="en-US" w:eastAsia="zh-CN"/>
                    </w:rPr>
                    <w:t>柴油、汽油、石脑油储罐及装车废气经油气回收装置处理后与甲醇、沥青、重油、渣油储罐及装载废气一同进入RTO废气处理装置焚烧后通过排气筒（DA001）排放。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4" w:type="pct"/>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color w:val="auto"/>
                      <w:sz w:val="21"/>
                      <w:szCs w:val="21"/>
                    </w:rPr>
                  </w:pPr>
                </w:p>
              </w:tc>
              <w:tc>
                <w:tcPr>
                  <w:tcW w:w="3390"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10.3.4排气筒高度不低于15m（因安全考虑或有特殊工艺要求的除外），具体高度以及与周围建筑物的相对高度关系应根据环境影响评价文件确定。</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10.3.5当执行不同排放控制要求的废气合并排气筒排放时，应在废气混合前进行监测，并执行相应的排放控制要求；若可选择的监控位置只能对混合后的废气进行监测，则应按各排放控制要求中最严格的规定执行。</w:t>
                  </w:r>
                </w:p>
              </w:tc>
              <w:tc>
                <w:tcPr>
                  <w:tcW w:w="1215" w:type="pct"/>
                  <w:tcBorders>
                    <w:top w:val="single" w:color="000000" w:sz="4" w:space="0"/>
                    <w:left w:val="single" w:color="000000" w:sz="4" w:space="0"/>
                    <w:bottom w:val="single" w:color="000000" w:sz="4" w:space="0"/>
                    <w:right w:val="single" w:color="000000" w:sz="4" w:space="0"/>
                  </w:tcBorders>
                  <w:vAlign w:val="center"/>
                </w:tcPr>
                <w:p>
                  <w:pP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本项目排气筒排放高度均不低于15m</w:t>
                  </w:r>
                  <w:r>
                    <w:rPr>
                      <w:rFonts w:hint="eastAsia" w:cs="Times New Roman" w:eastAsiaTheme="minorEastAsia"/>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4" w:type="pct"/>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color w:val="auto"/>
                      <w:sz w:val="21"/>
                      <w:szCs w:val="21"/>
                    </w:rPr>
                  </w:pPr>
                </w:p>
              </w:tc>
              <w:tc>
                <w:tcPr>
                  <w:tcW w:w="3390"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10.4记录要求</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企业应建立台账，记录废气收集系统、VOCs处理设施的主要运行和维护信息，如运行时间、废气处理量、操作温度、停留时间、吸附剂再生/更换周期和更换量、催化剂更换周期和更换量、吸收液pH值等关键运行参数。台账保存期限不少于3年。</w:t>
                  </w:r>
                </w:p>
              </w:tc>
              <w:tc>
                <w:tcPr>
                  <w:tcW w:w="1215" w:type="pct"/>
                  <w:tcBorders>
                    <w:top w:val="single" w:color="000000" w:sz="4" w:space="0"/>
                    <w:left w:val="single" w:color="000000" w:sz="4" w:space="0"/>
                    <w:bottom w:val="single" w:color="000000" w:sz="4" w:space="0"/>
                    <w:right w:val="single" w:color="000000" w:sz="4" w:space="0"/>
                  </w:tcBorders>
                  <w:vAlign w:val="center"/>
                </w:tcPr>
                <w:p>
                  <w:pP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企业在运行过程中，应该按照标准，建立台账制度</w:t>
                  </w:r>
                  <w:r>
                    <w:rPr>
                      <w:rFonts w:hint="eastAsia" w:cs="Times New Roman" w:eastAsiaTheme="minorEastAsia"/>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4"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r>
                    <w:rPr>
                      <w:rFonts w:hint="eastAsia" w:cs="Times New Roman" w:eastAsiaTheme="minorEastAsia"/>
                      <w:color w:val="auto"/>
                      <w:sz w:val="21"/>
                      <w:szCs w:val="21"/>
                      <w:lang w:val="en-US" w:eastAsia="zh-CN"/>
                    </w:rPr>
                    <w:t>1、</w:t>
                  </w:r>
                  <w:r>
                    <w:rPr>
                      <w:rFonts w:hint="default" w:ascii="Times New Roman" w:hAnsi="Times New Roman" w:cs="Times New Roman" w:eastAsiaTheme="minorEastAsia"/>
                      <w:color w:val="auto"/>
                      <w:sz w:val="21"/>
                      <w:szCs w:val="21"/>
                    </w:rPr>
                    <w:t>企业厂区内及周边污染监控要求</w:t>
                  </w:r>
                </w:p>
              </w:tc>
              <w:tc>
                <w:tcPr>
                  <w:tcW w:w="3390" w:type="pct"/>
                  <w:tcBorders>
                    <w:top w:val="single" w:color="000000"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11企业厂区内及周边污染监控要求</w:t>
                  </w:r>
                </w:p>
                <w:p>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11.1企业边界及周边VOCs监控要求执行GB16297或相关行业排放标准的规定。</w:t>
                  </w:r>
                </w:p>
              </w:tc>
              <w:tc>
                <w:tcPr>
                  <w:tcW w:w="1215" w:type="pct"/>
                  <w:tcBorders>
                    <w:top w:val="single" w:color="000000" w:sz="4" w:space="0"/>
                    <w:left w:val="single" w:color="000000" w:sz="4" w:space="0"/>
                    <w:bottom w:val="single" w:color="000000" w:sz="4" w:space="0"/>
                    <w:right w:val="single" w:color="000000" w:sz="4" w:space="0"/>
                  </w:tcBorders>
                  <w:vAlign w:val="center"/>
                </w:tcPr>
                <w:p>
                  <w:pP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厂界VOCs浓度能够满足标准要求</w:t>
                  </w:r>
                  <w:r>
                    <w:rPr>
                      <w:rFonts w:hint="eastAsia" w:cs="Times New Roman" w:eastAsiaTheme="minorEastAsia"/>
                      <w:color w:val="auto"/>
                      <w:sz w:val="21"/>
                      <w:szCs w:val="21"/>
                      <w:lang w:eastAsia="zh-CN"/>
                    </w:rPr>
                    <w:t>。</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本项目与《油品储运销挥发性有机物治理实用手册》中要求的符合性分析，具体见下表。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表4-1</w:t>
            </w:r>
            <w:r>
              <w:rPr>
                <w:rFonts w:hint="eastAsia" w:eastAsia="黑体" w:cs="Times New Roman"/>
                <w:b w:val="0"/>
                <w:bCs w:val="0"/>
                <w:color w:val="auto"/>
                <w:kern w:val="0"/>
                <w:sz w:val="24"/>
                <w:szCs w:val="24"/>
                <w:lang w:val="en-US" w:eastAsia="zh-CN"/>
              </w:rPr>
              <w:t>3</w:t>
            </w:r>
            <w:r>
              <w:rPr>
                <w:rFonts w:hint="eastAsia" w:ascii="Times New Roman" w:hAnsi="Times New Roman" w:eastAsia="黑体" w:cs="Times New Roman"/>
                <w:b w:val="0"/>
                <w:bCs w:val="0"/>
                <w:color w:val="auto"/>
                <w:kern w:val="0"/>
                <w:sz w:val="24"/>
                <w:szCs w:val="24"/>
                <w:lang w:val="en-US" w:eastAsia="zh-CN"/>
              </w:rPr>
              <w:t xml:space="preserve"> 本项目采取的措施与《油品储运销挥发性有机物治理实用手册》对照表</w:t>
            </w:r>
          </w:p>
          <w:tbl>
            <w:tblPr>
              <w:tblStyle w:val="2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68"/>
              <w:gridCol w:w="4449"/>
              <w:gridCol w:w="325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3"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项目</w:t>
                  </w:r>
                </w:p>
              </w:tc>
              <w:tc>
                <w:tcPr>
                  <w:tcW w:w="2624"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要求</w:t>
                  </w:r>
                </w:p>
              </w:tc>
              <w:tc>
                <w:tcPr>
                  <w:tcW w:w="1921"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本项目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75" w:hRule="atLeast"/>
              </w:trPr>
              <w:tc>
                <w:tcPr>
                  <w:tcW w:w="453" w:type="pct"/>
                  <w:vMerge w:val="restart"/>
                  <w:tcBorders>
                    <w:top w:val="single" w:color="000000" w:sz="4" w:space="0"/>
                    <w:left w:val="single" w:color="000000" w:sz="4" w:space="0"/>
                    <w:right w:val="single" w:color="000000" w:sz="4" w:space="0"/>
                  </w:tcBorders>
                  <w:vAlign w:val="center"/>
                </w:tcPr>
                <w:p>
                  <w:pP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四、储油库</w:t>
                  </w:r>
                </w:p>
              </w:tc>
              <w:tc>
                <w:tcPr>
                  <w:tcW w:w="2624" w:type="pct"/>
                  <w:tcBorders>
                    <w:top w:val="single" w:color="000000" w:sz="4" w:space="0"/>
                    <w:left w:val="single" w:color="000000" w:sz="4" w:space="0"/>
                    <w:bottom w:val="single" w:color="auto" w:sz="4" w:space="0"/>
                    <w:right w:val="single" w:color="000000" w:sz="4" w:space="0"/>
                  </w:tcBorders>
                  <w:vAlign w:val="center"/>
                </w:tcPr>
                <w:p>
                  <w:pP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(一)发油</w:t>
                  </w:r>
                </w:p>
                <w:p>
                  <w:pP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油气处理装置应开启并能正常运行，因故障停用时不得进行发油作业，应急排空口应采用压力/真空阀(P/V阀)密封。</w:t>
                  </w:r>
                </w:p>
                <w:p>
                  <w:pP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应采用底部发油，上装发油鹤管应拆除，未拆除的需封闭。</w:t>
                  </w:r>
                </w:p>
                <w:p>
                  <w:pP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与油罐车连接的发油鹤管和回气管应紧密连接，油气、汽油不得泄漏。</w:t>
                  </w:r>
                </w:p>
              </w:tc>
              <w:tc>
                <w:tcPr>
                  <w:tcW w:w="1921" w:type="pct"/>
                  <w:tcBorders>
                    <w:top w:val="single" w:color="000000" w:sz="4" w:space="0"/>
                    <w:left w:val="single" w:color="000000" w:sz="4" w:space="0"/>
                    <w:bottom w:val="single" w:color="auto" w:sz="4" w:space="0"/>
                    <w:right w:val="single" w:color="000000" w:sz="4" w:space="0"/>
                  </w:tcBorders>
                  <w:vAlign w:val="center"/>
                </w:tcPr>
                <w:p>
                  <w:pP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（1）本项目进行发油作业时，油气处理装置开启并能正常运行；（2）采用底部发油，上装发油鹤管应拆除，未拆除的需封闭；（3）与油罐车连接的发油鹤管和回气管紧密连接，油气、汽油不泄漏。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5" w:hRule="atLeast"/>
              </w:trPr>
              <w:tc>
                <w:tcPr>
                  <w:tcW w:w="453" w:type="pct"/>
                  <w:vMerge w:val="continue"/>
                  <w:tcBorders>
                    <w:left w:val="single" w:color="000000" w:sz="4" w:space="0"/>
                    <w:right w:val="single" w:color="000000" w:sz="4" w:space="0"/>
                  </w:tcBorders>
                  <w:vAlign w:val="center"/>
                </w:tcPr>
                <w:p>
                  <w:pPr>
                    <w:rPr>
                      <w:rFonts w:hint="default" w:ascii="Times New Roman" w:hAnsi="Times New Roman" w:cs="Times New Roman"/>
                      <w:b w:val="0"/>
                      <w:bCs w:val="0"/>
                      <w:color w:val="auto"/>
                      <w:sz w:val="21"/>
                      <w:szCs w:val="21"/>
                    </w:rPr>
                  </w:pPr>
                </w:p>
              </w:tc>
              <w:tc>
                <w:tcPr>
                  <w:tcW w:w="2624" w:type="pct"/>
                  <w:tcBorders>
                    <w:top w:val="single" w:color="auto" w:sz="4" w:space="0"/>
                    <w:left w:val="single" w:color="000000" w:sz="4" w:space="0"/>
                    <w:bottom w:val="single" w:color="auto" w:sz="4" w:space="0"/>
                    <w:right w:val="single" w:color="000000" w:sz="4" w:space="0"/>
                  </w:tcBorders>
                  <w:vAlign w:val="center"/>
                </w:tcPr>
                <w:p>
                  <w:pP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(二)装油</w:t>
                  </w:r>
                </w:p>
                <w:p>
                  <w:pP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应采用顶部浸没式或底部装油方式，顶部浸没式装油管出油口距离罐底高度应小于200mm。</w:t>
                  </w:r>
                </w:p>
              </w:tc>
              <w:tc>
                <w:tcPr>
                  <w:tcW w:w="1921" w:type="pct"/>
                  <w:tcBorders>
                    <w:top w:val="single" w:color="auto" w:sz="4" w:space="0"/>
                    <w:left w:val="single" w:color="000000" w:sz="4" w:space="0"/>
                    <w:bottom w:val="single" w:color="auto" w:sz="4" w:space="0"/>
                    <w:right w:val="single" w:color="000000" w:sz="4" w:space="0"/>
                  </w:tcBorders>
                  <w:vAlign w:val="center"/>
                </w:tcPr>
                <w:p>
                  <w:pP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项目</w:t>
                  </w:r>
                  <w:r>
                    <w:rPr>
                      <w:rFonts w:hint="default" w:ascii="Times New Roman" w:hAnsi="Times New Roman" w:cs="Times New Roman"/>
                      <w:b w:val="0"/>
                      <w:bCs w:val="0"/>
                      <w:color w:val="auto"/>
                      <w:sz w:val="21"/>
                      <w:szCs w:val="21"/>
                      <w:lang w:eastAsia="zh-CN"/>
                    </w:rPr>
                    <w:t>重油、渣油、沥青采用</w:t>
                  </w:r>
                  <w:r>
                    <w:rPr>
                      <w:rFonts w:hint="default" w:ascii="Times New Roman" w:hAnsi="Times New Roman" w:cs="Times New Roman"/>
                      <w:b w:val="0"/>
                      <w:bCs w:val="0"/>
                      <w:color w:val="auto"/>
                      <w:sz w:val="21"/>
                      <w:szCs w:val="21"/>
                    </w:rPr>
                    <w:t>顶部浸没式装油方式</w:t>
                  </w:r>
                  <w:r>
                    <w:rPr>
                      <w:rFonts w:hint="default" w:ascii="Times New Roman" w:hAnsi="Times New Roman" w:cs="Times New Roman"/>
                      <w:b w:val="0"/>
                      <w:bCs w:val="0"/>
                      <w:color w:val="auto"/>
                      <w:sz w:val="21"/>
                      <w:szCs w:val="21"/>
                      <w:lang w:eastAsia="zh-CN"/>
                    </w:rPr>
                    <w:t>；汽油、柴油、石脑油、甲醇</w:t>
                  </w:r>
                  <w:r>
                    <w:rPr>
                      <w:rFonts w:hint="default" w:ascii="Times New Roman" w:hAnsi="Times New Roman" w:cs="Times New Roman"/>
                      <w:b w:val="0"/>
                      <w:bCs w:val="0"/>
                      <w:color w:val="auto"/>
                      <w:sz w:val="21"/>
                      <w:szCs w:val="21"/>
                    </w:rPr>
                    <w:t>采用底部装油方式</w:t>
                  </w:r>
                  <w:r>
                    <w:rPr>
                      <w:rFonts w:hint="default" w:ascii="Times New Roman" w:hAnsi="Times New Roman" w:cs="Times New Roman"/>
                      <w:b w:val="0"/>
                      <w:bCs w:val="0"/>
                      <w:color w:val="auto"/>
                      <w:sz w:val="21"/>
                      <w:szCs w:val="21"/>
                      <w:lang w:eastAsia="zh-CN"/>
                    </w:rPr>
                    <w:t>。</w:t>
                  </w:r>
                  <w:r>
                    <w:rPr>
                      <w:rFonts w:hint="default" w:ascii="Times New Roman" w:hAnsi="Times New Roman" w:cs="Times New Roman"/>
                      <w:b w:val="0"/>
                      <w:bCs w:val="0"/>
                      <w:color w:val="auto"/>
                      <w:sz w:val="21"/>
                      <w:szCs w:val="21"/>
                    </w:rPr>
                    <w:t>顶部浸没式装油管出油口距离罐底高度小于200mm。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7" w:hRule="atLeast"/>
              </w:trPr>
              <w:tc>
                <w:tcPr>
                  <w:tcW w:w="453" w:type="pct"/>
                  <w:vMerge w:val="continue"/>
                  <w:tcBorders>
                    <w:left w:val="single" w:color="000000" w:sz="4" w:space="0"/>
                    <w:bottom w:val="single" w:color="000000" w:sz="4" w:space="0"/>
                    <w:right w:val="single" w:color="000000" w:sz="4" w:space="0"/>
                  </w:tcBorders>
                  <w:vAlign w:val="center"/>
                </w:tcPr>
                <w:p>
                  <w:pPr>
                    <w:rPr>
                      <w:rFonts w:hint="default" w:ascii="Times New Roman" w:hAnsi="Times New Roman" w:cs="Times New Roman"/>
                      <w:b w:val="0"/>
                      <w:bCs w:val="0"/>
                      <w:color w:val="auto"/>
                      <w:sz w:val="21"/>
                      <w:szCs w:val="21"/>
                    </w:rPr>
                  </w:pPr>
                </w:p>
              </w:tc>
              <w:tc>
                <w:tcPr>
                  <w:tcW w:w="2624" w:type="pct"/>
                  <w:tcBorders>
                    <w:top w:val="single" w:color="auto"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(三)油气储存</w:t>
                  </w:r>
                </w:p>
                <w:p>
                  <w:pP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储油库储存汽油应按照标准规定采用浮顶罐储油。</w:t>
                  </w:r>
                </w:p>
                <w:p>
                  <w:pP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新、改、扩建的内浮顶罐，浮盘与罐壁之间应采用液体镶嵌式、机械式鞋形、双封式等高效密封方式，新、改、扩建的外浮顶罐，浮盘与罐壁之间应采用双封式密封，且初级密封采用液体镶嵌式、机械式鞋形等高效密封方式。</w:t>
                  </w:r>
                </w:p>
                <w:p>
                  <w:pP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浮顶罐所有密封结构不应有造成漏气的破损和开口，浮盘上所有可开启设施在非需要开启时都应保持密封状态，应定期对浮盘进行检查，并记录检查过程与结果。</w:t>
                  </w:r>
                </w:p>
              </w:tc>
              <w:tc>
                <w:tcPr>
                  <w:tcW w:w="1921" w:type="pct"/>
                  <w:tcBorders>
                    <w:top w:val="single" w:color="auto"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（1）本项目</w:t>
                  </w:r>
                  <w:r>
                    <w:rPr>
                      <w:rFonts w:hint="eastAsia" w:cs="Times New Roman" w:eastAsiaTheme="minorEastAsia"/>
                      <w:color w:val="auto"/>
                      <w:sz w:val="21"/>
                      <w:szCs w:val="21"/>
                      <w:lang w:eastAsia="zh-CN"/>
                    </w:rPr>
                    <w:t>柴油、汽油、石脑油、甲醇</w:t>
                  </w:r>
                  <w:r>
                    <w:rPr>
                      <w:rFonts w:hint="default" w:ascii="Times New Roman" w:hAnsi="Times New Roman" w:cs="Times New Roman"/>
                      <w:b w:val="0"/>
                      <w:bCs w:val="0"/>
                      <w:color w:val="auto"/>
                      <w:sz w:val="21"/>
                      <w:szCs w:val="21"/>
                    </w:rPr>
                    <w:t>储罐均采用内浮顶储罐；（2）浮顶与罐壁之间为机械式鞋形高效密封（一次囊式密封+二次舌型密封带）；（3）浮顶罐所有密封结构无破损和开口，浮盘上所有可开启设施在非需要开启时均为密封状态，企业定期对浮盘进行检查，并记录检查过程与结果。</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本项目与《储油库大气污染物排放标准》（GB 20950—2020）中要求的符合性分析，具体见下表。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表4-1</w:t>
            </w:r>
            <w:r>
              <w:rPr>
                <w:rFonts w:hint="eastAsia" w:eastAsia="黑体" w:cs="Times New Roman"/>
                <w:b w:val="0"/>
                <w:bCs w:val="0"/>
                <w:color w:val="auto"/>
                <w:kern w:val="0"/>
                <w:sz w:val="24"/>
                <w:szCs w:val="24"/>
                <w:lang w:val="en-US" w:eastAsia="zh-CN"/>
              </w:rPr>
              <w:t>4</w:t>
            </w:r>
            <w:r>
              <w:rPr>
                <w:rFonts w:hint="eastAsia" w:ascii="Times New Roman" w:hAnsi="Times New Roman" w:eastAsia="黑体" w:cs="Times New Roman"/>
                <w:b w:val="0"/>
                <w:bCs w:val="0"/>
                <w:color w:val="auto"/>
                <w:kern w:val="0"/>
                <w:sz w:val="24"/>
                <w:szCs w:val="24"/>
                <w:lang w:val="en-US" w:eastAsia="zh-CN"/>
              </w:rPr>
              <w:t xml:space="preserve"> 项目与《储油库大气污染物排放标准》（GB 20950—2020）对照表</w:t>
            </w:r>
          </w:p>
          <w:tbl>
            <w:tblPr>
              <w:tblStyle w:val="2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26"/>
              <w:gridCol w:w="5360"/>
              <w:gridCol w:w="26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项目</w:t>
                  </w:r>
                </w:p>
              </w:tc>
              <w:tc>
                <w:tcPr>
                  <w:tcW w:w="3161"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要求</w:t>
                  </w:r>
                </w:p>
              </w:tc>
              <w:tc>
                <w:tcPr>
                  <w:tcW w:w="1586"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本项目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975" w:hRule="atLeast"/>
              </w:trPr>
              <w:tc>
                <w:tcPr>
                  <w:tcW w:w="251" w:type="pct"/>
                  <w:vMerge w:val="restart"/>
                  <w:tcBorders>
                    <w:top w:val="single" w:color="000000" w:sz="4" w:space="0"/>
                    <w:left w:val="single" w:color="000000" w:sz="4" w:space="0"/>
                    <w:right w:val="single" w:color="000000" w:sz="4" w:space="0"/>
                  </w:tcBorders>
                  <w:vAlign w:val="center"/>
                </w:tcPr>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4控制要求</w:t>
                  </w:r>
                </w:p>
              </w:tc>
              <w:tc>
                <w:tcPr>
                  <w:tcW w:w="3161" w:type="pct"/>
                  <w:tcBorders>
                    <w:top w:val="single" w:color="000000" w:sz="4" w:space="0"/>
                    <w:left w:val="single" w:color="000000" w:sz="4" w:space="0"/>
                    <w:bottom w:val="single" w:color="auto" w:sz="4" w:space="0"/>
                    <w:right w:val="single" w:color="000000" w:sz="4" w:space="0"/>
                  </w:tcBorders>
                  <w:vAlign w:val="center"/>
                </w:tcPr>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4.1收油控制要求</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4.1.1通过汽车罐车收油，应采用密闭泵送或自流式管道系统，收油时从卧式储罐内置换出的油气应密闭回收到汽车罐车内。</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4.1.2通过铁路罐车收油，除拆装灌装鹤管之外的时段，收油鹤管与铁路罐车灌装口（人孔）应密闭。从泵站扫仓罐中产生的油气应密闭收集，并送入油气处理装置进行回收处理。</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4.1.3通过油船收油，输油臂应与油船输油管线法兰密闭连接，油船油仓保持密闭。</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4.1.4通过管道收油，管道应保持密闭。</w:t>
                  </w:r>
                </w:p>
              </w:tc>
              <w:tc>
                <w:tcPr>
                  <w:tcW w:w="1586" w:type="pct"/>
                  <w:tcBorders>
                    <w:top w:val="single" w:color="000000" w:sz="4" w:space="0"/>
                    <w:left w:val="single" w:color="000000" w:sz="4" w:space="0"/>
                    <w:bottom w:val="single" w:color="auto" w:sz="4" w:space="0"/>
                    <w:right w:val="single" w:color="000000" w:sz="4" w:space="0"/>
                  </w:tcBorders>
                  <w:vAlign w:val="center"/>
                </w:tcPr>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本项目收油时通过管道收油，管道保持密闭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5" w:hRule="atLeast"/>
              </w:trPr>
              <w:tc>
                <w:tcPr>
                  <w:tcW w:w="251" w:type="pct"/>
                  <w:vMerge w:val="continue"/>
                  <w:tcBorders>
                    <w:left w:val="single" w:color="000000" w:sz="4" w:space="0"/>
                    <w:right w:val="single" w:color="000000" w:sz="4" w:space="0"/>
                  </w:tcBorders>
                  <w:vAlign w:val="center"/>
                </w:tcPr>
                <w:p>
                  <w:pPr>
                    <w:rPr>
                      <w:rFonts w:hint="default" w:ascii="Times New Roman" w:hAnsi="Times New Roman" w:cs="Times New Roman" w:eastAsiaTheme="minorEastAsia"/>
                      <w:b w:val="0"/>
                      <w:bCs w:val="0"/>
                      <w:color w:val="auto"/>
                      <w:sz w:val="21"/>
                      <w:szCs w:val="21"/>
                    </w:rPr>
                  </w:pPr>
                </w:p>
              </w:tc>
              <w:tc>
                <w:tcPr>
                  <w:tcW w:w="3161" w:type="pct"/>
                  <w:tcBorders>
                    <w:top w:val="single" w:color="auto" w:sz="4" w:space="0"/>
                    <w:left w:val="single" w:color="000000" w:sz="4" w:space="0"/>
                    <w:bottom w:val="single" w:color="auto" w:sz="4" w:space="0"/>
                    <w:right w:val="single" w:color="000000" w:sz="4" w:space="0"/>
                  </w:tcBorders>
                  <w:vAlign w:val="center"/>
                </w:tcPr>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4.2储油控制要求</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4.2.1油品储存方式</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4.2.1.1储存真实蒸气压＜76.6kPa的油品应采用内浮顶罐、外浮顶罐或其他等效措施。</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4.2.1.2储存真实蒸气压≥76.6kPa的油品应采用低压罐、压力罐或其他等效措施。</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4.2.2浮顶罐运行要求</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4.2.2.1内浮顶罐的浮盘与罐壁之间应采用浸液式密封、机械式鞋形密封等高效密封方式。</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4.2.2.2外浮顶罐的浮盘与罐壁之间应采用双重密封，且一次密封采用浸液式密封、机械式鞋形密封等高效密封方式。</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4.2.2.3浮顶罐罐体应保持完好，不应有孔洞（通气孔除外）和裂隙。</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4.2.2.4浮盘附件的开口（孔），除采样、计量、例行检查、维护和其它正常活动外，应密闭；浮盘边缘密封不应有破损。</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4.2.2.5支柱、导向装置等储罐附件穿过浮盘时，其套筒底端应插入油品中并采取密封措施。</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4.2.2.6除储罐排空作业外，浮盘应始终漂浮于油品的表面。</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4.2.2.7自动通气阀在浮盘处于漂浮状态时应关闭且密封良好，仅在浮盘处于支座支撑状态时可开启。</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4.2.2.8边缘呼吸阀在浮盘处于漂浮状态时应密封良好，并定期检查定压是否符合设定要求。</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4.2.2.9除自动通气阀、边缘呼吸阀外，浮盘外边缘板及所有通过浮盘的开孔接管均应浸入油品液面下。</w:t>
                  </w:r>
                </w:p>
              </w:tc>
              <w:tc>
                <w:tcPr>
                  <w:tcW w:w="1586" w:type="pct"/>
                  <w:tcBorders>
                    <w:top w:val="single" w:color="auto" w:sz="4" w:space="0"/>
                    <w:left w:val="single" w:color="000000" w:sz="4" w:space="0"/>
                    <w:bottom w:val="single" w:color="auto" w:sz="4" w:space="0"/>
                    <w:right w:val="single" w:color="000000" w:sz="4" w:space="0"/>
                  </w:tcBorders>
                  <w:vAlign w:val="center"/>
                </w:tcPr>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（1）本项目油品的真实蒸气压均＜76.6kPa，本项目</w:t>
                  </w:r>
                  <w:r>
                    <w:rPr>
                      <w:rFonts w:hint="eastAsia" w:cs="Times New Roman" w:eastAsiaTheme="minorEastAsia"/>
                      <w:color w:val="auto"/>
                      <w:sz w:val="21"/>
                      <w:szCs w:val="21"/>
                      <w:lang w:eastAsia="zh-CN"/>
                    </w:rPr>
                    <w:t>柴油、汽油、石脑油、甲醇</w:t>
                  </w:r>
                  <w:r>
                    <w:rPr>
                      <w:rFonts w:hint="default" w:ascii="Times New Roman" w:hAnsi="Times New Roman" w:cs="Times New Roman" w:eastAsiaTheme="minorEastAsia"/>
                      <w:b w:val="0"/>
                      <w:bCs w:val="0"/>
                      <w:color w:val="auto"/>
                      <w:sz w:val="21"/>
                      <w:szCs w:val="21"/>
                    </w:rPr>
                    <w:t>储罐均采用内浮顶罐。（2）内浮顶与罐壁之间为机械式鞋形高效密封（一次囊式密封+二次舌型密封带）。（3）浮顶罐罐体保持完好，没有孔洞和裂隙。（4）浮盘附件的开口（孔），除采样、计量、例行检查、维护和其它正常活动外，均应密闭；浮盘边缘密封没有破损。（5）支柱、导向装置等储罐附件穿过浮盘时，其套筒底端插入油品中并采取密封措施。（6）除储罐排空作业外，浮盘始终漂浮于油品的表面。（7）自动通气阀在浮盘处于漂浮状态时关闭且密封良好，仅在浮盘处于支座支撑状态时开启。（8）边缘呼吸阀在浮盘处于漂浮状态时密封良好，并定期检查定压是否符合设定要求。（9）除自动通气阀、边缘呼吸阀外，浮盘外边缘板及所有通过浮盘的开孔接管均浸入油品液面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7" w:hRule="atLeast"/>
              </w:trPr>
              <w:tc>
                <w:tcPr>
                  <w:tcW w:w="251" w:type="pct"/>
                  <w:vMerge w:val="continue"/>
                  <w:tcBorders>
                    <w:left w:val="single" w:color="000000" w:sz="4" w:space="0"/>
                    <w:right w:val="single" w:color="000000" w:sz="4" w:space="0"/>
                  </w:tcBorders>
                  <w:vAlign w:val="center"/>
                </w:tcPr>
                <w:p>
                  <w:pPr>
                    <w:rPr>
                      <w:rFonts w:hint="default" w:ascii="Times New Roman" w:hAnsi="Times New Roman" w:cs="Times New Roman" w:eastAsiaTheme="minorEastAsia"/>
                      <w:b w:val="0"/>
                      <w:bCs w:val="0"/>
                      <w:color w:val="auto"/>
                      <w:sz w:val="21"/>
                      <w:szCs w:val="21"/>
                    </w:rPr>
                  </w:pPr>
                </w:p>
              </w:tc>
              <w:tc>
                <w:tcPr>
                  <w:tcW w:w="3161" w:type="pct"/>
                  <w:tcBorders>
                    <w:top w:val="single" w:color="auto" w:sz="4" w:space="0"/>
                    <w:left w:val="single" w:color="000000" w:sz="4" w:space="0"/>
                    <w:bottom w:val="single" w:color="auto" w:sz="4" w:space="0"/>
                    <w:right w:val="single" w:color="000000" w:sz="4" w:space="0"/>
                  </w:tcBorders>
                  <w:vAlign w:val="center"/>
                </w:tcPr>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4.3发油控制要求</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4.3.1向汽车罐车发油</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4.3.1.1向汽车罐车发原油应采用顶部浸没式或底部发油方式，顶部浸没式灌装鹤管出口距离罐底高度应小于200mm。向汽车罐车发其他油品应采用底部发油方式。</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4.3.1.2发油时产生的油气应密闭收集，并送入油气处理装置回收处理。</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4.3.1.3底部发油快速接头和油气回收快速接头应采用自封式快速接头。</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4.3.1.4向汽车罐车发油时，油气收集系统应为正压，且压力不应超过6.0kPa。</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4.3.1.5底部发油结束并断开快速接头时，油品滴洒量不应超过10mL，滴洒量取连续3次断开操作的平均值。</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4.3.2向铁路罐车发油</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4.3.2.1向铁路罐车发油应采用顶部浸没式或底部发油方式，顶部浸没式灌装鹤管出口距离罐底高度应小于200mm。</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4.3.2.2发油时产生的油气应密闭收集，并送入油气处理装置回收处理。</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4.3.2.3向铁路罐车发油时，除拆装灌装鹤管之外的时段，灌装鹤管与铁路罐车灌装口（人孔）应密闭。</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4.3.2.4底部发油结束并断开快速接头时，油品滴洒量不应超过10mL，滴洒量取连续3次断开操作的平均值。</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4.3.3向油船发油</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4.3.3.1向油船发油应采用顶部浸没式，顶部浸没式发油管出口距离罐底高度应小于200mm。</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4.3.3.2具有万吨级及以上油品泊位的码头对应的储油库应密闭收集向GB20951管控的油船发油时产生的油气，并送入油气处理装置回收处理。</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4.3.4向管道发油</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采用管道方式发油时，管道应保持密闭。</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4.3.5其他规定</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4.3.5.1油气处理装置排气筒高度不低于4m具体高度以及与周围建筑物的距离应根据环境影响评价文件确定。</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4.3.5.2发油时应采用防溢流系统。</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4.3.5.3采用红外摄像方式检测油气收集系统密封点时，不应有油气泄漏。</w:t>
                  </w:r>
                </w:p>
              </w:tc>
              <w:tc>
                <w:tcPr>
                  <w:tcW w:w="1586" w:type="pct"/>
                  <w:tcBorders>
                    <w:top w:val="single" w:color="auto" w:sz="4" w:space="0"/>
                    <w:left w:val="single" w:color="000000" w:sz="4" w:space="0"/>
                    <w:bottom w:val="single" w:color="auto" w:sz="4" w:space="0"/>
                    <w:right w:val="single" w:color="000000" w:sz="4" w:space="0"/>
                  </w:tcBorders>
                  <w:vAlign w:val="center"/>
                </w:tcPr>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本项目发油主要是向汽车罐车发油及向管道发油，两种方式。</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1、向汽车罐车发油</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1）应采用底部发油方式。（2）发油时产生的油气密闭收集后送入油气处理装置回收处理。（3）底部发油快速接头和油气回收快速接头采用自封式快速接头。（4）向汽车罐车发油时，油气收集系统为正压，且压力不超过6.0kPa。（5）底部发油结束并断开快速接头时，油品滴洒量不超过10mL。</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2、向管道发油</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采用管道方式发油时，管道保持密闭。</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3、其他规定</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（1）本项目</w:t>
                  </w:r>
                  <w:r>
                    <w:rPr>
                      <w:rFonts w:hint="default" w:ascii="Times New Roman" w:hAnsi="Times New Roman" w:cs="Times New Roman" w:eastAsiaTheme="minorEastAsia"/>
                      <w:color w:val="auto"/>
                      <w:sz w:val="21"/>
                      <w:szCs w:val="21"/>
                      <w:lang w:val="en-US" w:eastAsia="zh-CN"/>
                    </w:rPr>
                    <w:t>柴油、汽油、石脑油储罐及装车废气经油气回收装置处理后与甲醇、沥青、重油、渣油储罐及装载废气一同进入RTO废气处理装置焚烧后通过排气筒（DA001）排放。</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（2）发油时采用防溢流系统。</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（3）采用红外摄像方式检测油气收集系统密封点时，不应有油气泄漏。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7" w:hRule="atLeast"/>
              </w:trPr>
              <w:tc>
                <w:tcPr>
                  <w:tcW w:w="251" w:type="pct"/>
                  <w:vMerge w:val="continue"/>
                  <w:tcBorders>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b w:val="0"/>
                      <w:bCs w:val="0"/>
                      <w:color w:val="auto"/>
                      <w:sz w:val="21"/>
                      <w:szCs w:val="21"/>
                    </w:rPr>
                  </w:pPr>
                </w:p>
              </w:tc>
              <w:tc>
                <w:tcPr>
                  <w:tcW w:w="3161" w:type="pct"/>
                  <w:tcBorders>
                    <w:top w:val="single" w:color="auto"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4.4VOCs泄漏控制要求</w:t>
                  </w:r>
                </w:p>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企业中载有油品的设备与管线组件及油气收集系统，应按GB37822开展泄漏检测与修复工作。</w:t>
                  </w:r>
                </w:p>
              </w:tc>
              <w:tc>
                <w:tcPr>
                  <w:tcW w:w="1586" w:type="pct"/>
                  <w:tcBorders>
                    <w:top w:val="single" w:color="auto" w:sz="4" w:space="0"/>
                    <w:left w:val="single" w:color="000000" w:sz="4" w:space="0"/>
                    <w:bottom w:val="single" w:color="000000" w:sz="4" w:space="0"/>
                    <w:right w:val="single" w:color="000000" w:sz="4" w:space="0"/>
                  </w:tcBorders>
                  <w:vAlign w:val="center"/>
                </w:tcPr>
                <w:p>
                  <w:pPr>
                    <w:rPr>
                      <w:rFonts w:hint="default" w:ascii="Times New Roman" w:hAnsi="Times New Roman" w:cs="Times New Roman" w:eastAsiaTheme="minorEastAsia"/>
                      <w:b w:val="0"/>
                      <w:bCs w:val="0"/>
                      <w:color w:val="auto"/>
                      <w:sz w:val="21"/>
                      <w:szCs w:val="21"/>
                    </w:rPr>
                  </w:pPr>
                  <w:r>
                    <w:rPr>
                      <w:rFonts w:hint="default" w:ascii="Times New Roman" w:hAnsi="Times New Roman" w:cs="Times New Roman" w:eastAsiaTheme="minorEastAsia"/>
                      <w:b w:val="0"/>
                      <w:bCs w:val="0"/>
                      <w:color w:val="auto"/>
                      <w:sz w:val="21"/>
                      <w:szCs w:val="21"/>
                    </w:rPr>
                    <w:t>企业中载有油品的设备与管线组件及油气收集系统，已按GB37822开展泄漏检测与修复工作。</w:t>
                  </w:r>
                </w:p>
              </w:tc>
            </w:tr>
          </w:tbl>
          <w:p>
            <w:pPr>
              <w:pStyle w:val="77"/>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default" w:ascii="Times New Roman" w:hAnsi="Times New Roman" w:eastAsia="宋体" w:cs="Times New Roman"/>
                <w:color w:val="auto"/>
                <w:kern w:val="0"/>
                <w:szCs w:val="24"/>
                <w:highlight w:val="none"/>
                <w:lang w:val="en-US" w:eastAsia="zh-CN"/>
              </w:rPr>
            </w:pPr>
            <w:r>
              <w:rPr>
                <w:rFonts w:hint="eastAsia" w:cs="Times New Roman"/>
                <w:color w:val="auto"/>
                <w:kern w:val="0"/>
                <w:szCs w:val="24"/>
                <w:highlight w:val="none"/>
                <w:lang w:val="en-US" w:eastAsia="zh-CN"/>
              </w:rPr>
              <w:t>通过以上措施，项目厂界VOC可</w:t>
            </w:r>
            <w:r>
              <w:rPr>
                <w:rFonts w:hint="eastAsia" w:ascii="Times New Roman" w:hAnsi="Times New Roman" w:eastAsia="宋体" w:cs="Times New Roman"/>
                <w:color w:val="auto"/>
                <w:kern w:val="0"/>
                <w:szCs w:val="24"/>
                <w:highlight w:val="none"/>
                <w:lang w:val="en-US" w:eastAsia="zh-CN"/>
              </w:rPr>
              <w:t xml:space="preserve">满足《挥发性有机物排放标准 第7部分：其他行业》（DB 37/2801.7-2019）表2厂界监控点浓度限值。 </w:t>
            </w:r>
          </w:p>
          <w:p>
            <w:pPr>
              <w:pStyle w:val="77"/>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default" w:ascii="Times New Roman" w:hAnsi="Times New Roman" w:eastAsia="宋体" w:cs="Times New Roman"/>
                <w:color w:val="auto"/>
                <w:kern w:val="0"/>
                <w:szCs w:val="24"/>
                <w:highlight w:val="none"/>
                <w:lang w:val="en-US" w:eastAsia="zh-CN"/>
              </w:rPr>
            </w:pPr>
            <w:r>
              <w:rPr>
                <w:rFonts w:hint="eastAsia" w:ascii="Times New Roman" w:hAnsi="Times New Roman" w:eastAsia="宋体" w:cs="Times New Roman"/>
                <w:color w:val="auto"/>
                <w:kern w:val="0"/>
                <w:szCs w:val="24"/>
                <w:highlight w:val="none"/>
                <w:lang w:val="en-US" w:eastAsia="zh-CN"/>
              </w:rPr>
              <w:t>3）</w:t>
            </w:r>
            <w:r>
              <w:rPr>
                <w:rFonts w:hint="default" w:ascii="Times New Roman" w:hAnsi="Times New Roman" w:eastAsia="宋体" w:cs="Times New Roman"/>
                <w:color w:val="auto"/>
                <w:kern w:val="0"/>
                <w:szCs w:val="24"/>
                <w:highlight w:val="none"/>
                <w:lang w:val="en-US" w:eastAsia="zh-CN"/>
              </w:rPr>
              <w:t>大气污染环保措施可行性分析</w:t>
            </w:r>
          </w:p>
          <w:p>
            <w:pPr>
              <w:pStyle w:val="77"/>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eastAsia" w:ascii="Times New Roman" w:hAnsi="Times New Roman" w:eastAsia="宋体" w:cs="Times New Roman"/>
                <w:color w:val="auto"/>
                <w:kern w:val="0"/>
                <w:szCs w:val="24"/>
                <w:highlight w:val="none"/>
                <w:lang w:eastAsia="zh-CN"/>
              </w:rPr>
            </w:pPr>
            <w:r>
              <w:rPr>
                <w:rFonts w:hint="eastAsia" w:ascii="Times New Roman" w:hAnsi="Times New Roman" w:eastAsia="宋体" w:cs="Times New Roman"/>
                <w:color w:val="auto"/>
                <w:kern w:val="0"/>
                <w:szCs w:val="24"/>
                <w:highlight w:val="none"/>
                <w:lang w:eastAsia="zh-CN"/>
              </w:rPr>
              <w:t>低氮燃烧</w:t>
            </w:r>
            <w:r>
              <w:rPr>
                <w:rFonts w:hint="default" w:ascii="Times New Roman" w:hAnsi="Times New Roman" w:eastAsia="宋体" w:cs="Times New Roman"/>
                <w:color w:val="auto"/>
                <w:kern w:val="0"/>
                <w:szCs w:val="24"/>
                <w:highlight w:val="none"/>
                <w:lang w:eastAsia="zh-CN"/>
              </w:rPr>
              <w:t>原理：本项目锅炉燃烧器安装有低氮燃烧器。低氮燃烧技术是通过改变燃烧设备的燃烧条件来降低NOx的形成，具体来说是通过调节燃烧温度、烟气中的氧的浓度、烟气在高温区的停留时间等方法来抑制NOx的生成或破坏已生产的NOx。本项目选用的低氮燃烧器采用分段燃烧技术，是将燃料的燃烧过程分阶段来完成。第一阶段燃烧中，将总燃烧空气里的70~75%供入炉膛，使燃料在缺氧的富燃料条件下燃烧，能抑制NOx的生成；第二阶段通过足量的空气，使剩余燃料燃尽，此段中氧气过量，但温度低，生成的NOx也较小。根据分段燃烧原理设计的阶段燃烧器，使燃料与空气分段混合燃烧，由于燃烧偏离理论当量，故可降低NOx的生成。</w:t>
            </w:r>
          </w:p>
          <w:p>
            <w:pPr>
              <w:pStyle w:val="77"/>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eastAsia" w:ascii="Times New Roman" w:hAnsi="Times New Roman" w:eastAsia="宋体" w:cs="Times New Roman"/>
                <w:color w:val="auto"/>
                <w:kern w:val="0"/>
                <w:szCs w:val="24"/>
                <w:highlight w:val="none"/>
                <w:lang w:val="en-US" w:eastAsia="zh-CN"/>
              </w:rPr>
            </w:pPr>
            <w:r>
              <w:rPr>
                <w:rFonts w:hint="eastAsia" w:ascii="Times New Roman" w:hAnsi="Times New Roman" w:eastAsia="宋体" w:cs="Times New Roman"/>
                <w:color w:val="auto"/>
                <w:kern w:val="0"/>
                <w:szCs w:val="24"/>
                <w:highlight w:val="none"/>
                <w:lang w:val="en-US" w:eastAsia="zh-CN"/>
              </w:rPr>
              <w:t>油气回收装置原理：</w:t>
            </w:r>
            <w:r>
              <w:rPr>
                <w:rFonts w:hint="default" w:ascii="Times New Roman" w:hAnsi="Times New Roman" w:eastAsia="宋体" w:cs="Times New Roman"/>
                <w:color w:val="auto"/>
                <w:kern w:val="0"/>
                <w:szCs w:val="24"/>
                <w:highlight w:val="none"/>
                <w:lang w:eastAsia="zh-CN"/>
              </w:rPr>
              <w:t>油库油气回收指油库挥发油气和鹤管装车油气通过主管道收集起来通过吸收、</w:t>
            </w:r>
            <w:r>
              <w:rPr>
                <w:rFonts w:hint="default" w:ascii="Times New Roman" w:hAnsi="Times New Roman" w:eastAsia="宋体" w:cs="Times New Roman"/>
                <w:color w:val="auto"/>
                <w:kern w:val="0"/>
                <w:szCs w:val="24"/>
                <w:highlight w:val="none"/>
                <w:lang w:eastAsia="zh-CN"/>
              </w:rPr>
              <w:fldChar w:fldCharType="begin"/>
            </w:r>
            <w:r>
              <w:rPr>
                <w:rFonts w:hint="default" w:ascii="Times New Roman" w:hAnsi="Times New Roman" w:eastAsia="宋体" w:cs="Times New Roman"/>
                <w:color w:val="auto"/>
                <w:kern w:val="0"/>
                <w:szCs w:val="24"/>
                <w:highlight w:val="none"/>
                <w:lang w:eastAsia="zh-CN"/>
              </w:rPr>
              <w:instrText xml:space="preserve"> HYPERLINK "https://baike.baidu.com/item/%E5%90%B8%E9%99%84/1133270?fromModule=lemma_inlink" \t "https://baike.baidu.com/item/%E6%B2%B9%E6%B0%94%E5%9B%9E%E6%94%B6/_blank" </w:instrText>
            </w:r>
            <w:r>
              <w:rPr>
                <w:rFonts w:hint="default" w:ascii="Times New Roman" w:hAnsi="Times New Roman" w:eastAsia="宋体" w:cs="Times New Roman"/>
                <w:color w:val="auto"/>
                <w:kern w:val="0"/>
                <w:szCs w:val="24"/>
                <w:highlight w:val="none"/>
                <w:lang w:eastAsia="zh-CN"/>
              </w:rPr>
              <w:fldChar w:fldCharType="separate"/>
            </w:r>
            <w:r>
              <w:rPr>
                <w:rFonts w:hint="default" w:ascii="Times New Roman" w:hAnsi="Times New Roman" w:eastAsia="宋体" w:cs="Times New Roman"/>
                <w:color w:val="auto"/>
                <w:kern w:val="0"/>
                <w:szCs w:val="24"/>
                <w:highlight w:val="none"/>
                <w:lang w:eastAsia="zh-CN"/>
              </w:rPr>
              <w:t>吸附</w:t>
            </w:r>
            <w:r>
              <w:rPr>
                <w:rFonts w:hint="default" w:ascii="Times New Roman" w:hAnsi="Times New Roman" w:eastAsia="宋体" w:cs="Times New Roman"/>
                <w:color w:val="auto"/>
                <w:kern w:val="0"/>
                <w:szCs w:val="24"/>
                <w:highlight w:val="none"/>
                <w:lang w:eastAsia="zh-CN"/>
              </w:rPr>
              <w:fldChar w:fldCharType="end"/>
            </w:r>
            <w:r>
              <w:rPr>
                <w:rFonts w:hint="default" w:ascii="Times New Roman" w:hAnsi="Times New Roman" w:eastAsia="宋体" w:cs="Times New Roman"/>
                <w:color w:val="auto"/>
                <w:kern w:val="0"/>
                <w:szCs w:val="24"/>
                <w:highlight w:val="none"/>
                <w:lang w:eastAsia="zh-CN"/>
              </w:rPr>
              <w:t>或</w:t>
            </w:r>
            <w:r>
              <w:rPr>
                <w:rFonts w:hint="default" w:ascii="Times New Roman" w:hAnsi="Times New Roman" w:eastAsia="宋体" w:cs="Times New Roman"/>
                <w:color w:val="auto"/>
                <w:kern w:val="0"/>
                <w:szCs w:val="24"/>
                <w:highlight w:val="none"/>
                <w:lang w:eastAsia="zh-CN"/>
              </w:rPr>
              <w:fldChar w:fldCharType="begin"/>
            </w:r>
            <w:r>
              <w:rPr>
                <w:rFonts w:hint="default" w:ascii="Times New Roman" w:hAnsi="Times New Roman" w:eastAsia="宋体" w:cs="Times New Roman"/>
                <w:color w:val="auto"/>
                <w:kern w:val="0"/>
                <w:szCs w:val="24"/>
                <w:highlight w:val="none"/>
                <w:lang w:eastAsia="zh-CN"/>
              </w:rPr>
              <w:instrText xml:space="preserve"> HYPERLINK "https://baike.baidu.com/item/%E5%86%B7%E5%87%9D/2996218?fromModule=lemma_inlink" \t "https://baike.baidu.com/item/%E6%B2%B9%E6%B0%94%E5%9B%9E%E6%94%B6/_blank" </w:instrText>
            </w:r>
            <w:r>
              <w:rPr>
                <w:rFonts w:hint="default" w:ascii="Times New Roman" w:hAnsi="Times New Roman" w:eastAsia="宋体" w:cs="Times New Roman"/>
                <w:color w:val="auto"/>
                <w:kern w:val="0"/>
                <w:szCs w:val="24"/>
                <w:highlight w:val="none"/>
                <w:lang w:eastAsia="zh-CN"/>
              </w:rPr>
              <w:fldChar w:fldCharType="separate"/>
            </w:r>
            <w:r>
              <w:rPr>
                <w:rFonts w:hint="default" w:ascii="Times New Roman" w:hAnsi="Times New Roman" w:eastAsia="宋体" w:cs="Times New Roman"/>
                <w:color w:val="auto"/>
                <w:kern w:val="0"/>
                <w:szCs w:val="24"/>
                <w:highlight w:val="none"/>
                <w:lang w:eastAsia="zh-CN"/>
              </w:rPr>
              <w:t>冷凝</w:t>
            </w:r>
            <w:r>
              <w:rPr>
                <w:rFonts w:hint="default" w:ascii="Times New Roman" w:hAnsi="Times New Roman" w:eastAsia="宋体" w:cs="Times New Roman"/>
                <w:color w:val="auto"/>
                <w:kern w:val="0"/>
                <w:szCs w:val="24"/>
                <w:highlight w:val="none"/>
                <w:lang w:eastAsia="zh-CN"/>
              </w:rPr>
              <w:fldChar w:fldCharType="end"/>
            </w:r>
            <w:r>
              <w:rPr>
                <w:rFonts w:hint="default" w:ascii="Times New Roman" w:hAnsi="Times New Roman" w:eastAsia="宋体" w:cs="Times New Roman"/>
                <w:color w:val="auto"/>
                <w:kern w:val="0"/>
                <w:szCs w:val="24"/>
                <w:highlight w:val="none"/>
                <w:lang w:eastAsia="zh-CN"/>
              </w:rPr>
              <w:t>等工艺中的一种或两种方法，或减少油气的污染，或使油气从气态转变为液态，重新变为汽油，达到回收利用的目的。</w:t>
            </w:r>
            <w:r>
              <w:rPr>
                <w:rFonts w:hint="eastAsia" w:ascii="Times New Roman" w:hAnsi="Times New Roman" w:eastAsia="宋体" w:cs="Times New Roman"/>
                <w:color w:val="auto"/>
                <w:kern w:val="0"/>
                <w:szCs w:val="24"/>
                <w:highlight w:val="none"/>
                <w:lang w:eastAsia="zh-CN"/>
              </w:rPr>
              <w:t>本项目油气回收采用三级冷凝装置进行回收。</w:t>
            </w:r>
            <w:r>
              <w:rPr>
                <w:rFonts w:hint="default" w:ascii="Times New Roman" w:hAnsi="Times New Roman" w:eastAsia="宋体" w:cs="Times New Roman"/>
                <w:color w:val="auto"/>
                <w:kern w:val="0"/>
                <w:szCs w:val="24"/>
                <w:highlight w:val="none"/>
                <w:lang w:eastAsia="zh-CN"/>
              </w:rPr>
              <w:t>利用制冷技术将油气的热量置换出来，实现油气组分从气相到液相的直接转换。冷凝法是利用烃类物质在不同温度下的蒸汽压差异，通过降温使油气中一些烃类</w:t>
            </w:r>
            <w:r>
              <w:rPr>
                <w:rFonts w:hint="default" w:ascii="Times New Roman" w:hAnsi="Times New Roman" w:eastAsia="宋体" w:cs="Times New Roman"/>
                <w:color w:val="auto"/>
                <w:kern w:val="0"/>
                <w:szCs w:val="24"/>
                <w:highlight w:val="none"/>
                <w:lang w:eastAsia="zh-CN"/>
              </w:rPr>
              <w:fldChar w:fldCharType="begin"/>
            </w:r>
            <w:r>
              <w:rPr>
                <w:rFonts w:hint="default" w:ascii="Times New Roman" w:hAnsi="Times New Roman" w:eastAsia="宋体" w:cs="Times New Roman"/>
                <w:color w:val="auto"/>
                <w:kern w:val="0"/>
                <w:szCs w:val="24"/>
                <w:highlight w:val="none"/>
                <w:lang w:eastAsia="zh-CN"/>
              </w:rPr>
              <w:instrText xml:space="preserve"> HYPERLINK "https://baike.baidu.com/item/%E8%92%B8%E6%B1%BD%E5%8E%8B?fromModule=lemma_inlink" \t "https://baike.baidu.com/item/%E6%B2%B9%E6%B0%94%E5%9B%9E%E6%94%B6/_blank" </w:instrText>
            </w:r>
            <w:r>
              <w:rPr>
                <w:rFonts w:hint="default" w:ascii="Times New Roman" w:hAnsi="Times New Roman" w:eastAsia="宋体" w:cs="Times New Roman"/>
                <w:color w:val="auto"/>
                <w:kern w:val="0"/>
                <w:szCs w:val="24"/>
                <w:highlight w:val="none"/>
                <w:lang w:eastAsia="zh-CN"/>
              </w:rPr>
              <w:fldChar w:fldCharType="separate"/>
            </w:r>
            <w:r>
              <w:rPr>
                <w:rFonts w:hint="default" w:ascii="Times New Roman" w:hAnsi="Times New Roman" w:eastAsia="宋体" w:cs="Times New Roman"/>
                <w:color w:val="auto"/>
                <w:kern w:val="0"/>
                <w:szCs w:val="24"/>
                <w:highlight w:val="none"/>
                <w:lang w:eastAsia="zh-CN"/>
              </w:rPr>
              <w:t>蒸汽压</w:t>
            </w:r>
            <w:r>
              <w:rPr>
                <w:rFonts w:hint="default" w:ascii="Times New Roman" w:hAnsi="Times New Roman" w:eastAsia="宋体" w:cs="Times New Roman"/>
                <w:color w:val="auto"/>
                <w:kern w:val="0"/>
                <w:szCs w:val="24"/>
                <w:highlight w:val="none"/>
                <w:lang w:eastAsia="zh-CN"/>
              </w:rPr>
              <w:fldChar w:fldCharType="end"/>
            </w:r>
            <w:r>
              <w:rPr>
                <w:rFonts w:hint="default" w:ascii="Times New Roman" w:hAnsi="Times New Roman" w:eastAsia="宋体" w:cs="Times New Roman"/>
                <w:color w:val="auto"/>
                <w:kern w:val="0"/>
                <w:szCs w:val="24"/>
                <w:highlight w:val="none"/>
                <w:lang w:eastAsia="zh-CN"/>
              </w:rPr>
              <w:t>达到过饱和状态，过饱和蒸汽冷凝成液态，回收油气的方法。一般采用多级连续冷却方法降低油气的温度，使之凝聚为液体回收，根据挥发气的成分、要求的回收率及最后排放到大气中的尾气中有机化合物浓度限值，来确定冷凝装置的最低温度。一般按预冷、机械制冷等步骤来实现。</w:t>
            </w:r>
            <w:r>
              <w:rPr>
                <w:rFonts w:hint="default" w:ascii="Times New Roman" w:hAnsi="Times New Roman" w:eastAsia="宋体" w:cs="Times New Roman"/>
                <w:color w:val="auto"/>
                <w:kern w:val="0"/>
                <w:szCs w:val="24"/>
                <w:highlight w:val="none"/>
                <w:lang w:eastAsia="zh-CN"/>
              </w:rPr>
              <w:fldChar w:fldCharType="begin"/>
            </w:r>
            <w:r>
              <w:rPr>
                <w:rFonts w:hint="default" w:ascii="Times New Roman" w:hAnsi="Times New Roman" w:eastAsia="宋体" w:cs="Times New Roman"/>
                <w:color w:val="auto"/>
                <w:kern w:val="0"/>
                <w:szCs w:val="24"/>
                <w:highlight w:val="none"/>
                <w:lang w:eastAsia="zh-CN"/>
              </w:rPr>
              <w:instrText xml:space="preserve"> HYPERLINK "https://baike.baidu.com/item/%E9%A2%84%E5%86%B7%E5%99%A8?fromModule=lemma_inlink" \t "https://baike.baidu.com/item/%E6%B2%B9%E6%B0%94%E5%9B%9E%E6%94%B6/_blank" </w:instrText>
            </w:r>
            <w:r>
              <w:rPr>
                <w:rFonts w:hint="default" w:ascii="Times New Roman" w:hAnsi="Times New Roman" w:eastAsia="宋体" w:cs="Times New Roman"/>
                <w:color w:val="auto"/>
                <w:kern w:val="0"/>
                <w:szCs w:val="24"/>
                <w:highlight w:val="none"/>
                <w:lang w:eastAsia="zh-CN"/>
              </w:rPr>
              <w:fldChar w:fldCharType="separate"/>
            </w:r>
            <w:r>
              <w:rPr>
                <w:rFonts w:hint="default" w:ascii="Times New Roman" w:hAnsi="Times New Roman" w:eastAsia="宋体" w:cs="Times New Roman"/>
                <w:color w:val="auto"/>
                <w:kern w:val="0"/>
                <w:szCs w:val="24"/>
                <w:highlight w:val="none"/>
                <w:lang w:eastAsia="zh-CN"/>
              </w:rPr>
              <w:t>预冷器</w:t>
            </w:r>
            <w:r>
              <w:rPr>
                <w:rFonts w:hint="default" w:ascii="Times New Roman" w:hAnsi="Times New Roman" w:eastAsia="宋体" w:cs="Times New Roman"/>
                <w:color w:val="auto"/>
                <w:kern w:val="0"/>
                <w:szCs w:val="24"/>
                <w:highlight w:val="none"/>
                <w:lang w:eastAsia="zh-CN"/>
              </w:rPr>
              <w:fldChar w:fldCharType="end"/>
            </w:r>
            <w:r>
              <w:rPr>
                <w:rFonts w:hint="default" w:ascii="Times New Roman" w:hAnsi="Times New Roman" w:eastAsia="宋体" w:cs="Times New Roman"/>
                <w:color w:val="auto"/>
                <w:kern w:val="0"/>
                <w:szCs w:val="24"/>
                <w:highlight w:val="none"/>
                <w:lang w:eastAsia="zh-CN"/>
              </w:rPr>
              <w:t>是一单级冷却装置，为减少回收装置的运行能耗，现已开发出一种使用冷量回用的技术，使进入回收装置的气体温度从环境温度下降至4℃左右，使气体中大部分水汽凝结为水而除去。气体离开预冷器后进入浅冷级。可将气体温度冷却至－30℃～－50℃，根据需要设定，可回收油气中近一半的烃类物质。离开浅冷的油气进入深冷级，可冷却至－73℃到－110℃，根据不同的要求设定温度和进行</w:t>
            </w:r>
            <w:r>
              <w:rPr>
                <w:rFonts w:hint="default" w:ascii="Times New Roman" w:hAnsi="Times New Roman" w:eastAsia="宋体" w:cs="Times New Roman"/>
                <w:color w:val="auto"/>
                <w:kern w:val="0"/>
                <w:szCs w:val="24"/>
                <w:highlight w:val="none"/>
                <w:lang w:eastAsia="zh-CN"/>
              </w:rPr>
              <w:fldChar w:fldCharType="begin"/>
            </w:r>
            <w:r>
              <w:rPr>
                <w:rFonts w:hint="default" w:ascii="Times New Roman" w:hAnsi="Times New Roman" w:eastAsia="宋体" w:cs="Times New Roman"/>
                <w:color w:val="auto"/>
                <w:kern w:val="0"/>
                <w:szCs w:val="24"/>
                <w:highlight w:val="none"/>
                <w:lang w:eastAsia="zh-CN"/>
              </w:rPr>
              <w:instrText xml:space="preserve"> HYPERLINK "https://baike.baidu.com/item/%E5%8E%8B%E7%BC%A9%E6%9C%BA?fromModule=lemma_inlink" \t "https://baike.baidu.com/item/%E6%B2%B9%E6%B0%94%E5%9B%9E%E6%94%B6/_blank" </w:instrText>
            </w:r>
            <w:r>
              <w:rPr>
                <w:rFonts w:hint="default" w:ascii="Times New Roman" w:hAnsi="Times New Roman" w:eastAsia="宋体" w:cs="Times New Roman"/>
                <w:color w:val="auto"/>
                <w:kern w:val="0"/>
                <w:szCs w:val="24"/>
                <w:highlight w:val="none"/>
                <w:lang w:eastAsia="zh-CN"/>
              </w:rPr>
              <w:fldChar w:fldCharType="separate"/>
            </w:r>
            <w:r>
              <w:rPr>
                <w:rFonts w:hint="default" w:ascii="Times New Roman" w:hAnsi="Times New Roman" w:eastAsia="宋体" w:cs="Times New Roman"/>
                <w:color w:val="auto"/>
                <w:kern w:val="0"/>
                <w:szCs w:val="24"/>
                <w:highlight w:val="none"/>
                <w:lang w:eastAsia="zh-CN"/>
              </w:rPr>
              <w:t>压缩机</w:t>
            </w:r>
            <w:r>
              <w:rPr>
                <w:rFonts w:hint="default" w:ascii="Times New Roman" w:hAnsi="Times New Roman" w:eastAsia="宋体" w:cs="Times New Roman"/>
                <w:color w:val="auto"/>
                <w:kern w:val="0"/>
                <w:szCs w:val="24"/>
                <w:highlight w:val="none"/>
                <w:lang w:eastAsia="zh-CN"/>
              </w:rPr>
              <w:fldChar w:fldCharType="end"/>
            </w:r>
            <w:r>
              <w:rPr>
                <w:rFonts w:hint="default" w:ascii="Times New Roman" w:hAnsi="Times New Roman" w:eastAsia="宋体" w:cs="Times New Roman"/>
                <w:color w:val="auto"/>
                <w:kern w:val="0"/>
                <w:szCs w:val="24"/>
                <w:highlight w:val="none"/>
                <w:lang w:eastAsia="zh-CN"/>
              </w:rPr>
              <w:t>的配置。</w:t>
            </w:r>
          </w:p>
          <w:p>
            <w:pPr>
              <w:pStyle w:val="77"/>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default" w:ascii="Times New Roman" w:hAnsi="Times New Roman" w:eastAsia="宋体" w:cs="Times New Roman"/>
                <w:color w:val="auto"/>
                <w:kern w:val="0"/>
                <w:szCs w:val="24"/>
                <w:highlight w:val="none"/>
                <w:lang w:val="en-US" w:eastAsia="zh-CN"/>
              </w:rPr>
            </w:pPr>
            <w:r>
              <w:rPr>
                <w:rFonts w:hint="eastAsia" w:ascii="Times New Roman" w:hAnsi="Times New Roman" w:eastAsia="宋体" w:cs="Times New Roman"/>
                <w:color w:val="auto"/>
                <w:kern w:val="0"/>
                <w:szCs w:val="24"/>
                <w:highlight w:val="none"/>
                <w:lang w:val="en-US" w:eastAsia="zh-CN"/>
              </w:rPr>
              <w:t>RTO废气处理装置原理：RTO废气处理装置是一种高效的有机废气处理设备，其工作原理是，把有机废气加热到760摄氏度以上，使废气中的挥发性有机物（VOCs）氧化分解为二氧化碳和水。氧化过程产生的热量存储在特制的蓄热体，使蓄热体升温“蓄热”。蓄热体内储存的热量用于预热后续进入的有机废气，该过程为陶瓷蓄热体的“放热”过程，从而节省废气升温过程的燃料消耗。</w:t>
            </w:r>
          </w:p>
          <w:p>
            <w:pPr>
              <w:pStyle w:val="77"/>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default" w:ascii="Times New Roman" w:hAnsi="Times New Roman" w:eastAsia="宋体" w:cs="Times New Roman"/>
                <w:color w:val="auto"/>
                <w:kern w:val="0"/>
                <w:szCs w:val="24"/>
                <w:highlight w:val="none"/>
                <w:lang w:val="en-US" w:eastAsia="zh-CN"/>
              </w:rPr>
            </w:pPr>
            <w:r>
              <w:rPr>
                <w:rFonts w:hint="default" w:ascii="Times New Roman" w:hAnsi="Times New Roman" w:eastAsia="宋体" w:cs="Times New Roman"/>
                <w:color w:val="auto"/>
                <w:kern w:val="0"/>
                <w:szCs w:val="24"/>
                <w:highlight w:val="none"/>
                <w:lang w:val="en-US" w:eastAsia="zh-CN"/>
              </w:rPr>
              <w:t>生物滤塔</w:t>
            </w:r>
            <w:r>
              <w:rPr>
                <w:rFonts w:hint="eastAsia" w:ascii="Times New Roman" w:hAnsi="Times New Roman" w:eastAsia="宋体" w:cs="Times New Roman"/>
                <w:color w:val="auto"/>
                <w:kern w:val="0"/>
                <w:szCs w:val="24"/>
                <w:highlight w:val="none"/>
                <w:lang w:val="en-US" w:eastAsia="zh-CN"/>
              </w:rPr>
              <w:t>原理：利用微生物的生命活动，消耗废气中恶臭气体，分解成二氧化碳和水。其原理与废水的生物处理相同，但由于微生物不能在气态下生存，因此需要将恶臭污染物转移到液相或气相中。在固态或气态环境中，微生物都能正常生存和工作。恶臭气体收集后通入生物滴滤塔，废气在滴滤塔内扩散与药剂接触，然后溶解到液体中。扩散到生物膜的内侧。然后，进入膜内的废气被微生物吸收利用，微生物以它为能量，消耗利用，放出无害的二氧化碳和水，代谢物以原状扩散出去。</w:t>
            </w:r>
          </w:p>
          <w:p>
            <w:pPr>
              <w:tabs>
                <w:tab w:val="left" w:pos="480"/>
                <w:tab w:val="left" w:pos="2280"/>
                <w:tab w:val="left" w:pos="3720"/>
                <w:tab w:val="left" w:pos="5160"/>
              </w:tabs>
              <w:spacing w:line="360" w:lineRule="auto"/>
              <w:ind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依据</w:t>
            </w:r>
            <w:r>
              <w:rPr>
                <w:rFonts w:hint="eastAsia" w:cs="Times New Roman"/>
                <w:color w:val="auto"/>
                <w:kern w:val="2"/>
                <w:sz w:val="24"/>
                <w:szCs w:val="24"/>
                <w:highlight w:val="none"/>
                <w:lang w:val="en-US" w:eastAsia="zh-CN"/>
              </w:rPr>
              <w:t>前文分析及预测</w:t>
            </w:r>
            <w:r>
              <w:rPr>
                <w:rFonts w:hint="default" w:ascii="Times New Roman" w:hAnsi="Times New Roman" w:eastAsia="宋体" w:cs="Times New Roman"/>
                <w:color w:val="auto"/>
                <w:kern w:val="2"/>
                <w:sz w:val="24"/>
                <w:szCs w:val="24"/>
                <w:highlight w:val="none"/>
                <w:lang w:val="en-US" w:eastAsia="zh-CN"/>
              </w:rPr>
              <w:t>，项目有组织废气、厂界无组织废气均达标排放，废气处理措施处理效率满足项目要求。</w:t>
            </w:r>
          </w:p>
          <w:p>
            <w:pPr>
              <w:tabs>
                <w:tab w:val="left" w:pos="480"/>
                <w:tab w:val="left" w:pos="2280"/>
                <w:tab w:val="left" w:pos="3720"/>
                <w:tab w:val="left" w:pos="5160"/>
              </w:tabs>
              <w:spacing w:line="360" w:lineRule="auto"/>
              <w:ind w:firstLine="480" w:firstLineChars="200"/>
              <w:rPr>
                <w:rFonts w:hint="default" w:ascii="Times New Roman" w:hAnsi="Times New Roman" w:eastAsia="宋体" w:cs="Times New Roman"/>
                <w:color w:val="auto"/>
                <w:kern w:val="2"/>
                <w:sz w:val="24"/>
                <w:szCs w:val="24"/>
                <w:highlight w:val="none"/>
                <w:lang w:val="en-US" w:eastAsia="zh-CN"/>
              </w:rPr>
            </w:pPr>
            <w:r>
              <w:rPr>
                <w:rFonts w:hint="eastAsia" w:cs="Times New Roman"/>
                <w:color w:val="auto"/>
                <w:kern w:val="2"/>
                <w:sz w:val="24"/>
                <w:szCs w:val="24"/>
                <w:highlight w:val="none"/>
                <w:lang w:val="en-US" w:eastAsia="zh-CN"/>
              </w:rPr>
              <w:t>4）</w:t>
            </w:r>
            <w:r>
              <w:rPr>
                <w:rFonts w:hint="default" w:ascii="Times New Roman" w:hAnsi="Times New Roman" w:eastAsia="宋体" w:cs="Times New Roman"/>
                <w:color w:val="auto"/>
                <w:kern w:val="2"/>
                <w:sz w:val="24"/>
                <w:szCs w:val="24"/>
                <w:highlight w:val="none"/>
                <w:lang w:val="en-US" w:eastAsia="zh-CN"/>
              </w:rPr>
              <w:t>经济可行性论证</w:t>
            </w:r>
          </w:p>
          <w:p>
            <w:pPr>
              <w:tabs>
                <w:tab w:val="left" w:pos="480"/>
                <w:tab w:val="left" w:pos="2280"/>
                <w:tab w:val="left" w:pos="3720"/>
                <w:tab w:val="left" w:pos="5160"/>
              </w:tabs>
              <w:spacing w:line="360" w:lineRule="auto"/>
              <w:ind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cs="Times New Roman"/>
                <w:color w:val="auto"/>
                <w:kern w:val="2"/>
                <w:sz w:val="24"/>
                <w:szCs w:val="24"/>
                <w:highlight w:val="none"/>
                <w:lang w:val="en-US" w:eastAsia="zh-CN"/>
              </w:rPr>
              <w:t>项目处</w:t>
            </w:r>
            <w:r>
              <w:rPr>
                <w:rFonts w:hint="default" w:ascii="Times New Roman" w:hAnsi="Times New Roman" w:eastAsia="宋体" w:cs="Times New Roman"/>
                <w:color w:val="auto"/>
                <w:kern w:val="2"/>
                <w:sz w:val="24"/>
                <w:szCs w:val="24"/>
                <w:highlight w:val="none"/>
                <w:lang w:val="en-US" w:eastAsia="zh-CN"/>
              </w:rPr>
              <w:t>理措施主要为</w:t>
            </w:r>
            <w:r>
              <w:rPr>
                <w:rFonts w:hint="eastAsia" w:ascii="Times New Roman" w:hAnsi="Times New Roman" w:eastAsia="宋体" w:cs="Times New Roman"/>
                <w:color w:val="auto"/>
                <w:kern w:val="2"/>
                <w:sz w:val="24"/>
                <w:szCs w:val="24"/>
                <w:highlight w:val="none"/>
                <w:lang w:val="en-US" w:eastAsia="zh-CN"/>
              </w:rPr>
              <w:t>油气回收装置</w:t>
            </w:r>
            <w:r>
              <w:rPr>
                <w:rFonts w:hint="eastAsia" w:cs="Times New Roman"/>
                <w:color w:val="auto"/>
                <w:kern w:val="2"/>
                <w:sz w:val="24"/>
                <w:szCs w:val="24"/>
                <w:highlight w:val="none"/>
                <w:lang w:val="en-US" w:eastAsia="zh-CN"/>
              </w:rPr>
              <w:t>1</w:t>
            </w:r>
            <w:r>
              <w:rPr>
                <w:rFonts w:hint="eastAsia" w:ascii="Times New Roman" w:hAnsi="Times New Roman" w:eastAsia="宋体" w:cs="Times New Roman"/>
                <w:color w:val="auto"/>
                <w:kern w:val="2"/>
                <w:sz w:val="24"/>
                <w:szCs w:val="24"/>
                <w:highlight w:val="none"/>
                <w:lang w:val="en-US" w:eastAsia="zh-CN"/>
              </w:rPr>
              <w:t>套、RTO废气处理装置、低氮燃烧器3套、</w:t>
            </w:r>
            <w:r>
              <w:rPr>
                <w:rFonts w:hint="default" w:ascii="Times New Roman" w:hAnsi="Times New Roman" w:eastAsia="宋体" w:cs="Times New Roman"/>
                <w:color w:val="auto"/>
                <w:kern w:val="2"/>
                <w:sz w:val="24"/>
                <w:szCs w:val="24"/>
                <w:highlight w:val="none"/>
                <w:lang w:val="en-US" w:eastAsia="zh-CN"/>
              </w:rPr>
              <w:t>生物滤塔</w:t>
            </w:r>
            <w:r>
              <w:rPr>
                <w:rFonts w:hint="eastAsia" w:ascii="Times New Roman" w:hAnsi="Times New Roman" w:eastAsia="宋体" w:cs="Times New Roman"/>
                <w:color w:val="auto"/>
                <w:kern w:val="2"/>
                <w:sz w:val="24"/>
                <w:szCs w:val="24"/>
                <w:highlight w:val="none"/>
                <w:lang w:val="en-US" w:eastAsia="zh-CN"/>
              </w:rPr>
              <w:t>1套、排气筒4</w:t>
            </w:r>
            <w:r>
              <w:rPr>
                <w:rFonts w:hint="eastAsia" w:cs="Times New Roman"/>
                <w:color w:val="auto"/>
                <w:kern w:val="2"/>
                <w:sz w:val="24"/>
                <w:szCs w:val="24"/>
                <w:highlight w:val="none"/>
                <w:lang w:val="en-US" w:eastAsia="zh-CN"/>
              </w:rPr>
              <w:t>根、设备动静密封设施</w:t>
            </w:r>
            <w:r>
              <w:rPr>
                <w:rFonts w:hint="default" w:cs="Times New Roman"/>
                <w:color w:val="auto"/>
                <w:kern w:val="2"/>
                <w:sz w:val="24"/>
                <w:szCs w:val="24"/>
                <w:highlight w:val="none"/>
                <w:lang w:val="en-US" w:eastAsia="zh-CN"/>
              </w:rPr>
              <w:t>，总投资为</w:t>
            </w:r>
            <w:r>
              <w:rPr>
                <w:rFonts w:hint="eastAsia" w:cs="Times New Roman"/>
                <w:color w:val="auto"/>
                <w:kern w:val="2"/>
                <w:sz w:val="24"/>
                <w:szCs w:val="24"/>
                <w:highlight w:val="none"/>
                <w:lang w:val="en-US" w:eastAsia="zh-CN"/>
              </w:rPr>
              <w:t>300</w:t>
            </w:r>
            <w:r>
              <w:rPr>
                <w:rFonts w:hint="default" w:ascii="Times New Roman" w:hAnsi="Times New Roman" w:eastAsia="宋体" w:cs="Times New Roman"/>
                <w:color w:val="auto"/>
                <w:kern w:val="2"/>
                <w:sz w:val="24"/>
                <w:szCs w:val="24"/>
                <w:highlight w:val="none"/>
                <w:lang w:val="en-US" w:eastAsia="zh-CN"/>
              </w:rPr>
              <w:t>万元，年运行费用约为</w:t>
            </w:r>
            <w:r>
              <w:rPr>
                <w:rFonts w:hint="eastAsia" w:cs="Times New Roman"/>
                <w:color w:val="auto"/>
                <w:kern w:val="2"/>
                <w:sz w:val="24"/>
                <w:szCs w:val="24"/>
                <w:highlight w:val="none"/>
                <w:lang w:val="en-US" w:eastAsia="zh-CN"/>
              </w:rPr>
              <w:t>50</w:t>
            </w:r>
            <w:r>
              <w:rPr>
                <w:rFonts w:hint="default" w:ascii="Times New Roman" w:hAnsi="Times New Roman" w:eastAsia="宋体" w:cs="Times New Roman"/>
                <w:color w:val="auto"/>
                <w:kern w:val="2"/>
                <w:sz w:val="24"/>
                <w:szCs w:val="24"/>
                <w:highlight w:val="none"/>
                <w:lang w:val="en-US" w:eastAsia="zh-CN"/>
              </w:rPr>
              <w:t>万元，占项目总投资的比例较小，经济可行。</w:t>
            </w:r>
          </w:p>
          <w:p>
            <w:pPr>
              <w:pStyle w:val="77"/>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综上，项目废气处理措施可行。</w:t>
            </w:r>
          </w:p>
          <w:p>
            <w:pPr>
              <w:spacing w:line="360" w:lineRule="auto"/>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二</w:t>
            </w:r>
            <w:r>
              <w:rPr>
                <w:rFonts w:hint="default" w:ascii="Times New Roman" w:hAnsi="Times New Roman" w:eastAsia="黑体" w:cs="Times New Roman"/>
                <w:b w:val="0"/>
                <w:bCs w:val="0"/>
                <w:color w:val="auto"/>
                <w:sz w:val="24"/>
                <w:szCs w:val="24"/>
                <w:highlight w:val="none"/>
                <w:lang w:val="en-US" w:eastAsia="zh-CN"/>
              </w:rPr>
              <w:t>、废水</w:t>
            </w:r>
          </w:p>
          <w:p>
            <w:pPr>
              <w:tabs>
                <w:tab w:val="left" w:pos="480"/>
                <w:tab w:val="left" w:pos="2280"/>
                <w:tab w:val="left" w:pos="3720"/>
                <w:tab w:val="left" w:pos="5160"/>
              </w:tabs>
              <w:spacing w:line="360" w:lineRule="auto"/>
              <w:ind w:firstLine="480" w:firstLineChars="200"/>
              <w:rPr>
                <w:rFonts w:hint="eastAsia" w:ascii="Times New Roman" w:hAnsi="Times New Roman" w:eastAsia="宋体" w:cs="Times New Roman"/>
                <w:color w:val="auto"/>
                <w:kern w:val="2"/>
                <w:sz w:val="24"/>
                <w:szCs w:val="24"/>
                <w:highlight w:val="none"/>
                <w:lang w:val="en-US" w:eastAsia="zh-CN"/>
              </w:rPr>
            </w:pPr>
            <w:r>
              <w:rPr>
                <w:rFonts w:hint="default" w:ascii="Times New Roman" w:hAnsi="Times New Roman" w:cs="Times New Roman"/>
                <w:b w:val="0"/>
                <w:bCs w:val="0"/>
                <w:color w:val="auto"/>
                <w:sz w:val="24"/>
                <w:szCs w:val="24"/>
              </w:rPr>
              <w:t>本项目废水主要</w:t>
            </w:r>
            <w:r>
              <w:rPr>
                <w:rFonts w:hint="eastAsia" w:cs="Times New Roman"/>
                <w:b w:val="0"/>
                <w:bCs w:val="0"/>
                <w:color w:val="auto"/>
                <w:sz w:val="24"/>
                <w:szCs w:val="24"/>
                <w:lang w:eastAsia="zh-CN"/>
              </w:rPr>
              <w:t>包括职工</w:t>
            </w:r>
            <w:r>
              <w:rPr>
                <w:rFonts w:hint="default" w:ascii="Times New Roman" w:hAnsi="Times New Roman" w:cs="Times New Roman"/>
                <w:b w:val="0"/>
                <w:bCs w:val="0"/>
                <w:color w:val="auto"/>
                <w:sz w:val="24"/>
                <w:szCs w:val="24"/>
              </w:rPr>
              <w:t>生活污水</w:t>
            </w:r>
            <w:r>
              <w:rPr>
                <w:rFonts w:hint="eastAsia" w:ascii="Times New Roman" w:hAnsi="Times New Roman" w:eastAsia="宋体" w:cs="Times New Roman"/>
                <w:b w:val="0"/>
                <w:bCs w:val="0"/>
                <w:color w:val="auto"/>
                <w:sz w:val="24"/>
                <w:szCs w:val="24"/>
              </w:rPr>
              <w:t>、</w:t>
            </w:r>
            <w:r>
              <w:rPr>
                <w:rFonts w:hint="eastAsia" w:cs="Times New Roman"/>
                <w:color w:val="auto"/>
                <w:sz w:val="24"/>
                <w:szCs w:val="24"/>
                <w:lang w:val="zh-CN" w:eastAsia="zh-CN"/>
              </w:rPr>
              <w:t>蒸汽锅炉排污水、软水制备排污水</w:t>
            </w:r>
            <w:r>
              <w:rPr>
                <w:rFonts w:hint="eastAsia" w:ascii="Times New Roman" w:hAnsi="Times New Roman" w:eastAsia="宋体" w:cs="Times New Roman"/>
                <w:b w:val="0"/>
                <w:bCs w:val="0"/>
                <w:color w:val="auto"/>
                <w:sz w:val="24"/>
                <w:szCs w:val="24"/>
              </w:rPr>
              <w:t>、</w:t>
            </w:r>
            <w:r>
              <w:rPr>
                <w:rFonts w:hint="eastAsia" w:cs="Times New Roman"/>
                <w:color w:val="auto"/>
                <w:sz w:val="24"/>
                <w:szCs w:val="24"/>
                <w:lang w:val="zh-CN" w:eastAsia="zh-CN"/>
              </w:rPr>
              <w:t>罐区及装卸车区</w:t>
            </w:r>
            <w:r>
              <w:rPr>
                <w:rFonts w:hint="eastAsia" w:ascii="Times New Roman" w:hAnsi="Times New Roman" w:cs="Times New Roman"/>
                <w:color w:val="auto"/>
                <w:sz w:val="24"/>
                <w:szCs w:val="24"/>
                <w:lang w:val="zh-CN" w:eastAsia="zh-CN"/>
              </w:rPr>
              <w:t>地面清洗废水</w:t>
            </w:r>
            <w:r>
              <w:rPr>
                <w:rFonts w:hint="eastAsia" w:ascii="Times New Roman" w:hAnsi="Times New Roman" w:eastAsia="宋体" w:cs="Times New Roman"/>
                <w:b w:val="0"/>
                <w:bCs w:val="0"/>
                <w:color w:val="auto"/>
                <w:sz w:val="24"/>
                <w:szCs w:val="24"/>
                <w:lang w:eastAsia="zh-CN"/>
              </w:rPr>
              <w:t>、</w:t>
            </w:r>
            <w:r>
              <w:rPr>
                <w:rFonts w:hint="eastAsia" w:cs="Times New Roman"/>
                <w:b w:val="0"/>
                <w:bCs w:val="0"/>
                <w:color w:val="auto"/>
                <w:sz w:val="24"/>
                <w:szCs w:val="24"/>
                <w:lang w:eastAsia="zh-CN"/>
              </w:rPr>
              <w:t>储罐</w:t>
            </w:r>
            <w:r>
              <w:rPr>
                <w:rFonts w:hint="eastAsia" w:ascii="Times New Roman" w:hAnsi="Times New Roman" w:eastAsia="宋体" w:cs="Times New Roman"/>
                <w:b w:val="0"/>
                <w:bCs w:val="0"/>
                <w:color w:val="auto"/>
                <w:sz w:val="24"/>
                <w:szCs w:val="24"/>
                <w:lang w:eastAsia="zh-CN"/>
              </w:rPr>
              <w:t>冲洗</w:t>
            </w:r>
            <w:r>
              <w:rPr>
                <w:rFonts w:hint="eastAsia" w:cs="Times New Roman"/>
                <w:b w:val="0"/>
                <w:bCs w:val="0"/>
                <w:color w:val="auto"/>
                <w:sz w:val="24"/>
                <w:szCs w:val="24"/>
                <w:lang w:eastAsia="zh-CN"/>
              </w:rPr>
              <w:t>废</w:t>
            </w:r>
            <w:r>
              <w:rPr>
                <w:rFonts w:hint="eastAsia" w:ascii="Times New Roman" w:hAnsi="Times New Roman" w:eastAsia="宋体" w:cs="Times New Roman"/>
                <w:b w:val="0"/>
                <w:bCs w:val="0"/>
                <w:color w:val="auto"/>
                <w:sz w:val="24"/>
                <w:szCs w:val="24"/>
                <w:lang w:eastAsia="zh-CN"/>
              </w:rPr>
              <w:t>水、初期雨水。</w:t>
            </w:r>
          </w:p>
          <w:p>
            <w:pPr>
              <w:tabs>
                <w:tab w:val="left" w:pos="480"/>
                <w:tab w:val="left" w:pos="2280"/>
                <w:tab w:val="left" w:pos="3720"/>
                <w:tab w:val="left" w:pos="5160"/>
              </w:tabs>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1、废水产生及处理情况</w:t>
            </w:r>
          </w:p>
          <w:p>
            <w:pPr>
              <w:adjustRightInd w:val="0"/>
              <w:snapToGrid w:val="0"/>
              <w:spacing w:line="360" w:lineRule="auto"/>
              <w:ind w:firstLine="480" w:firstLineChars="200"/>
              <w:textAlignment w:val="baseline"/>
              <w:rPr>
                <w:rFonts w:hint="default"/>
                <w:color w:val="auto"/>
                <w:sz w:val="24"/>
                <w:szCs w:val="24"/>
                <w:lang w:val="en-US" w:eastAsia="zh-CN"/>
              </w:rPr>
            </w:pPr>
            <w:r>
              <w:rPr>
                <w:rFonts w:hint="eastAsia" w:cs="Times New Roman"/>
                <w:color w:val="auto"/>
                <w:kern w:val="2"/>
                <w:sz w:val="24"/>
                <w:szCs w:val="24"/>
                <w:lang w:val="en-US" w:eastAsia="zh-CN" w:bidi="ar-SA"/>
              </w:rPr>
              <w:t>（1）</w:t>
            </w:r>
            <w:r>
              <w:rPr>
                <w:rFonts w:hint="eastAsia" w:ascii="Times New Roman" w:hAnsi="Times New Roman" w:eastAsia="宋体" w:cs="Times New Roman"/>
                <w:color w:val="auto"/>
                <w:kern w:val="2"/>
                <w:sz w:val="24"/>
                <w:szCs w:val="24"/>
                <w:lang w:val="en-US" w:eastAsia="zh-CN" w:bidi="ar-SA"/>
              </w:rPr>
              <w:t>废</w:t>
            </w:r>
            <w:r>
              <w:rPr>
                <w:rFonts w:hint="eastAsia"/>
                <w:color w:val="auto"/>
                <w:sz w:val="24"/>
                <w:szCs w:val="24"/>
                <w:lang w:val="en-US" w:eastAsia="zh-CN"/>
              </w:rPr>
              <w:t>水产生情况</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①职工生活污水</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本项目定员</w:t>
            </w:r>
            <w:r>
              <w:rPr>
                <w:rFonts w:hint="eastAsia" w:ascii="Times New Roman" w:hAnsi="Times New Roman" w:eastAsia="宋体" w:cs="Times New Roman"/>
                <w:b w:val="0"/>
                <w:bCs w:val="0"/>
                <w:color w:val="auto"/>
                <w:sz w:val="24"/>
                <w:szCs w:val="24"/>
                <w:lang w:val="en-US" w:eastAsia="zh-CN"/>
              </w:rPr>
              <w:t>100</w:t>
            </w:r>
            <w:r>
              <w:rPr>
                <w:rFonts w:hint="eastAsia" w:ascii="Times New Roman" w:hAnsi="Times New Roman" w:eastAsia="宋体" w:cs="Times New Roman"/>
                <w:b w:val="0"/>
                <w:bCs w:val="0"/>
                <w:color w:val="auto"/>
                <w:sz w:val="24"/>
                <w:szCs w:val="24"/>
                <w:lang w:eastAsia="zh-CN"/>
              </w:rPr>
              <w:t>人，生活用水量为5m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/d，生活污水产生量按使用量的80%计，则生活污水产生量为</w:t>
            </w:r>
            <w:r>
              <w:rPr>
                <w:rFonts w:hint="eastAsia" w:ascii="Times New Roman" w:hAnsi="Times New Roman" w:eastAsia="宋体" w:cs="Times New Roman"/>
                <w:b w:val="0"/>
                <w:bCs w:val="0"/>
                <w:color w:val="auto"/>
                <w:sz w:val="24"/>
                <w:szCs w:val="24"/>
                <w:lang w:val="en-US" w:eastAsia="zh-CN"/>
              </w:rPr>
              <w:t>4</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/d，</w:t>
            </w:r>
            <w:r>
              <w:rPr>
                <w:rFonts w:hint="eastAsia" w:ascii="Times New Roman" w:hAnsi="Times New Roman" w:eastAsia="宋体" w:cs="Times New Roman"/>
                <w:b w:val="0"/>
                <w:bCs w:val="0"/>
                <w:color w:val="auto"/>
                <w:sz w:val="24"/>
                <w:szCs w:val="24"/>
                <w:lang w:val="en-US" w:eastAsia="zh-CN"/>
              </w:rPr>
              <w:t>1</w:t>
            </w:r>
            <w:r>
              <w:rPr>
                <w:rFonts w:hint="eastAsia" w:cs="Times New Roman"/>
                <w:b w:val="0"/>
                <w:bCs w:val="0"/>
                <w:color w:val="auto"/>
                <w:sz w:val="24"/>
                <w:szCs w:val="24"/>
                <w:lang w:val="en-US" w:eastAsia="zh-CN"/>
              </w:rPr>
              <w:t>3</w:t>
            </w:r>
            <w:r>
              <w:rPr>
                <w:rFonts w:hint="eastAsia" w:ascii="Times New Roman" w:hAnsi="Times New Roman" w:eastAsia="宋体" w:cs="Times New Roman"/>
                <w:b w:val="0"/>
                <w:bCs w:val="0"/>
                <w:color w:val="auto"/>
                <w:sz w:val="24"/>
                <w:szCs w:val="24"/>
                <w:lang w:val="en-US" w:eastAsia="zh-CN"/>
              </w:rPr>
              <w:t>32</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/a。</w:t>
            </w:r>
          </w:p>
          <w:p>
            <w:pPr>
              <w:spacing w:line="360" w:lineRule="auto"/>
              <w:ind w:firstLine="482"/>
              <w:rPr>
                <w:rFonts w:hint="eastAsia" w:cs="Times New Roman"/>
                <w:color w:val="auto"/>
                <w:sz w:val="24"/>
                <w:szCs w:val="24"/>
                <w:lang w:val="zh-CN" w:eastAsia="zh-CN"/>
              </w:rPr>
            </w:pPr>
            <w:r>
              <w:rPr>
                <w:rFonts w:hint="eastAsia" w:cs="Times New Roman"/>
                <w:color w:val="auto"/>
                <w:sz w:val="24"/>
                <w:szCs w:val="24"/>
                <w:lang w:val="zh-CN" w:eastAsia="zh-CN"/>
              </w:rPr>
              <w:t>②蒸汽锅炉排污水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11"/>
                <w:sz w:val="24"/>
                <w:szCs w:val="24"/>
              </w:rPr>
              <w:t>锅炉</w:t>
            </w:r>
            <w:r>
              <w:rPr>
                <w:rFonts w:hint="default" w:ascii="Times New Roman" w:hAnsi="Times New Roman" w:cs="Times New Roman"/>
                <w:color w:val="auto"/>
                <w:kern w:val="11"/>
                <w:sz w:val="24"/>
                <w:szCs w:val="24"/>
                <w:lang w:val="en-US" w:eastAsia="zh-CN"/>
              </w:rPr>
              <w:t>排浓水</w:t>
            </w:r>
            <w:r>
              <w:rPr>
                <w:rFonts w:hint="default" w:ascii="Times New Roman" w:hAnsi="Times New Roman" w:eastAsia="宋体" w:cs="Times New Roman"/>
                <w:color w:val="auto"/>
                <w:kern w:val="11"/>
                <w:sz w:val="24"/>
                <w:szCs w:val="24"/>
              </w:rPr>
              <w:t>量</w:t>
            </w:r>
            <w:r>
              <w:rPr>
                <w:rFonts w:hint="default" w:ascii="Times New Roman" w:hAnsi="Times New Roman" w:cs="Times New Roman"/>
                <w:color w:val="auto"/>
                <w:kern w:val="11"/>
                <w:sz w:val="24"/>
                <w:szCs w:val="24"/>
                <w:lang w:eastAsia="zh-CN"/>
              </w:rPr>
              <w:t>：</w:t>
            </w:r>
            <w:r>
              <w:rPr>
                <w:rFonts w:hint="default" w:ascii="Times New Roman" w:hAnsi="Times New Roman" w:eastAsia="宋体" w:cs="Times New Roman"/>
                <w:color w:val="auto"/>
                <w:kern w:val="11"/>
                <w:sz w:val="24"/>
                <w:szCs w:val="24"/>
              </w:rPr>
              <w:t>参考《</w:t>
            </w:r>
            <w:r>
              <w:rPr>
                <w:rFonts w:hint="default" w:ascii="Times New Roman" w:hAnsi="Times New Roman" w:eastAsia="宋体" w:cs="Times New Roman"/>
                <w:color w:val="auto"/>
                <w:kern w:val="11"/>
                <w:sz w:val="24"/>
                <w:szCs w:val="24"/>
                <w:lang w:val="en-US" w:eastAsia="zh-CN"/>
              </w:rPr>
              <w:t>排放源统计调查产排污核算方法和系数手册</w:t>
            </w:r>
            <w:r>
              <w:rPr>
                <w:rFonts w:hint="default" w:ascii="Times New Roman" w:hAnsi="Times New Roman" w:eastAsia="宋体" w:cs="Times New Roman"/>
                <w:color w:val="auto"/>
                <w:kern w:val="11"/>
                <w:sz w:val="24"/>
                <w:szCs w:val="24"/>
              </w:rPr>
              <w:t>》</w:t>
            </w:r>
            <w:r>
              <w:rPr>
                <w:rFonts w:hint="default" w:ascii="Times New Roman" w:hAnsi="Times New Roman" w:cs="Times New Roman"/>
                <w:color w:val="auto"/>
                <w:kern w:val="11"/>
                <w:sz w:val="24"/>
                <w:szCs w:val="24"/>
                <w:lang w:val="en-US" w:eastAsia="zh-CN"/>
              </w:rPr>
              <w:t>中对应的4430</w:t>
            </w:r>
            <w:r>
              <w:rPr>
                <w:rFonts w:hint="default" w:ascii="Times New Roman" w:hAnsi="Times New Roman" w:eastAsia="宋体" w:cs="Times New Roman"/>
                <w:color w:val="auto"/>
                <w:kern w:val="11"/>
                <w:sz w:val="24"/>
                <w:szCs w:val="24"/>
              </w:rPr>
              <w:t>工业</w:t>
            </w:r>
            <w:r>
              <w:rPr>
                <w:rFonts w:hint="default" w:ascii="Times New Roman" w:hAnsi="Times New Roman" w:eastAsia="宋体" w:cs="Times New Roman"/>
                <w:color w:val="auto"/>
                <w:kern w:val="11"/>
                <w:sz w:val="24"/>
                <w:szCs w:val="24"/>
                <w:lang w:val="en-US" w:eastAsia="zh-CN"/>
              </w:rPr>
              <w:t>锅炉产排污量核算系数</w:t>
            </w:r>
            <w:r>
              <w:rPr>
                <w:rFonts w:hint="default" w:ascii="Times New Roman" w:hAnsi="Times New Roman" w:eastAsia="宋体" w:cs="Times New Roman"/>
                <w:color w:val="auto"/>
                <w:kern w:val="11"/>
                <w:sz w:val="24"/>
                <w:szCs w:val="24"/>
              </w:rPr>
              <w:t>，产生系数为</w:t>
            </w:r>
            <w:r>
              <w:rPr>
                <w:rFonts w:hint="default" w:ascii="Times New Roman" w:hAnsi="Times New Roman" w:cs="Times New Roman"/>
                <w:color w:val="auto"/>
                <w:kern w:val="11"/>
                <w:sz w:val="24"/>
                <w:szCs w:val="24"/>
                <w:lang w:val="en-US" w:eastAsia="zh-CN"/>
              </w:rPr>
              <w:t>1.97m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color w:val="auto"/>
                <w:kern w:val="11"/>
                <w:sz w:val="24"/>
                <w:szCs w:val="24"/>
              </w:rPr>
              <w:t>/万Nm</w:t>
            </w:r>
            <w:r>
              <w:rPr>
                <w:rFonts w:hint="default" w:ascii="Times New Roman" w:hAnsi="Times New Roman" w:eastAsia="宋体" w:cs="Times New Roman"/>
                <w:color w:val="auto"/>
                <w:kern w:val="11"/>
                <w:sz w:val="24"/>
                <w:szCs w:val="24"/>
                <w:vertAlign w:val="superscript"/>
              </w:rPr>
              <w:t>3</w:t>
            </w:r>
            <w:r>
              <w:rPr>
                <w:rFonts w:hint="default" w:ascii="Times New Roman" w:hAnsi="Times New Roman" w:eastAsia="宋体" w:cs="Times New Roman"/>
                <w:color w:val="auto"/>
                <w:kern w:val="11"/>
                <w:sz w:val="24"/>
                <w:szCs w:val="24"/>
              </w:rPr>
              <w:t>天然气。蒸汽锅炉年</w:t>
            </w:r>
            <w:r>
              <w:rPr>
                <w:rFonts w:hint="default" w:ascii="Times New Roman" w:hAnsi="Times New Roman" w:cs="Times New Roman"/>
                <w:color w:val="auto"/>
                <w:kern w:val="11"/>
                <w:sz w:val="24"/>
                <w:szCs w:val="24"/>
                <w:lang w:val="en-US" w:eastAsia="zh-CN"/>
              </w:rPr>
              <w:t>天然气用</w:t>
            </w:r>
            <w:r>
              <w:rPr>
                <w:rFonts w:hint="default" w:ascii="Times New Roman" w:hAnsi="Times New Roman" w:eastAsia="宋体" w:cs="Times New Roman"/>
                <w:color w:val="auto"/>
                <w:kern w:val="11"/>
                <w:sz w:val="24"/>
                <w:szCs w:val="24"/>
              </w:rPr>
              <w:t>量约</w:t>
            </w:r>
            <w:r>
              <w:rPr>
                <w:rFonts w:hint="default" w:ascii="Times New Roman" w:hAnsi="Times New Roman" w:eastAsia="宋体" w:cs="Times New Roman"/>
                <w:color w:val="auto"/>
                <w:kern w:val="11"/>
                <w:sz w:val="24"/>
                <w:szCs w:val="24"/>
                <w:lang w:val="en-US" w:eastAsia="zh-CN"/>
              </w:rPr>
              <w:t>为</w:t>
            </w:r>
            <w:r>
              <w:rPr>
                <w:rFonts w:hint="eastAsia" w:ascii="Times New Roman" w:hAnsi="Times New Roman" w:eastAsia="宋体" w:cs="Times New Roman"/>
                <w:color w:val="auto"/>
                <w:kern w:val="11"/>
                <w:sz w:val="24"/>
                <w:szCs w:val="24"/>
                <w:lang w:val="en-US" w:eastAsia="zh-CN"/>
              </w:rPr>
              <w:t>313.6</w:t>
            </w:r>
            <w:r>
              <w:rPr>
                <w:rFonts w:hint="default" w:ascii="Times New Roman" w:hAnsi="Times New Roman" w:eastAsia="宋体" w:cs="Times New Roman"/>
                <w:color w:val="auto"/>
                <w:kern w:val="11"/>
                <w:sz w:val="24"/>
                <w:szCs w:val="24"/>
              </w:rPr>
              <w:t>万Nm</w:t>
            </w:r>
            <w:r>
              <w:rPr>
                <w:rFonts w:hint="default" w:ascii="Times New Roman" w:hAnsi="Times New Roman" w:eastAsia="宋体" w:cs="Times New Roman"/>
                <w:color w:val="auto"/>
                <w:kern w:val="11"/>
                <w:sz w:val="24"/>
                <w:szCs w:val="24"/>
                <w:vertAlign w:val="superscript"/>
              </w:rPr>
              <w:t>3</w:t>
            </w:r>
            <w:r>
              <w:rPr>
                <w:rFonts w:hint="default" w:ascii="Times New Roman" w:hAnsi="Times New Roman" w:cs="Times New Roman"/>
                <w:color w:val="auto"/>
                <w:kern w:val="11"/>
                <w:sz w:val="24"/>
                <w:szCs w:val="24"/>
                <w:vertAlign w:val="baseline"/>
                <w:lang w:val="en-US" w:eastAsia="zh-CN"/>
              </w:rPr>
              <w:t>/a</w:t>
            </w:r>
            <w:r>
              <w:rPr>
                <w:rFonts w:hint="default" w:ascii="Times New Roman" w:hAnsi="Times New Roman" w:cs="Times New Roman"/>
                <w:color w:val="auto"/>
                <w:kern w:val="11"/>
                <w:sz w:val="24"/>
                <w:szCs w:val="24"/>
                <w:lang w:eastAsia="zh-CN"/>
              </w:rPr>
              <w:t>，</w:t>
            </w:r>
            <w:r>
              <w:rPr>
                <w:rFonts w:hint="default" w:ascii="Times New Roman" w:hAnsi="Times New Roman" w:eastAsia="宋体" w:cs="Times New Roman"/>
                <w:color w:val="auto"/>
                <w:kern w:val="11"/>
                <w:sz w:val="24"/>
                <w:szCs w:val="24"/>
                <w:lang w:val="en-US" w:eastAsia="zh-CN"/>
              </w:rPr>
              <w:t>则</w:t>
            </w:r>
            <w:r>
              <w:rPr>
                <w:rFonts w:hint="default" w:ascii="Times New Roman" w:hAnsi="Times New Roman" w:cs="Times New Roman"/>
                <w:color w:val="auto"/>
                <w:kern w:val="11"/>
                <w:sz w:val="24"/>
                <w:szCs w:val="24"/>
                <w:lang w:val="en-US" w:eastAsia="zh-CN"/>
              </w:rPr>
              <w:t>锅炉排浓水量</w:t>
            </w:r>
            <w:r>
              <w:rPr>
                <w:rFonts w:hint="default" w:ascii="Times New Roman" w:hAnsi="Times New Roman" w:eastAsia="宋体" w:cs="Times New Roman"/>
                <w:color w:val="auto"/>
                <w:kern w:val="11"/>
                <w:sz w:val="24"/>
                <w:szCs w:val="24"/>
              </w:rPr>
              <w:t>为</w:t>
            </w:r>
            <w:r>
              <w:rPr>
                <w:rFonts w:hint="eastAsia" w:ascii="Times New Roman" w:hAnsi="Times New Roman" w:cs="Times New Roman"/>
                <w:color w:val="auto"/>
                <w:kern w:val="11"/>
                <w:sz w:val="24"/>
                <w:szCs w:val="24"/>
                <w:lang w:val="en-US" w:eastAsia="zh-CN"/>
              </w:rPr>
              <w:t>617.79</w:t>
            </w:r>
            <w:r>
              <w:rPr>
                <w:rFonts w:hint="default" w:ascii="Times New Roman" w:hAnsi="Times New Roman" w:cs="Times New Roman"/>
                <w:color w:val="auto"/>
                <w:kern w:val="11"/>
                <w:sz w:val="24"/>
                <w:szCs w:val="24"/>
                <w:lang w:val="en-US" w:eastAsia="zh-CN"/>
              </w:rPr>
              <w:t>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color w:val="auto"/>
                <w:kern w:val="11"/>
                <w:sz w:val="24"/>
                <w:szCs w:val="24"/>
              </w:rPr>
              <w:t>/a</w:t>
            </w:r>
            <w:r>
              <w:rPr>
                <w:rFonts w:hint="default" w:ascii="Times New Roman" w:hAnsi="Times New Roman" w:eastAsia="宋体" w:cs="Times New Roman"/>
                <w:color w:val="auto"/>
                <w:sz w:val="24"/>
                <w:szCs w:val="24"/>
              </w:rPr>
              <w:t>。</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cs="Times New Roman"/>
                <w:color w:val="auto"/>
                <w:sz w:val="24"/>
                <w:szCs w:val="24"/>
                <w:lang w:val="zh-CN" w:eastAsia="zh-CN"/>
              </w:rPr>
              <w:t>③软水制备排污水</w:t>
            </w:r>
          </w:p>
          <w:p>
            <w:pPr>
              <w:spacing w:line="360" w:lineRule="auto"/>
              <w:ind w:firstLine="482"/>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Cs/>
                <w:color w:val="auto"/>
                <w:sz w:val="24"/>
                <w:szCs w:val="24"/>
              </w:rPr>
              <w:t>软水系统软水的产水量为80%，软水系统用</w:t>
            </w:r>
            <w:r>
              <w:rPr>
                <w:rFonts w:hint="eastAsia" w:ascii="Times New Roman" w:hAnsi="Times New Roman" w:eastAsia="宋体" w:cs="Times New Roman"/>
                <w:bCs/>
                <w:color w:val="auto"/>
                <w:sz w:val="24"/>
                <w:szCs w:val="24"/>
                <w:lang w:eastAsia="zh-CN"/>
              </w:rPr>
              <w:t>水</w:t>
            </w:r>
            <w:r>
              <w:rPr>
                <w:rFonts w:hint="default" w:ascii="Times New Roman" w:hAnsi="Times New Roman" w:eastAsia="宋体" w:cs="Times New Roman"/>
                <w:bCs/>
                <w:color w:val="auto"/>
                <w:sz w:val="24"/>
                <w:szCs w:val="24"/>
              </w:rPr>
              <w:t>量为</w:t>
            </w:r>
            <w:r>
              <w:rPr>
                <w:rFonts w:hint="eastAsia" w:ascii="Times New Roman" w:hAnsi="Times New Roman" w:cs="Times New Roman"/>
                <w:color w:val="auto"/>
                <w:sz w:val="24"/>
                <w:szCs w:val="24"/>
                <w:lang w:val="en-US" w:eastAsia="zh-CN"/>
              </w:rPr>
              <w:t>3173.35</w:t>
            </w:r>
            <w:r>
              <w:rPr>
                <w:rFonts w:hint="default" w:ascii="Times New Roman" w:hAnsi="Times New Roman" w:cs="Times New Roman"/>
                <w:color w:val="auto"/>
                <w:kern w:val="11"/>
                <w:sz w:val="24"/>
                <w:szCs w:val="24"/>
                <w:lang w:val="en-US" w:eastAsia="zh-CN"/>
              </w:rPr>
              <w:t>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bCs/>
                <w:color w:val="auto"/>
                <w:sz w:val="24"/>
                <w:szCs w:val="24"/>
                <w:lang w:val="en-US" w:eastAsia="zh-CN"/>
              </w:rPr>
              <w:t>/a</w:t>
            </w:r>
            <w:r>
              <w:rPr>
                <w:rFonts w:hint="default" w:ascii="Times New Roman" w:hAnsi="Times New Roman" w:eastAsia="宋体" w:cs="Times New Roman"/>
                <w:bCs/>
                <w:color w:val="auto"/>
                <w:sz w:val="24"/>
                <w:szCs w:val="24"/>
              </w:rPr>
              <w:t>，则软水制备系统浓水产生量为</w:t>
            </w:r>
            <w:r>
              <w:rPr>
                <w:rFonts w:hint="eastAsia" w:ascii="Times New Roman" w:hAnsi="Times New Roman" w:cs="Times New Roman"/>
                <w:bCs/>
                <w:color w:val="auto"/>
                <w:sz w:val="24"/>
                <w:szCs w:val="24"/>
                <w:lang w:val="en-US" w:eastAsia="zh-CN"/>
              </w:rPr>
              <w:t>634.67</w:t>
            </w:r>
            <w:r>
              <w:rPr>
                <w:rFonts w:hint="default" w:ascii="Times New Roman" w:hAnsi="Times New Roman" w:cs="Times New Roman"/>
                <w:color w:val="auto"/>
                <w:kern w:val="11"/>
                <w:sz w:val="24"/>
                <w:szCs w:val="24"/>
                <w:lang w:val="en-US" w:eastAsia="zh-CN"/>
              </w:rPr>
              <w:t>m</w:t>
            </w:r>
            <w:r>
              <w:rPr>
                <w:rFonts w:hint="default" w:ascii="Times New Roman" w:hAnsi="Times New Roman" w:cs="Times New Roman"/>
                <w:color w:val="auto"/>
                <w:kern w:val="11"/>
                <w:sz w:val="24"/>
                <w:szCs w:val="24"/>
                <w:vertAlign w:val="superscript"/>
                <w:lang w:val="en-US" w:eastAsia="zh-CN"/>
              </w:rPr>
              <w:t>3</w:t>
            </w:r>
            <w:r>
              <w:rPr>
                <w:rFonts w:hint="default" w:ascii="Times New Roman" w:hAnsi="Times New Roman" w:eastAsia="宋体" w:cs="Times New Roman"/>
                <w:bCs/>
                <w:color w:val="auto"/>
                <w:sz w:val="24"/>
                <w:szCs w:val="24"/>
                <w:lang w:val="en-US" w:eastAsia="zh-CN"/>
              </w:rPr>
              <w:t>/a</w:t>
            </w:r>
            <w:r>
              <w:rPr>
                <w:rFonts w:hint="eastAsia" w:ascii="Times New Roman" w:hAnsi="Times New Roman" w:eastAsia="宋体" w:cs="Times New Roman"/>
                <w:bCs/>
                <w:color w:val="auto"/>
                <w:sz w:val="24"/>
                <w:szCs w:val="24"/>
                <w:lang w:val="en-US" w:eastAsia="zh-CN"/>
              </w:rPr>
              <w:t>。</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④</w:t>
            </w:r>
            <w:r>
              <w:rPr>
                <w:rFonts w:hint="eastAsia" w:cs="Times New Roman"/>
                <w:color w:val="auto"/>
                <w:sz w:val="24"/>
                <w:szCs w:val="24"/>
                <w:lang w:val="zh-CN" w:eastAsia="zh-CN"/>
              </w:rPr>
              <w:t>罐区及装卸车区</w:t>
            </w:r>
            <w:r>
              <w:rPr>
                <w:rFonts w:hint="eastAsia" w:ascii="Times New Roman" w:hAnsi="Times New Roman" w:cs="Times New Roman"/>
                <w:color w:val="auto"/>
                <w:sz w:val="24"/>
                <w:szCs w:val="24"/>
                <w:lang w:val="zh-CN" w:eastAsia="zh-CN"/>
              </w:rPr>
              <w:t>地面清洗废水</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cs="Times New Roman"/>
                <w:color w:val="auto"/>
                <w:sz w:val="24"/>
                <w:szCs w:val="24"/>
                <w:lang w:val="zh-CN" w:eastAsia="zh-CN"/>
              </w:rPr>
              <w:t>罐区及装卸车区</w:t>
            </w:r>
            <w:r>
              <w:rPr>
                <w:rFonts w:hint="eastAsia" w:ascii="Times New Roman" w:hAnsi="Times New Roman" w:cs="Times New Roman"/>
                <w:color w:val="auto"/>
                <w:sz w:val="24"/>
                <w:szCs w:val="24"/>
                <w:lang w:val="zh-CN" w:eastAsia="zh-CN"/>
              </w:rPr>
              <w:t>地面清洗</w:t>
            </w:r>
            <w:r>
              <w:rPr>
                <w:rFonts w:hint="eastAsia" w:ascii="Times New Roman" w:hAnsi="Times New Roman" w:eastAsia="宋体" w:cs="Times New Roman"/>
                <w:b w:val="0"/>
                <w:bCs w:val="0"/>
                <w:color w:val="auto"/>
                <w:sz w:val="24"/>
                <w:szCs w:val="24"/>
                <w:lang w:eastAsia="zh-CN"/>
              </w:rPr>
              <w:t>用</w:t>
            </w:r>
            <w:r>
              <w:rPr>
                <w:rFonts w:hint="eastAsia" w:cs="Times New Roman"/>
                <w:b w:val="0"/>
                <w:bCs w:val="0"/>
                <w:color w:val="auto"/>
                <w:sz w:val="24"/>
                <w:szCs w:val="24"/>
                <w:lang w:eastAsia="zh-CN"/>
              </w:rPr>
              <w:t>水</w:t>
            </w:r>
            <w:r>
              <w:rPr>
                <w:rFonts w:hint="eastAsia" w:ascii="Times New Roman" w:hAnsi="Times New Roman" w:eastAsia="宋体" w:cs="Times New Roman"/>
                <w:b w:val="0"/>
                <w:bCs w:val="0"/>
                <w:color w:val="auto"/>
                <w:sz w:val="24"/>
                <w:szCs w:val="24"/>
                <w:lang w:eastAsia="zh-CN"/>
              </w:rPr>
              <w:t>量为</w:t>
            </w:r>
            <w:r>
              <w:rPr>
                <w:rFonts w:hint="eastAsia" w:cs="Times New Roman"/>
                <w:b w:val="0"/>
                <w:bCs w:val="0"/>
                <w:color w:val="auto"/>
                <w:sz w:val="24"/>
                <w:szCs w:val="24"/>
                <w:lang w:val="en-US" w:eastAsia="zh-CN"/>
              </w:rPr>
              <w:t>4902.79</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/a，污水产生系数按照80%计，则</w:t>
            </w:r>
            <w:r>
              <w:rPr>
                <w:rFonts w:hint="eastAsia" w:cs="Times New Roman"/>
                <w:color w:val="auto"/>
                <w:sz w:val="24"/>
                <w:szCs w:val="24"/>
                <w:lang w:val="zh-CN" w:eastAsia="zh-CN"/>
              </w:rPr>
              <w:t>罐区及装卸车区</w:t>
            </w:r>
            <w:r>
              <w:rPr>
                <w:rFonts w:hint="eastAsia" w:ascii="Times New Roman" w:hAnsi="Times New Roman" w:cs="Times New Roman"/>
                <w:color w:val="auto"/>
                <w:sz w:val="24"/>
                <w:szCs w:val="24"/>
                <w:lang w:val="zh-CN" w:eastAsia="zh-CN"/>
              </w:rPr>
              <w:t>地面清洗废水</w:t>
            </w:r>
            <w:r>
              <w:rPr>
                <w:rFonts w:hint="eastAsia" w:ascii="Times New Roman" w:hAnsi="Times New Roman" w:eastAsia="宋体" w:cs="Times New Roman"/>
                <w:b w:val="0"/>
                <w:bCs w:val="0"/>
                <w:color w:val="auto"/>
                <w:sz w:val="24"/>
                <w:szCs w:val="24"/>
                <w:lang w:eastAsia="zh-CN"/>
              </w:rPr>
              <w:t>产生量为</w:t>
            </w:r>
            <w:r>
              <w:rPr>
                <w:rFonts w:hint="eastAsia" w:cs="Times New Roman"/>
                <w:b w:val="0"/>
                <w:bCs w:val="0"/>
                <w:color w:val="auto"/>
                <w:sz w:val="24"/>
                <w:szCs w:val="24"/>
                <w:lang w:val="en-US" w:eastAsia="zh-CN"/>
              </w:rPr>
              <w:t>3922.23</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/a。</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cs="Times New Roman"/>
                <w:b w:val="0"/>
                <w:bCs w:val="0"/>
                <w:color w:val="auto"/>
                <w:sz w:val="24"/>
                <w:szCs w:val="24"/>
                <w:lang w:eastAsia="zh-CN"/>
              </w:rPr>
              <w:t>⑤储罐</w:t>
            </w:r>
            <w:r>
              <w:rPr>
                <w:rFonts w:hint="eastAsia" w:ascii="Times New Roman" w:hAnsi="Times New Roman" w:eastAsia="宋体" w:cs="Times New Roman"/>
                <w:b w:val="0"/>
                <w:bCs w:val="0"/>
                <w:color w:val="auto"/>
                <w:sz w:val="24"/>
                <w:szCs w:val="24"/>
                <w:lang w:eastAsia="zh-CN"/>
              </w:rPr>
              <w:t>冲洗</w:t>
            </w:r>
            <w:r>
              <w:rPr>
                <w:rFonts w:hint="eastAsia" w:cs="Times New Roman"/>
                <w:b w:val="0"/>
                <w:bCs w:val="0"/>
                <w:color w:val="auto"/>
                <w:sz w:val="24"/>
                <w:szCs w:val="24"/>
                <w:lang w:eastAsia="zh-CN"/>
              </w:rPr>
              <w:t>废</w:t>
            </w:r>
            <w:r>
              <w:rPr>
                <w:rFonts w:hint="eastAsia" w:ascii="Times New Roman" w:hAnsi="Times New Roman" w:eastAsia="宋体" w:cs="Times New Roman"/>
                <w:b w:val="0"/>
                <w:bCs w:val="0"/>
                <w:color w:val="auto"/>
                <w:sz w:val="24"/>
                <w:szCs w:val="24"/>
                <w:lang w:eastAsia="zh-CN"/>
              </w:rPr>
              <w:t>水</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cs="Times New Roman"/>
                <w:b w:val="0"/>
                <w:bCs w:val="0"/>
                <w:color w:val="auto"/>
                <w:sz w:val="24"/>
                <w:szCs w:val="24"/>
                <w:lang w:eastAsia="zh-CN"/>
              </w:rPr>
              <w:t>储罐</w:t>
            </w:r>
            <w:r>
              <w:rPr>
                <w:rFonts w:hint="eastAsia" w:ascii="Times New Roman" w:hAnsi="Times New Roman" w:eastAsia="宋体" w:cs="Times New Roman"/>
                <w:b w:val="0"/>
                <w:bCs w:val="0"/>
                <w:color w:val="auto"/>
                <w:sz w:val="24"/>
                <w:szCs w:val="24"/>
                <w:lang w:eastAsia="zh-CN"/>
              </w:rPr>
              <w:t>冲洗水用量为</w:t>
            </w:r>
            <w:r>
              <w:rPr>
                <w:rFonts w:hint="eastAsia" w:cs="Times New Roman"/>
                <w:b w:val="0"/>
                <w:bCs w:val="0"/>
                <w:color w:val="auto"/>
                <w:sz w:val="24"/>
                <w:szCs w:val="24"/>
                <w:lang w:val="en-US" w:eastAsia="zh-CN"/>
              </w:rPr>
              <w:t>6090</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/3a，污水产生系数按照</w:t>
            </w:r>
            <w:r>
              <w:rPr>
                <w:rFonts w:hint="eastAsia" w:cs="Times New Roman"/>
                <w:b w:val="0"/>
                <w:bCs w:val="0"/>
                <w:color w:val="auto"/>
                <w:sz w:val="24"/>
                <w:szCs w:val="24"/>
                <w:lang w:val="en-US" w:eastAsia="zh-CN"/>
              </w:rPr>
              <w:t>9</w:t>
            </w:r>
            <w:r>
              <w:rPr>
                <w:rFonts w:hint="eastAsia" w:ascii="Times New Roman" w:hAnsi="Times New Roman" w:eastAsia="宋体" w:cs="Times New Roman"/>
                <w:b w:val="0"/>
                <w:bCs w:val="0"/>
                <w:color w:val="auto"/>
                <w:sz w:val="24"/>
                <w:szCs w:val="24"/>
                <w:lang w:eastAsia="zh-CN"/>
              </w:rPr>
              <w:t>0%计，污水产生量为</w:t>
            </w:r>
            <w:r>
              <w:rPr>
                <w:rFonts w:hint="eastAsia" w:cs="Times New Roman"/>
                <w:b w:val="0"/>
                <w:bCs w:val="0"/>
                <w:color w:val="auto"/>
                <w:sz w:val="24"/>
                <w:szCs w:val="24"/>
                <w:lang w:val="en-US" w:eastAsia="zh-CN"/>
              </w:rPr>
              <w:t>1827</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/a。</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⑥初期雨水</w:t>
            </w:r>
          </w:p>
          <w:p>
            <w:pPr>
              <w:spacing w:line="360" w:lineRule="auto"/>
              <w:ind w:firstLine="482"/>
              <w:rPr>
                <w:rFonts w:hint="eastAsia" w:ascii="Times New Roman" w:hAnsi="Times New Roman" w:eastAsia="宋体" w:cs="Times New Roman"/>
                <w:b w:val="0"/>
                <w:bCs w:val="0"/>
                <w:color w:val="auto"/>
                <w:sz w:val="24"/>
                <w:szCs w:val="24"/>
                <w:lang w:eastAsia="zh-CN"/>
              </w:rPr>
            </w:pPr>
            <w:r>
              <w:rPr>
                <w:rFonts w:hint="eastAsia" w:ascii="Times New Roman" w:hAnsi="Times New Roman" w:eastAsia="宋体" w:cs="Times New Roman"/>
                <w:b w:val="0"/>
                <w:bCs w:val="0"/>
                <w:color w:val="auto"/>
                <w:sz w:val="24"/>
                <w:szCs w:val="24"/>
                <w:lang w:eastAsia="zh-CN"/>
              </w:rPr>
              <w:t>本项目初期雨水汇水面积约为</w:t>
            </w:r>
            <w:r>
              <w:rPr>
                <w:rFonts w:hint="eastAsia" w:cs="Times New Roman"/>
                <w:b w:val="0"/>
                <w:bCs w:val="0"/>
                <w:color w:val="auto"/>
                <w:sz w:val="24"/>
                <w:szCs w:val="24"/>
                <w:lang w:val="en-US" w:eastAsia="zh-CN"/>
              </w:rPr>
              <w:t>51070.7</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2</w:t>
            </w:r>
            <w:r>
              <w:rPr>
                <w:rFonts w:hint="eastAsia" w:ascii="Times New Roman" w:hAnsi="Times New Roman" w:eastAsia="宋体" w:cs="Times New Roman"/>
                <w:b w:val="0"/>
                <w:bCs w:val="0"/>
                <w:color w:val="auto"/>
                <w:sz w:val="24"/>
                <w:szCs w:val="24"/>
                <w:lang w:eastAsia="zh-CN"/>
              </w:rPr>
              <w:t>，降雨量按照15mm</w:t>
            </w:r>
            <w:r>
              <w:rPr>
                <w:rFonts w:hint="eastAsia"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eastAsia="zh-CN"/>
              </w:rPr>
              <w:t>径流系数取0.9，则本项目初期雨水量最大值为</w:t>
            </w:r>
            <w:r>
              <w:rPr>
                <w:rFonts w:hint="eastAsia" w:cs="Times New Roman"/>
                <w:b w:val="0"/>
                <w:bCs w:val="0"/>
                <w:color w:val="auto"/>
                <w:sz w:val="24"/>
                <w:szCs w:val="24"/>
                <w:lang w:val="en-US" w:eastAsia="zh-CN"/>
              </w:rPr>
              <w:t>689.45</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，一年降水次数按1</w:t>
            </w:r>
            <w:r>
              <w:rPr>
                <w:rFonts w:hint="eastAsia" w:cs="Times New Roman"/>
                <w:b w:val="0"/>
                <w:bCs w:val="0"/>
                <w:color w:val="auto"/>
                <w:sz w:val="24"/>
                <w:szCs w:val="24"/>
                <w:lang w:val="en-US" w:eastAsia="zh-CN"/>
              </w:rPr>
              <w:t>0</w:t>
            </w:r>
            <w:r>
              <w:rPr>
                <w:rFonts w:hint="eastAsia" w:ascii="Times New Roman" w:hAnsi="Times New Roman" w:eastAsia="宋体" w:cs="Times New Roman"/>
                <w:b w:val="0"/>
                <w:bCs w:val="0"/>
                <w:color w:val="auto"/>
                <w:sz w:val="24"/>
                <w:szCs w:val="24"/>
                <w:lang w:eastAsia="zh-CN"/>
              </w:rPr>
              <w:t>次计算，则本项目前期雨水量为</w:t>
            </w:r>
            <w:r>
              <w:rPr>
                <w:rFonts w:hint="eastAsia" w:cs="Times New Roman"/>
                <w:b w:val="0"/>
                <w:bCs w:val="0"/>
                <w:color w:val="auto"/>
                <w:sz w:val="24"/>
                <w:szCs w:val="24"/>
                <w:lang w:val="en-US" w:eastAsia="zh-CN"/>
              </w:rPr>
              <w:t>6894.5</w:t>
            </w:r>
            <w:r>
              <w:rPr>
                <w:rFonts w:hint="eastAsia" w:ascii="Times New Roman" w:hAnsi="Times New Roman" w:eastAsia="宋体" w:cs="Times New Roman"/>
                <w:b w:val="0"/>
                <w:bCs w:val="0"/>
                <w:color w:val="auto"/>
                <w:sz w:val="24"/>
                <w:szCs w:val="24"/>
                <w:lang w:eastAsia="zh-CN"/>
              </w:rPr>
              <w:t>m</w:t>
            </w:r>
            <w:r>
              <w:rPr>
                <w:rFonts w:hint="eastAsia" w:ascii="Times New Roman" w:hAnsi="Times New Roman" w:eastAsia="宋体" w:cs="Times New Roman"/>
                <w:b w:val="0"/>
                <w:bCs w:val="0"/>
                <w:color w:val="auto"/>
                <w:sz w:val="24"/>
                <w:szCs w:val="24"/>
                <w:vertAlign w:val="superscript"/>
                <w:lang w:eastAsia="zh-CN"/>
              </w:rPr>
              <w:t>3</w:t>
            </w:r>
            <w:r>
              <w:rPr>
                <w:rFonts w:hint="eastAsia" w:ascii="Times New Roman" w:hAnsi="Times New Roman" w:eastAsia="宋体" w:cs="Times New Roman"/>
                <w:b w:val="0"/>
                <w:bCs w:val="0"/>
                <w:color w:val="auto"/>
                <w:sz w:val="24"/>
                <w:szCs w:val="24"/>
                <w:lang w:eastAsia="zh-CN"/>
              </w:rPr>
              <w:t>/a。</w:t>
            </w:r>
          </w:p>
          <w:p>
            <w:pPr>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rPr>
            </w:pPr>
            <w:r>
              <w:rPr>
                <w:rFonts w:hint="eastAsia" w:cs="Times New Roman"/>
                <w:b w:val="0"/>
                <w:bCs w:val="0"/>
                <w:color w:val="auto"/>
                <w:sz w:val="24"/>
                <w:szCs w:val="24"/>
                <w:lang w:eastAsia="zh-CN"/>
              </w:rPr>
              <w:t>项目废水除职工</w:t>
            </w:r>
            <w:r>
              <w:rPr>
                <w:rFonts w:hint="default" w:ascii="Times New Roman" w:hAnsi="Times New Roman" w:cs="Times New Roman"/>
                <w:b w:val="0"/>
                <w:bCs w:val="0"/>
                <w:color w:val="auto"/>
                <w:sz w:val="24"/>
                <w:szCs w:val="24"/>
              </w:rPr>
              <w:t>生活污水</w:t>
            </w:r>
            <w:r>
              <w:rPr>
                <w:rFonts w:hint="eastAsia" w:ascii="Times New Roman" w:hAnsi="Times New Roman" w:eastAsia="宋体" w:cs="Times New Roman"/>
                <w:b w:val="0"/>
                <w:bCs w:val="0"/>
                <w:color w:val="auto"/>
                <w:sz w:val="24"/>
                <w:szCs w:val="24"/>
                <w:lang w:eastAsia="zh-CN"/>
              </w:rPr>
              <w:t>经化粪池收集后</w:t>
            </w:r>
            <w:r>
              <w:rPr>
                <w:rFonts w:hint="eastAsia" w:cs="Times New Roman"/>
                <w:b w:val="0"/>
                <w:bCs w:val="0"/>
                <w:color w:val="auto"/>
                <w:sz w:val="24"/>
                <w:szCs w:val="24"/>
                <w:lang w:eastAsia="zh-CN"/>
              </w:rPr>
              <w:t>定期清运外，</w:t>
            </w:r>
            <w:r>
              <w:rPr>
                <w:rFonts w:hint="eastAsia" w:cs="Times New Roman"/>
                <w:color w:val="auto"/>
                <w:sz w:val="24"/>
                <w:szCs w:val="24"/>
                <w:lang w:val="zh-CN" w:eastAsia="zh-CN"/>
              </w:rPr>
              <w:t>蒸汽锅炉排污水、软水制备排污水</w:t>
            </w:r>
            <w:r>
              <w:rPr>
                <w:rFonts w:hint="eastAsia" w:ascii="Times New Roman" w:hAnsi="Times New Roman" w:eastAsia="宋体" w:cs="Times New Roman"/>
                <w:b w:val="0"/>
                <w:bCs w:val="0"/>
                <w:color w:val="auto"/>
                <w:sz w:val="24"/>
                <w:szCs w:val="24"/>
              </w:rPr>
              <w:t>、</w:t>
            </w:r>
            <w:r>
              <w:rPr>
                <w:rFonts w:hint="eastAsia" w:cs="Times New Roman"/>
                <w:color w:val="auto"/>
                <w:sz w:val="24"/>
                <w:szCs w:val="24"/>
                <w:lang w:val="zh-CN" w:eastAsia="zh-CN"/>
              </w:rPr>
              <w:t>罐区及装卸车区</w:t>
            </w:r>
            <w:r>
              <w:rPr>
                <w:rFonts w:hint="eastAsia" w:ascii="Times New Roman" w:hAnsi="Times New Roman" w:cs="Times New Roman"/>
                <w:color w:val="auto"/>
                <w:sz w:val="24"/>
                <w:szCs w:val="24"/>
                <w:lang w:val="zh-CN" w:eastAsia="zh-CN"/>
              </w:rPr>
              <w:t>地面清洗废水</w:t>
            </w:r>
            <w:r>
              <w:rPr>
                <w:rFonts w:hint="eastAsia" w:ascii="Times New Roman" w:hAnsi="Times New Roman" w:eastAsia="宋体" w:cs="Times New Roman"/>
                <w:b w:val="0"/>
                <w:bCs w:val="0"/>
                <w:color w:val="auto"/>
                <w:sz w:val="24"/>
                <w:szCs w:val="24"/>
                <w:lang w:eastAsia="zh-CN"/>
              </w:rPr>
              <w:t>、</w:t>
            </w:r>
            <w:r>
              <w:rPr>
                <w:rFonts w:hint="eastAsia" w:cs="Times New Roman"/>
                <w:b w:val="0"/>
                <w:bCs w:val="0"/>
                <w:color w:val="auto"/>
                <w:sz w:val="24"/>
                <w:szCs w:val="24"/>
                <w:lang w:eastAsia="zh-CN"/>
              </w:rPr>
              <w:t>储罐</w:t>
            </w:r>
            <w:r>
              <w:rPr>
                <w:rFonts w:hint="eastAsia" w:ascii="Times New Roman" w:hAnsi="Times New Roman" w:eastAsia="宋体" w:cs="Times New Roman"/>
                <w:b w:val="0"/>
                <w:bCs w:val="0"/>
                <w:color w:val="auto"/>
                <w:sz w:val="24"/>
                <w:szCs w:val="24"/>
                <w:lang w:eastAsia="zh-CN"/>
              </w:rPr>
              <w:t>冲洗</w:t>
            </w:r>
            <w:r>
              <w:rPr>
                <w:rFonts w:hint="eastAsia" w:cs="Times New Roman"/>
                <w:b w:val="0"/>
                <w:bCs w:val="0"/>
                <w:color w:val="auto"/>
                <w:sz w:val="24"/>
                <w:szCs w:val="24"/>
                <w:lang w:eastAsia="zh-CN"/>
              </w:rPr>
              <w:t>废</w:t>
            </w:r>
            <w:r>
              <w:rPr>
                <w:rFonts w:hint="eastAsia" w:ascii="Times New Roman" w:hAnsi="Times New Roman" w:eastAsia="宋体" w:cs="Times New Roman"/>
                <w:b w:val="0"/>
                <w:bCs w:val="0"/>
                <w:color w:val="auto"/>
                <w:sz w:val="24"/>
                <w:szCs w:val="24"/>
                <w:lang w:eastAsia="zh-CN"/>
              </w:rPr>
              <w:t>水、初期雨水均进入厂区污水处理站处理后回用。</w:t>
            </w:r>
            <w:r>
              <w:rPr>
                <w:rFonts w:hint="eastAsia" w:ascii="Times New Roman" w:hAnsi="Times New Roman" w:eastAsia="宋体" w:cs="Times New Roman"/>
                <w:color w:val="auto"/>
                <w:sz w:val="24"/>
                <w:szCs w:val="24"/>
                <w:lang w:val="en-US" w:eastAsia="zh-CN"/>
              </w:rPr>
              <w:t>厂区污水处理站设计处理能力</w:t>
            </w:r>
            <w:r>
              <w:rPr>
                <w:rFonts w:hint="eastAsia" w:ascii="Times New Roman" w:hAnsi="Times New Roman" w:cs="Times New Roman"/>
                <w:color w:val="auto"/>
                <w:sz w:val="24"/>
                <w:szCs w:val="24"/>
                <w:lang w:val="en-US" w:eastAsia="zh-CN"/>
              </w:rPr>
              <w:t>5</w:t>
            </w:r>
            <w:r>
              <w:rPr>
                <w:rFonts w:hint="eastAsia" w:ascii="Times New Roman" w:hAnsi="Times New Roman" w:eastAsia="宋体" w:cs="Times New Roman"/>
                <w:color w:val="auto"/>
                <w:sz w:val="24"/>
                <w:szCs w:val="24"/>
                <w:lang w:val="en-US" w:eastAsia="zh-CN"/>
              </w:rPr>
              <w:t>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/d。本项目</w:t>
            </w:r>
            <w:r>
              <w:rPr>
                <w:rFonts w:hint="eastAsia" w:ascii="Times New Roman" w:hAnsi="Times New Roman" w:cs="Times New Roman"/>
                <w:color w:val="auto"/>
                <w:sz w:val="24"/>
                <w:szCs w:val="24"/>
                <w:highlight w:val="none"/>
                <w:lang w:eastAsia="zh-CN"/>
              </w:rPr>
              <w:t>进入污水处理</w:t>
            </w:r>
            <w:r>
              <w:rPr>
                <w:rFonts w:hint="eastAsia" w:ascii="Times New Roman" w:hAnsi="Times New Roman" w:cs="Times New Roman"/>
                <w:color w:val="auto"/>
                <w:sz w:val="24"/>
                <w:szCs w:val="24"/>
                <w:highlight w:val="none"/>
                <w:lang w:eastAsia="zh-CN"/>
              </w:rPr>
              <w:t>站</w:t>
            </w:r>
            <w:r>
              <w:rPr>
                <w:rFonts w:hint="eastAsia" w:ascii="Times New Roman" w:hAnsi="Times New Roman" w:eastAsia="宋体" w:cs="Times New Roman"/>
                <w:color w:val="auto"/>
                <w:sz w:val="24"/>
                <w:szCs w:val="24"/>
                <w:highlight w:val="none"/>
                <w:lang w:eastAsia="zh-CN"/>
              </w:rPr>
              <w:t>废水总量为</w:t>
            </w:r>
            <w:r>
              <w:rPr>
                <w:rFonts w:hint="eastAsia" w:cs="Times New Roman"/>
                <w:color w:val="auto"/>
                <w:sz w:val="24"/>
                <w:szCs w:val="24"/>
                <w:highlight w:val="none"/>
                <w:lang w:val="en-US" w:eastAsia="zh-CN"/>
              </w:rPr>
              <w:t>14017.08</w:t>
            </w:r>
            <w:r>
              <w:rPr>
                <w:rFonts w:hint="default" w:ascii="Times New Roman" w:hAnsi="Times New Roman" w:eastAsia="宋体" w:cs="Times New Roman"/>
                <w:color w:val="auto"/>
                <w:sz w:val="24"/>
                <w:szCs w:val="24"/>
                <w:highlight w:val="none"/>
              </w:rPr>
              <w:t>m³/a</w:t>
            </w:r>
            <w:r>
              <w:rPr>
                <w:rFonts w:hint="eastAsia"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38.99</w:t>
            </w:r>
            <w:r>
              <w:rPr>
                <w:rFonts w:hint="eastAsia"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/d</w:t>
            </w:r>
            <w:r>
              <w:rPr>
                <w:rFonts w:hint="eastAsia" w:ascii="Times New Roman" w:hAnsi="Times New Roman" w:eastAsia="宋体" w:cs="Times New Roman"/>
                <w:color w:val="auto"/>
                <w:sz w:val="24"/>
                <w:szCs w:val="24"/>
                <w:highlight w:val="none"/>
                <w:lang w:eastAsia="zh-CN"/>
              </w:rPr>
              <w:t>。因此</w:t>
            </w:r>
            <w:r>
              <w:rPr>
                <w:rFonts w:hint="eastAsia"/>
                <w:color w:val="auto"/>
                <w:sz w:val="24"/>
                <w:szCs w:val="24"/>
                <w:lang w:eastAsia="zh-CN"/>
              </w:rPr>
              <w:t>厂区污水处理站满足本项目需求。</w:t>
            </w:r>
          </w:p>
          <w:p>
            <w:pPr>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lang w:val="en-US" w:eastAsia="zh-CN"/>
              </w:rPr>
            </w:pPr>
            <w:r>
              <w:rPr>
                <w:rFonts w:hint="eastAsia" w:cs="Times New Roman"/>
                <w:color w:val="auto"/>
                <w:kern w:val="2"/>
                <w:sz w:val="24"/>
                <w:szCs w:val="24"/>
                <w:lang w:val="en-US" w:eastAsia="zh-CN" w:bidi="ar-SA"/>
              </w:rPr>
              <w:t>（2）</w:t>
            </w:r>
            <w:r>
              <w:rPr>
                <w:rFonts w:hint="eastAsia" w:ascii="Times New Roman" w:hAnsi="Times New Roman" w:eastAsia="宋体" w:cs="Times New Roman"/>
                <w:color w:val="auto"/>
                <w:kern w:val="2"/>
                <w:sz w:val="24"/>
                <w:szCs w:val="24"/>
                <w:lang w:val="en-US" w:eastAsia="zh-CN" w:bidi="ar-SA"/>
              </w:rPr>
              <w:t>废水处理工艺</w:t>
            </w:r>
          </w:p>
          <w:p>
            <w:pPr>
              <w:adjustRightInd w:val="0"/>
              <w:snapToGrid w:val="0"/>
              <w:spacing w:line="360" w:lineRule="auto"/>
              <w:jc w:val="center"/>
              <w:textAlignment w:val="baseline"/>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drawing>
                <wp:inline distT="0" distB="0" distL="114300" distR="114300">
                  <wp:extent cx="4109085" cy="5561330"/>
                  <wp:effectExtent l="0" t="0" r="5715" b="1270"/>
                  <wp:docPr id="9" name="图片 9" descr="微信截图_2023020713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截图_20230207135331"/>
                          <pic:cNvPicPr>
                            <a:picLocks noChangeAspect="1"/>
                          </pic:cNvPicPr>
                        </pic:nvPicPr>
                        <pic:blipFill>
                          <a:blip r:embed="rId23"/>
                          <a:stretch>
                            <a:fillRect/>
                          </a:stretch>
                        </pic:blipFill>
                        <pic:spPr>
                          <a:xfrm>
                            <a:off x="0" y="0"/>
                            <a:ext cx="4109085" cy="5561330"/>
                          </a:xfrm>
                          <a:prstGeom prst="rect">
                            <a:avLst/>
                          </a:prstGeom>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图4-1 污水处理站污水处理工艺</w:t>
            </w:r>
          </w:p>
          <w:p>
            <w:pPr>
              <w:numPr>
                <w:ilvl w:val="0"/>
                <w:numId w:val="0"/>
              </w:numPr>
              <w:tabs>
                <w:tab w:val="left" w:pos="7740"/>
              </w:tabs>
              <w:spacing w:line="360" w:lineRule="auto"/>
              <w:ind w:firstLine="480" w:firstLineChars="200"/>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废水排放情况</w:t>
            </w:r>
          </w:p>
          <w:p>
            <w:pPr>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rPr>
            </w:pPr>
            <w:r>
              <w:rPr>
                <w:rFonts w:hint="eastAsia" w:cs="Times New Roman"/>
                <w:b w:val="0"/>
                <w:bCs w:val="0"/>
                <w:color w:val="auto"/>
                <w:sz w:val="24"/>
                <w:szCs w:val="24"/>
                <w:lang w:eastAsia="zh-CN"/>
              </w:rPr>
              <w:t>项目废水职工</w:t>
            </w:r>
            <w:r>
              <w:rPr>
                <w:rFonts w:hint="default" w:ascii="Times New Roman" w:hAnsi="Times New Roman" w:cs="Times New Roman"/>
                <w:b w:val="0"/>
                <w:bCs w:val="0"/>
                <w:color w:val="auto"/>
                <w:sz w:val="24"/>
                <w:szCs w:val="24"/>
              </w:rPr>
              <w:t>生活污水</w:t>
            </w:r>
            <w:r>
              <w:rPr>
                <w:rFonts w:hint="eastAsia" w:ascii="Times New Roman" w:hAnsi="Times New Roman" w:eastAsia="宋体" w:cs="Times New Roman"/>
                <w:b w:val="0"/>
                <w:bCs w:val="0"/>
                <w:color w:val="auto"/>
                <w:sz w:val="24"/>
                <w:szCs w:val="24"/>
                <w:lang w:eastAsia="zh-CN"/>
              </w:rPr>
              <w:t>经化粪池收集后</w:t>
            </w:r>
            <w:r>
              <w:rPr>
                <w:rFonts w:hint="eastAsia" w:cs="Times New Roman"/>
                <w:b w:val="0"/>
                <w:bCs w:val="0"/>
                <w:color w:val="auto"/>
                <w:sz w:val="24"/>
                <w:szCs w:val="24"/>
                <w:lang w:eastAsia="zh-CN"/>
              </w:rPr>
              <w:t>定期清运外；</w:t>
            </w:r>
            <w:r>
              <w:rPr>
                <w:rFonts w:hint="eastAsia" w:cs="Times New Roman"/>
                <w:color w:val="auto"/>
                <w:sz w:val="24"/>
                <w:szCs w:val="24"/>
                <w:lang w:val="zh-CN" w:eastAsia="zh-CN"/>
              </w:rPr>
              <w:t>锅炉及软水制备排浓水</w:t>
            </w:r>
            <w:r>
              <w:rPr>
                <w:rFonts w:hint="eastAsia" w:ascii="Times New Roman" w:hAnsi="Times New Roman" w:eastAsia="宋体" w:cs="Times New Roman"/>
                <w:b w:val="0"/>
                <w:bCs w:val="0"/>
                <w:color w:val="auto"/>
                <w:sz w:val="24"/>
                <w:szCs w:val="24"/>
              </w:rPr>
              <w:t>、</w:t>
            </w:r>
            <w:r>
              <w:rPr>
                <w:rFonts w:hint="eastAsia" w:ascii="Times New Roman" w:hAnsi="Times New Roman" w:eastAsia="宋体" w:cs="Times New Roman"/>
                <w:b w:val="0"/>
                <w:bCs w:val="0"/>
                <w:color w:val="auto"/>
                <w:sz w:val="24"/>
                <w:szCs w:val="24"/>
                <w:lang w:eastAsia="zh-CN"/>
              </w:rPr>
              <w:t>含油污水（</w:t>
            </w:r>
            <w:r>
              <w:rPr>
                <w:rFonts w:hint="eastAsia" w:ascii="Times New Roman" w:hAnsi="Times New Roman" w:eastAsia="宋体" w:cs="Times New Roman"/>
                <w:b w:val="0"/>
                <w:bCs w:val="0"/>
                <w:color w:val="auto"/>
                <w:sz w:val="24"/>
                <w:szCs w:val="24"/>
                <w:lang w:val="zh-CN" w:eastAsia="zh-CN"/>
              </w:rPr>
              <w:t>罐区及装卸车区地面清洗废水</w:t>
            </w:r>
            <w:r>
              <w:rPr>
                <w:rFonts w:hint="eastAsia" w:ascii="Times New Roman" w:hAnsi="Times New Roman" w:eastAsia="宋体" w:cs="Times New Roman"/>
                <w:b w:val="0"/>
                <w:bCs w:val="0"/>
                <w:color w:val="auto"/>
                <w:sz w:val="24"/>
                <w:szCs w:val="24"/>
                <w:lang w:eastAsia="zh-CN"/>
              </w:rPr>
              <w:t>、储罐冲洗废水、初期雨水）均进入厂区污水处理站处理达到</w:t>
            </w:r>
            <w:r>
              <w:rPr>
                <w:rFonts w:hint="eastAsia" w:ascii="Times New Roman" w:hAnsi="Times New Roman" w:eastAsia="宋体" w:cs="Times New Roman"/>
                <w:b w:val="0"/>
                <w:bCs w:val="0"/>
                <w:color w:val="auto"/>
                <w:sz w:val="24"/>
                <w:szCs w:val="24"/>
                <w:lang w:val="en-US" w:eastAsia="zh-CN"/>
              </w:rPr>
              <w:t>《城市污水再生利用 工业用水水质》（GBT19923-2005）后</w:t>
            </w:r>
            <w:r>
              <w:rPr>
                <w:rFonts w:hint="eastAsia" w:ascii="Times New Roman" w:hAnsi="Times New Roman" w:eastAsia="宋体" w:cs="Times New Roman"/>
                <w:b w:val="0"/>
                <w:bCs w:val="0"/>
                <w:color w:val="auto"/>
                <w:sz w:val="24"/>
                <w:szCs w:val="24"/>
                <w:lang w:eastAsia="zh-CN"/>
              </w:rPr>
              <w:t>回用。项目污水处理站出水水质见下表：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zh-CN" w:eastAsia="zh-CN"/>
              </w:rPr>
            </w:pPr>
            <w:r>
              <w:rPr>
                <w:rFonts w:hint="eastAsia" w:ascii="Times New Roman" w:hAnsi="Times New Roman" w:eastAsia="黑体" w:cs="Times New Roman"/>
                <w:b w:val="0"/>
                <w:bCs w:val="0"/>
                <w:color w:val="auto"/>
                <w:kern w:val="0"/>
                <w:sz w:val="24"/>
                <w:szCs w:val="24"/>
                <w:lang w:val="zh-CN" w:eastAsia="zh-CN"/>
              </w:rPr>
              <w:t>表</w:t>
            </w:r>
            <w:r>
              <w:rPr>
                <w:rFonts w:hint="eastAsia" w:ascii="Times New Roman" w:hAnsi="Times New Roman" w:eastAsia="黑体" w:cs="Times New Roman"/>
                <w:b w:val="0"/>
                <w:bCs w:val="0"/>
                <w:color w:val="auto"/>
                <w:kern w:val="0"/>
                <w:sz w:val="24"/>
                <w:szCs w:val="24"/>
                <w:lang w:val="en-US" w:eastAsia="zh-CN"/>
              </w:rPr>
              <w:t xml:space="preserve">4-15 </w:t>
            </w:r>
            <w:r>
              <w:rPr>
                <w:rFonts w:hint="eastAsia" w:ascii="Times New Roman" w:hAnsi="Times New Roman" w:eastAsia="黑体" w:cs="Times New Roman"/>
                <w:b w:val="0"/>
                <w:bCs w:val="0"/>
                <w:color w:val="auto"/>
                <w:kern w:val="0"/>
                <w:sz w:val="24"/>
                <w:szCs w:val="24"/>
                <w:lang w:val="zh-CN" w:eastAsia="zh-CN"/>
              </w:rPr>
              <w:t>项目污水处理站出水水质情况表</w:t>
            </w:r>
          </w:p>
          <w:tbl>
            <w:tblPr>
              <w:tblStyle w:val="26"/>
              <w:tblW w:w="4998" w:type="pct"/>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457"/>
              <w:gridCol w:w="3349"/>
              <w:gridCol w:w="3646"/>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ascii="Times New Roman" w:hAnsi="Times New Roman" w:eastAsia="宋体" w:cs="Times New Roman"/>
                      <w:b w:val="0"/>
                      <w:bCs w:val="0"/>
                      <w:color w:val="auto"/>
                      <w:kern w:val="2"/>
                      <w:sz w:val="21"/>
                      <w:szCs w:val="21"/>
                      <w:lang w:val="en-US" w:eastAsia="zh-CN" w:bidi="ar-SA"/>
                    </w:rPr>
                  </w:pPr>
                  <w:r>
                    <w:rPr>
                      <w:rFonts w:ascii="Times New Roman" w:hAnsi="Times New Roman" w:eastAsia="宋体" w:cs="Times New Roman"/>
                      <w:b w:val="0"/>
                      <w:bCs w:val="0"/>
                      <w:color w:val="auto"/>
                      <w:sz w:val="21"/>
                      <w:szCs w:val="21"/>
                    </w:rPr>
                    <w:t>序号</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kern w:val="2"/>
                      <w:sz w:val="21"/>
                      <w:szCs w:val="21"/>
                      <w:lang w:val="en-US" w:eastAsia="zh-CN" w:bidi="ar-SA"/>
                    </w:rPr>
                  </w:pPr>
                  <w:r>
                    <w:rPr>
                      <w:rFonts w:ascii="Times New Roman" w:hAnsi="Times New Roman" w:eastAsia="宋体" w:cs="Times New Roman"/>
                      <w:b w:val="0"/>
                      <w:bCs w:val="0"/>
                      <w:color w:val="auto"/>
                      <w:sz w:val="21"/>
                      <w:szCs w:val="21"/>
                    </w:rPr>
                    <w:t>项目</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kern w:val="2"/>
                      <w:sz w:val="21"/>
                      <w:szCs w:val="21"/>
                      <w:lang w:val="en-US" w:eastAsia="zh-CN" w:bidi="ar-SA"/>
                    </w:rPr>
                  </w:pPr>
                  <w:r>
                    <w:rPr>
                      <w:rFonts w:ascii="Times New Roman" w:hAnsi="Times New Roman" w:eastAsia="宋体" w:cs="Times New Roman"/>
                      <w:b w:val="0"/>
                      <w:bCs w:val="0"/>
                      <w:color w:val="auto"/>
                      <w:sz w:val="21"/>
                      <w:szCs w:val="21"/>
                    </w:rPr>
                    <w:t>数值</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ascii="Times New Roman" w:hAnsi="Times New Roman" w:eastAsia="宋体" w:cs="Times New Roman"/>
                      <w:b w:val="0"/>
                      <w:bCs w:val="0"/>
                      <w:color w:val="auto"/>
                      <w:kern w:val="2"/>
                      <w:sz w:val="21"/>
                      <w:szCs w:val="21"/>
                      <w:lang w:val="en-US" w:eastAsia="zh-CN" w:bidi="ar-SA"/>
                    </w:rPr>
                  </w:pPr>
                  <w:r>
                    <w:rPr>
                      <w:rFonts w:ascii="Times New Roman" w:hAnsi="Times New Roman" w:eastAsia="宋体" w:cs="Times New Roman"/>
                      <w:b w:val="0"/>
                      <w:bCs w:val="0"/>
                      <w:color w:val="auto"/>
                      <w:sz w:val="21"/>
                      <w:szCs w:val="21"/>
                    </w:rPr>
                    <w:t>1</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kern w:val="2"/>
                      <w:sz w:val="21"/>
                      <w:szCs w:val="21"/>
                      <w:lang w:val="en-US" w:eastAsia="zh-CN" w:bidi="ar-SA"/>
                    </w:rPr>
                  </w:pPr>
                  <w:r>
                    <w:rPr>
                      <w:rFonts w:ascii="Times New Roman" w:hAnsi="Times New Roman" w:eastAsia="宋体" w:cs="Times New Roman"/>
                      <w:b w:val="0"/>
                      <w:bCs w:val="0"/>
                      <w:color w:val="auto"/>
                      <w:sz w:val="21"/>
                      <w:szCs w:val="21"/>
                    </w:rPr>
                    <w:t>CODCr</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rPr>
                    <w:t>≤</w:t>
                  </w:r>
                  <w:r>
                    <w:rPr>
                      <w:rFonts w:hint="eastAsia" w:ascii="Times New Roman" w:hAnsi="Times New Roman" w:eastAsia="宋体" w:cs="Times New Roman"/>
                      <w:b w:val="0"/>
                      <w:bCs w:val="0"/>
                      <w:color w:val="auto"/>
                      <w:sz w:val="21"/>
                      <w:szCs w:val="21"/>
                      <w:lang w:val="en-US" w:eastAsia="zh-CN"/>
                    </w:rPr>
                    <w:t>6</w:t>
                  </w:r>
                  <w:r>
                    <w:rPr>
                      <w:rFonts w:ascii="Times New Roman" w:hAnsi="Times New Roman" w:eastAsia="宋体" w:cs="Times New Roman"/>
                      <w:b w:val="0"/>
                      <w:bCs w:val="0"/>
                      <w:color w:val="auto"/>
                      <w:sz w:val="21"/>
                      <w:szCs w:val="21"/>
                    </w:rPr>
                    <w:t>0mg/L</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hint="eastAsia"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2</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BOD</w:t>
                  </w:r>
                  <w:r>
                    <w:rPr>
                      <w:rFonts w:hint="eastAsia" w:cs="Times New Roman"/>
                      <w:b w:val="0"/>
                      <w:bCs w:val="0"/>
                      <w:color w:val="auto"/>
                      <w:sz w:val="21"/>
                      <w:szCs w:val="21"/>
                      <w:vertAlign w:val="subscript"/>
                      <w:lang w:val="en-US" w:eastAsia="zh-CN"/>
                    </w:rPr>
                    <w:t>5</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w:t>
                  </w:r>
                  <w:r>
                    <w:rPr>
                      <w:rFonts w:hint="eastAsia" w:ascii="Times New Roman" w:hAnsi="Times New Roman" w:eastAsia="宋体" w:cs="Times New Roman"/>
                      <w:b w:val="0"/>
                      <w:bCs w:val="0"/>
                      <w:color w:val="auto"/>
                      <w:sz w:val="21"/>
                      <w:szCs w:val="21"/>
                      <w:lang w:val="en-US" w:eastAsia="zh-CN"/>
                    </w:rPr>
                    <w:t>1</w:t>
                  </w:r>
                  <w:r>
                    <w:rPr>
                      <w:rFonts w:ascii="Times New Roman" w:hAnsi="Times New Roman" w:eastAsia="宋体" w:cs="Times New Roman"/>
                      <w:b w:val="0"/>
                      <w:bCs w:val="0"/>
                      <w:color w:val="auto"/>
                      <w:sz w:val="21"/>
                      <w:szCs w:val="21"/>
                    </w:rPr>
                    <w:t>0mg/L</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3</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SS</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w:t>
                  </w:r>
                  <w:r>
                    <w:rPr>
                      <w:rFonts w:hint="eastAsia" w:ascii="Times New Roman" w:hAnsi="Times New Roman" w:eastAsia="宋体" w:cs="Times New Roman"/>
                      <w:b w:val="0"/>
                      <w:bCs w:val="0"/>
                      <w:color w:val="auto"/>
                      <w:sz w:val="21"/>
                      <w:szCs w:val="21"/>
                      <w:lang w:val="en-US" w:eastAsia="zh-CN"/>
                    </w:rPr>
                    <w:t>1</w:t>
                  </w:r>
                  <w:r>
                    <w:rPr>
                      <w:rFonts w:ascii="Times New Roman" w:hAnsi="Times New Roman" w:eastAsia="宋体" w:cs="Times New Roman"/>
                      <w:b w:val="0"/>
                      <w:bCs w:val="0"/>
                      <w:color w:val="auto"/>
                      <w:sz w:val="21"/>
                      <w:szCs w:val="21"/>
                    </w:rPr>
                    <w:t>0mg/L</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4</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NH</w:t>
                  </w:r>
                  <w:r>
                    <w:rPr>
                      <w:rFonts w:ascii="Times New Roman" w:hAnsi="Times New Roman" w:eastAsia="宋体" w:cs="Times New Roman"/>
                      <w:b w:val="0"/>
                      <w:bCs w:val="0"/>
                      <w:color w:val="auto"/>
                      <w:sz w:val="21"/>
                      <w:szCs w:val="21"/>
                      <w:vertAlign w:val="subscript"/>
                    </w:rPr>
                    <w:t>3</w:t>
                  </w:r>
                  <w:r>
                    <w:rPr>
                      <w:rFonts w:ascii="Times New Roman" w:hAnsi="Times New Roman" w:eastAsia="宋体" w:cs="Times New Roman"/>
                      <w:b w:val="0"/>
                      <w:bCs w:val="0"/>
                      <w:color w:val="auto"/>
                      <w:sz w:val="21"/>
                      <w:szCs w:val="21"/>
                    </w:rPr>
                    <w:t>-N</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w:t>
                  </w:r>
                  <w:r>
                    <w:rPr>
                      <w:rFonts w:hint="eastAsia" w:ascii="Times New Roman" w:hAnsi="Times New Roman" w:eastAsia="宋体" w:cs="Times New Roman"/>
                      <w:b w:val="0"/>
                      <w:bCs w:val="0"/>
                      <w:color w:val="auto"/>
                      <w:sz w:val="21"/>
                      <w:szCs w:val="21"/>
                      <w:lang w:val="en-US" w:eastAsia="zh-CN"/>
                    </w:rPr>
                    <w:t>10</w:t>
                  </w:r>
                  <w:r>
                    <w:rPr>
                      <w:rFonts w:ascii="Times New Roman" w:hAnsi="Times New Roman" w:eastAsia="宋体" w:cs="Times New Roman"/>
                      <w:b w:val="0"/>
                      <w:bCs w:val="0"/>
                      <w:color w:val="auto"/>
                      <w:sz w:val="21"/>
                      <w:szCs w:val="21"/>
                    </w:rPr>
                    <w:t>mg/L</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5</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总氮</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w:t>
                  </w:r>
                  <w:r>
                    <w:rPr>
                      <w:rFonts w:hint="eastAsia" w:ascii="Times New Roman" w:hAnsi="Times New Roman" w:eastAsia="宋体" w:cs="Times New Roman"/>
                      <w:b w:val="0"/>
                      <w:bCs w:val="0"/>
                      <w:color w:val="auto"/>
                      <w:sz w:val="21"/>
                      <w:szCs w:val="21"/>
                      <w:lang w:val="en-US" w:eastAsia="zh-CN"/>
                    </w:rPr>
                    <w:t>15</w:t>
                  </w:r>
                  <w:r>
                    <w:rPr>
                      <w:rFonts w:ascii="Times New Roman" w:hAnsi="Times New Roman" w:eastAsia="宋体" w:cs="Times New Roman"/>
                      <w:b w:val="0"/>
                      <w:bCs w:val="0"/>
                      <w:color w:val="auto"/>
                      <w:sz w:val="21"/>
                      <w:szCs w:val="21"/>
                    </w:rPr>
                    <w:t>mg/L</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6</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pH</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6.5-8.5</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7</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石油类</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w:t>
                  </w:r>
                  <w:r>
                    <w:rPr>
                      <w:rFonts w:hint="eastAsia" w:ascii="Times New Roman" w:hAnsi="Times New Roman" w:eastAsia="宋体" w:cs="Times New Roman"/>
                      <w:b w:val="0"/>
                      <w:bCs w:val="0"/>
                      <w:color w:val="auto"/>
                      <w:sz w:val="21"/>
                      <w:szCs w:val="21"/>
                      <w:lang w:val="en-US" w:eastAsia="zh-CN"/>
                    </w:rPr>
                    <w:t>1</w:t>
                  </w:r>
                  <w:r>
                    <w:rPr>
                      <w:rFonts w:ascii="Times New Roman" w:hAnsi="Times New Roman" w:eastAsia="宋体" w:cs="Times New Roman"/>
                      <w:b w:val="0"/>
                      <w:bCs w:val="0"/>
                      <w:color w:val="auto"/>
                      <w:sz w:val="21"/>
                      <w:szCs w:val="21"/>
                    </w:rPr>
                    <w:t>mg/L</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jc w:val="center"/>
                    <w:rPr>
                      <w:rFonts w:hint="eastAsia" w:ascii="Times New Roman" w:hAnsi="Times New Roman" w:eastAsia="宋体" w:cs="Times New Roman"/>
                      <w:b w:val="0"/>
                      <w:bCs w:val="0"/>
                      <w:color w:val="auto"/>
                      <w:sz w:val="21"/>
                      <w:szCs w:val="21"/>
                      <w:lang w:eastAsia="zh-CN"/>
                    </w:rPr>
                  </w:pPr>
                  <w:r>
                    <w:rPr>
                      <w:rFonts w:hint="eastAsia" w:cs="Times New Roman"/>
                      <w:b w:val="0"/>
                      <w:bCs w:val="0"/>
                      <w:color w:val="auto"/>
                      <w:sz w:val="21"/>
                      <w:szCs w:val="21"/>
                      <w:lang w:val="en-US" w:eastAsia="zh-CN"/>
                    </w:rPr>
                    <w:t>8</w:t>
                  </w:r>
                </w:p>
              </w:tc>
              <w:tc>
                <w:tcPr>
                  <w:tcW w:w="1981"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设计处理能力</w:t>
                  </w:r>
                </w:p>
              </w:tc>
              <w:tc>
                <w:tcPr>
                  <w:tcW w:w="2156" w:type="pc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50</w:t>
                  </w:r>
                  <w:r>
                    <w:rPr>
                      <w:rFonts w:hint="eastAsia" w:ascii="Times New Roman" w:hAnsi="Times New Roman" w:eastAsia="宋体" w:cs="Times New Roman"/>
                      <w:b w:val="0"/>
                      <w:bCs w:val="0"/>
                      <w:color w:val="auto"/>
                      <w:sz w:val="21"/>
                      <w:szCs w:val="21"/>
                    </w:rPr>
                    <w:t>m</w:t>
                  </w:r>
                  <w:r>
                    <w:rPr>
                      <w:rFonts w:hint="eastAsia" w:ascii="Times New Roman" w:hAnsi="Times New Roman" w:eastAsia="宋体" w:cs="Times New Roman"/>
                      <w:b w:val="0"/>
                      <w:bCs w:val="0"/>
                      <w:color w:val="auto"/>
                      <w:sz w:val="21"/>
                      <w:szCs w:val="21"/>
                      <w:vertAlign w:val="superscript"/>
                    </w:rPr>
                    <w:t>3</w:t>
                  </w:r>
                  <w:r>
                    <w:rPr>
                      <w:rFonts w:hint="eastAsia" w:ascii="Times New Roman" w:hAnsi="Times New Roman" w:eastAsia="宋体" w:cs="Times New Roman"/>
                      <w:b w:val="0"/>
                      <w:bCs w:val="0"/>
                      <w:color w:val="auto"/>
                      <w:sz w:val="21"/>
                      <w:szCs w:val="21"/>
                    </w:rPr>
                    <w:t>/d</w:t>
                  </w:r>
                </w:p>
              </w:tc>
            </w:tr>
          </w:tbl>
          <w:p>
            <w:pPr>
              <w:tabs>
                <w:tab w:val="left" w:pos="480"/>
                <w:tab w:val="left" w:pos="2280"/>
                <w:tab w:val="left" w:pos="3720"/>
                <w:tab w:val="left" w:pos="5160"/>
              </w:tabs>
              <w:spacing w:line="360" w:lineRule="auto"/>
              <w:ind w:firstLine="480" w:firstLineChars="200"/>
              <w:rPr>
                <w:rFonts w:hint="eastAsia" w:ascii="Times New Roman" w:hAnsi="Times New Roman" w:eastAsia="黑体" w:cs="Times New Roman"/>
                <w:b w:val="0"/>
                <w:bCs w:val="0"/>
                <w:color w:val="auto"/>
                <w:sz w:val="24"/>
                <w:szCs w:val="24"/>
                <w:highlight w:val="none"/>
                <w:lang w:val="zh-CN" w:eastAsia="zh-CN"/>
              </w:rPr>
            </w:pPr>
            <w:r>
              <w:rPr>
                <w:rFonts w:hint="eastAsia" w:ascii="Times New Roman" w:hAnsi="Times New Roman" w:eastAsia="黑体" w:cs="Times New Roman"/>
                <w:b w:val="0"/>
                <w:bCs w:val="0"/>
                <w:color w:val="auto"/>
                <w:sz w:val="24"/>
                <w:szCs w:val="24"/>
                <w:highlight w:val="none"/>
                <w:lang w:val="en-US" w:eastAsia="zh-CN"/>
              </w:rPr>
              <w:t>2、</w:t>
            </w:r>
            <w:r>
              <w:rPr>
                <w:rFonts w:hint="eastAsia" w:ascii="Times New Roman" w:hAnsi="Times New Roman" w:eastAsia="黑体" w:cs="Times New Roman"/>
                <w:b w:val="0"/>
                <w:bCs w:val="0"/>
                <w:color w:val="auto"/>
                <w:sz w:val="24"/>
                <w:szCs w:val="24"/>
                <w:highlight w:val="none"/>
                <w:lang w:val="zh-CN" w:eastAsia="zh-CN"/>
              </w:rPr>
              <w:t>项目废水和污染物产生及排放情况</w:t>
            </w:r>
          </w:p>
          <w:p>
            <w:pPr>
              <w:numPr>
                <w:ilvl w:val="0"/>
                <w:numId w:val="0"/>
              </w:numPr>
              <w:adjustRightInd w:val="0"/>
              <w:snapToGrid w:val="0"/>
              <w:spacing w:line="360" w:lineRule="auto"/>
              <w:ind w:firstLine="480" w:firstLineChars="200"/>
              <w:textAlignment w:val="baseline"/>
              <w:rPr>
                <w:rFonts w:hint="eastAsia"/>
                <w:bCs/>
                <w:color w:val="auto"/>
                <w:sz w:val="24"/>
                <w:szCs w:val="24"/>
                <w:lang w:val="zh-CN"/>
              </w:rPr>
            </w:pPr>
            <w:r>
              <w:rPr>
                <w:rFonts w:hint="eastAsia"/>
                <w:bCs/>
                <w:color w:val="auto"/>
                <w:sz w:val="24"/>
                <w:szCs w:val="24"/>
                <w:lang w:val="zh-CN"/>
              </w:rPr>
              <w:t>项目废水和</w:t>
            </w:r>
            <w:r>
              <w:rPr>
                <w:bCs/>
                <w:color w:val="auto"/>
                <w:sz w:val="24"/>
                <w:szCs w:val="24"/>
                <w:lang w:val="zh-CN"/>
              </w:rPr>
              <w:t>污染物</w:t>
            </w:r>
            <w:r>
              <w:rPr>
                <w:rFonts w:hint="eastAsia"/>
                <w:bCs/>
                <w:color w:val="auto"/>
                <w:sz w:val="24"/>
                <w:szCs w:val="24"/>
                <w:lang w:val="zh-CN"/>
              </w:rPr>
              <w:t>产生及排放</w:t>
            </w:r>
            <w:r>
              <w:rPr>
                <w:bCs/>
                <w:color w:val="auto"/>
                <w:sz w:val="24"/>
                <w:szCs w:val="24"/>
                <w:lang w:val="zh-CN"/>
              </w:rPr>
              <w:t>情况见下</w:t>
            </w:r>
            <w:r>
              <w:rPr>
                <w:rFonts w:hint="eastAsia"/>
                <w:bCs/>
                <w:color w:val="auto"/>
                <w:sz w:val="24"/>
                <w:szCs w:val="24"/>
                <w:lang w:val="zh-CN"/>
              </w:rPr>
              <w:t>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zh-CN" w:eastAsia="zh-CN"/>
              </w:rPr>
            </w:pPr>
            <w:r>
              <w:rPr>
                <w:rFonts w:hint="default" w:ascii="Times New Roman" w:hAnsi="Times New Roman" w:eastAsia="黑体" w:cs="Times New Roman"/>
                <w:b w:val="0"/>
                <w:bCs w:val="0"/>
                <w:color w:val="auto"/>
                <w:kern w:val="0"/>
                <w:sz w:val="24"/>
                <w:szCs w:val="24"/>
                <w:lang w:val="zh-CN" w:eastAsia="zh-CN"/>
              </w:rPr>
              <w:t>表4-</w:t>
            </w:r>
            <w:r>
              <w:rPr>
                <w:rFonts w:hint="eastAsia" w:eastAsia="黑体" w:cs="Times New Roman"/>
                <w:b w:val="0"/>
                <w:bCs w:val="0"/>
                <w:color w:val="auto"/>
                <w:kern w:val="0"/>
                <w:sz w:val="24"/>
                <w:szCs w:val="24"/>
                <w:lang w:val="en-US" w:eastAsia="zh-CN"/>
              </w:rPr>
              <w:t>16</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lang w:val="zh-CN" w:eastAsia="zh-CN"/>
              </w:rPr>
              <w:t>项目废水产生环节、处理措施及排放去向一览表</w:t>
            </w:r>
          </w:p>
          <w:tbl>
            <w:tblPr>
              <w:tblStyle w:val="26"/>
              <w:tblW w:w="499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36"/>
              <w:gridCol w:w="932"/>
              <w:gridCol w:w="1068"/>
              <w:gridCol w:w="925"/>
              <w:gridCol w:w="1094"/>
              <w:gridCol w:w="1111"/>
              <w:gridCol w:w="1047"/>
              <w:gridCol w:w="164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927" w:type="pct"/>
                  <w:gridSpan w:val="2"/>
                  <w:vMerge w:val="restart"/>
                  <w:tcBorders>
                    <w:tl2br w:val="nil"/>
                    <w:tr2bl w:val="nil"/>
                  </w:tcBorders>
                  <w:noWrap w:val="0"/>
                  <w:vAlign w:val="center"/>
                </w:tcPr>
                <w:p>
                  <w:pPr>
                    <w:jc w:val="center"/>
                    <w:rPr>
                      <w:b w:val="0"/>
                      <w:bCs w:val="0"/>
                      <w:color w:val="auto"/>
                      <w:sz w:val="21"/>
                      <w:szCs w:val="21"/>
                    </w:rPr>
                  </w:pPr>
                  <w:r>
                    <w:rPr>
                      <w:b w:val="0"/>
                      <w:bCs w:val="0"/>
                      <w:color w:val="auto"/>
                      <w:sz w:val="21"/>
                      <w:szCs w:val="21"/>
                    </w:rPr>
                    <w:t>产排污环节</w:t>
                  </w:r>
                </w:p>
              </w:tc>
              <w:tc>
                <w:tcPr>
                  <w:tcW w:w="631" w:type="pct"/>
                  <w:vMerge w:val="restart"/>
                  <w:tcBorders>
                    <w:tl2br w:val="nil"/>
                    <w:tr2bl w:val="nil"/>
                  </w:tcBorders>
                  <w:noWrap w:val="0"/>
                  <w:vAlign w:val="center"/>
                </w:tcPr>
                <w:p>
                  <w:pPr>
                    <w:jc w:val="center"/>
                    <w:rPr>
                      <w:b w:val="0"/>
                      <w:bCs w:val="0"/>
                      <w:color w:val="auto"/>
                      <w:sz w:val="21"/>
                      <w:szCs w:val="21"/>
                    </w:rPr>
                  </w:pPr>
                  <w:r>
                    <w:rPr>
                      <w:b w:val="0"/>
                      <w:bCs w:val="0"/>
                      <w:color w:val="auto"/>
                      <w:sz w:val="21"/>
                      <w:szCs w:val="21"/>
                    </w:rPr>
                    <w:t>类别</w:t>
                  </w:r>
                </w:p>
              </w:tc>
              <w:tc>
                <w:tcPr>
                  <w:tcW w:w="546" w:type="pct"/>
                  <w:vMerge w:val="restart"/>
                  <w:tcBorders>
                    <w:tl2br w:val="nil"/>
                    <w:tr2bl w:val="nil"/>
                  </w:tcBorders>
                  <w:noWrap w:val="0"/>
                  <w:vAlign w:val="center"/>
                </w:tcPr>
                <w:p>
                  <w:pPr>
                    <w:jc w:val="center"/>
                    <w:rPr>
                      <w:b w:val="0"/>
                      <w:bCs w:val="0"/>
                      <w:color w:val="auto"/>
                      <w:sz w:val="21"/>
                      <w:szCs w:val="21"/>
                    </w:rPr>
                  </w:pPr>
                  <w:r>
                    <w:rPr>
                      <w:b w:val="0"/>
                      <w:bCs w:val="0"/>
                      <w:color w:val="auto"/>
                      <w:sz w:val="21"/>
                      <w:szCs w:val="21"/>
                    </w:rPr>
                    <w:t>污染物</w:t>
                  </w:r>
                </w:p>
              </w:tc>
              <w:tc>
                <w:tcPr>
                  <w:tcW w:w="1922" w:type="pct"/>
                  <w:gridSpan w:val="3"/>
                  <w:tcBorders>
                    <w:tl2br w:val="nil"/>
                    <w:tr2bl w:val="nil"/>
                  </w:tcBorders>
                  <w:noWrap w:val="0"/>
                  <w:vAlign w:val="center"/>
                </w:tcPr>
                <w:p>
                  <w:pPr>
                    <w:jc w:val="center"/>
                    <w:rPr>
                      <w:b w:val="0"/>
                      <w:bCs w:val="0"/>
                      <w:color w:val="auto"/>
                      <w:sz w:val="21"/>
                      <w:szCs w:val="21"/>
                    </w:rPr>
                  </w:pPr>
                  <w:r>
                    <w:rPr>
                      <w:b w:val="0"/>
                      <w:bCs w:val="0"/>
                      <w:color w:val="auto"/>
                      <w:sz w:val="21"/>
                      <w:szCs w:val="21"/>
                    </w:rPr>
                    <w:t>污染物产生情况</w:t>
                  </w:r>
                </w:p>
              </w:tc>
              <w:tc>
                <w:tcPr>
                  <w:tcW w:w="971" w:type="pct"/>
                  <w:vMerge w:val="restart"/>
                  <w:tcBorders>
                    <w:tl2br w:val="nil"/>
                    <w:tr2bl w:val="nil"/>
                  </w:tcBorders>
                  <w:noWrap w:val="0"/>
                  <w:vAlign w:val="center"/>
                </w:tcPr>
                <w:p>
                  <w:pPr>
                    <w:jc w:val="center"/>
                    <w:rPr>
                      <w:b w:val="0"/>
                      <w:bCs w:val="0"/>
                      <w:color w:val="auto"/>
                      <w:sz w:val="21"/>
                      <w:szCs w:val="21"/>
                    </w:rPr>
                  </w:pPr>
                  <w:r>
                    <w:rPr>
                      <w:b w:val="0"/>
                      <w:bCs w:val="0"/>
                      <w:color w:val="auto"/>
                      <w:sz w:val="21"/>
                      <w:szCs w:val="21"/>
                    </w:rPr>
                    <w:t>排放方式</w:t>
                  </w:r>
                </w:p>
                <w:p>
                  <w:pPr>
                    <w:jc w:val="center"/>
                    <w:rPr>
                      <w:b w:val="0"/>
                      <w:bCs w:val="0"/>
                      <w:color w:val="auto"/>
                      <w:sz w:val="21"/>
                      <w:szCs w:val="21"/>
                    </w:rPr>
                  </w:pPr>
                  <w:r>
                    <w:rPr>
                      <w:b w:val="0"/>
                      <w:bCs w:val="0"/>
                      <w:color w:val="auto"/>
                      <w:sz w:val="21"/>
                      <w:szCs w:val="21"/>
                    </w:rPr>
                    <w:t>（间接/直接）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7" w:type="pct"/>
                  <w:gridSpan w:val="2"/>
                  <w:vMerge w:val="continue"/>
                  <w:tcBorders>
                    <w:tl2br w:val="nil"/>
                    <w:tr2bl w:val="nil"/>
                  </w:tcBorders>
                  <w:noWrap w:val="0"/>
                  <w:vAlign w:val="center"/>
                </w:tcPr>
                <w:p>
                  <w:pPr>
                    <w:jc w:val="center"/>
                    <w:rPr>
                      <w:b w:val="0"/>
                      <w:bCs w:val="0"/>
                      <w:color w:val="auto"/>
                      <w:sz w:val="21"/>
                      <w:szCs w:val="21"/>
                    </w:rPr>
                  </w:pP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vMerge w:val="continue"/>
                  <w:tcBorders>
                    <w:tl2br w:val="nil"/>
                    <w:tr2bl w:val="nil"/>
                  </w:tcBorders>
                  <w:noWrap w:val="0"/>
                  <w:vAlign w:val="center"/>
                </w:tcPr>
                <w:p>
                  <w:pPr>
                    <w:jc w:val="center"/>
                    <w:rPr>
                      <w:b w:val="0"/>
                      <w:bCs w:val="0"/>
                      <w:color w:val="auto"/>
                      <w:sz w:val="21"/>
                      <w:szCs w:val="21"/>
                    </w:rPr>
                  </w:pPr>
                </w:p>
              </w:tc>
              <w:tc>
                <w:tcPr>
                  <w:tcW w:w="646" w:type="pct"/>
                  <w:tcBorders>
                    <w:tl2br w:val="nil"/>
                    <w:tr2bl w:val="nil"/>
                  </w:tcBorders>
                  <w:noWrap w:val="0"/>
                  <w:vAlign w:val="center"/>
                </w:tcPr>
                <w:p>
                  <w:pPr>
                    <w:jc w:val="center"/>
                    <w:rPr>
                      <w:b w:val="0"/>
                      <w:bCs w:val="0"/>
                      <w:color w:val="auto"/>
                      <w:sz w:val="21"/>
                      <w:szCs w:val="21"/>
                    </w:rPr>
                  </w:pPr>
                  <w:r>
                    <w:rPr>
                      <w:b w:val="0"/>
                      <w:bCs w:val="0"/>
                      <w:color w:val="auto"/>
                      <w:sz w:val="21"/>
                      <w:szCs w:val="21"/>
                    </w:rPr>
                    <w:t>废水量m</w:t>
                  </w:r>
                  <w:r>
                    <w:rPr>
                      <w:b w:val="0"/>
                      <w:bCs w:val="0"/>
                      <w:color w:val="auto"/>
                      <w:sz w:val="21"/>
                      <w:szCs w:val="21"/>
                      <w:vertAlign w:val="superscript"/>
                    </w:rPr>
                    <w:t>3</w:t>
                  </w:r>
                  <w:r>
                    <w:rPr>
                      <w:b w:val="0"/>
                      <w:bCs w:val="0"/>
                      <w:color w:val="auto"/>
                      <w:sz w:val="21"/>
                      <w:szCs w:val="21"/>
                    </w:rPr>
                    <w:t>/a</w:t>
                  </w:r>
                </w:p>
              </w:tc>
              <w:tc>
                <w:tcPr>
                  <w:tcW w:w="656" w:type="pct"/>
                  <w:tcBorders>
                    <w:tl2br w:val="nil"/>
                    <w:tr2bl w:val="nil"/>
                  </w:tcBorders>
                  <w:noWrap w:val="0"/>
                  <w:vAlign w:val="center"/>
                </w:tcPr>
                <w:p>
                  <w:pPr>
                    <w:jc w:val="center"/>
                    <w:rPr>
                      <w:b w:val="0"/>
                      <w:bCs w:val="0"/>
                      <w:color w:val="auto"/>
                      <w:sz w:val="21"/>
                      <w:szCs w:val="21"/>
                    </w:rPr>
                  </w:pPr>
                  <w:r>
                    <w:rPr>
                      <w:b w:val="0"/>
                      <w:bCs w:val="0"/>
                      <w:color w:val="auto"/>
                      <w:sz w:val="21"/>
                      <w:szCs w:val="21"/>
                    </w:rPr>
                    <w:t>产生量t/a</w:t>
                  </w:r>
                </w:p>
              </w:tc>
              <w:tc>
                <w:tcPr>
                  <w:tcW w:w="619" w:type="pct"/>
                  <w:tcBorders>
                    <w:tl2br w:val="nil"/>
                    <w:tr2bl w:val="nil"/>
                  </w:tcBorders>
                  <w:noWrap w:val="0"/>
                  <w:vAlign w:val="center"/>
                </w:tcPr>
                <w:p>
                  <w:pPr>
                    <w:jc w:val="center"/>
                    <w:rPr>
                      <w:b w:val="0"/>
                      <w:bCs w:val="0"/>
                      <w:color w:val="auto"/>
                      <w:sz w:val="21"/>
                      <w:szCs w:val="21"/>
                    </w:rPr>
                  </w:pPr>
                  <w:r>
                    <w:rPr>
                      <w:b w:val="0"/>
                      <w:bCs w:val="0"/>
                      <w:color w:val="auto"/>
                      <w:sz w:val="21"/>
                      <w:szCs w:val="21"/>
                    </w:rPr>
                    <w:t>产生浓度</w:t>
                  </w: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7" w:type="pct"/>
                  <w:gridSpan w:val="2"/>
                  <w:vMerge w:val="restart"/>
                  <w:tcBorders>
                    <w:tl2br w:val="nil"/>
                    <w:tr2bl w:val="nil"/>
                  </w:tcBorders>
                  <w:noWrap w:val="0"/>
                  <w:vAlign w:val="center"/>
                </w:tcPr>
                <w:p>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职工生活</w:t>
                  </w:r>
                </w:p>
              </w:tc>
              <w:tc>
                <w:tcPr>
                  <w:tcW w:w="631" w:type="pct"/>
                  <w:vMerge w:val="restart"/>
                  <w:tcBorders>
                    <w:tl2br w:val="nil"/>
                    <w:tr2bl w:val="nil"/>
                  </w:tcBorders>
                  <w:noWrap w:val="0"/>
                  <w:vAlign w:val="center"/>
                </w:tcPr>
                <w:p>
                  <w:pPr>
                    <w:jc w:val="center"/>
                    <w:rPr>
                      <w:b w:val="0"/>
                      <w:bCs w:val="0"/>
                      <w:color w:val="auto"/>
                      <w:sz w:val="21"/>
                      <w:szCs w:val="21"/>
                    </w:rPr>
                  </w:pPr>
                  <w:r>
                    <w:rPr>
                      <w:b w:val="0"/>
                      <w:bCs w:val="0"/>
                      <w:color w:val="auto"/>
                      <w:sz w:val="21"/>
                      <w:szCs w:val="21"/>
                    </w:rPr>
                    <w:t>生活</w:t>
                  </w:r>
                </w:p>
                <w:p>
                  <w:pPr>
                    <w:jc w:val="center"/>
                    <w:rPr>
                      <w:b w:val="0"/>
                      <w:bCs w:val="0"/>
                      <w:color w:val="auto"/>
                      <w:sz w:val="21"/>
                      <w:szCs w:val="21"/>
                    </w:rPr>
                  </w:pPr>
                  <w:r>
                    <w:rPr>
                      <w:b w:val="0"/>
                      <w:bCs w:val="0"/>
                      <w:color w:val="auto"/>
                      <w:sz w:val="21"/>
                      <w:szCs w:val="21"/>
                    </w:rPr>
                    <w:t>污水</w:t>
                  </w:r>
                </w:p>
              </w:tc>
              <w:tc>
                <w:tcPr>
                  <w:tcW w:w="546" w:type="pct"/>
                  <w:tcBorders>
                    <w:tl2br w:val="nil"/>
                    <w:tr2bl w:val="nil"/>
                  </w:tcBorders>
                  <w:noWrap w:val="0"/>
                  <w:vAlign w:val="center"/>
                </w:tcPr>
                <w:p>
                  <w:pPr>
                    <w:ind w:left="-105" w:leftChars="-50" w:right="-105" w:rightChars="-50"/>
                    <w:contextualSpacing/>
                    <w:jc w:val="center"/>
                    <w:rPr>
                      <w:b w:val="0"/>
                      <w:bCs w:val="0"/>
                      <w:color w:val="auto"/>
                      <w:sz w:val="21"/>
                      <w:szCs w:val="21"/>
                    </w:rPr>
                  </w:pPr>
                  <w:r>
                    <w:rPr>
                      <w:rFonts w:hint="eastAsia"/>
                      <w:b w:val="0"/>
                      <w:bCs w:val="0"/>
                      <w:color w:val="auto"/>
                      <w:sz w:val="21"/>
                      <w:szCs w:val="21"/>
                    </w:rPr>
                    <w:t>CODcr</w:t>
                  </w:r>
                </w:p>
              </w:tc>
              <w:tc>
                <w:tcPr>
                  <w:tcW w:w="646" w:type="pct"/>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1332</w:t>
                  </w:r>
                </w:p>
              </w:tc>
              <w:tc>
                <w:tcPr>
                  <w:tcW w:w="656" w:type="pct"/>
                  <w:tcBorders>
                    <w:tl2br w:val="nil"/>
                    <w:tr2bl w:val="nil"/>
                  </w:tcBorders>
                  <w:noWrap w:val="0"/>
                  <w:vAlign w:val="center"/>
                </w:tcPr>
                <w:p>
                  <w:pPr>
                    <w:ind w:left="-199" w:leftChars="-95" w:right="-260" w:rightChars="-124"/>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w:t>
                  </w:r>
                  <w:r>
                    <w:rPr>
                      <w:rFonts w:hint="eastAsia" w:cs="Times New Roman"/>
                      <w:b w:val="0"/>
                      <w:bCs w:val="0"/>
                      <w:color w:val="auto"/>
                      <w:sz w:val="21"/>
                      <w:szCs w:val="21"/>
                      <w:lang w:val="en-US" w:eastAsia="zh-CN"/>
                    </w:rPr>
                    <w:t>533</w:t>
                  </w:r>
                </w:p>
              </w:tc>
              <w:tc>
                <w:tcPr>
                  <w:tcW w:w="619" w:type="pct"/>
                  <w:tcBorders>
                    <w:tl2br w:val="nil"/>
                    <w:tr2bl w:val="nil"/>
                  </w:tcBorders>
                  <w:noWrap w:val="0"/>
                  <w:vAlign w:val="center"/>
                </w:tcPr>
                <w:p>
                  <w:pPr>
                    <w:ind w:left="-199" w:leftChars="-95" w:right="-260" w:rightChars="-124"/>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400</w:t>
                  </w:r>
                  <w:r>
                    <w:rPr>
                      <w:b w:val="0"/>
                      <w:bCs w:val="0"/>
                      <w:color w:val="auto"/>
                      <w:sz w:val="21"/>
                      <w:szCs w:val="21"/>
                    </w:rPr>
                    <w:t>mg/L</w:t>
                  </w:r>
                </w:p>
              </w:tc>
              <w:tc>
                <w:tcPr>
                  <w:tcW w:w="971" w:type="pct"/>
                  <w:vMerge w:val="restart"/>
                  <w:tcBorders>
                    <w:tl2br w:val="nil"/>
                    <w:tr2bl w:val="nil"/>
                  </w:tcBorders>
                  <w:noWrap w:val="0"/>
                  <w:vAlign w:val="center"/>
                </w:tcPr>
                <w:p>
                  <w:pPr>
                    <w:ind w:left="-105" w:leftChars="-50" w:right="-105" w:rightChars="-50"/>
                    <w:contextualSpacing/>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不外排</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927" w:type="pct"/>
                  <w:gridSpan w:val="2"/>
                  <w:vMerge w:val="continue"/>
                  <w:tcBorders>
                    <w:tl2br w:val="nil"/>
                    <w:tr2bl w:val="nil"/>
                  </w:tcBorders>
                  <w:noWrap w:val="0"/>
                  <w:vAlign w:val="center"/>
                </w:tcPr>
                <w:p>
                  <w:pPr>
                    <w:jc w:val="center"/>
                    <w:rPr>
                      <w:rFonts w:ascii="Times New Roman" w:hAnsi="Times New Roman" w:eastAsia="宋体" w:cs="Times New Roman"/>
                      <w:b w:val="0"/>
                      <w:bCs w:val="0"/>
                      <w:color w:val="auto"/>
                      <w:sz w:val="21"/>
                      <w:szCs w:val="21"/>
                    </w:rPr>
                  </w:pP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ind w:left="-105" w:leftChars="-50" w:right="-105" w:rightChars="-50"/>
                    <w:contextualSpacing/>
                    <w:jc w:val="center"/>
                    <w:rPr>
                      <w:b w:val="0"/>
                      <w:bCs w:val="0"/>
                      <w:color w:val="auto"/>
                      <w:sz w:val="21"/>
                      <w:szCs w:val="21"/>
                    </w:rPr>
                  </w:pPr>
                  <w:r>
                    <w:rPr>
                      <w:b w:val="0"/>
                      <w:bCs w:val="0"/>
                      <w:color w:val="auto"/>
                      <w:sz w:val="21"/>
                      <w:szCs w:val="21"/>
                    </w:rPr>
                    <w:t>BOD</w:t>
                  </w:r>
                  <w:r>
                    <w:rPr>
                      <w:b w:val="0"/>
                      <w:bCs w:val="0"/>
                      <w:color w:val="auto"/>
                      <w:sz w:val="21"/>
                      <w:szCs w:val="21"/>
                      <w:vertAlign w:val="subscript"/>
                    </w:rPr>
                    <w:t>5</w:t>
                  </w:r>
                </w:p>
              </w:tc>
              <w:tc>
                <w:tcPr>
                  <w:tcW w:w="646" w:type="pct"/>
                  <w:vMerge w:val="continue"/>
                  <w:tcBorders>
                    <w:tl2br w:val="nil"/>
                    <w:tr2bl w:val="nil"/>
                  </w:tcBorders>
                  <w:noWrap w:val="0"/>
                  <w:vAlign w:val="center"/>
                </w:tcPr>
                <w:p>
                  <w:pPr>
                    <w:jc w:val="center"/>
                    <w:rPr>
                      <w:rFonts w:hint="eastAsia" w:ascii="Times New Roman" w:hAnsi="Times New Roman" w:eastAsia="宋体" w:cs="Times New Roman"/>
                      <w:b w:val="0"/>
                      <w:bCs w:val="0"/>
                      <w:color w:val="auto"/>
                      <w:sz w:val="21"/>
                      <w:szCs w:val="21"/>
                      <w:lang w:val="en-US" w:eastAsia="zh-CN"/>
                    </w:rPr>
                  </w:pPr>
                </w:p>
              </w:tc>
              <w:tc>
                <w:tcPr>
                  <w:tcW w:w="656" w:type="pct"/>
                  <w:tcBorders>
                    <w:tl2br w:val="nil"/>
                    <w:tr2bl w:val="nil"/>
                  </w:tcBorders>
                  <w:noWrap w:val="0"/>
                  <w:vAlign w:val="center"/>
                </w:tcPr>
                <w:p>
                  <w:pPr>
                    <w:ind w:left="-199" w:leftChars="-95" w:right="-260" w:rightChars="-124"/>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0.426</w:t>
                  </w:r>
                </w:p>
              </w:tc>
              <w:tc>
                <w:tcPr>
                  <w:tcW w:w="619" w:type="pct"/>
                  <w:tcBorders>
                    <w:tl2br w:val="nil"/>
                    <w:tr2bl w:val="nil"/>
                  </w:tcBorders>
                  <w:noWrap w:val="0"/>
                  <w:vAlign w:val="center"/>
                </w:tcPr>
                <w:p>
                  <w:pPr>
                    <w:ind w:left="-105" w:leftChars="-50" w:right="-105" w:rightChars="-50"/>
                    <w:contextualSpacing/>
                    <w:jc w:val="center"/>
                    <w:rPr>
                      <w:b w:val="0"/>
                      <w:bCs w:val="0"/>
                      <w:color w:val="auto"/>
                      <w:sz w:val="21"/>
                      <w:szCs w:val="21"/>
                    </w:rPr>
                  </w:pPr>
                  <w:r>
                    <w:rPr>
                      <w:b w:val="0"/>
                      <w:bCs w:val="0"/>
                      <w:color w:val="auto"/>
                      <w:sz w:val="21"/>
                      <w:szCs w:val="21"/>
                    </w:rPr>
                    <w:t>3</w:t>
                  </w:r>
                  <w:r>
                    <w:rPr>
                      <w:rFonts w:hint="eastAsia"/>
                      <w:b w:val="0"/>
                      <w:bCs w:val="0"/>
                      <w:color w:val="auto"/>
                      <w:sz w:val="21"/>
                      <w:szCs w:val="21"/>
                    </w:rPr>
                    <w:t>2</w:t>
                  </w:r>
                  <w:r>
                    <w:rPr>
                      <w:b w:val="0"/>
                      <w:bCs w:val="0"/>
                      <w:color w:val="auto"/>
                      <w:sz w:val="21"/>
                      <w:szCs w:val="21"/>
                    </w:rPr>
                    <w:t>0mg/L</w:t>
                  </w:r>
                </w:p>
              </w:tc>
              <w:tc>
                <w:tcPr>
                  <w:tcW w:w="971" w:type="pct"/>
                  <w:vMerge w:val="continue"/>
                  <w:tcBorders>
                    <w:tl2br w:val="nil"/>
                    <w:tr2bl w:val="nil"/>
                  </w:tcBorders>
                  <w:noWrap w:val="0"/>
                  <w:vAlign w:val="center"/>
                </w:tcPr>
                <w:p>
                  <w:pPr>
                    <w:ind w:left="-105" w:leftChars="-50" w:right="-105" w:rightChars="-50"/>
                    <w:contextualSpacing/>
                    <w:jc w:val="center"/>
                    <w:rPr>
                      <w:rFonts w:ascii="Times New Roman" w:hAnsi="Times New Roman" w:eastAsia="宋体" w:cs="Times New Roman"/>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927" w:type="pct"/>
                  <w:gridSpan w:val="2"/>
                  <w:vMerge w:val="continue"/>
                  <w:tcBorders>
                    <w:tl2br w:val="nil"/>
                    <w:tr2bl w:val="nil"/>
                  </w:tcBorders>
                  <w:noWrap w:val="0"/>
                  <w:vAlign w:val="center"/>
                </w:tcPr>
                <w:p>
                  <w:pPr>
                    <w:jc w:val="center"/>
                    <w:rPr>
                      <w:rFonts w:ascii="Times New Roman" w:hAnsi="Times New Roman" w:eastAsia="宋体" w:cs="Times New Roman"/>
                      <w:b w:val="0"/>
                      <w:bCs w:val="0"/>
                      <w:color w:val="auto"/>
                      <w:sz w:val="21"/>
                      <w:szCs w:val="21"/>
                    </w:rPr>
                  </w:pP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ind w:left="-105" w:leftChars="-50" w:right="-105" w:rightChars="-50"/>
                    <w:contextualSpacing/>
                    <w:jc w:val="center"/>
                    <w:rPr>
                      <w:b w:val="0"/>
                      <w:bCs w:val="0"/>
                      <w:color w:val="auto"/>
                      <w:sz w:val="21"/>
                      <w:szCs w:val="21"/>
                    </w:rPr>
                  </w:pPr>
                  <w:r>
                    <w:rPr>
                      <w:b w:val="0"/>
                      <w:bCs w:val="0"/>
                      <w:color w:val="auto"/>
                      <w:sz w:val="21"/>
                      <w:szCs w:val="21"/>
                    </w:rPr>
                    <w:t>SS</w:t>
                  </w:r>
                </w:p>
              </w:tc>
              <w:tc>
                <w:tcPr>
                  <w:tcW w:w="646" w:type="pct"/>
                  <w:vMerge w:val="continue"/>
                  <w:tcBorders>
                    <w:tl2br w:val="nil"/>
                    <w:tr2bl w:val="nil"/>
                  </w:tcBorders>
                  <w:noWrap w:val="0"/>
                  <w:vAlign w:val="center"/>
                </w:tcPr>
                <w:p>
                  <w:pPr>
                    <w:jc w:val="center"/>
                    <w:rPr>
                      <w:rFonts w:hint="eastAsia" w:ascii="Times New Roman" w:hAnsi="Times New Roman" w:eastAsia="宋体" w:cs="Times New Roman"/>
                      <w:b w:val="0"/>
                      <w:bCs w:val="0"/>
                      <w:color w:val="auto"/>
                      <w:sz w:val="21"/>
                      <w:szCs w:val="21"/>
                      <w:lang w:val="en-US" w:eastAsia="zh-CN"/>
                    </w:rPr>
                  </w:pPr>
                </w:p>
              </w:tc>
              <w:tc>
                <w:tcPr>
                  <w:tcW w:w="656" w:type="pct"/>
                  <w:tcBorders>
                    <w:tl2br w:val="nil"/>
                    <w:tr2bl w:val="nil"/>
                  </w:tcBorders>
                  <w:noWrap w:val="0"/>
                  <w:vAlign w:val="center"/>
                </w:tcPr>
                <w:p>
                  <w:pPr>
                    <w:ind w:left="-199" w:leftChars="-95" w:right="-260" w:rightChars="-124"/>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0.333</w:t>
                  </w:r>
                </w:p>
              </w:tc>
              <w:tc>
                <w:tcPr>
                  <w:tcW w:w="619" w:type="pct"/>
                  <w:tcBorders>
                    <w:tl2br w:val="nil"/>
                    <w:tr2bl w:val="nil"/>
                  </w:tcBorders>
                  <w:noWrap w:val="0"/>
                  <w:vAlign w:val="center"/>
                </w:tcPr>
                <w:p>
                  <w:pPr>
                    <w:ind w:left="-105" w:leftChars="-50" w:right="-105" w:rightChars="-50"/>
                    <w:contextualSpacing/>
                    <w:jc w:val="center"/>
                    <w:rPr>
                      <w:b w:val="0"/>
                      <w:bCs w:val="0"/>
                      <w:color w:val="auto"/>
                      <w:sz w:val="21"/>
                      <w:szCs w:val="21"/>
                    </w:rPr>
                  </w:pPr>
                  <w:r>
                    <w:rPr>
                      <w:b w:val="0"/>
                      <w:bCs w:val="0"/>
                      <w:color w:val="auto"/>
                      <w:sz w:val="21"/>
                      <w:szCs w:val="21"/>
                    </w:rPr>
                    <w:t>2</w:t>
                  </w:r>
                  <w:r>
                    <w:rPr>
                      <w:rFonts w:hint="eastAsia"/>
                      <w:b w:val="0"/>
                      <w:bCs w:val="0"/>
                      <w:color w:val="auto"/>
                      <w:sz w:val="21"/>
                      <w:szCs w:val="21"/>
                    </w:rPr>
                    <w:t>5</w:t>
                  </w:r>
                  <w:r>
                    <w:rPr>
                      <w:b w:val="0"/>
                      <w:bCs w:val="0"/>
                      <w:color w:val="auto"/>
                      <w:sz w:val="21"/>
                      <w:szCs w:val="21"/>
                    </w:rPr>
                    <w:t>0mg/L</w:t>
                  </w:r>
                </w:p>
              </w:tc>
              <w:tc>
                <w:tcPr>
                  <w:tcW w:w="971" w:type="pct"/>
                  <w:vMerge w:val="continue"/>
                  <w:tcBorders>
                    <w:tl2br w:val="nil"/>
                    <w:tr2bl w:val="nil"/>
                  </w:tcBorders>
                  <w:noWrap w:val="0"/>
                  <w:vAlign w:val="center"/>
                </w:tcPr>
                <w:p>
                  <w:pPr>
                    <w:ind w:left="-105" w:leftChars="-50" w:right="-105" w:rightChars="-50"/>
                    <w:contextualSpacing/>
                    <w:jc w:val="center"/>
                    <w:rPr>
                      <w:rFonts w:ascii="Times New Roman" w:hAnsi="Times New Roman" w:eastAsia="宋体" w:cs="Times New Roman"/>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7" w:type="pct"/>
                  <w:gridSpan w:val="2"/>
                  <w:vMerge w:val="continue"/>
                  <w:tcBorders>
                    <w:tl2br w:val="nil"/>
                    <w:tr2bl w:val="nil"/>
                  </w:tcBorders>
                  <w:noWrap w:val="0"/>
                  <w:vAlign w:val="center"/>
                </w:tcPr>
                <w:p>
                  <w:pPr>
                    <w:jc w:val="center"/>
                    <w:rPr>
                      <w:rFonts w:ascii="Times New Roman" w:hAnsi="Times New Roman" w:eastAsia="宋体" w:cs="Times New Roman"/>
                      <w:b w:val="0"/>
                      <w:bCs w:val="0"/>
                      <w:color w:val="auto"/>
                      <w:sz w:val="21"/>
                      <w:szCs w:val="21"/>
                    </w:rPr>
                  </w:pP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ind w:left="-105" w:leftChars="-50" w:right="-105" w:rightChars="-50"/>
                    <w:contextualSpacing/>
                    <w:jc w:val="center"/>
                    <w:rPr>
                      <w:b w:val="0"/>
                      <w:bCs w:val="0"/>
                      <w:color w:val="auto"/>
                      <w:sz w:val="21"/>
                      <w:szCs w:val="21"/>
                    </w:rPr>
                  </w:pPr>
                  <w:r>
                    <w:rPr>
                      <w:b w:val="0"/>
                      <w:bCs w:val="0"/>
                      <w:color w:val="auto"/>
                      <w:sz w:val="21"/>
                      <w:szCs w:val="21"/>
                    </w:rPr>
                    <w:t>NH</w:t>
                  </w:r>
                  <w:r>
                    <w:rPr>
                      <w:b w:val="0"/>
                      <w:bCs w:val="0"/>
                      <w:color w:val="auto"/>
                      <w:sz w:val="21"/>
                      <w:szCs w:val="21"/>
                      <w:vertAlign w:val="subscript"/>
                    </w:rPr>
                    <w:t>3</w:t>
                  </w:r>
                  <w:r>
                    <w:rPr>
                      <w:b w:val="0"/>
                      <w:bCs w:val="0"/>
                      <w:color w:val="auto"/>
                      <w:sz w:val="21"/>
                      <w:szCs w:val="21"/>
                    </w:rPr>
                    <w:t>-N</w:t>
                  </w:r>
                </w:p>
              </w:tc>
              <w:tc>
                <w:tcPr>
                  <w:tcW w:w="646" w:type="pct"/>
                  <w:vMerge w:val="continue"/>
                  <w:tcBorders>
                    <w:tl2br w:val="nil"/>
                    <w:tr2bl w:val="nil"/>
                  </w:tcBorders>
                  <w:noWrap w:val="0"/>
                  <w:vAlign w:val="center"/>
                </w:tcPr>
                <w:p>
                  <w:pPr>
                    <w:jc w:val="center"/>
                    <w:rPr>
                      <w:rFonts w:hint="eastAsia" w:ascii="Times New Roman" w:hAnsi="Times New Roman" w:eastAsia="宋体" w:cs="Times New Roman"/>
                      <w:b w:val="0"/>
                      <w:bCs w:val="0"/>
                      <w:color w:val="auto"/>
                      <w:sz w:val="21"/>
                      <w:szCs w:val="21"/>
                      <w:lang w:val="en-US" w:eastAsia="zh-CN"/>
                    </w:rPr>
                  </w:pPr>
                </w:p>
              </w:tc>
              <w:tc>
                <w:tcPr>
                  <w:tcW w:w="656" w:type="pct"/>
                  <w:tcBorders>
                    <w:tl2br w:val="nil"/>
                    <w:tr2bl w:val="nil"/>
                  </w:tcBorders>
                  <w:noWrap w:val="0"/>
                  <w:vAlign w:val="center"/>
                </w:tcPr>
                <w:p>
                  <w:pPr>
                    <w:ind w:left="-199" w:leftChars="-95" w:right="-260" w:rightChars="-124"/>
                    <w:jc w:val="center"/>
                    <w:rPr>
                      <w:rFonts w:hint="default" w:eastAsia="宋体"/>
                      <w:b w:val="0"/>
                      <w:bCs w:val="0"/>
                      <w:color w:val="auto"/>
                      <w:sz w:val="21"/>
                      <w:szCs w:val="21"/>
                      <w:lang w:val="en-US" w:eastAsia="zh-CN"/>
                    </w:rPr>
                  </w:pPr>
                  <w:r>
                    <w:rPr>
                      <w:rFonts w:hint="eastAsia" w:eastAsia="宋体"/>
                      <w:b w:val="0"/>
                      <w:bCs w:val="0"/>
                      <w:color w:val="auto"/>
                      <w:sz w:val="21"/>
                      <w:szCs w:val="21"/>
                      <w:lang w:val="en-US" w:eastAsia="zh-CN"/>
                    </w:rPr>
                    <w:t>0.0</w:t>
                  </w:r>
                  <w:r>
                    <w:rPr>
                      <w:rFonts w:hint="eastAsia"/>
                      <w:b w:val="0"/>
                      <w:bCs w:val="0"/>
                      <w:color w:val="auto"/>
                      <w:sz w:val="21"/>
                      <w:szCs w:val="21"/>
                      <w:lang w:val="en-US" w:eastAsia="zh-CN"/>
                    </w:rPr>
                    <w:t>533</w:t>
                  </w:r>
                </w:p>
              </w:tc>
              <w:tc>
                <w:tcPr>
                  <w:tcW w:w="619" w:type="pct"/>
                  <w:tcBorders>
                    <w:tl2br w:val="nil"/>
                    <w:tr2bl w:val="nil"/>
                  </w:tcBorders>
                  <w:noWrap w:val="0"/>
                  <w:vAlign w:val="center"/>
                </w:tcPr>
                <w:p>
                  <w:pPr>
                    <w:ind w:left="-105" w:leftChars="-50" w:right="-105" w:rightChars="-50"/>
                    <w:contextualSpacing/>
                    <w:jc w:val="center"/>
                    <w:rPr>
                      <w:b w:val="0"/>
                      <w:bCs w:val="0"/>
                      <w:color w:val="auto"/>
                      <w:sz w:val="21"/>
                      <w:szCs w:val="21"/>
                    </w:rPr>
                  </w:pPr>
                  <w:r>
                    <w:rPr>
                      <w:rFonts w:hint="eastAsia"/>
                      <w:b w:val="0"/>
                      <w:bCs w:val="0"/>
                      <w:color w:val="auto"/>
                      <w:sz w:val="21"/>
                      <w:szCs w:val="21"/>
                    </w:rPr>
                    <w:t>40</w:t>
                  </w:r>
                  <w:r>
                    <w:rPr>
                      <w:b w:val="0"/>
                      <w:bCs w:val="0"/>
                      <w:color w:val="auto"/>
                      <w:sz w:val="21"/>
                      <w:szCs w:val="21"/>
                    </w:rPr>
                    <w:t>mg/L</w:t>
                  </w:r>
                </w:p>
              </w:tc>
              <w:tc>
                <w:tcPr>
                  <w:tcW w:w="971" w:type="pct"/>
                  <w:vMerge w:val="continue"/>
                  <w:tcBorders>
                    <w:tl2br w:val="nil"/>
                    <w:tr2bl w:val="nil"/>
                  </w:tcBorders>
                  <w:noWrap w:val="0"/>
                  <w:vAlign w:val="center"/>
                </w:tcPr>
                <w:p>
                  <w:pPr>
                    <w:ind w:left="-105" w:leftChars="-50" w:right="-105" w:rightChars="-50"/>
                    <w:contextualSpacing/>
                    <w:jc w:val="center"/>
                    <w:rPr>
                      <w:rFonts w:ascii="Times New Roman" w:hAnsi="Times New Roman" w:eastAsia="宋体" w:cs="Times New Roman"/>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7" w:type="pct"/>
                  <w:gridSpan w:val="2"/>
                  <w:vMerge w:val="restart"/>
                  <w:tcBorders>
                    <w:tl2br w:val="nil"/>
                    <w:tr2bl w:val="nil"/>
                  </w:tcBorders>
                  <w:noWrap w:val="0"/>
                  <w:vAlign w:val="center"/>
                </w:tcPr>
                <w:p>
                  <w:pPr>
                    <w:jc w:val="center"/>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val="zh-CN" w:eastAsia="zh-CN"/>
                    </w:rPr>
                    <w:t>锅炉及软水制备排浓水</w:t>
                  </w:r>
                  <w:r>
                    <w:rPr>
                      <w:rFonts w:hint="eastAsia" w:ascii="Times New Roman" w:hAnsi="Times New Roman" w:eastAsia="宋体" w:cs="Times New Roman"/>
                      <w:b w:val="0"/>
                      <w:bCs w:val="0"/>
                      <w:color w:val="auto"/>
                      <w:sz w:val="21"/>
                      <w:szCs w:val="21"/>
                      <w:lang w:val="en-US" w:eastAsia="zh-CN"/>
                    </w:rPr>
                    <w:t>、含油污水</w:t>
                  </w:r>
                </w:p>
              </w:tc>
              <w:tc>
                <w:tcPr>
                  <w:tcW w:w="631" w:type="pct"/>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排浓水及含油废水</w:t>
                  </w:r>
                </w:p>
              </w:tc>
              <w:tc>
                <w:tcPr>
                  <w:tcW w:w="546" w:type="pct"/>
                  <w:tcBorders>
                    <w:tl2br w:val="nil"/>
                    <w:tr2bl w:val="nil"/>
                  </w:tcBorders>
                  <w:noWrap w:val="0"/>
                  <w:vAlign w:val="center"/>
                </w:tcPr>
                <w:p>
                  <w:pPr>
                    <w:jc w:val="center"/>
                    <w:rPr>
                      <w:b w:val="0"/>
                      <w:bCs w:val="0"/>
                      <w:color w:val="auto"/>
                      <w:sz w:val="21"/>
                      <w:szCs w:val="21"/>
                    </w:rPr>
                  </w:pPr>
                  <w:r>
                    <w:rPr>
                      <w:color w:val="auto"/>
                      <w:szCs w:val="21"/>
                    </w:rPr>
                    <w:t>COD</w:t>
                  </w:r>
                  <w:r>
                    <w:rPr>
                      <w:color w:val="auto"/>
                      <w:szCs w:val="21"/>
                      <w:vertAlign w:val="subscript"/>
                    </w:rPr>
                    <w:t>Cr</w:t>
                  </w:r>
                </w:p>
              </w:tc>
              <w:tc>
                <w:tcPr>
                  <w:tcW w:w="646" w:type="pct"/>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14017.08</w:t>
                  </w:r>
                </w:p>
              </w:tc>
              <w:tc>
                <w:tcPr>
                  <w:tcW w:w="656" w:type="pct"/>
                  <w:tcBorders>
                    <w:tl2br w:val="nil"/>
                    <w:tr2bl w:val="nil"/>
                  </w:tcBorders>
                  <w:noWrap w:val="0"/>
                  <w:vAlign w:val="center"/>
                </w:tcPr>
                <w:p>
                  <w:pPr>
                    <w:ind w:left="-199" w:leftChars="-95" w:right="-260" w:rightChars="-124"/>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14.017</w:t>
                  </w:r>
                </w:p>
              </w:tc>
              <w:tc>
                <w:tcPr>
                  <w:tcW w:w="619"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1000</w:t>
                  </w:r>
                  <w:r>
                    <w:rPr>
                      <w:b w:val="0"/>
                      <w:bCs w:val="0"/>
                      <w:color w:val="auto"/>
                      <w:sz w:val="21"/>
                      <w:szCs w:val="21"/>
                    </w:rPr>
                    <w:t>mg/L</w:t>
                  </w:r>
                </w:p>
              </w:tc>
              <w:tc>
                <w:tcPr>
                  <w:tcW w:w="971" w:type="pct"/>
                  <w:vMerge w:val="restart"/>
                  <w:tcBorders>
                    <w:tl2br w:val="nil"/>
                    <w:tr2bl w:val="nil"/>
                  </w:tcBorders>
                  <w:noWrap w:val="0"/>
                  <w:vAlign w:val="center"/>
                </w:tcPr>
                <w:p>
                  <w:pPr>
                    <w:ind w:left="-105" w:leftChars="-50" w:right="-105" w:rightChars="-50"/>
                    <w:contextualSpacing/>
                    <w:jc w:val="center"/>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不外排</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7" w:type="pct"/>
                  <w:gridSpan w:val="2"/>
                  <w:vMerge w:val="continue"/>
                  <w:tcBorders>
                    <w:tl2br w:val="nil"/>
                    <w:tr2bl w:val="nil"/>
                  </w:tcBorders>
                  <w:noWrap w:val="0"/>
                  <w:vAlign w:val="center"/>
                </w:tcPr>
                <w:p>
                  <w:pPr>
                    <w:jc w:val="center"/>
                    <w:rPr>
                      <w:rFonts w:hint="eastAsia" w:ascii="Times New Roman" w:hAnsi="Times New Roman" w:eastAsia="宋体" w:cs="Times New Roman"/>
                      <w:b w:val="0"/>
                      <w:bCs w:val="0"/>
                      <w:color w:val="auto"/>
                      <w:sz w:val="21"/>
                      <w:szCs w:val="21"/>
                      <w:lang w:val="zh-CN" w:eastAsia="zh-CN"/>
                    </w:rPr>
                  </w:pPr>
                </w:p>
              </w:tc>
              <w:tc>
                <w:tcPr>
                  <w:tcW w:w="631" w:type="pct"/>
                  <w:vMerge w:val="continue"/>
                  <w:tcBorders>
                    <w:tl2br w:val="nil"/>
                    <w:tr2bl w:val="nil"/>
                  </w:tcBorders>
                  <w:noWrap w:val="0"/>
                  <w:vAlign w:val="center"/>
                </w:tcPr>
                <w:p>
                  <w:pPr>
                    <w:jc w:val="center"/>
                    <w:rPr>
                      <w:rFonts w:hint="eastAsia" w:ascii="Times New Roman" w:hAnsi="Times New Roman" w:eastAsia="宋体" w:cs="Times New Roman"/>
                      <w:b w:val="0"/>
                      <w:bCs w:val="0"/>
                      <w:color w:val="auto"/>
                      <w:sz w:val="21"/>
                      <w:szCs w:val="21"/>
                      <w:lang w:val="en-US" w:eastAsia="zh-CN"/>
                    </w:rPr>
                  </w:pPr>
                </w:p>
              </w:tc>
              <w:tc>
                <w:tcPr>
                  <w:tcW w:w="546" w:type="pct"/>
                  <w:tcBorders>
                    <w:tl2br w:val="nil"/>
                    <w:tr2bl w:val="nil"/>
                  </w:tcBorders>
                  <w:noWrap w:val="0"/>
                  <w:vAlign w:val="center"/>
                </w:tcPr>
                <w:p>
                  <w:pPr>
                    <w:jc w:val="center"/>
                    <w:rPr>
                      <w:color w:val="auto"/>
                      <w:szCs w:val="21"/>
                    </w:rPr>
                  </w:pPr>
                  <w:r>
                    <w:rPr>
                      <w:rFonts w:hint="eastAsia" w:cs="Times New Roman"/>
                      <w:b w:val="0"/>
                      <w:bCs w:val="0"/>
                      <w:color w:val="auto"/>
                      <w:sz w:val="21"/>
                      <w:szCs w:val="21"/>
                      <w:lang w:val="en-US" w:eastAsia="zh-CN"/>
                    </w:rPr>
                    <w:t>BOD</w:t>
                  </w:r>
                  <w:r>
                    <w:rPr>
                      <w:rFonts w:hint="eastAsia" w:cs="Times New Roman"/>
                      <w:b w:val="0"/>
                      <w:bCs w:val="0"/>
                      <w:color w:val="auto"/>
                      <w:sz w:val="21"/>
                      <w:szCs w:val="21"/>
                      <w:vertAlign w:val="subscript"/>
                      <w:lang w:val="en-US" w:eastAsia="zh-CN"/>
                    </w:rPr>
                    <w:t>5</w:t>
                  </w:r>
                </w:p>
              </w:tc>
              <w:tc>
                <w:tcPr>
                  <w:tcW w:w="646" w:type="pct"/>
                  <w:vMerge w:val="continue"/>
                  <w:tcBorders>
                    <w:tl2br w:val="nil"/>
                    <w:tr2bl w:val="nil"/>
                  </w:tcBorders>
                  <w:noWrap w:val="0"/>
                  <w:vAlign w:val="center"/>
                </w:tcPr>
                <w:p>
                  <w:pPr>
                    <w:jc w:val="center"/>
                    <w:rPr>
                      <w:rFonts w:hint="eastAsia" w:ascii="Times New Roman" w:hAnsi="Times New Roman" w:eastAsia="宋体" w:cs="Times New Roman"/>
                      <w:b w:val="0"/>
                      <w:bCs w:val="0"/>
                      <w:color w:val="auto"/>
                      <w:sz w:val="21"/>
                      <w:szCs w:val="21"/>
                      <w:lang w:val="en-US" w:eastAsia="zh-CN"/>
                    </w:rPr>
                  </w:pPr>
                </w:p>
              </w:tc>
              <w:tc>
                <w:tcPr>
                  <w:tcW w:w="656" w:type="pct"/>
                  <w:tcBorders>
                    <w:tl2br w:val="nil"/>
                    <w:tr2bl w:val="nil"/>
                  </w:tcBorders>
                  <w:noWrap w:val="0"/>
                  <w:vAlign w:val="center"/>
                </w:tcPr>
                <w:p>
                  <w:pPr>
                    <w:ind w:left="-199" w:leftChars="-95" w:right="-260" w:rightChars="-124"/>
                    <w:jc w:val="center"/>
                    <w:rPr>
                      <w:rFonts w:hint="default"/>
                      <w:b w:val="0"/>
                      <w:bCs w:val="0"/>
                      <w:color w:val="auto"/>
                      <w:sz w:val="21"/>
                      <w:szCs w:val="21"/>
                      <w:lang w:val="en-US" w:eastAsia="zh-CN"/>
                    </w:rPr>
                  </w:pPr>
                  <w:r>
                    <w:rPr>
                      <w:rFonts w:hint="eastAsia"/>
                      <w:b w:val="0"/>
                      <w:bCs w:val="0"/>
                      <w:color w:val="auto"/>
                      <w:sz w:val="21"/>
                      <w:szCs w:val="21"/>
                      <w:lang w:val="en-US" w:eastAsia="zh-CN"/>
                    </w:rPr>
                    <w:t>2.803</w:t>
                  </w:r>
                </w:p>
              </w:tc>
              <w:tc>
                <w:tcPr>
                  <w:tcW w:w="619" w:type="pct"/>
                  <w:tcBorders>
                    <w:tl2br w:val="nil"/>
                    <w:tr2bl w:val="nil"/>
                  </w:tcBorders>
                  <w:noWrap w:val="0"/>
                  <w:vAlign w:val="center"/>
                </w:tcPr>
                <w:p>
                  <w:pPr>
                    <w:ind w:left="-105" w:leftChars="-50" w:right="-105" w:rightChars="-50"/>
                    <w:contextualSpacing/>
                    <w:jc w:val="center"/>
                    <w:rPr>
                      <w:rFonts w:hint="eastAsia"/>
                      <w:b w:val="0"/>
                      <w:bCs w:val="0"/>
                      <w:color w:val="auto"/>
                      <w:sz w:val="21"/>
                      <w:szCs w:val="21"/>
                      <w:lang w:val="en-US" w:eastAsia="zh-CN"/>
                    </w:rPr>
                  </w:pPr>
                  <w:r>
                    <w:rPr>
                      <w:rFonts w:hint="eastAsia"/>
                      <w:b w:val="0"/>
                      <w:bCs w:val="0"/>
                      <w:color w:val="auto"/>
                      <w:sz w:val="21"/>
                      <w:szCs w:val="21"/>
                      <w:lang w:val="en-US" w:eastAsia="zh-CN"/>
                    </w:rPr>
                    <w:t>200</w:t>
                  </w:r>
                  <w:r>
                    <w:rPr>
                      <w:b w:val="0"/>
                      <w:bCs w:val="0"/>
                      <w:color w:val="auto"/>
                      <w:sz w:val="21"/>
                      <w:szCs w:val="21"/>
                    </w:rPr>
                    <w:t>mg/L</w:t>
                  </w:r>
                </w:p>
              </w:tc>
              <w:tc>
                <w:tcPr>
                  <w:tcW w:w="971" w:type="pct"/>
                  <w:vMerge w:val="continue"/>
                  <w:tcBorders>
                    <w:tl2br w:val="nil"/>
                    <w:tr2bl w:val="nil"/>
                  </w:tcBorders>
                  <w:noWrap w:val="0"/>
                  <w:vAlign w:val="center"/>
                </w:tcPr>
                <w:p>
                  <w:pPr>
                    <w:ind w:left="-105" w:leftChars="-50" w:right="-105" w:rightChars="-50"/>
                    <w:contextualSpacing/>
                    <w:jc w:val="center"/>
                    <w:rPr>
                      <w:rFonts w:hint="eastAsia" w:ascii="Times New Roman" w:hAnsi="Times New Roman" w:eastAsia="宋体" w:cs="Times New Roman"/>
                      <w:b w:val="0"/>
                      <w:bCs w:val="0"/>
                      <w:color w:val="auto"/>
                      <w:sz w:val="21"/>
                      <w:szCs w:val="21"/>
                      <w:lang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927" w:type="pct"/>
                  <w:gridSpan w:val="2"/>
                  <w:vMerge w:val="continue"/>
                  <w:tcBorders>
                    <w:tl2br w:val="nil"/>
                    <w:tr2bl w:val="nil"/>
                  </w:tcBorders>
                  <w:noWrap w:val="0"/>
                  <w:vAlign w:val="center"/>
                </w:tcPr>
                <w:p>
                  <w:pPr>
                    <w:jc w:val="center"/>
                    <w:rPr>
                      <w:b w:val="0"/>
                      <w:bCs w:val="0"/>
                      <w:color w:val="auto"/>
                      <w:sz w:val="21"/>
                      <w:szCs w:val="21"/>
                    </w:rPr>
                  </w:pP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jc w:val="center"/>
                    <w:rPr>
                      <w:b w:val="0"/>
                      <w:bCs w:val="0"/>
                      <w:color w:val="auto"/>
                      <w:sz w:val="21"/>
                      <w:szCs w:val="21"/>
                    </w:rPr>
                  </w:pPr>
                  <w:r>
                    <w:rPr>
                      <w:color w:val="auto"/>
                      <w:szCs w:val="21"/>
                    </w:rPr>
                    <w:t>SS</w:t>
                  </w:r>
                </w:p>
              </w:tc>
              <w:tc>
                <w:tcPr>
                  <w:tcW w:w="646" w:type="pct"/>
                  <w:vMerge w:val="continue"/>
                  <w:tcBorders>
                    <w:tl2br w:val="nil"/>
                    <w:tr2bl w:val="nil"/>
                  </w:tcBorders>
                  <w:noWrap w:val="0"/>
                  <w:vAlign w:val="center"/>
                </w:tcPr>
                <w:p>
                  <w:pPr>
                    <w:jc w:val="center"/>
                    <w:rPr>
                      <w:b w:val="0"/>
                      <w:bCs w:val="0"/>
                      <w:color w:val="auto"/>
                      <w:sz w:val="21"/>
                      <w:szCs w:val="21"/>
                    </w:rPr>
                  </w:pPr>
                </w:p>
              </w:tc>
              <w:tc>
                <w:tcPr>
                  <w:tcW w:w="656" w:type="pct"/>
                  <w:tcBorders>
                    <w:tl2br w:val="nil"/>
                    <w:tr2bl w:val="nil"/>
                  </w:tcBorders>
                  <w:noWrap w:val="0"/>
                  <w:vAlign w:val="center"/>
                </w:tcPr>
                <w:p>
                  <w:pPr>
                    <w:ind w:left="-199" w:leftChars="-95" w:right="-260" w:rightChars="-124"/>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7.009</w:t>
                  </w:r>
                </w:p>
              </w:tc>
              <w:tc>
                <w:tcPr>
                  <w:tcW w:w="619"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500</w:t>
                  </w:r>
                  <w:r>
                    <w:rPr>
                      <w:b w:val="0"/>
                      <w:bCs w:val="0"/>
                      <w:color w:val="auto"/>
                      <w:sz w:val="21"/>
                      <w:szCs w:val="21"/>
                    </w:rPr>
                    <w:t>mg/L</w:t>
                  </w: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927" w:type="pct"/>
                  <w:gridSpan w:val="2"/>
                  <w:vMerge w:val="continue"/>
                  <w:tcBorders>
                    <w:tl2br w:val="nil"/>
                    <w:tr2bl w:val="nil"/>
                  </w:tcBorders>
                  <w:noWrap w:val="0"/>
                  <w:vAlign w:val="center"/>
                </w:tcPr>
                <w:p>
                  <w:pPr>
                    <w:jc w:val="center"/>
                    <w:rPr>
                      <w:b w:val="0"/>
                      <w:bCs w:val="0"/>
                      <w:color w:val="auto"/>
                      <w:sz w:val="21"/>
                      <w:szCs w:val="21"/>
                    </w:rPr>
                  </w:pP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jc w:val="center"/>
                    <w:rPr>
                      <w:b w:val="0"/>
                      <w:bCs w:val="0"/>
                      <w:color w:val="auto"/>
                      <w:sz w:val="21"/>
                      <w:szCs w:val="21"/>
                    </w:rPr>
                  </w:pPr>
                  <w:r>
                    <w:rPr>
                      <w:color w:val="auto"/>
                      <w:szCs w:val="21"/>
                    </w:rPr>
                    <w:t>NH</w:t>
                  </w:r>
                  <w:r>
                    <w:rPr>
                      <w:color w:val="auto"/>
                      <w:szCs w:val="21"/>
                      <w:vertAlign w:val="subscript"/>
                    </w:rPr>
                    <w:t>3</w:t>
                  </w:r>
                  <w:r>
                    <w:rPr>
                      <w:color w:val="auto"/>
                      <w:szCs w:val="21"/>
                    </w:rPr>
                    <w:t>-N</w:t>
                  </w:r>
                </w:p>
              </w:tc>
              <w:tc>
                <w:tcPr>
                  <w:tcW w:w="646" w:type="pct"/>
                  <w:vMerge w:val="continue"/>
                  <w:tcBorders>
                    <w:tl2br w:val="nil"/>
                    <w:tr2bl w:val="nil"/>
                  </w:tcBorders>
                  <w:noWrap w:val="0"/>
                  <w:vAlign w:val="center"/>
                </w:tcPr>
                <w:p>
                  <w:pPr>
                    <w:jc w:val="center"/>
                    <w:rPr>
                      <w:b w:val="0"/>
                      <w:bCs w:val="0"/>
                      <w:color w:val="auto"/>
                      <w:sz w:val="21"/>
                      <w:szCs w:val="21"/>
                    </w:rPr>
                  </w:pPr>
                </w:p>
              </w:tc>
              <w:tc>
                <w:tcPr>
                  <w:tcW w:w="656" w:type="pct"/>
                  <w:tcBorders>
                    <w:tl2br w:val="nil"/>
                    <w:tr2bl w:val="nil"/>
                  </w:tcBorders>
                  <w:noWrap w:val="0"/>
                  <w:vAlign w:val="center"/>
                </w:tcPr>
                <w:p>
                  <w:pPr>
                    <w:ind w:left="-199" w:leftChars="-95" w:right="-260" w:rightChars="-124"/>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0.841</w:t>
                  </w:r>
                </w:p>
              </w:tc>
              <w:tc>
                <w:tcPr>
                  <w:tcW w:w="619"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60</w:t>
                  </w:r>
                  <w:r>
                    <w:rPr>
                      <w:b w:val="0"/>
                      <w:bCs w:val="0"/>
                      <w:color w:val="auto"/>
                      <w:sz w:val="21"/>
                      <w:szCs w:val="21"/>
                    </w:rPr>
                    <w:t>mg/L</w:t>
                  </w: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927" w:type="pct"/>
                  <w:gridSpan w:val="2"/>
                  <w:vMerge w:val="continue"/>
                  <w:tcBorders>
                    <w:tl2br w:val="nil"/>
                    <w:tr2bl w:val="nil"/>
                  </w:tcBorders>
                  <w:noWrap w:val="0"/>
                  <w:vAlign w:val="center"/>
                </w:tcPr>
                <w:p>
                  <w:pPr>
                    <w:jc w:val="center"/>
                    <w:rPr>
                      <w:b w:val="0"/>
                      <w:bCs w:val="0"/>
                      <w:color w:val="auto"/>
                      <w:sz w:val="21"/>
                      <w:szCs w:val="21"/>
                    </w:rPr>
                  </w:pP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jc w:val="center"/>
                    <w:rPr>
                      <w:rFonts w:hint="eastAsia" w:eastAsia="宋体"/>
                      <w:b w:val="0"/>
                      <w:bCs w:val="0"/>
                      <w:color w:val="auto"/>
                      <w:sz w:val="21"/>
                      <w:szCs w:val="21"/>
                      <w:lang w:eastAsia="zh-CN"/>
                    </w:rPr>
                  </w:pPr>
                  <w:r>
                    <w:rPr>
                      <w:rFonts w:hint="eastAsia"/>
                      <w:color w:val="auto"/>
                      <w:szCs w:val="21"/>
                      <w:lang w:val="en-US" w:eastAsia="zh-CN"/>
                    </w:rPr>
                    <w:t>总氮</w:t>
                  </w:r>
                </w:p>
              </w:tc>
              <w:tc>
                <w:tcPr>
                  <w:tcW w:w="646" w:type="pct"/>
                  <w:vMerge w:val="continue"/>
                  <w:tcBorders>
                    <w:tl2br w:val="nil"/>
                    <w:tr2bl w:val="nil"/>
                  </w:tcBorders>
                  <w:noWrap w:val="0"/>
                  <w:vAlign w:val="center"/>
                </w:tcPr>
                <w:p>
                  <w:pPr>
                    <w:jc w:val="center"/>
                    <w:rPr>
                      <w:b w:val="0"/>
                      <w:bCs w:val="0"/>
                      <w:color w:val="auto"/>
                      <w:sz w:val="21"/>
                      <w:szCs w:val="21"/>
                    </w:rPr>
                  </w:pPr>
                </w:p>
              </w:tc>
              <w:tc>
                <w:tcPr>
                  <w:tcW w:w="656" w:type="pct"/>
                  <w:tcBorders>
                    <w:tl2br w:val="nil"/>
                    <w:tr2bl w:val="nil"/>
                  </w:tcBorders>
                  <w:noWrap w:val="0"/>
                  <w:vAlign w:val="center"/>
                </w:tcPr>
                <w:p>
                  <w:pPr>
                    <w:ind w:left="-199" w:leftChars="-95" w:right="-260" w:rightChars="-124"/>
                    <w:jc w:val="center"/>
                    <w:rPr>
                      <w:rFonts w:hint="default"/>
                      <w:b w:val="0"/>
                      <w:bCs w:val="0"/>
                      <w:color w:val="auto"/>
                      <w:sz w:val="21"/>
                      <w:szCs w:val="21"/>
                      <w:lang w:val="en-US" w:eastAsia="zh-CN"/>
                    </w:rPr>
                  </w:pPr>
                  <w:r>
                    <w:rPr>
                      <w:rFonts w:hint="eastAsia"/>
                      <w:b w:val="0"/>
                      <w:bCs w:val="0"/>
                      <w:color w:val="auto"/>
                      <w:sz w:val="21"/>
                      <w:szCs w:val="21"/>
                      <w:lang w:val="en-US" w:eastAsia="zh-CN"/>
                    </w:rPr>
                    <w:t>1.121</w:t>
                  </w:r>
                </w:p>
              </w:tc>
              <w:tc>
                <w:tcPr>
                  <w:tcW w:w="619" w:type="pct"/>
                  <w:tcBorders>
                    <w:tl2br w:val="nil"/>
                    <w:tr2bl w:val="nil"/>
                  </w:tcBorders>
                  <w:noWrap w:val="0"/>
                  <w:vAlign w:val="center"/>
                </w:tcPr>
                <w:p>
                  <w:pPr>
                    <w:ind w:left="-105" w:leftChars="-50" w:right="-105" w:rightChars="-50"/>
                    <w:contextualSpacing/>
                    <w:jc w:val="center"/>
                    <w:rPr>
                      <w:rFonts w:hint="eastAsia"/>
                      <w:b w:val="0"/>
                      <w:bCs w:val="0"/>
                      <w:color w:val="auto"/>
                      <w:sz w:val="21"/>
                      <w:szCs w:val="21"/>
                      <w:lang w:val="en-US" w:eastAsia="zh-CN"/>
                    </w:rPr>
                  </w:pPr>
                  <w:r>
                    <w:rPr>
                      <w:rFonts w:hint="eastAsia"/>
                      <w:b w:val="0"/>
                      <w:bCs w:val="0"/>
                      <w:color w:val="auto"/>
                      <w:sz w:val="21"/>
                      <w:szCs w:val="21"/>
                      <w:lang w:val="en-US" w:eastAsia="zh-CN"/>
                    </w:rPr>
                    <w:t>80</w:t>
                  </w:r>
                  <w:r>
                    <w:rPr>
                      <w:b w:val="0"/>
                      <w:bCs w:val="0"/>
                      <w:color w:val="auto"/>
                      <w:sz w:val="21"/>
                      <w:szCs w:val="21"/>
                    </w:rPr>
                    <w:t>mg/L</w:t>
                  </w: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927" w:type="pct"/>
                  <w:gridSpan w:val="2"/>
                  <w:vMerge w:val="continue"/>
                  <w:tcBorders>
                    <w:tl2br w:val="nil"/>
                    <w:tr2bl w:val="nil"/>
                  </w:tcBorders>
                  <w:noWrap w:val="0"/>
                  <w:vAlign w:val="center"/>
                </w:tcPr>
                <w:p>
                  <w:pPr>
                    <w:jc w:val="center"/>
                    <w:rPr>
                      <w:b w:val="0"/>
                      <w:bCs w:val="0"/>
                      <w:color w:val="auto"/>
                      <w:sz w:val="21"/>
                      <w:szCs w:val="21"/>
                    </w:rPr>
                  </w:pP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jc w:val="center"/>
                    <w:rPr>
                      <w:rFonts w:hint="eastAsia"/>
                      <w:b w:val="0"/>
                      <w:bCs w:val="0"/>
                      <w:color w:val="auto"/>
                      <w:sz w:val="21"/>
                      <w:szCs w:val="21"/>
                      <w:lang w:eastAsia="zh-CN"/>
                    </w:rPr>
                  </w:pPr>
                  <w:r>
                    <w:rPr>
                      <w:rFonts w:hint="eastAsia"/>
                      <w:color w:val="auto"/>
                      <w:szCs w:val="21"/>
                      <w:lang w:val="en-US" w:eastAsia="zh-CN"/>
                    </w:rPr>
                    <w:t>石油类</w:t>
                  </w:r>
                </w:p>
              </w:tc>
              <w:tc>
                <w:tcPr>
                  <w:tcW w:w="646" w:type="pct"/>
                  <w:vMerge w:val="continue"/>
                  <w:tcBorders>
                    <w:tl2br w:val="nil"/>
                    <w:tr2bl w:val="nil"/>
                  </w:tcBorders>
                  <w:noWrap w:val="0"/>
                  <w:vAlign w:val="center"/>
                </w:tcPr>
                <w:p>
                  <w:pPr>
                    <w:jc w:val="center"/>
                    <w:rPr>
                      <w:b w:val="0"/>
                      <w:bCs w:val="0"/>
                      <w:color w:val="auto"/>
                      <w:sz w:val="21"/>
                      <w:szCs w:val="21"/>
                    </w:rPr>
                  </w:pPr>
                </w:p>
              </w:tc>
              <w:tc>
                <w:tcPr>
                  <w:tcW w:w="656" w:type="pct"/>
                  <w:tcBorders>
                    <w:tl2br w:val="nil"/>
                    <w:tr2bl w:val="nil"/>
                  </w:tcBorders>
                  <w:noWrap w:val="0"/>
                  <w:vAlign w:val="center"/>
                </w:tcPr>
                <w:p>
                  <w:pPr>
                    <w:ind w:left="-199" w:leftChars="-95" w:right="-260" w:rightChars="-124"/>
                    <w:jc w:val="center"/>
                    <w:rPr>
                      <w:rFonts w:hint="default"/>
                      <w:b w:val="0"/>
                      <w:bCs w:val="0"/>
                      <w:color w:val="auto"/>
                      <w:sz w:val="21"/>
                      <w:szCs w:val="21"/>
                      <w:lang w:val="en-US" w:eastAsia="zh-CN"/>
                    </w:rPr>
                  </w:pPr>
                  <w:r>
                    <w:rPr>
                      <w:rFonts w:hint="eastAsia"/>
                      <w:b w:val="0"/>
                      <w:bCs w:val="0"/>
                      <w:color w:val="auto"/>
                      <w:sz w:val="21"/>
                      <w:szCs w:val="21"/>
                      <w:lang w:val="en-US" w:eastAsia="zh-CN"/>
                    </w:rPr>
                    <w:t>5.607</w:t>
                  </w:r>
                </w:p>
              </w:tc>
              <w:tc>
                <w:tcPr>
                  <w:tcW w:w="619" w:type="pct"/>
                  <w:tcBorders>
                    <w:tl2br w:val="nil"/>
                    <w:tr2bl w:val="nil"/>
                  </w:tcBorders>
                  <w:noWrap w:val="0"/>
                  <w:vAlign w:val="center"/>
                </w:tcPr>
                <w:p>
                  <w:pPr>
                    <w:ind w:left="-105" w:leftChars="-50" w:right="-105" w:rightChars="-50"/>
                    <w:contextualSpacing/>
                    <w:jc w:val="center"/>
                    <w:rPr>
                      <w:rFonts w:hint="default"/>
                      <w:b w:val="0"/>
                      <w:bCs w:val="0"/>
                      <w:color w:val="auto"/>
                      <w:sz w:val="21"/>
                      <w:szCs w:val="21"/>
                      <w:lang w:val="en-US" w:eastAsia="zh-CN"/>
                    </w:rPr>
                  </w:pPr>
                  <w:r>
                    <w:rPr>
                      <w:rFonts w:hint="eastAsia"/>
                      <w:b w:val="0"/>
                      <w:bCs w:val="0"/>
                      <w:color w:val="auto"/>
                      <w:sz w:val="21"/>
                      <w:szCs w:val="21"/>
                      <w:lang w:val="en-US" w:eastAsia="zh-CN"/>
                    </w:rPr>
                    <w:t>400</w:t>
                  </w:r>
                  <w:r>
                    <w:rPr>
                      <w:b w:val="0"/>
                      <w:bCs w:val="0"/>
                      <w:color w:val="auto"/>
                      <w:sz w:val="21"/>
                      <w:szCs w:val="21"/>
                    </w:rPr>
                    <w:t>mg/L</w:t>
                  </w: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927" w:type="pct"/>
                  <w:gridSpan w:val="2"/>
                  <w:vMerge w:val="continue"/>
                  <w:tcBorders>
                    <w:tl2br w:val="nil"/>
                    <w:tr2bl w:val="nil"/>
                  </w:tcBorders>
                  <w:noWrap w:val="0"/>
                  <w:vAlign w:val="center"/>
                </w:tcPr>
                <w:p>
                  <w:pPr>
                    <w:jc w:val="center"/>
                    <w:rPr>
                      <w:b w:val="0"/>
                      <w:bCs w:val="0"/>
                      <w:color w:val="auto"/>
                      <w:sz w:val="21"/>
                      <w:szCs w:val="21"/>
                    </w:rPr>
                  </w:pP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jc w:val="center"/>
                    <w:rPr>
                      <w:rFonts w:hint="default" w:eastAsia="宋体"/>
                      <w:b w:val="0"/>
                      <w:bCs w:val="0"/>
                      <w:color w:val="auto"/>
                      <w:sz w:val="21"/>
                      <w:szCs w:val="21"/>
                      <w:lang w:val="en-US" w:eastAsia="zh-CN"/>
                    </w:rPr>
                  </w:pPr>
                  <w:r>
                    <w:rPr>
                      <w:rFonts w:hint="eastAsia"/>
                      <w:color w:val="auto"/>
                      <w:szCs w:val="21"/>
                    </w:rPr>
                    <w:t>pH</w:t>
                  </w:r>
                </w:p>
              </w:tc>
              <w:tc>
                <w:tcPr>
                  <w:tcW w:w="646" w:type="pct"/>
                  <w:vMerge w:val="continue"/>
                  <w:tcBorders>
                    <w:tl2br w:val="nil"/>
                    <w:tr2bl w:val="nil"/>
                  </w:tcBorders>
                  <w:noWrap w:val="0"/>
                  <w:vAlign w:val="center"/>
                </w:tcPr>
                <w:p>
                  <w:pPr>
                    <w:jc w:val="center"/>
                    <w:rPr>
                      <w:b w:val="0"/>
                      <w:bCs w:val="0"/>
                      <w:color w:val="auto"/>
                      <w:sz w:val="21"/>
                      <w:szCs w:val="21"/>
                    </w:rPr>
                  </w:pPr>
                </w:p>
              </w:tc>
              <w:tc>
                <w:tcPr>
                  <w:tcW w:w="656" w:type="pct"/>
                  <w:tcBorders>
                    <w:tl2br w:val="nil"/>
                    <w:tr2bl w:val="nil"/>
                  </w:tcBorders>
                  <w:noWrap w:val="0"/>
                  <w:vAlign w:val="center"/>
                </w:tcPr>
                <w:p>
                  <w:pPr>
                    <w:ind w:left="-199" w:leftChars="-95" w:right="-260" w:rightChars="-124"/>
                    <w:jc w:val="center"/>
                    <w:rPr>
                      <w:rFonts w:hint="default" w:eastAsia="宋体"/>
                      <w:b w:val="0"/>
                      <w:bCs w:val="0"/>
                      <w:color w:val="auto"/>
                      <w:sz w:val="21"/>
                      <w:szCs w:val="21"/>
                      <w:lang w:val="en-US" w:eastAsia="zh-CN"/>
                    </w:rPr>
                  </w:pPr>
                  <w:r>
                    <w:rPr>
                      <w:rFonts w:hint="eastAsia" w:eastAsia="宋体"/>
                      <w:b w:val="0"/>
                      <w:bCs w:val="0"/>
                      <w:color w:val="auto"/>
                      <w:sz w:val="21"/>
                      <w:szCs w:val="21"/>
                      <w:lang w:val="en-US" w:eastAsia="zh-CN"/>
                    </w:rPr>
                    <w:t>/</w:t>
                  </w:r>
                </w:p>
              </w:tc>
              <w:tc>
                <w:tcPr>
                  <w:tcW w:w="619" w:type="pct"/>
                  <w:tcBorders>
                    <w:tl2br w:val="nil"/>
                    <w:tr2bl w:val="nil"/>
                  </w:tcBorders>
                  <w:noWrap w:val="0"/>
                  <w:vAlign w:val="center"/>
                </w:tcPr>
                <w:p>
                  <w:pPr>
                    <w:ind w:left="-105" w:leftChars="-50" w:right="-105" w:rightChars="-50"/>
                    <w:contextualSpacing/>
                    <w:jc w:val="center"/>
                    <w:rPr>
                      <w:rFonts w:hint="default"/>
                      <w:b w:val="0"/>
                      <w:bCs w:val="0"/>
                      <w:color w:val="auto"/>
                      <w:sz w:val="21"/>
                      <w:szCs w:val="21"/>
                      <w:lang w:val="en-US" w:eastAsia="zh-CN"/>
                    </w:rPr>
                  </w:pPr>
                  <w:r>
                    <w:rPr>
                      <w:rFonts w:hint="eastAsia" w:cs="Times New Roman"/>
                      <w:b w:val="0"/>
                      <w:bCs w:val="0"/>
                      <w:color w:val="auto"/>
                      <w:sz w:val="21"/>
                      <w:szCs w:val="21"/>
                      <w:lang w:val="en-US" w:eastAsia="zh-CN"/>
                    </w:rPr>
                    <w:t>6.5-8.5</w:t>
                  </w: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927" w:type="pct"/>
                  <w:gridSpan w:val="2"/>
                  <w:vMerge w:val="restart"/>
                  <w:tcBorders>
                    <w:tl2br w:val="nil"/>
                    <w:tr2bl w:val="nil"/>
                  </w:tcBorders>
                  <w:noWrap w:val="0"/>
                  <w:vAlign w:val="center"/>
                </w:tcPr>
                <w:p>
                  <w:pPr>
                    <w:jc w:val="center"/>
                    <w:rPr>
                      <w:b w:val="0"/>
                      <w:bCs w:val="0"/>
                      <w:color w:val="auto"/>
                      <w:sz w:val="21"/>
                      <w:szCs w:val="21"/>
                    </w:rPr>
                  </w:pPr>
                  <w:r>
                    <w:rPr>
                      <w:b w:val="0"/>
                      <w:bCs w:val="0"/>
                      <w:color w:val="auto"/>
                      <w:sz w:val="21"/>
                      <w:szCs w:val="21"/>
                    </w:rPr>
                    <w:t>产排污环节</w:t>
                  </w:r>
                </w:p>
              </w:tc>
              <w:tc>
                <w:tcPr>
                  <w:tcW w:w="4072" w:type="pct"/>
                  <w:gridSpan w:val="6"/>
                  <w:tcBorders>
                    <w:tl2br w:val="nil"/>
                    <w:tr2bl w:val="nil"/>
                  </w:tcBorders>
                  <w:noWrap w:val="0"/>
                  <w:vAlign w:val="center"/>
                </w:tcPr>
                <w:p>
                  <w:pPr>
                    <w:jc w:val="center"/>
                    <w:rPr>
                      <w:b w:val="0"/>
                      <w:bCs w:val="0"/>
                      <w:color w:val="auto"/>
                      <w:sz w:val="21"/>
                      <w:szCs w:val="21"/>
                    </w:rPr>
                  </w:pPr>
                  <w:r>
                    <w:rPr>
                      <w:b w:val="0"/>
                      <w:bCs w:val="0"/>
                      <w:color w:val="auto"/>
                      <w:sz w:val="21"/>
                      <w:szCs w:val="21"/>
                    </w:rPr>
                    <w:t>治理设施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927" w:type="pct"/>
                  <w:gridSpan w:val="2"/>
                  <w:vMerge w:val="continue"/>
                  <w:tcBorders>
                    <w:tl2br w:val="nil"/>
                    <w:tr2bl w:val="nil"/>
                  </w:tcBorders>
                  <w:noWrap w:val="0"/>
                  <w:vAlign w:val="center"/>
                </w:tcPr>
                <w:p>
                  <w:pPr>
                    <w:jc w:val="center"/>
                    <w:rPr>
                      <w:b w:val="0"/>
                      <w:bCs w:val="0"/>
                      <w:color w:val="auto"/>
                      <w:sz w:val="21"/>
                      <w:szCs w:val="21"/>
                    </w:rPr>
                  </w:pPr>
                </w:p>
              </w:tc>
              <w:tc>
                <w:tcPr>
                  <w:tcW w:w="631" w:type="pct"/>
                  <w:tcBorders>
                    <w:tl2br w:val="nil"/>
                    <w:tr2bl w:val="nil"/>
                  </w:tcBorders>
                  <w:noWrap w:val="0"/>
                  <w:vAlign w:val="center"/>
                </w:tcPr>
                <w:p>
                  <w:pPr>
                    <w:jc w:val="center"/>
                    <w:rPr>
                      <w:b w:val="0"/>
                      <w:bCs w:val="0"/>
                      <w:color w:val="auto"/>
                      <w:sz w:val="21"/>
                      <w:szCs w:val="21"/>
                    </w:rPr>
                  </w:pPr>
                  <w:r>
                    <w:rPr>
                      <w:b w:val="0"/>
                      <w:bCs w:val="0"/>
                      <w:color w:val="auto"/>
                      <w:sz w:val="21"/>
                      <w:szCs w:val="21"/>
                    </w:rPr>
                    <w:t>治理</w:t>
                  </w:r>
                </w:p>
                <w:p>
                  <w:pPr>
                    <w:jc w:val="center"/>
                    <w:rPr>
                      <w:b w:val="0"/>
                      <w:bCs w:val="0"/>
                      <w:color w:val="auto"/>
                      <w:sz w:val="21"/>
                      <w:szCs w:val="21"/>
                    </w:rPr>
                  </w:pPr>
                  <w:r>
                    <w:rPr>
                      <w:b w:val="0"/>
                      <w:bCs w:val="0"/>
                      <w:color w:val="auto"/>
                      <w:sz w:val="21"/>
                      <w:szCs w:val="21"/>
                    </w:rPr>
                    <w:t>工艺</w:t>
                  </w:r>
                </w:p>
              </w:tc>
              <w:tc>
                <w:tcPr>
                  <w:tcW w:w="546" w:type="pct"/>
                  <w:tcBorders>
                    <w:tl2br w:val="nil"/>
                    <w:tr2bl w:val="nil"/>
                  </w:tcBorders>
                  <w:noWrap w:val="0"/>
                  <w:vAlign w:val="center"/>
                </w:tcPr>
                <w:p>
                  <w:pPr>
                    <w:jc w:val="center"/>
                    <w:rPr>
                      <w:b w:val="0"/>
                      <w:bCs w:val="0"/>
                      <w:color w:val="auto"/>
                      <w:sz w:val="21"/>
                      <w:szCs w:val="21"/>
                    </w:rPr>
                  </w:pPr>
                  <w:r>
                    <w:rPr>
                      <w:b w:val="0"/>
                      <w:bCs w:val="0"/>
                      <w:color w:val="auto"/>
                      <w:sz w:val="21"/>
                      <w:szCs w:val="21"/>
                    </w:rPr>
                    <w:t>处理</w:t>
                  </w:r>
                </w:p>
                <w:p>
                  <w:pPr>
                    <w:jc w:val="center"/>
                    <w:rPr>
                      <w:b w:val="0"/>
                      <w:bCs w:val="0"/>
                      <w:color w:val="auto"/>
                      <w:sz w:val="21"/>
                      <w:szCs w:val="21"/>
                    </w:rPr>
                  </w:pPr>
                  <w:r>
                    <w:rPr>
                      <w:b w:val="0"/>
                      <w:bCs w:val="0"/>
                      <w:color w:val="auto"/>
                      <w:sz w:val="21"/>
                      <w:szCs w:val="21"/>
                    </w:rPr>
                    <w:t>能力</w:t>
                  </w:r>
                </w:p>
              </w:tc>
              <w:tc>
                <w:tcPr>
                  <w:tcW w:w="646" w:type="pct"/>
                  <w:tcBorders>
                    <w:tl2br w:val="nil"/>
                    <w:tr2bl w:val="nil"/>
                  </w:tcBorders>
                  <w:noWrap w:val="0"/>
                  <w:vAlign w:val="center"/>
                </w:tcPr>
                <w:p>
                  <w:pPr>
                    <w:jc w:val="center"/>
                    <w:rPr>
                      <w:b w:val="0"/>
                      <w:bCs w:val="0"/>
                      <w:color w:val="auto"/>
                      <w:sz w:val="21"/>
                      <w:szCs w:val="21"/>
                    </w:rPr>
                  </w:pPr>
                  <w:r>
                    <w:rPr>
                      <w:b w:val="0"/>
                      <w:bCs w:val="0"/>
                      <w:color w:val="auto"/>
                      <w:sz w:val="21"/>
                      <w:szCs w:val="21"/>
                    </w:rPr>
                    <w:t>治理</w:t>
                  </w:r>
                </w:p>
                <w:p>
                  <w:pPr>
                    <w:jc w:val="center"/>
                    <w:rPr>
                      <w:b w:val="0"/>
                      <w:bCs w:val="0"/>
                      <w:color w:val="auto"/>
                      <w:sz w:val="21"/>
                      <w:szCs w:val="21"/>
                    </w:rPr>
                  </w:pPr>
                  <w:r>
                    <w:rPr>
                      <w:b w:val="0"/>
                      <w:bCs w:val="0"/>
                      <w:color w:val="auto"/>
                      <w:sz w:val="21"/>
                      <w:szCs w:val="21"/>
                    </w:rPr>
                    <w:t>效率%</w:t>
                  </w:r>
                </w:p>
              </w:tc>
              <w:tc>
                <w:tcPr>
                  <w:tcW w:w="656" w:type="pct"/>
                  <w:tcBorders>
                    <w:tl2br w:val="nil"/>
                    <w:tr2bl w:val="nil"/>
                  </w:tcBorders>
                  <w:noWrap w:val="0"/>
                  <w:vAlign w:val="center"/>
                </w:tcPr>
                <w:p>
                  <w:pPr>
                    <w:jc w:val="center"/>
                    <w:rPr>
                      <w:b w:val="0"/>
                      <w:bCs w:val="0"/>
                      <w:color w:val="auto"/>
                      <w:sz w:val="21"/>
                      <w:szCs w:val="21"/>
                    </w:rPr>
                  </w:pPr>
                  <w:r>
                    <w:rPr>
                      <w:b w:val="0"/>
                      <w:bCs w:val="0"/>
                      <w:color w:val="auto"/>
                      <w:sz w:val="21"/>
                      <w:szCs w:val="21"/>
                    </w:rPr>
                    <w:t>是否为可行技术</w:t>
                  </w:r>
                </w:p>
              </w:tc>
              <w:tc>
                <w:tcPr>
                  <w:tcW w:w="619" w:type="pct"/>
                  <w:tcBorders>
                    <w:tl2br w:val="nil"/>
                    <w:tr2bl w:val="nil"/>
                  </w:tcBorders>
                  <w:noWrap w:val="0"/>
                  <w:vAlign w:val="center"/>
                </w:tcPr>
                <w:p>
                  <w:pPr>
                    <w:jc w:val="center"/>
                    <w:rPr>
                      <w:b w:val="0"/>
                      <w:bCs w:val="0"/>
                      <w:color w:val="auto"/>
                      <w:sz w:val="21"/>
                      <w:szCs w:val="21"/>
                    </w:rPr>
                  </w:pPr>
                  <w:r>
                    <w:rPr>
                      <w:b w:val="0"/>
                      <w:bCs w:val="0"/>
                      <w:color w:val="auto"/>
                      <w:sz w:val="21"/>
                      <w:szCs w:val="21"/>
                    </w:rPr>
                    <w:t>排放</w:t>
                  </w:r>
                </w:p>
                <w:p>
                  <w:pPr>
                    <w:jc w:val="center"/>
                    <w:rPr>
                      <w:b w:val="0"/>
                      <w:bCs w:val="0"/>
                      <w:color w:val="auto"/>
                      <w:sz w:val="21"/>
                      <w:szCs w:val="21"/>
                    </w:rPr>
                  </w:pPr>
                  <w:r>
                    <w:rPr>
                      <w:b w:val="0"/>
                      <w:bCs w:val="0"/>
                      <w:color w:val="auto"/>
                      <w:sz w:val="21"/>
                      <w:szCs w:val="21"/>
                    </w:rPr>
                    <w:t>去向</w:t>
                  </w:r>
                </w:p>
              </w:tc>
              <w:tc>
                <w:tcPr>
                  <w:tcW w:w="971" w:type="pct"/>
                  <w:tcBorders>
                    <w:tl2br w:val="nil"/>
                    <w:tr2bl w:val="nil"/>
                  </w:tcBorders>
                  <w:noWrap w:val="0"/>
                  <w:vAlign w:val="center"/>
                </w:tcPr>
                <w:p>
                  <w:pPr>
                    <w:jc w:val="center"/>
                    <w:rPr>
                      <w:b w:val="0"/>
                      <w:bCs w:val="0"/>
                      <w:color w:val="auto"/>
                      <w:sz w:val="21"/>
                      <w:szCs w:val="21"/>
                    </w:rPr>
                  </w:pPr>
                  <w:r>
                    <w:rPr>
                      <w:b w:val="0"/>
                      <w:bCs w:val="0"/>
                      <w:color w:val="auto"/>
                      <w:sz w:val="21"/>
                      <w:szCs w:val="21"/>
                    </w:rPr>
                    <w:t>排放规律</w:t>
                  </w:r>
                </w:p>
                <w:p>
                  <w:pPr>
                    <w:jc w:val="center"/>
                    <w:rPr>
                      <w:b w:val="0"/>
                      <w:bCs w:val="0"/>
                      <w:color w:val="auto"/>
                      <w:sz w:val="21"/>
                      <w:szCs w:val="21"/>
                    </w:rPr>
                  </w:pPr>
                  <w:r>
                    <w:rPr>
                      <w:b w:val="0"/>
                      <w:bCs w:val="0"/>
                      <w:color w:val="auto"/>
                      <w:sz w:val="21"/>
                      <w:szCs w:val="21"/>
                    </w:rPr>
                    <w:t>（连续/间歇）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376" w:type="pct"/>
                  <w:vMerge w:val="restart"/>
                  <w:tcBorders>
                    <w:tl2br w:val="nil"/>
                    <w:tr2bl w:val="nil"/>
                  </w:tcBorders>
                  <w:noWrap w:val="0"/>
                  <w:vAlign w:val="center"/>
                </w:tcPr>
                <w:p>
                  <w:pPr>
                    <w:jc w:val="center"/>
                    <w:rPr>
                      <w:b w:val="0"/>
                      <w:bCs w:val="0"/>
                      <w:color w:val="auto"/>
                      <w:sz w:val="21"/>
                      <w:szCs w:val="21"/>
                    </w:rPr>
                  </w:pPr>
                  <w:r>
                    <w:rPr>
                      <w:b w:val="0"/>
                      <w:bCs w:val="0"/>
                      <w:color w:val="auto"/>
                      <w:sz w:val="21"/>
                      <w:szCs w:val="21"/>
                    </w:rPr>
                    <w:t>生活污水</w:t>
                  </w:r>
                </w:p>
              </w:tc>
              <w:tc>
                <w:tcPr>
                  <w:tcW w:w="551" w:type="pct"/>
                  <w:tcBorders>
                    <w:tl2br w:val="nil"/>
                    <w:tr2bl w:val="nil"/>
                  </w:tcBorders>
                  <w:noWrap w:val="0"/>
                  <w:vAlign w:val="center"/>
                </w:tcPr>
                <w:p>
                  <w:pPr>
                    <w:ind w:left="-105" w:leftChars="-50" w:right="-105" w:rightChars="-50"/>
                    <w:contextualSpacing/>
                    <w:jc w:val="center"/>
                    <w:rPr>
                      <w:b w:val="0"/>
                      <w:bCs w:val="0"/>
                      <w:color w:val="auto"/>
                      <w:sz w:val="21"/>
                      <w:szCs w:val="21"/>
                    </w:rPr>
                  </w:pPr>
                  <w:r>
                    <w:rPr>
                      <w:rFonts w:hint="eastAsia"/>
                      <w:b w:val="0"/>
                      <w:bCs w:val="0"/>
                      <w:color w:val="auto"/>
                      <w:sz w:val="21"/>
                      <w:szCs w:val="21"/>
                    </w:rPr>
                    <w:t>CODcr</w:t>
                  </w:r>
                </w:p>
              </w:tc>
              <w:tc>
                <w:tcPr>
                  <w:tcW w:w="631" w:type="pct"/>
                  <w:vMerge w:val="restart"/>
                  <w:tcBorders>
                    <w:tl2br w:val="nil"/>
                    <w:tr2bl w:val="nil"/>
                  </w:tcBorders>
                  <w:noWrap w:val="0"/>
                  <w:vAlign w:val="center"/>
                </w:tcPr>
                <w:p>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化粪池</w:t>
                  </w:r>
                </w:p>
              </w:tc>
              <w:tc>
                <w:tcPr>
                  <w:tcW w:w="546" w:type="pct"/>
                  <w:vMerge w:val="restart"/>
                  <w:tcBorders>
                    <w:tl2br w:val="nil"/>
                    <w:tr2bl w:val="nil"/>
                  </w:tcBorders>
                  <w:noWrap w:val="0"/>
                  <w:vAlign w:val="center"/>
                </w:tcPr>
                <w:p>
                  <w:pPr>
                    <w:jc w:val="center"/>
                    <w:rPr>
                      <w:b w:val="0"/>
                      <w:bCs w:val="0"/>
                      <w:color w:val="auto"/>
                      <w:sz w:val="21"/>
                      <w:szCs w:val="21"/>
                    </w:rPr>
                  </w:pPr>
                  <w:r>
                    <w:rPr>
                      <w:rFonts w:hint="eastAsia"/>
                      <w:b w:val="0"/>
                      <w:bCs w:val="0"/>
                      <w:color w:val="auto"/>
                      <w:sz w:val="21"/>
                      <w:szCs w:val="21"/>
                      <w:lang w:val="en-US" w:eastAsia="zh-CN"/>
                    </w:rPr>
                    <w:t>10</w:t>
                  </w:r>
                  <w:r>
                    <w:rPr>
                      <w:b w:val="0"/>
                      <w:bCs w:val="0"/>
                      <w:color w:val="auto"/>
                      <w:sz w:val="21"/>
                      <w:szCs w:val="21"/>
                    </w:rPr>
                    <w:t>m</w:t>
                  </w:r>
                  <w:r>
                    <w:rPr>
                      <w:b w:val="0"/>
                      <w:bCs w:val="0"/>
                      <w:color w:val="auto"/>
                      <w:sz w:val="21"/>
                      <w:szCs w:val="21"/>
                      <w:vertAlign w:val="superscript"/>
                    </w:rPr>
                    <w:t>3</w:t>
                  </w:r>
                  <w:r>
                    <w:rPr>
                      <w:b w:val="0"/>
                      <w:bCs w:val="0"/>
                      <w:color w:val="auto"/>
                      <w:sz w:val="21"/>
                      <w:szCs w:val="21"/>
                    </w:rPr>
                    <w:t>/d</w:t>
                  </w:r>
                </w:p>
              </w:tc>
              <w:tc>
                <w:tcPr>
                  <w:tcW w:w="646" w:type="pct"/>
                  <w:tcBorders>
                    <w:tl2br w:val="nil"/>
                    <w:tr2bl w:val="nil"/>
                  </w:tcBorders>
                  <w:noWrap w:val="0"/>
                  <w:vAlign w:val="center"/>
                </w:tcPr>
                <w:p>
                  <w:pPr>
                    <w:jc w:val="center"/>
                    <w:rPr>
                      <w:b w:val="0"/>
                      <w:bCs w:val="0"/>
                      <w:color w:val="auto"/>
                      <w:sz w:val="21"/>
                      <w:szCs w:val="21"/>
                    </w:rPr>
                  </w:pPr>
                  <w:r>
                    <w:rPr>
                      <w:rFonts w:hint="eastAsia"/>
                      <w:b w:val="0"/>
                      <w:bCs w:val="0"/>
                      <w:color w:val="auto"/>
                      <w:sz w:val="21"/>
                      <w:szCs w:val="21"/>
                    </w:rPr>
                    <w:t>12.5</w:t>
                  </w:r>
                </w:p>
              </w:tc>
              <w:tc>
                <w:tcPr>
                  <w:tcW w:w="656" w:type="pct"/>
                  <w:vMerge w:val="restart"/>
                  <w:tcBorders>
                    <w:tl2br w:val="nil"/>
                    <w:tr2bl w:val="nil"/>
                  </w:tcBorders>
                  <w:noWrap w:val="0"/>
                  <w:vAlign w:val="center"/>
                </w:tcPr>
                <w:p>
                  <w:pPr>
                    <w:jc w:val="center"/>
                    <w:rPr>
                      <w:b w:val="0"/>
                      <w:bCs w:val="0"/>
                      <w:color w:val="auto"/>
                      <w:sz w:val="21"/>
                      <w:szCs w:val="21"/>
                    </w:rPr>
                  </w:pPr>
                  <w:r>
                    <w:rPr>
                      <w:b w:val="0"/>
                      <w:bCs w:val="0"/>
                      <w:color w:val="auto"/>
                      <w:sz w:val="21"/>
                      <w:szCs w:val="21"/>
                    </w:rPr>
                    <w:t>是</w:t>
                  </w:r>
                </w:p>
              </w:tc>
              <w:tc>
                <w:tcPr>
                  <w:tcW w:w="619" w:type="pct"/>
                  <w:vMerge w:val="restart"/>
                  <w:tcBorders>
                    <w:tl2br w:val="nil"/>
                    <w:tr2bl w:val="nil"/>
                  </w:tcBorders>
                  <w:noWrap w:val="0"/>
                  <w:vAlign w:val="center"/>
                </w:tcPr>
                <w:p>
                  <w:pPr>
                    <w:ind w:left="-105" w:leftChars="-50" w:right="-105" w:rightChars="-50"/>
                    <w:contextualSpacing/>
                    <w:jc w:val="center"/>
                    <w:rPr>
                      <w:rFonts w:hint="eastAsia" w:eastAsia="宋体"/>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经化粪池收集后定期清运外</w:t>
                  </w:r>
                </w:p>
              </w:tc>
              <w:tc>
                <w:tcPr>
                  <w:tcW w:w="971" w:type="pct"/>
                  <w:vMerge w:val="restart"/>
                  <w:tcBorders>
                    <w:tl2br w:val="nil"/>
                    <w:tr2bl w:val="nil"/>
                  </w:tcBorders>
                  <w:noWrap w:val="0"/>
                  <w:vAlign w:val="center"/>
                </w:tcPr>
                <w:p>
                  <w:pPr>
                    <w:ind w:left="-105" w:leftChars="-50" w:right="-105" w:rightChars="-50"/>
                    <w:contextualSpacing/>
                    <w:jc w:val="center"/>
                    <w:rPr>
                      <w:rFonts w:hint="eastAsia"/>
                      <w:color w:val="auto"/>
                      <w:lang w:eastAsia="zh-CN"/>
                    </w:rPr>
                  </w:pPr>
                  <w:r>
                    <w:rPr>
                      <w:rFonts w:hint="eastAsia" w:ascii="Times New Roman" w:hAnsi="Times New Roman" w:eastAsia="宋体" w:cs="Times New Roman"/>
                      <w:b w:val="0"/>
                      <w:bCs w:val="0"/>
                      <w:color w:val="auto"/>
                      <w:sz w:val="21"/>
                      <w:szCs w:val="21"/>
                      <w:lang w:eastAsia="zh-CN"/>
                    </w:rPr>
                    <w:t>不外排</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ind w:left="-105" w:leftChars="-50" w:right="-105" w:rightChars="-50"/>
                    <w:contextualSpacing/>
                    <w:jc w:val="center"/>
                    <w:rPr>
                      <w:b w:val="0"/>
                      <w:bCs w:val="0"/>
                      <w:color w:val="auto"/>
                      <w:sz w:val="21"/>
                      <w:szCs w:val="21"/>
                    </w:rPr>
                  </w:pPr>
                  <w:r>
                    <w:rPr>
                      <w:b w:val="0"/>
                      <w:bCs w:val="0"/>
                      <w:color w:val="auto"/>
                      <w:sz w:val="21"/>
                      <w:szCs w:val="21"/>
                    </w:rPr>
                    <w:t>BOD</w:t>
                  </w:r>
                  <w:r>
                    <w:rPr>
                      <w:b w:val="0"/>
                      <w:bCs w:val="0"/>
                      <w:color w:val="auto"/>
                      <w:sz w:val="21"/>
                      <w:szCs w:val="21"/>
                      <w:vertAlign w:val="subscript"/>
                    </w:rPr>
                    <w:t>5</w:t>
                  </w:r>
                </w:p>
              </w:tc>
              <w:tc>
                <w:tcPr>
                  <w:tcW w:w="631" w:type="pct"/>
                  <w:vMerge w:val="continue"/>
                  <w:tcBorders>
                    <w:tl2br w:val="nil"/>
                    <w:tr2bl w:val="nil"/>
                  </w:tcBorders>
                  <w:noWrap w:val="0"/>
                  <w:vAlign w:val="center"/>
                </w:tcPr>
                <w:p>
                  <w:pPr>
                    <w:jc w:val="center"/>
                    <w:rPr>
                      <w:rFonts w:ascii="Times New Roman" w:hAnsi="Times New Roman" w:eastAsia="宋体" w:cs="Times New Roman"/>
                      <w:b w:val="0"/>
                      <w:bCs w:val="0"/>
                      <w:color w:val="auto"/>
                      <w:sz w:val="21"/>
                      <w:szCs w:val="21"/>
                    </w:rPr>
                  </w:pPr>
                </w:p>
              </w:tc>
              <w:tc>
                <w:tcPr>
                  <w:tcW w:w="546" w:type="pct"/>
                  <w:vMerge w:val="continue"/>
                  <w:tcBorders>
                    <w:tl2br w:val="nil"/>
                    <w:tr2bl w:val="nil"/>
                  </w:tcBorders>
                  <w:noWrap w:val="0"/>
                  <w:vAlign w:val="center"/>
                </w:tcPr>
                <w:p>
                  <w:pPr>
                    <w:jc w:val="center"/>
                    <w:rPr>
                      <w:b w:val="0"/>
                      <w:bCs w:val="0"/>
                      <w:color w:val="auto"/>
                      <w:sz w:val="21"/>
                      <w:szCs w:val="21"/>
                    </w:rPr>
                  </w:pPr>
                </w:p>
              </w:tc>
              <w:tc>
                <w:tcPr>
                  <w:tcW w:w="646" w:type="pct"/>
                  <w:tcBorders>
                    <w:tl2br w:val="nil"/>
                    <w:tr2bl w:val="nil"/>
                  </w:tcBorders>
                  <w:noWrap w:val="0"/>
                  <w:vAlign w:val="center"/>
                </w:tcPr>
                <w:p>
                  <w:pPr>
                    <w:jc w:val="center"/>
                    <w:rPr>
                      <w:b w:val="0"/>
                      <w:bCs w:val="0"/>
                      <w:color w:val="auto"/>
                      <w:sz w:val="21"/>
                      <w:szCs w:val="21"/>
                    </w:rPr>
                  </w:pPr>
                  <w:r>
                    <w:rPr>
                      <w:rFonts w:hint="eastAsia"/>
                      <w:b w:val="0"/>
                      <w:bCs w:val="0"/>
                      <w:color w:val="auto"/>
                      <w:sz w:val="21"/>
                      <w:szCs w:val="21"/>
                    </w:rPr>
                    <w:t>6.25</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vMerge w:val="continue"/>
                  <w:tcBorders>
                    <w:tl2br w:val="nil"/>
                    <w:tr2bl w:val="nil"/>
                  </w:tcBorders>
                  <w:noWrap w:val="0"/>
                  <w:vAlign w:val="center"/>
                </w:tcPr>
                <w:p>
                  <w:pPr>
                    <w:jc w:val="center"/>
                    <w:rPr>
                      <w:b w:val="0"/>
                      <w:bCs w:val="0"/>
                      <w:color w:val="auto"/>
                      <w:sz w:val="21"/>
                      <w:szCs w:val="21"/>
                    </w:rPr>
                  </w:pP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ind w:left="-105" w:leftChars="-50" w:right="-105" w:rightChars="-50"/>
                    <w:contextualSpacing/>
                    <w:jc w:val="center"/>
                    <w:rPr>
                      <w:b w:val="0"/>
                      <w:bCs w:val="0"/>
                      <w:color w:val="auto"/>
                      <w:sz w:val="21"/>
                      <w:szCs w:val="21"/>
                    </w:rPr>
                  </w:pPr>
                  <w:r>
                    <w:rPr>
                      <w:b w:val="0"/>
                      <w:bCs w:val="0"/>
                      <w:color w:val="auto"/>
                      <w:sz w:val="21"/>
                      <w:szCs w:val="21"/>
                    </w:rPr>
                    <w:t>SS</w:t>
                  </w:r>
                </w:p>
              </w:tc>
              <w:tc>
                <w:tcPr>
                  <w:tcW w:w="631" w:type="pct"/>
                  <w:vMerge w:val="continue"/>
                  <w:tcBorders>
                    <w:tl2br w:val="nil"/>
                    <w:tr2bl w:val="nil"/>
                  </w:tcBorders>
                  <w:noWrap w:val="0"/>
                  <w:vAlign w:val="center"/>
                </w:tcPr>
                <w:p>
                  <w:pPr>
                    <w:jc w:val="center"/>
                    <w:rPr>
                      <w:rFonts w:ascii="Times New Roman" w:hAnsi="Times New Roman" w:eastAsia="宋体" w:cs="Times New Roman"/>
                      <w:b w:val="0"/>
                      <w:bCs w:val="0"/>
                      <w:color w:val="auto"/>
                      <w:sz w:val="21"/>
                      <w:szCs w:val="21"/>
                    </w:rPr>
                  </w:pPr>
                </w:p>
              </w:tc>
              <w:tc>
                <w:tcPr>
                  <w:tcW w:w="546" w:type="pct"/>
                  <w:vMerge w:val="continue"/>
                  <w:tcBorders>
                    <w:tl2br w:val="nil"/>
                    <w:tr2bl w:val="nil"/>
                  </w:tcBorders>
                  <w:noWrap w:val="0"/>
                  <w:vAlign w:val="center"/>
                </w:tcPr>
                <w:p>
                  <w:pPr>
                    <w:jc w:val="center"/>
                    <w:rPr>
                      <w:b w:val="0"/>
                      <w:bCs w:val="0"/>
                      <w:color w:val="auto"/>
                      <w:sz w:val="21"/>
                      <w:szCs w:val="21"/>
                    </w:rPr>
                  </w:pPr>
                </w:p>
              </w:tc>
              <w:tc>
                <w:tcPr>
                  <w:tcW w:w="646" w:type="pct"/>
                  <w:tcBorders>
                    <w:tl2br w:val="nil"/>
                    <w:tr2bl w:val="nil"/>
                  </w:tcBorders>
                  <w:noWrap w:val="0"/>
                  <w:vAlign w:val="center"/>
                </w:tcPr>
                <w:p>
                  <w:pPr>
                    <w:jc w:val="center"/>
                    <w:rPr>
                      <w:b w:val="0"/>
                      <w:bCs w:val="0"/>
                      <w:color w:val="auto"/>
                      <w:sz w:val="21"/>
                      <w:szCs w:val="21"/>
                    </w:rPr>
                  </w:pPr>
                  <w:r>
                    <w:rPr>
                      <w:rFonts w:hint="eastAsia"/>
                      <w:b w:val="0"/>
                      <w:bCs w:val="0"/>
                      <w:color w:val="auto"/>
                      <w:sz w:val="21"/>
                      <w:szCs w:val="21"/>
                    </w:rPr>
                    <w:t>20</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vMerge w:val="continue"/>
                  <w:tcBorders>
                    <w:tl2br w:val="nil"/>
                    <w:tr2bl w:val="nil"/>
                  </w:tcBorders>
                  <w:noWrap w:val="0"/>
                  <w:vAlign w:val="center"/>
                </w:tcPr>
                <w:p>
                  <w:pPr>
                    <w:jc w:val="center"/>
                    <w:rPr>
                      <w:b w:val="0"/>
                      <w:bCs w:val="0"/>
                      <w:color w:val="auto"/>
                      <w:sz w:val="21"/>
                      <w:szCs w:val="21"/>
                    </w:rPr>
                  </w:pP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ind w:left="-105" w:leftChars="-50" w:right="-105" w:rightChars="-50"/>
                    <w:contextualSpacing/>
                    <w:jc w:val="center"/>
                    <w:rPr>
                      <w:b w:val="0"/>
                      <w:bCs w:val="0"/>
                      <w:color w:val="auto"/>
                      <w:sz w:val="21"/>
                      <w:szCs w:val="21"/>
                    </w:rPr>
                  </w:pPr>
                  <w:r>
                    <w:rPr>
                      <w:b w:val="0"/>
                      <w:bCs w:val="0"/>
                      <w:color w:val="auto"/>
                      <w:sz w:val="21"/>
                      <w:szCs w:val="21"/>
                    </w:rPr>
                    <w:t>NH</w:t>
                  </w:r>
                  <w:r>
                    <w:rPr>
                      <w:b w:val="0"/>
                      <w:bCs w:val="0"/>
                      <w:color w:val="auto"/>
                      <w:sz w:val="21"/>
                      <w:szCs w:val="21"/>
                      <w:vertAlign w:val="subscript"/>
                    </w:rPr>
                    <w:t>3</w:t>
                  </w:r>
                  <w:r>
                    <w:rPr>
                      <w:b w:val="0"/>
                      <w:bCs w:val="0"/>
                      <w:color w:val="auto"/>
                      <w:sz w:val="21"/>
                      <w:szCs w:val="21"/>
                    </w:rPr>
                    <w:t>-N</w:t>
                  </w:r>
                </w:p>
              </w:tc>
              <w:tc>
                <w:tcPr>
                  <w:tcW w:w="631" w:type="pct"/>
                  <w:vMerge w:val="continue"/>
                  <w:tcBorders>
                    <w:tl2br w:val="nil"/>
                    <w:tr2bl w:val="nil"/>
                  </w:tcBorders>
                  <w:noWrap w:val="0"/>
                  <w:vAlign w:val="center"/>
                </w:tcPr>
                <w:p>
                  <w:pPr>
                    <w:jc w:val="center"/>
                    <w:rPr>
                      <w:rFonts w:ascii="Times New Roman" w:hAnsi="Times New Roman" w:eastAsia="宋体" w:cs="Times New Roman"/>
                      <w:b w:val="0"/>
                      <w:bCs w:val="0"/>
                      <w:color w:val="auto"/>
                      <w:sz w:val="21"/>
                      <w:szCs w:val="21"/>
                    </w:rPr>
                  </w:pPr>
                </w:p>
              </w:tc>
              <w:tc>
                <w:tcPr>
                  <w:tcW w:w="546" w:type="pct"/>
                  <w:vMerge w:val="continue"/>
                  <w:tcBorders>
                    <w:tl2br w:val="nil"/>
                    <w:tr2bl w:val="nil"/>
                  </w:tcBorders>
                  <w:noWrap w:val="0"/>
                  <w:vAlign w:val="center"/>
                </w:tcPr>
                <w:p>
                  <w:pPr>
                    <w:jc w:val="center"/>
                    <w:rPr>
                      <w:b w:val="0"/>
                      <w:bCs w:val="0"/>
                      <w:color w:val="auto"/>
                      <w:sz w:val="21"/>
                      <w:szCs w:val="21"/>
                    </w:rPr>
                  </w:pPr>
                </w:p>
              </w:tc>
              <w:tc>
                <w:tcPr>
                  <w:tcW w:w="646" w:type="pct"/>
                  <w:tcBorders>
                    <w:tl2br w:val="nil"/>
                    <w:tr2bl w:val="nil"/>
                  </w:tcBorders>
                  <w:noWrap w:val="0"/>
                  <w:vAlign w:val="center"/>
                </w:tcPr>
                <w:p>
                  <w:pPr>
                    <w:jc w:val="center"/>
                    <w:rPr>
                      <w:b w:val="0"/>
                      <w:bCs w:val="0"/>
                      <w:color w:val="auto"/>
                      <w:sz w:val="21"/>
                      <w:szCs w:val="21"/>
                    </w:rPr>
                  </w:pPr>
                  <w:r>
                    <w:rPr>
                      <w:rFonts w:hint="eastAsia"/>
                      <w:b w:val="0"/>
                      <w:bCs w:val="0"/>
                      <w:color w:val="auto"/>
                      <w:sz w:val="21"/>
                      <w:szCs w:val="21"/>
                    </w:rPr>
                    <w:t>25</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vMerge w:val="continue"/>
                  <w:tcBorders>
                    <w:tl2br w:val="nil"/>
                    <w:tr2bl w:val="nil"/>
                  </w:tcBorders>
                  <w:noWrap w:val="0"/>
                  <w:vAlign w:val="center"/>
                </w:tcPr>
                <w:p>
                  <w:pPr>
                    <w:jc w:val="center"/>
                    <w:rPr>
                      <w:b w:val="0"/>
                      <w:bCs w:val="0"/>
                      <w:color w:val="auto"/>
                      <w:sz w:val="21"/>
                      <w:szCs w:val="21"/>
                    </w:rPr>
                  </w:pP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376" w:type="pct"/>
                  <w:vMerge w:val="restart"/>
                  <w:tcBorders>
                    <w:tl2br w:val="nil"/>
                    <w:tr2bl w:val="nil"/>
                  </w:tcBorders>
                  <w:noWrap w:val="0"/>
                  <w:vAlign w:val="center"/>
                </w:tcPr>
                <w:p>
                  <w:pPr>
                    <w:jc w:val="center"/>
                    <w:rPr>
                      <w:rFonts w:hint="eastAsia" w:eastAsia="宋体"/>
                      <w:b w:val="0"/>
                      <w:bCs w:val="0"/>
                      <w:color w:val="auto"/>
                      <w:sz w:val="21"/>
                      <w:szCs w:val="21"/>
                      <w:lang w:eastAsia="zh-CN"/>
                    </w:rPr>
                  </w:pPr>
                  <w:r>
                    <w:rPr>
                      <w:rFonts w:hint="eastAsia" w:ascii="Times New Roman" w:hAnsi="Times New Roman" w:eastAsia="宋体" w:cs="Times New Roman"/>
                      <w:b w:val="0"/>
                      <w:bCs w:val="0"/>
                      <w:color w:val="auto"/>
                      <w:sz w:val="21"/>
                      <w:szCs w:val="21"/>
                      <w:lang w:val="zh-CN" w:eastAsia="zh-CN"/>
                    </w:rPr>
                    <w:t>锅炉及软水制备排浓水</w:t>
                  </w:r>
                  <w:r>
                    <w:rPr>
                      <w:rFonts w:hint="eastAsia" w:ascii="Times New Roman" w:hAnsi="Times New Roman" w:eastAsia="宋体" w:cs="Times New Roman"/>
                      <w:b w:val="0"/>
                      <w:bCs w:val="0"/>
                      <w:color w:val="auto"/>
                      <w:sz w:val="21"/>
                      <w:szCs w:val="21"/>
                      <w:lang w:val="en-US" w:eastAsia="zh-CN"/>
                    </w:rPr>
                    <w:t>、含油污水</w:t>
                  </w:r>
                </w:p>
              </w:tc>
              <w:tc>
                <w:tcPr>
                  <w:tcW w:w="551" w:type="pct"/>
                  <w:tcBorders>
                    <w:tl2br w:val="nil"/>
                    <w:tr2bl w:val="nil"/>
                  </w:tcBorders>
                  <w:noWrap w:val="0"/>
                  <w:vAlign w:val="center"/>
                </w:tcPr>
                <w:p>
                  <w:pPr>
                    <w:jc w:val="center"/>
                    <w:rPr>
                      <w:b w:val="0"/>
                      <w:bCs w:val="0"/>
                      <w:color w:val="auto"/>
                      <w:sz w:val="21"/>
                      <w:szCs w:val="21"/>
                    </w:rPr>
                  </w:pPr>
                  <w:r>
                    <w:rPr>
                      <w:color w:val="auto"/>
                      <w:szCs w:val="21"/>
                    </w:rPr>
                    <w:t>COD</w:t>
                  </w:r>
                  <w:r>
                    <w:rPr>
                      <w:color w:val="auto"/>
                      <w:szCs w:val="21"/>
                      <w:vertAlign w:val="subscript"/>
                    </w:rPr>
                    <w:t>Cr</w:t>
                  </w:r>
                </w:p>
              </w:tc>
              <w:tc>
                <w:tcPr>
                  <w:tcW w:w="631" w:type="pct"/>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eastAsia="zh-CN"/>
                    </w:rPr>
                    <w:t>隔油</w:t>
                  </w:r>
                  <w:r>
                    <w:rPr>
                      <w:rFonts w:hint="eastAsia" w:cs="Times New Roman"/>
                      <w:b w:val="0"/>
                      <w:bCs w:val="0"/>
                      <w:color w:val="auto"/>
                      <w:sz w:val="21"/>
                      <w:szCs w:val="21"/>
                      <w:lang w:val="en-US" w:eastAsia="zh-CN"/>
                    </w:rPr>
                    <w:t>+气浮+</w:t>
                  </w:r>
                  <w:r>
                    <w:rPr>
                      <w:rFonts w:hint="eastAsia" w:ascii="Times New Roman" w:hAnsi="Times New Roman" w:eastAsia="宋体" w:cs="Times New Roman"/>
                      <w:b w:val="0"/>
                      <w:bCs w:val="0"/>
                      <w:color w:val="auto"/>
                      <w:sz w:val="21"/>
                      <w:szCs w:val="21"/>
                      <w:lang w:eastAsia="zh-CN"/>
                    </w:rPr>
                    <w:t>厌氧</w:t>
                  </w:r>
                  <w:r>
                    <w:rPr>
                      <w:rFonts w:hint="eastAsia" w:ascii="Times New Roman" w:hAnsi="Times New Roman" w:eastAsia="宋体" w:cs="Times New Roman"/>
                      <w:b w:val="0"/>
                      <w:bCs w:val="0"/>
                      <w:color w:val="auto"/>
                      <w:sz w:val="21"/>
                      <w:szCs w:val="21"/>
                      <w:lang w:val="en-US" w:eastAsia="zh-CN"/>
                    </w:rPr>
                    <w:t>+好氧+沉淀</w:t>
                  </w:r>
                </w:p>
              </w:tc>
              <w:tc>
                <w:tcPr>
                  <w:tcW w:w="546" w:type="pct"/>
                  <w:vMerge w:val="restart"/>
                  <w:tcBorders>
                    <w:tl2br w:val="nil"/>
                    <w:tr2bl w:val="nil"/>
                  </w:tcBorders>
                  <w:noWrap w:val="0"/>
                  <w:vAlign w:val="center"/>
                </w:tcPr>
                <w:p>
                  <w:pPr>
                    <w:jc w:val="center"/>
                    <w:rPr>
                      <w:b w:val="0"/>
                      <w:bCs w:val="0"/>
                      <w:color w:val="auto"/>
                      <w:sz w:val="21"/>
                      <w:szCs w:val="21"/>
                    </w:rPr>
                  </w:pPr>
                  <w:r>
                    <w:rPr>
                      <w:rFonts w:hint="eastAsia"/>
                      <w:b w:val="0"/>
                      <w:bCs w:val="0"/>
                      <w:color w:val="auto"/>
                      <w:sz w:val="21"/>
                      <w:szCs w:val="21"/>
                      <w:lang w:val="en-US" w:eastAsia="zh-CN"/>
                    </w:rPr>
                    <w:t>50</w:t>
                  </w:r>
                  <w:r>
                    <w:rPr>
                      <w:b w:val="0"/>
                      <w:bCs w:val="0"/>
                      <w:color w:val="auto"/>
                      <w:sz w:val="21"/>
                      <w:szCs w:val="21"/>
                    </w:rPr>
                    <w:t>m</w:t>
                  </w:r>
                  <w:r>
                    <w:rPr>
                      <w:b w:val="0"/>
                      <w:bCs w:val="0"/>
                      <w:color w:val="auto"/>
                      <w:sz w:val="21"/>
                      <w:szCs w:val="21"/>
                      <w:vertAlign w:val="superscript"/>
                    </w:rPr>
                    <w:t>3</w:t>
                  </w:r>
                  <w:r>
                    <w:rPr>
                      <w:b w:val="0"/>
                      <w:bCs w:val="0"/>
                      <w:color w:val="auto"/>
                      <w:sz w:val="21"/>
                      <w:szCs w:val="21"/>
                    </w:rPr>
                    <w:t>/d</w:t>
                  </w:r>
                </w:p>
              </w:tc>
              <w:tc>
                <w:tcPr>
                  <w:tcW w:w="646" w:type="pct"/>
                  <w:tcBorders>
                    <w:tl2br w:val="nil"/>
                    <w:tr2bl w:val="nil"/>
                  </w:tcBorders>
                  <w:noWrap w:val="0"/>
                  <w:vAlign w:val="center"/>
                </w:tcPr>
                <w:p>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94</w:t>
                  </w:r>
                </w:p>
              </w:tc>
              <w:tc>
                <w:tcPr>
                  <w:tcW w:w="656" w:type="pct"/>
                  <w:vMerge w:val="restart"/>
                  <w:tcBorders>
                    <w:tl2br w:val="nil"/>
                    <w:tr2bl w:val="nil"/>
                  </w:tcBorders>
                  <w:noWrap w:val="0"/>
                  <w:vAlign w:val="center"/>
                </w:tcPr>
                <w:p>
                  <w:pPr>
                    <w:jc w:val="center"/>
                    <w:rPr>
                      <w:rFonts w:hint="eastAsia" w:eastAsia="宋体"/>
                      <w:b w:val="0"/>
                      <w:bCs w:val="0"/>
                      <w:color w:val="auto"/>
                      <w:sz w:val="21"/>
                      <w:szCs w:val="21"/>
                      <w:lang w:eastAsia="zh-CN"/>
                    </w:rPr>
                  </w:pPr>
                  <w:r>
                    <w:rPr>
                      <w:rFonts w:hint="eastAsia"/>
                      <w:b w:val="0"/>
                      <w:bCs w:val="0"/>
                      <w:color w:val="auto"/>
                      <w:sz w:val="21"/>
                      <w:szCs w:val="21"/>
                      <w:lang w:eastAsia="zh-CN"/>
                    </w:rPr>
                    <w:t>是</w:t>
                  </w:r>
                </w:p>
              </w:tc>
              <w:tc>
                <w:tcPr>
                  <w:tcW w:w="619" w:type="pct"/>
                  <w:vMerge w:val="restart"/>
                  <w:tcBorders>
                    <w:tl2br w:val="nil"/>
                    <w:tr2bl w:val="nil"/>
                  </w:tcBorders>
                  <w:noWrap w:val="0"/>
                  <w:vAlign w:val="center"/>
                </w:tcPr>
                <w:p>
                  <w:pPr>
                    <w:ind w:left="-105" w:leftChars="-50" w:right="-105" w:rightChars="-50"/>
                    <w:contextualSpacing/>
                    <w:jc w:val="center"/>
                    <w:rPr>
                      <w:rFonts w:hint="eastAsia" w:eastAsia="宋体"/>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经厂区污水处理站处理</w:t>
                  </w:r>
                  <w:r>
                    <w:rPr>
                      <w:rFonts w:hint="eastAsia" w:ascii="Times New Roman" w:hAnsi="Times New Roman" w:eastAsia="宋体" w:cs="Times New Roman"/>
                      <w:b w:val="0"/>
                      <w:bCs w:val="0"/>
                      <w:color w:val="auto"/>
                      <w:sz w:val="21"/>
                      <w:szCs w:val="21"/>
                      <w:lang w:val="en-US" w:eastAsia="zh-CN"/>
                    </w:rPr>
                    <w:t>后</w:t>
                  </w:r>
                  <w:r>
                    <w:rPr>
                      <w:rFonts w:hint="eastAsia" w:ascii="Times New Roman" w:hAnsi="Times New Roman" w:eastAsia="宋体" w:cs="Times New Roman"/>
                      <w:b w:val="0"/>
                      <w:bCs w:val="0"/>
                      <w:color w:val="auto"/>
                      <w:sz w:val="21"/>
                      <w:szCs w:val="21"/>
                      <w:lang w:eastAsia="zh-CN"/>
                    </w:rPr>
                    <w:t>回用</w:t>
                  </w:r>
                </w:p>
              </w:tc>
              <w:tc>
                <w:tcPr>
                  <w:tcW w:w="971" w:type="pct"/>
                  <w:vMerge w:val="restart"/>
                  <w:tcBorders>
                    <w:tl2br w:val="nil"/>
                    <w:tr2bl w:val="nil"/>
                  </w:tcBorders>
                  <w:noWrap w:val="0"/>
                  <w:vAlign w:val="center"/>
                </w:tcPr>
                <w:p>
                  <w:pPr>
                    <w:ind w:left="-105" w:leftChars="-50" w:right="-105" w:rightChars="-50"/>
                    <w:contextualSpacing/>
                    <w:jc w:val="center"/>
                    <w:rPr>
                      <w:rFonts w:hint="eastAsia" w:eastAsia="宋体"/>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不外排</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jc w:val="center"/>
                    <w:rPr>
                      <w:b w:val="0"/>
                      <w:bCs w:val="0"/>
                      <w:color w:val="auto"/>
                      <w:sz w:val="21"/>
                      <w:szCs w:val="21"/>
                    </w:rPr>
                  </w:pPr>
                  <w:r>
                    <w:rPr>
                      <w:color w:val="auto"/>
                      <w:szCs w:val="21"/>
                    </w:rPr>
                    <w:t>SS</w:t>
                  </w: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vMerge w:val="continue"/>
                  <w:tcBorders>
                    <w:tl2br w:val="nil"/>
                    <w:tr2bl w:val="nil"/>
                  </w:tcBorders>
                  <w:noWrap w:val="0"/>
                  <w:vAlign w:val="center"/>
                </w:tcPr>
                <w:p>
                  <w:pPr>
                    <w:jc w:val="center"/>
                    <w:rPr>
                      <w:b w:val="0"/>
                      <w:bCs w:val="0"/>
                      <w:color w:val="auto"/>
                      <w:sz w:val="21"/>
                      <w:szCs w:val="21"/>
                    </w:rPr>
                  </w:pPr>
                </w:p>
              </w:tc>
              <w:tc>
                <w:tcPr>
                  <w:tcW w:w="646" w:type="pct"/>
                  <w:tcBorders>
                    <w:tl2br w:val="nil"/>
                    <w:tr2bl w:val="nil"/>
                  </w:tcBorders>
                  <w:noWrap w:val="0"/>
                  <w:vAlign w:val="center"/>
                </w:tcPr>
                <w:p>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98</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vMerge w:val="continue"/>
                  <w:tcBorders>
                    <w:tl2br w:val="nil"/>
                    <w:tr2bl w:val="nil"/>
                  </w:tcBorders>
                  <w:noWrap w:val="0"/>
                  <w:vAlign w:val="center"/>
                </w:tcPr>
                <w:p>
                  <w:pPr>
                    <w:jc w:val="center"/>
                    <w:rPr>
                      <w:b w:val="0"/>
                      <w:bCs w:val="0"/>
                      <w:color w:val="auto"/>
                      <w:sz w:val="21"/>
                      <w:szCs w:val="21"/>
                    </w:rPr>
                  </w:pP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jc w:val="center"/>
                    <w:rPr>
                      <w:b w:val="0"/>
                      <w:bCs w:val="0"/>
                      <w:color w:val="auto"/>
                      <w:sz w:val="21"/>
                      <w:szCs w:val="21"/>
                    </w:rPr>
                  </w:pPr>
                  <w:r>
                    <w:rPr>
                      <w:color w:val="auto"/>
                      <w:szCs w:val="21"/>
                    </w:rPr>
                    <w:t>NH</w:t>
                  </w:r>
                  <w:r>
                    <w:rPr>
                      <w:color w:val="auto"/>
                      <w:szCs w:val="21"/>
                      <w:vertAlign w:val="subscript"/>
                    </w:rPr>
                    <w:t>3</w:t>
                  </w:r>
                  <w:r>
                    <w:rPr>
                      <w:color w:val="auto"/>
                      <w:szCs w:val="21"/>
                    </w:rPr>
                    <w:t>-N</w:t>
                  </w: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vMerge w:val="continue"/>
                  <w:tcBorders>
                    <w:tl2br w:val="nil"/>
                    <w:tr2bl w:val="nil"/>
                  </w:tcBorders>
                  <w:noWrap w:val="0"/>
                  <w:vAlign w:val="center"/>
                </w:tcPr>
                <w:p>
                  <w:pPr>
                    <w:jc w:val="center"/>
                    <w:rPr>
                      <w:b w:val="0"/>
                      <w:bCs w:val="0"/>
                      <w:color w:val="auto"/>
                      <w:sz w:val="21"/>
                      <w:szCs w:val="21"/>
                    </w:rPr>
                  </w:pPr>
                </w:p>
              </w:tc>
              <w:tc>
                <w:tcPr>
                  <w:tcW w:w="646" w:type="pct"/>
                  <w:tcBorders>
                    <w:tl2br w:val="nil"/>
                    <w:tr2bl w:val="nil"/>
                  </w:tcBorders>
                  <w:noWrap w:val="0"/>
                  <w:vAlign w:val="center"/>
                </w:tcPr>
                <w:p>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83.33</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vMerge w:val="continue"/>
                  <w:tcBorders>
                    <w:tl2br w:val="nil"/>
                    <w:tr2bl w:val="nil"/>
                  </w:tcBorders>
                  <w:noWrap w:val="0"/>
                  <w:vAlign w:val="center"/>
                </w:tcPr>
                <w:p>
                  <w:pPr>
                    <w:jc w:val="center"/>
                    <w:rPr>
                      <w:b w:val="0"/>
                      <w:bCs w:val="0"/>
                      <w:color w:val="auto"/>
                      <w:sz w:val="21"/>
                      <w:szCs w:val="21"/>
                    </w:rPr>
                  </w:pP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jc w:val="center"/>
                    <w:rPr>
                      <w:b w:val="0"/>
                      <w:bCs w:val="0"/>
                      <w:color w:val="auto"/>
                      <w:sz w:val="21"/>
                      <w:szCs w:val="21"/>
                    </w:rPr>
                  </w:pPr>
                  <w:r>
                    <w:rPr>
                      <w:rFonts w:hint="eastAsia"/>
                      <w:color w:val="auto"/>
                      <w:szCs w:val="21"/>
                      <w:lang w:val="en-US" w:eastAsia="zh-CN"/>
                    </w:rPr>
                    <w:t>总氮</w:t>
                  </w: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vMerge w:val="continue"/>
                  <w:tcBorders>
                    <w:tl2br w:val="nil"/>
                    <w:tr2bl w:val="nil"/>
                  </w:tcBorders>
                  <w:noWrap w:val="0"/>
                  <w:vAlign w:val="center"/>
                </w:tcPr>
                <w:p>
                  <w:pPr>
                    <w:jc w:val="center"/>
                    <w:rPr>
                      <w:b w:val="0"/>
                      <w:bCs w:val="0"/>
                      <w:color w:val="auto"/>
                      <w:sz w:val="21"/>
                      <w:szCs w:val="21"/>
                    </w:rPr>
                  </w:pPr>
                </w:p>
              </w:tc>
              <w:tc>
                <w:tcPr>
                  <w:tcW w:w="646" w:type="pct"/>
                  <w:tcBorders>
                    <w:tl2br w:val="nil"/>
                    <w:tr2bl w:val="nil"/>
                  </w:tcBorders>
                  <w:noWrap w:val="0"/>
                  <w:vAlign w:val="center"/>
                </w:tcPr>
                <w:p>
                  <w:pPr>
                    <w:jc w:val="center"/>
                    <w:rPr>
                      <w:rFonts w:hint="default"/>
                      <w:b w:val="0"/>
                      <w:bCs w:val="0"/>
                      <w:color w:val="auto"/>
                      <w:sz w:val="21"/>
                      <w:szCs w:val="21"/>
                      <w:lang w:val="en-US" w:eastAsia="zh-CN"/>
                    </w:rPr>
                  </w:pPr>
                  <w:r>
                    <w:rPr>
                      <w:rFonts w:hint="eastAsia"/>
                      <w:b w:val="0"/>
                      <w:bCs w:val="0"/>
                      <w:color w:val="auto"/>
                      <w:sz w:val="21"/>
                      <w:szCs w:val="21"/>
                      <w:lang w:val="en-US" w:eastAsia="zh-CN"/>
                    </w:rPr>
                    <w:t>81.25</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vMerge w:val="continue"/>
                  <w:tcBorders>
                    <w:tl2br w:val="nil"/>
                    <w:tr2bl w:val="nil"/>
                  </w:tcBorders>
                  <w:noWrap w:val="0"/>
                  <w:vAlign w:val="center"/>
                </w:tcPr>
                <w:p>
                  <w:pPr>
                    <w:jc w:val="center"/>
                    <w:rPr>
                      <w:b w:val="0"/>
                      <w:bCs w:val="0"/>
                      <w:color w:val="auto"/>
                      <w:sz w:val="21"/>
                      <w:szCs w:val="21"/>
                    </w:rPr>
                  </w:pP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jc w:val="center"/>
                    <w:rPr>
                      <w:b w:val="0"/>
                      <w:bCs w:val="0"/>
                      <w:color w:val="auto"/>
                      <w:sz w:val="21"/>
                      <w:szCs w:val="21"/>
                    </w:rPr>
                  </w:pPr>
                  <w:r>
                    <w:rPr>
                      <w:rFonts w:hint="eastAsia"/>
                      <w:color w:val="auto"/>
                      <w:szCs w:val="21"/>
                      <w:lang w:val="en-US" w:eastAsia="zh-CN"/>
                    </w:rPr>
                    <w:t>石油类</w:t>
                  </w: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vMerge w:val="continue"/>
                  <w:tcBorders>
                    <w:tl2br w:val="nil"/>
                    <w:tr2bl w:val="nil"/>
                  </w:tcBorders>
                  <w:noWrap w:val="0"/>
                  <w:vAlign w:val="center"/>
                </w:tcPr>
                <w:p>
                  <w:pPr>
                    <w:jc w:val="center"/>
                    <w:rPr>
                      <w:b w:val="0"/>
                      <w:bCs w:val="0"/>
                      <w:color w:val="auto"/>
                      <w:sz w:val="21"/>
                      <w:szCs w:val="21"/>
                    </w:rPr>
                  </w:pPr>
                </w:p>
              </w:tc>
              <w:tc>
                <w:tcPr>
                  <w:tcW w:w="646" w:type="pct"/>
                  <w:tcBorders>
                    <w:tl2br w:val="nil"/>
                    <w:tr2bl w:val="nil"/>
                  </w:tcBorders>
                  <w:noWrap w:val="0"/>
                  <w:vAlign w:val="center"/>
                </w:tcPr>
                <w:p>
                  <w:pPr>
                    <w:jc w:val="center"/>
                    <w:rPr>
                      <w:rFonts w:hint="default"/>
                      <w:b w:val="0"/>
                      <w:bCs w:val="0"/>
                      <w:color w:val="auto"/>
                      <w:sz w:val="21"/>
                      <w:szCs w:val="21"/>
                      <w:lang w:val="en-US" w:eastAsia="zh-CN"/>
                    </w:rPr>
                  </w:pPr>
                  <w:r>
                    <w:rPr>
                      <w:rFonts w:hint="eastAsia"/>
                      <w:b w:val="0"/>
                      <w:bCs w:val="0"/>
                      <w:color w:val="auto"/>
                      <w:sz w:val="21"/>
                      <w:szCs w:val="21"/>
                      <w:lang w:val="en-US" w:eastAsia="zh-CN"/>
                    </w:rPr>
                    <w:t>99.75</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vMerge w:val="continue"/>
                  <w:tcBorders>
                    <w:tl2br w:val="nil"/>
                    <w:tr2bl w:val="nil"/>
                  </w:tcBorders>
                  <w:noWrap w:val="0"/>
                  <w:vAlign w:val="center"/>
                </w:tcPr>
                <w:p>
                  <w:pPr>
                    <w:jc w:val="center"/>
                    <w:rPr>
                      <w:b w:val="0"/>
                      <w:bCs w:val="0"/>
                      <w:color w:val="auto"/>
                      <w:sz w:val="21"/>
                      <w:szCs w:val="21"/>
                    </w:rPr>
                  </w:pP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jc w:val="center"/>
                    <w:rPr>
                      <w:b w:val="0"/>
                      <w:bCs w:val="0"/>
                      <w:color w:val="auto"/>
                      <w:sz w:val="21"/>
                      <w:szCs w:val="21"/>
                    </w:rPr>
                  </w:pPr>
                  <w:r>
                    <w:rPr>
                      <w:rFonts w:hint="eastAsia"/>
                      <w:color w:val="auto"/>
                      <w:szCs w:val="21"/>
                    </w:rPr>
                    <w:t>pH</w:t>
                  </w: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vMerge w:val="continue"/>
                  <w:tcBorders>
                    <w:tl2br w:val="nil"/>
                    <w:tr2bl w:val="nil"/>
                  </w:tcBorders>
                  <w:noWrap w:val="0"/>
                  <w:vAlign w:val="center"/>
                </w:tcPr>
                <w:p>
                  <w:pPr>
                    <w:jc w:val="center"/>
                    <w:rPr>
                      <w:b w:val="0"/>
                      <w:bCs w:val="0"/>
                      <w:color w:val="auto"/>
                      <w:sz w:val="21"/>
                      <w:szCs w:val="21"/>
                    </w:rPr>
                  </w:pPr>
                </w:p>
              </w:tc>
              <w:tc>
                <w:tcPr>
                  <w:tcW w:w="646" w:type="pct"/>
                  <w:tcBorders>
                    <w:tl2br w:val="nil"/>
                    <w:tr2bl w:val="nil"/>
                  </w:tcBorders>
                  <w:noWrap w:val="0"/>
                  <w:vAlign w:val="center"/>
                </w:tcPr>
                <w:p>
                  <w:pPr>
                    <w:jc w:val="center"/>
                    <w:rPr>
                      <w:rFonts w:hint="default"/>
                      <w:b w:val="0"/>
                      <w:bCs w:val="0"/>
                      <w:color w:val="auto"/>
                      <w:sz w:val="21"/>
                      <w:szCs w:val="21"/>
                      <w:lang w:val="en-US" w:eastAsia="zh-CN"/>
                    </w:rPr>
                  </w:pPr>
                  <w:r>
                    <w:rPr>
                      <w:rFonts w:hint="eastAsia"/>
                      <w:b w:val="0"/>
                      <w:bCs w:val="0"/>
                      <w:color w:val="auto"/>
                      <w:sz w:val="21"/>
                      <w:szCs w:val="21"/>
                      <w:lang w:val="en-US" w:eastAsia="zh-CN"/>
                    </w:rPr>
                    <w:t>/</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vMerge w:val="continue"/>
                  <w:tcBorders>
                    <w:tl2br w:val="nil"/>
                    <w:tr2bl w:val="nil"/>
                  </w:tcBorders>
                  <w:noWrap w:val="0"/>
                  <w:vAlign w:val="center"/>
                </w:tcPr>
                <w:p>
                  <w:pPr>
                    <w:jc w:val="center"/>
                    <w:rPr>
                      <w:b w:val="0"/>
                      <w:bCs w:val="0"/>
                      <w:color w:val="auto"/>
                      <w:sz w:val="21"/>
                      <w:szCs w:val="21"/>
                    </w:rPr>
                  </w:pP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7" w:type="pct"/>
                  <w:gridSpan w:val="2"/>
                  <w:vMerge w:val="restart"/>
                  <w:tcBorders>
                    <w:tl2br w:val="nil"/>
                    <w:tr2bl w:val="nil"/>
                  </w:tcBorders>
                  <w:noWrap w:val="0"/>
                  <w:vAlign w:val="center"/>
                </w:tcPr>
                <w:p>
                  <w:pPr>
                    <w:jc w:val="center"/>
                    <w:rPr>
                      <w:b w:val="0"/>
                      <w:bCs w:val="0"/>
                      <w:color w:val="auto"/>
                      <w:sz w:val="21"/>
                      <w:szCs w:val="21"/>
                    </w:rPr>
                  </w:pPr>
                  <w:r>
                    <w:rPr>
                      <w:b w:val="0"/>
                      <w:bCs w:val="0"/>
                      <w:color w:val="auto"/>
                      <w:sz w:val="21"/>
                      <w:szCs w:val="21"/>
                    </w:rPr>
                    <w:t>产排污环节</w:t>
                  </w:r>
                </w:p>
              </w:tc>
              <w:tc>
                <w:tcPr>
                  <w:tcW w:w="1825" w:type="pct"/>
                  <w:gridSpan w:val="3"/>
                  <w:tcBorders>
                    <w:tl2br w:val="nil"/>
                    <w:tr2bl w:val="nil"/>
                  </w:tcBorders>
                  <w:noWrap w:val="0"/>
                  <w:vAlign w:val="center"/>
                </w:tcPr>
                <w:p>
                  <w:pPr>
                    <w:jc w:val="center"/>
                    <w:rPr>
                      <w:b w:val="0"/>
                      <w:bCs w:val="0"/>
                      <w:color w:val="auto"/>
                      <w:sz w:val="21"/>
                      <w:szCs w:val="21"/>
                    </w:rPr>
                  </w:pPr>
                  <w:r>
                    <w:rPr>
                      <w:b w:val="0"/>
                      <w:bCs w:val="0"/>
                      <w:color w:val="auto"/>
                      <w:sz w:val="21"/>
                      <w:szCs w:val="21"/>
                    </w:rPr>
                    <w:t>污染物排放情况</w:t>
                  </w:r>
                </w:p>
              </w:tc>
              <w:tc>
                <w:tcPr>
                  <w:tcW w:w="656" w:type="pct"/>
                  <w:vMerge w:val="restart"/>
                  <w:tcBorders>
                    <w:tl2br w:val="nil"/>
                    <w:tr2bl w:val="nil"/>
                  </w:tcBorders>
                  <w:noWrap w:val="0"/>
                  <w:vAlign w:val="center"/>
                </w:tcPr>
                <w:p>
                  <w:pPr>
                    <w:jc w:val="center"/>
                    <w:rPr>
                      <w:b w:val="0"/>
                      <w:bCs w:val="0"/>
                      <w:color w:val="auto"/>
                      <w:sz w:val="21"/>
                      <w:szCs w:val="21"/>
                    </w:rPr>
                  </w:pPr>
                  <w:r>
                    <w:rPr>
                      <w:b w:val="0"/>
                      <w:bCs w:val="0"/>
                      <w:color w:val="auto"/>
                      <w:sz w:val="21"/>
                      <w:szCs w:val="21"/>
                    </w:rPr>
                    <w:t>排放口基本情况</w:t>
                  </w:r>
                </w:p>
              </w:tc>
              <w:tc>
                <w:tcPr>
                  <w:tcW w:w="619" w:type="pct"/>
                  <w:vMerge w:val="restart"/>
                  <w:tcBorders>
                    <w:tl2br w:val="nil"/>
                    <w:tr2bl w:val="nil"/>
                  </w:tcBorders>
                  <w:noWrap w:val="0"/>
                  <w:vAlign w:val="center"/>
                </w:tcPr>
                <w:p>
                  <w:pPr>
                    <w:jc w:val="center"/>
                    <w:rPr>
                      <w:b w:val="0"/>
                      <w:bCs w:val="0"/>
                      <w:color w:val="auto"/>
                      <w:sz w:val="21"/>
                      <w:szCs w:val="21"/>
                    </w:rPr>
                  </w:pPr>
                  <w:r>
                    <w:rPr>
                      <w:b w:val="0"/>
                      <w:bCs w:val="0"/>
                      <w:color w:val="auto"/>
                      <w:sz w:val="21"/>
                      <w:szCs w:val="21"/>
                    </w:rPr>
                    <w:t>执行</w:t>
                  </w:r>
                </w:p>
                <w:p>
                  <w:pPr>
                    <w:jc w:val="center"/>
                    <w:rPr>
                      <w:b w:val="0"/>
                      <w:bCs w:val="0"/>
                      <w:color w:val="auto"/>
                      <w:sz w:val="21"/>
                      <w:szCs w:val="21"/>
                    </w:rPr>
                  </w:pPr>
                  <w:r>
                    <w:rPr>
                      <w:b w:val="0"/>
                      <w:bCs w:val="0"/>
                      <w:color w:val="auto"/>
                      <w:sz w:val="21"/>
                      <w:szCs w:val="21"/>
                    </w:rPr>
                    <w:t>标准mg/L</w:t>
                  </w:r>
                </w:p>
              </w:tc>
              <w:tc>
                <w:tcPr>
                  <w:tcW w:w="971" w:type="pct"/>
                  <w:vMerge w:val="restart"/>
                  <w:tcBorders>
                    <w:tl2br w:val="nil"/>
                    <w:tr2bl w:val="nil"/>
                  </w:tcBorders>
                  <w:noWrap w:val="0"/>
                  <w:vAlign w:val="center"/>
                </w:tcPr>
                <w:p>
                  <w:pPr>
                    <w:jc w:val="center"/>
                    <w:rPr>
                      <w:b w:val="0"/>
                      <w:bCs w:val="0"/>
                      <w:color w:val="auto"/>
                      <w:sz w:val="21"/>
                      <w:szCs w:val="21"/>
                    </w:rPr>
                  </w:pPr>
                  <w:r>
                    <w:rPr>
                      <w:b w:val="0"/>
                      <w:bCs w:val="0"/>
                      <w:color w:val="auto"/>
                      <w:sz w:val="21"/>
                      <w:szCs w:val="21"/>
                    </w:rPr>
                    <w:t>监测要求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7" w:type="pct"/>
                  <w:gridSpan w:val="2"/>
                  <w:vMerge w:val="continue"/>
                  <w:tcBorders>
                    <w:tl2br w:val="nil"/>
                    <w:tr2bl w:val="nil"/>
                  </w:tcBorders>
                  <w:noWrap w:val="0"/>
                  <w:vAlign w:val="center"/>
                </w:tcPr>
                <w:p>
                  <w:pPr>
                    <w:jc w:val="center"/>
                    <w:rPr>
                      <w:b w:val="0"/>
                      <w:bCs w:val="0"/>
                      <w:color w:val="auto"/>
                      <w:sz w:val="21"/>
                      <w:szCs w:val="21"/>
                    </w:rPr>
                  </w:pPr>
                </w:p>
              </w:tc>
              <w:tc>
                <w:tcPr>
                  <w:tcW w:w="631" w:type="pct"/>
                  <w:tcBorders>
                    <w:tl2br w:val="nil"/>
                    <w:tr2bl w:val="nil"/>
                  </w:tcBorders>
                  <w:noWrap w:val="0"/>
                  <w:vAlign w:val="center"/>
                </w:tcPr>
                <w:p>
                  <w:pPr>
                    <w:jc w:val="center"/>
                    <w:rPr>
                      <w:b w:val="0"/>
                      <w:bCs w:val="0"/>
                      <w:color w:val="auto"/>
                      <w:sz w:val="21"/>
                      <w:szCs w:val="21"/>
                    </w:rPr>
                  </w:pPr>
                  <w:r>
                    <w:rPr>
                      <w:b w:val="0"/>
                      <w:bCs w:val="0"/>
                      <w:color w:val="auto"/>
                      <w:sz w:val="21"/>
                      <w:szCs w:val="21"/>
                    </w:rPr>
                    <w:t>废水量m</w:t>
                  </w:r>
                  <w:r>
                    <w:rPr>
                      <w:b w:val="0"/>
                      <w:bCs w:val="0"/>
                      <w:color w:val="auto"/>
                      <w:sz w:val="21"/>
                      <w:szCs w:val="21"/>
                      <w:vertAlign w:val="superscript"/>
                    </w:rPr>
                    <w:t>3</w:t>
                  </w:r>
                  <w:r>
                    <w:rPr>
                      <w:b w:val="0"/>
                      <w:bCs w:val="0"/>
                      <w:color w:val="auto"/>
                      <w:sz w:val="21"/>
                      <w:szCs w:val="21"/>
                    </w:rPr>
                    <w:t>/a</w:t>
                  </w:r>
                </w:p>
              </w:tc>
              <w:tc>
                <w:tcPr>
                  <w:tcW w:w="546" w:type="pct"/>
                  <w:tcBorders>
                    <w:tl2br w:val="nil"/>
                    <w:tr2bl w:val="nil"/>
                  </w:tcBorders>
                  <w:noWrap w:val="0"/>
                  <w:vAlign w:val="center"/>
                </w:tcPr>
                <w:p>
                  <w:pPr>
                    <w:jc w:val="center"/>
                    <w:rPr>
                      <w:b w:val="0"/>
                      <w:bCs w:val="0"/>
                      <w:color w:val="auto"/>
                      <w:sz w:val="21"/>
                      <w:szCs w:val="21"/>
                    </w:rPr>
                  </w:pPr>
                  <w:r>
                    <w:rPr>
                      <w:b w:val="0"/>
                      <w:bCs w:val="0"/>
                      <w:color w:val="auto"/>
                      <w:sz w:val="21"/>
                      <w:szCs w:val="21"/>
                    </w:rPr>
                    <w:t>排放浓度</w:t>
                  </w:r>
                </w:p>
              </w:tc>
              <w:tc>
                <w:tcPr>
                  <w:tcW w:w="646" w:type="pct"/>
                  <w:tcBorders>
                    <w:tl2br w:val="nil"/>
                    <w:tr2bl w:val="nil"/>
                  </w:tcBorders>
                  <w:noWrap w:val="0"/>
                  <w:vAlign w:val="center"/>
                </w:tcPr>
                <w:p>
                  <w:pPr>
                    <w:jc w:val="center"/>
                    <w:rPr>
                      <w:b w:val="0"/>
                      <w:bCs w:val="0"/>
                      <w:color w:val="auto"/>
                      <w:sz w:val="21"/>
                      <w:szCs w:val="21"/>
                    </w:rPr>
                  </w:pPr>
                  <w:r>
                    <w:rPr>
                      <w:b w:val="0"/>
                      <w:bCs w:val="0"/>
                      <w:color w:val="auto"/>
                      <w:sz w:val="21"/>
                      <w:szCs w:val="21"/>
                    </w:rPr>
                    <w:t>排放量t/a</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vMerge w:val="continue"/>
                  <w:tcBorders>
                    <w:tl2br w:val="nil"/>
                    <w:tr2bl w:val="nil"/>
                  </w:tcBorders>
                  <w:noWrap w:val="0"/>
                  <w:vAlign w:val="center"/>
                </w:tcPr>
                <w:p>
                  <w:pPr>
                    <w:jc w:val="center"/>
                    <w:rPr>
                      <w:b w:val="0"/>
                      <w:bCs w:val="0"/>
                      <w:color w:val="auto"/>
                      <w:sz w:val="21"/>
                      <w:szCs w:val="21"/>
                    </w:rPr>
                  </w:pP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376" w:type="pct"/>
                  <w:vMerge w:val="restart"/>
                  <w:tcBorders>
                    <w:tl2br w:val="nil"/>
                    <w:tr2bl w:val="nil"/>
                  </w:tcBorders>
                  <w:noWrap w:val="0"/>
                  <w:vAlign w:val="center"/>
                </w:tcPr>
                <w:p>
                  <w:pPr>
                    <w:jc w:val="center"/>
                    <w:rPr>
                      <w:b w:val="0"/>
                      <w:bCs w:val="0"/>
                      <w:color w:val="auto"/>
                      <w:sz w:val="21"/>
                      <w:szCs w:val="21"/>
                    </w:rPr>
                  </w:pPr>
                  <w:r>
                    <w:rPr>
                      <w:b w:val="0"/>
                      <w:bCs w:val="0"/>
                      <w:color w:val="auto"/>
                      <w:sz w:val="21"/>
                      <w:szCs w:val="21"/>
                    </w:rPr>
                    <w:t>生活污水</w:t>
                  </w:r>
                </w:p>
              </w:tc>
              <w:tc>
                <w:tcPr>
                  <w:tcW w:w="551" w:type="pct"/>
                  <w:tcBorders>
                    <w:tl2br w:val="nil"/>
                    <w:tr2bl w:val="nil"/>
                  </w:tcBorders>
                  <w:noWrap w:val="0"/>
                  <w:vAlign w:val="center"/>
                </w:tcPr>
                <w:p>
                  <w:pPr>
                    <w:ind w:left="-105" w:leftChars="-50" w:right="-105" w:rightChars="-50"/>
                    <w:contextualSpacing/>
                    <w:jc w:val="center"/>
                    <w:rPr>
                      <w:b w:val="0"/>
                      <w:bCs w:val="0"/>
                      <w:color w:val="auto"/>
                      <w:sz w:val="21"/>
                      <w:szCs w:val="21"/>
                    </w:rPr>
                  </w:pPr>
                  <w:r>
                    <w:rPr>
                      <w:rFonts w:hint="eastAsia"/>
                      <w:b w:val="0"/>
                      <w:bCs w:val="0"/>
                      <w:color w:val="auto"/>
                      <w:sz w:val="21"/>
                      <w:szCs w:val="21"/>
                    </w:rPr>
                    <w:t>CODcr</w:t>
                  </w:r>
                </w:p>
              </w:tc>
              <w:tc>
                <w:tcPr>
                  <w:tcW w:w="631" w:type="pct"/>
                  <w:vMerge w:val="restart"/>
                  <w:tcBorders>
                    <w:tl2br w:val="nil"/>
                    <w:tr2bl w:val="nil"/>
                  </w:tcBorders>
                  <w:noWrap w:val="0"/>
                  <w:vAlign w:val="center"/>
                </w:tcPr>
                <w:p>
                  <w:pPr>
                    <w:jc w:val="center"/>
                    <w:rPr>
                      <w:rFonts w:hint="default" w:eastAsia="宋体"/>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1332</w:t>
                  </w:r>
                </w:p>
              </w:tc>
              <w:tc>
                <w:tcPr>
                  <w:tcW w:w="546" w:type="pct"/>
                  <w:tcBorders>
                    <w:tl2br w:val="nil"/>
                    <w:tr2bl w:val="nil"/>
                  </w:tcBorders>
                  <w:noWrap w:val="0"/>
                  <w:vAlign w:val="center"/>
                </w:tcPr>
                <w:p>
                  <w:pPr>
                    <w:ind w:left="-105" w:leftChars="-50" w:right="-105" w:rightChars="-50"/>
                    <w:contextualSpacing/>
                    <w:jc w:val="center"/>
                    <w:rPr>
                      <w:b w:val="0"/>
                      <w:bCs w:val="0"/>
                      <w:color w:val="auto"/>
                      <w:sz w:val="21"/>
                      <w:szCs w:val="21"/>
                    </w:rPr>
                  </w:pPr>
                  <w:r>
                    <w:rPr>
                      <w:b w:val="0"/>
                      <w:bCs w:val="0"/>
                      <w:color w:val="auto"/>
                      <w:sz w:val="21"/>
                      <w:szCs w:val="21"/>
                    </w:rPr>
                    <w:t>350mg/L</w:t>
                  </w:r>
                </w:p>
              </w:tc>
              <w:tc>
                <w:tcPr>
                  <w:tcW w:w="646"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0.466</w:t>
                  </w:r>
                </w:p>
              </w:tc>
              <w:tc>
                <w:tcPr>
                  <w:tcW w:w="656" w:type="pct"/>
                  <w:vMerge w:val="restart"/>
                  <w:tcBorders>
                    <w:tl2br w:val="nil"/>
                    <w:tr2bl w:val="nil"/>
                  </w:tcBorders>
                  <w:noWrap w:val="0"/>
                  <w:vAlign w:val="center"/>
                </w:tcPr>
                <w:p>
                  <w:pPr>
                    <w:jc w:val="center"/>
                    <w:rPr>
                      <w:rFonts w:hint="eastAsia" w:eastAsia="宋体"/>
                      <w:b w:val="0"/>
                      <w:bCs w:val="0"/>
                      <w:color w:val="auto"/>
                      <w:sz w:val="21"/>
                      <w:szCs w:val="21"/>
                      <w:lang w:eastAsia="zh-CN"/>
                    </w:rPr>
                  </w:pPr>
                  <w:r>
                    <w:rPr>
                      <w:rFonts w:hint="eastAsia"/>
                      <w:b w:val="0"/>
                      <w:bCs w:val="0"/>
                      <w:color w:val="auto"/>
                      <w:sz w:val="21"/>
                      <w:szCs w:val="21"/>
                      <w:lang w:val="en-US" w:eastAsia="zh-CN"/>
                    </w:rPr>
                    <w:t>/</w:t>
                  </w:r>
                </w:p>
              </w:tc>
              <w:tc>
                <w:tcPr>
                  <w:tcW w:w="619" w:type="pct"/>
                  <w:tcBorders>
                    <w:tl2br w:val="nil"/>
                    <w:tr2bl w:val="nil"/>
                  </w:tcBorders>
                  <w:noWrap w:val="0"/>
                  <w:vAlign w:val="center"/>
                </w:tcPr>
                <w:p>
                  <w:pPr>
                    <w:jc w:val="center"/>
                    <w:rPr>
                      <w:rFonts w:hint="eastAsia" w:eastAsia="宋体"/>
                      <w:b w:val="0"/>
                      <w:bCs w:val="0"/>
                      <w:color w:val="auto"/>
                      <w:sz w:val="21"/>
                      <w:szCs w:val="21"/>
                      <w:lang w:eastAsia="zh-CN"/>
                    </w:rPr>
                  </w:pPr>
                  <w:r>
                    <w:rPr>
                      <w:rFonts w:hint="eastAsia"/>
                      <w:b w:val="0"/>
                      <w:bCs w:val="0"/>
                      <w:color w:val="auto"/>
                      <w:sz w:val="21"/>
                      <w:szCs w:val="21"/>
                      <w:lang w:val="en-US" w:eastAsia="zh-CN"/>
                    </w:rPr>
                    <w:t>450</w:t>
                  </w:r>
                </w:p>
              </w:tc>
              <w:tc>
                <w:tcPr>
                  <w:tcW w:w="971" w:type="pct"/>
                  <w:vMerge w:val="restart"/>
                  <w:tcBorders>
                    <w:tl2br w:val="nil"/>
                    <w:tr2bl w:val="nil"/>
                  </w:tcBorders>
                  <w:noWrap w:val="0"/>
                  <w:vAlign w:val="center"/>
                </w:tcPr>
                <w:p>
                  <w:pPr>
                    <w:jc w:val="center"/>
                    <w:rPr>
                      <w:b w:val="0"/>
                      <w:bCs w:val="0"/>
                      <w:color w:val="auto"/>
                      <w:sz w:val="21"/>
                      <w:szCs w:val="21"/>
                    </w:rPr>
                  </w:pPr>
                  <w:r>
                    <w:rPr>
                      <w:color w:val="auto"/>
                      <w:szCs w:val="21"/>
                    </w:rPr>
                    <w:t>每年一次，监测因子为COD、氨氮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ind w:left="-105" w:leftChars="-50" w:right="-105" w:rightChars="-50"/>
                    <w:contextualSpacing/>
                    <w:jc w:val="center"/>
                    <w:rPr>
                      <w:b w:val="0"/>
                      <w:bCs w:val="0"/>
                      <w:color w:val="auto"/>
                      <w:sz w:val="21"/>
                      <w:szCs w:val="21"/>
                    </w:rPr>
                  </w:pPr>
                  <w:r>
                    <w:rPr>
                      <w:b w:val="0"/>
                      <w:bCs w:val="0"/>
                      <w:color w:val="auto"/>
                      <w:sz w:val="21"/>
                      <w:szCs w:val="21"/>
                    </w:rPr>
                    <w:t>BOD</w:t>
                  </w:r>
                  <w:r>
                    <w:rPr>
                      <w:b w:val="0"/>
                      <w:bCs w:val="0"/>
                      <w:color w:val="auto"/>
                      <w:sz w:val="21"/>
                      <w:szCs w:val="21"/>
                      <w:vertAlign w:val="subscript"/>
                    </w:rPr>
                    <w:t>5</w:t>
                  </w: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ind w:left="-105" w:leftChars="-50" w:right="-105" w:rightChars="-50"/>
                    <w:contextualSpacing/>
                    <w:jc w:val="center"/>
                    <w:rPr>
                      <w:b w:val="0"/>
                      <w:bCs w:val="0"/>
                      <w:color w:val="auto"/>
                      <w:sz w:val="21"/>
                      <w:szCs w:val="21"/>
                    </w:rPr>
                  </w:pPr>
                  <w:r>
                    <w:rPr>
                      <w:rFonts w:hint="eastAsia"/>
                      <w:b w:val="0"/>
                      <w:bCs w:val="0"/>
                      <w:color w:val="auto"/>
                      <w:sz w:val="21"/>
                      <w:szCs w:val="21"/>
                    </w:rPr>
                    <w:t>280</w:t>
                  </w:r>
                  <w:r>
                    <w:rPr>
                      <w:b w:val="0"/>
                      <w:bCs w:val="0"/>
                      <w:color w:val="auto"/>
                      <w:sz w:val="21"/>
                      <w:szCs w:val="21"/>
                    </w:rPr>
                    <w:t>mg/L</w:t>
                  </w:r>
                </w:p>
              </w:tc>
              <w:tc>
                <w:tcPr>
                  <w:tcW w:w="646"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0.373</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tcBorders>
                    <w:tl2br w:val="nil"/>
                    <w:tr2bl w:val="nil"/>
                  </w:tcBorders>
                  <w:noWrap w:val="0"/>
                  <w:vAlign w:val="center"/>
                </w:tcPr>
                <w:p>
                  <w:pPr>
                    <w:jc w:val="center"/>
                    <w:rPr>
                      <w:b w:val="0"/>
                      <w:bCs w:val="0"/>
                      <w:color w:val="auto"/>
                      <w:sz w:val="21"/>
                      <w:szCs w:val="21"/>
                    </w:rPr>
                  </w:pPr>
                  <w:r>
                    <w:rPr>
                      <w:rFonts w:hint="eastAsia"/>
                      <w:b w:val="0"/>
                      <w:bCs w:val="0"/>
                      <w:color w:val="auto"/>
                      <w:sz w:val="21"/>
                      <w:szCs w:val="21"/>
                      <w:lang w:val="en-US" w:eastAsia="zh-CN"/>
                    </w:rPr>
                    <w:t>300</w:t>
                  </w: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ind w:left="-105" w:leftChars="-50" w:right="-105" w:rightChars="-50"/>
                    <w:contextualSpacing/>
                    <w:jc w:val="center"/>
                    <w:rPr>
                      <w:b w:val="0"/>
                      <w:bCs w:val="0"/>
                      <w:color w:val="auto"/>
                      <w:sz w:val="21"/>
                      <w:szCs w:val="21"/>
                    </w:rPr>
                  </w:pPr>
                  <w:r>
                    <w:rPr>
                      <w:b w:val="0"/>
                      <w:bCs w:val="0"/>
                      <w:color w:val="auto"/>
                      <w:sz w:val="21"/>
                      <w:szCs w:val="21"/>
                    </w:rPr>
                    <w:t>SS</w:t>
                  </w: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ind w:left="-105" w:leftChars="-50" w:right="-105" w:rightChars="-50"/>
                    <w:contextualSpacing/>
                    <w:jc w:val="center"/>
                    <w:rPr>
                      <w:b w:val="0"/>
                      <w:bCs w:val="0"/>
                      <w:color w:val="auto"/>
                      <w:sz w:val="21"/>
                      <w:szCs w:val="21"/>
                    </w:rPr>
                  </w:pPr>
                  <w:r>
                    <w:rPr>
                      <w:b w:val="0"/>
                      <w:bCs w:val="0"/>
                      <w:color w:val="auto"/>
                      <w:sz w:val="21"/>
                      <w:szCs w:val="21"/>
                    </w:rPr>
                    <w:t>200mg/L</w:t>
                  </w:r>
                </w:p>
              </w:tc>
              <w:tc>
                <w:tcPr>
                  <w:tcW w:w="646"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0.266</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tcBorders>
                    <w:tl2br w:val="nil"/>
                    <w:tr2bl w:val="nil"/>
                  </w:tcBorders>
                  <w:noWrap w:val="0"/>
                  <w:vAlign w:val="center"/>
                </w:tcPr>
                <w:p>
                  <w:pPr>
                    <w:jc w:val="center"/>
                    <w:rPr>
                      <w:b w:val="0"/>
                      <w:bCs w:val="0"/>
                      <w:color w:val="auto"/>
                      <w:sz w:val="21"/>
                      <w:szCs w:val="21"/>
                    </w:rPr>
                  </w:pPr>
                  <w:r>
                    <w:rPr>
                      <w:rFonts w:hint="eastAsia"/>
                      <w:b w:val="0"/>
                      <w:bCs w:val="0"/>
                      <w:color w:val="auto"/>
                      <w:sz w:val="21"/>
                      <w:szCs w:val="21"/>
                      <w:lang w:val="en-US" w:eastAsia="zh-CN"/>
                    </w:rPr>
                    <w:t>380</w:t>
                  </w: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ind w:left="-105" w:leftChars="-50" w:right="-105" w:rightChars="-50"/>
                    <w:contextualSpacing/>
                    <w:jc w:val="center"/>
                    <w:rPr>
                      <w:b w:val="0"/>
                      <w:bCs w:val="0"/>
                      <w:color w:val="auto"/>
                      <w:sz w:val="21"/>
                      <w:szCs w:val="21"/>
                    </w:rPr>
                  </w:pPr>
                  <w:r>
                    <w:rPr>
                      <w:b w:val="0"/>
                      <w:bCs w:val="0"/>
                      <w:color w:val="auto"/>
                      <w:sz w:val="21"/>
                      <w:szCs w:val="21"/>
                    </w:rPr>
                    <w:t>NH</w:t>
                  </w:r>
                  <w:r>
                    <w:rPr>
                      <w:b w:val="0"/>
                      <w:bCs w:val="0"/>
                      <w:color w:val="auto"/>
                      <w:sz w:val="21"/>
                      <w:szCs w:val="21"/>
                      <w:vertAlign w:val="subscript"/>
                    </w:rPr>
                    <w:t>3</w:t>
                  </w:r>
                  <w:r>
                    <w:rPr>
                      <w:b w:val="0"/>
                      <w:bCs w:val="0"/>
                      <w:color w:val="auto"/>
                      <w:sz w:val="21"/>
                      <w:szCs w:val="21"/>
                    </w:rPr>
                    <w:t>-N</w:t>
                  </w: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ind w:left="-105" w:leftChars="-50" w:right="-105" w:rightChars="-50"/>
                    <w:contextualSpacing/>
                    <w:jc w:val="center"/>
                    <w:rPr>
                      <w:b w:val="0"/>
                      <w:bCs w:val="0"/>
                      <w:color w:val="auto"/>
                      <w:sz w:val="21"/>
                      <w:szCs w:val="21"/>
                    </w:rPr>
                  </w:pPr>
                  <w:r>
                    <w:rPr>
                      <w:rFonts w:hint="eastAsia"/>
                      <w:b w:val="0"/>
                      <w:bCs w:val="0"/>
                      <w:color w:val="auto"/>
                      <w:sz w:val="21"/>
                      <w:szCs w:val="21"/>
                    </w:rPr>
                    <w:t>30</w:t>
                  </w:r>
                  <w:r>
                    <w:rPr>
                      <w:b w:val="0"/>
                      <w:bCs w:val="0"/>
                      <w:color w:val="auto"/>
                      <w:sz w:val="21"/>
                      <w:szCs w:val="21"/>
                    </w:rPr>
                    <w:t>mg/L</w:t>
                  </w:r>
                </w:p>
              </w:tc>
              <w:tc>
                <w:tcPr>
                  <w:tcW w:w="646"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0.040</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tcBorders>
                    <w:tl2br w:val="nil"/>
                    <w:tr2bl w:val="nil"/>
                  </w:tcBorders>
                  <w:noWrap w:val="0"/>
                  <w:vAlign w:val="center"/>
                </w:tcPr>
                <w:p>
                  <w:pPr>
                    <w:jc w:val="center"/>
                    <w:rPr>
                      <w:b w:val="0"/>
                      <w:bCs w:val="0"/>
                      <w:color w:val="auto"/>
                      <w:sz w:val="21"/>
                      <w:szCs w:val="21"/>
                    </w:rPr>
                  </w:pPr>
                  <w:r>
                    <w:rPr>
                      <w:rFonts w:hint="eastAsia"/>
                      <w:b w:val="0"/>
                      <w:bCs w:val="0"/>
                      <w:color w:val="auto"/>
                      <w:sz w:val="21"/>
                      <w:szCs w:val="21"/>
                      <w:lang w:val="en-US" w:eastAsia="zh-CN"/>
                    </w:rPr>
                    <w:t>35</w:t>
                  </w:r>
                </w:p>
              </w:tc>
              <w:tc>
                <w:tcPr>
                  <w:tcW w:w="971" w:type="pct"/>
                  <w:vMerge w:val="continue"/>
                  <w:tcBorders>
                    <w:tl2br w:val="nil"/>
                    <w:tr2bl w:val="nil"/>
                  </w:tcBorders>
                  <w:noWrap w:val="0"/>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restart"/>
                  <w:tcBorders>
                    <w:tl2br w:val="nil"/>
                    <w:tr2bl w:val="nil"/>
                  </w:tcBorders>
                  <w:noWrap w:val="0"/>
                  <w:vAlign w:val="center"/>
                </w:tcPr>
                <w:p>
                  <w:pPr>
                    <w:jc w:val="center"/>
                    <w:rPr>
                      <w:rFonts w:hint="eastAsia" w:eastAsia="宋体"/>
                      <w:b w:val="0"/>
                      <w:bCs w:val="0"/>
                      <w:color w:val="auto"/>
                      <w:sz w:val="21"/>
                      <w:szCs w:val="21"/>
                      <w:lang w:eastAsia="zh-CN"/>
                    </w:rPr>
                  </w:pPr>
                  <w:r>
                    <w:rPr>
                      <w:rFonts w:hint="eastAsia" w:ascii="Times New Roman" w:hAnsi="Times New Roman" w:eastAsia="宋体" w:cs="Times New Roman"/>
                      <w:b w:val="0"/>
                      <w:bCs w:val="0"/>
                      <w:color w:val="auto"/>
                      <w:sz w:val="21"/>
                      <w:szCs w:val="21"/>
                      <w:lang w:val="zh-CN" w:eastAsia="zh-CN"/>
                    </w:rPr>
                    <w:t>锅炉及软水制备排浓水</w:t>
                  </w:r>
                  <w:r>
                    <w:rPr>
                      <w:rFonts w:hint="eastAsia" w:ascii="Times New Roman" w:hAnsi="Times New Roman" w:eastAsia="宋体" w:cs="Times New Roman"/>
                      <w:b w:val="0"/>
                      <w:bCs w:val="0"/>
                      <w:color w:val="auto"/>
                      <w:sz w:val="21"/>
                      <w:szCs w:val="21"/>
                      <w:lang w:val="en-US" w:eastAsia="zh-CN"/>
                    </w:rPr>
                    <w:t>、含油污水</w:t>
                  </w:r>
                </w:p>
              </w:tc>
              <w:tc>
                <w:tcPr>
                  <w:tcW w:w="551" w:type="pct"/>
                  <w:tcBorders>
                    <w:tl2br w:val="nil"/>
                    <w:tr2bl w:val="nil"/>
                  </w:tcBorders>
                  <w:noWrap w:val="0"/>
                  <w:vAlign w:val="center"/>
                </w:tcPr>
                <w:p>
                  <w:pPr>
                    <w:jc w:val="center"/>
                    <w:rPr>
                      <w:b w:val="0"/>
                      <w:bCs w:val="0"/>
                      <w:color w:val="auto"/>
                      <w:sz w:val="21"/>
                      <w:szCs w:val="21"/>
                    </w:rPr>
                  </w:pPr>
                  <w:r>
                    <w:rPr>
                      <w:color w:val="auto"/>
                      <w:szCs w:val="21"/>
                    </w:rPr>
                    <w:t>COD</w:t>
                  </w:r>
                  <w:r>
                    <w:rPr>
                      <w:color w:val="auto"/>
                      <w:szCs w:val="21"/>
                      <w:vertAlign w:val="subscript"/>
                    </w:rPr>
                    <w:t>Cr</w:t>
                  </w:r>
                </w:p>
              </w:tc>
              <w:tc>
                <w:tcPr>
                  <w:tcW w:w="631" w:type="pct"/>
                  <w:vMerge w:val="restart"/>
                  <w:tcBorders>
                    <w:tl2br w:val="nil"/>
                    <w:tr2bl w:val="nil"/>
                  </w:tcBorders>
                  <w:noWrap w:val="0"/>
                  <w:vAlign w:val="center"/>
                </w:tcPr>
                <w:p>
                  <w:pPr>
                    <w:jc w:val="center"/>
                    <w:rPr>
                      <w:rFonts w:hint="default" w:eastAsia="宋体"/>
                      <w:b w:val="0"/>
                      <w:bCs w:val="0"/>
                      <w:color w:val="auto"/>
                      <w:sz w:val="21"/>
                      <w:szCs w:val="21"/>
                      <w:lang w:val="en-US" w:eastAsia="zh-CN"/>
                    </w:rPr>
                  </w:pPr>
                  <w:r>
                    <w:rPr>
                      <w:rFonts w:hint="eastAsia" w:cs="Times New Roman"/>
                      <w:b w:val="0"/>
                      <w:bCs w:val="0"/>
                      <w:color w:val="auto"/>
                      <w:sz w:val="21"/>
                      <w:szCs w:val="21"/>
                      <w:lang w:val="en-US" w:eastAsia="zh-CN"/>
                    </w:rPr>
                    <w:t>14017.08</w:t>
                  </w:r>
                </w:p>
              </w:tc>
              <w:tc>
                <w:tcPr>
                  <w:tcW w:w="546"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60</w:t>
                  </w:r>
                  <w:r>
                    <w:rPr>
                      <w:b w:val="0"/>
                      <w:bCs w:val="0"/>
                      <w:color w:val="auto"/>
                      <w:sz w:val="21"/>
                      <w:szCs w:val="21"/>
                    </w:rPr>
                    <w:t>mg/L</w:t>
                  </w:r>
                </w:p>
              </w:tc>
              <w:tc>
                <w:tcPr>
                  <w:tcW w:w="646"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0.841</w:t>
                  </w:r>
                </w:p>
              </w:tc>
              <w:tc>
                <w:tcPr>
                  <w:tcW w:w="656" w:type="pct"/>
                  <w:vMerge w:val="restart"/>
                  <w:tcBorders>
                    <w:tl2br w:val="nil"/>
                    <w:tr2bl w:val="nil"/>
                  </w:tcBorders>
                  <w:noWrap w:val="0"/>
                  <w:vAlign w:val="center"/>
                </w:tcPr>
                <w:p>
                  <w:pPr>
                    <w:jc w:val="center"/>
                    <w:rPr>
                      <w:rFonts w:hint="default"/>
                      <w:b w:val="0"/>
                      <w:bCs w:val="0"/>
                      <w:color w:val="auto"/>
                      <w:sz w:val="21"/>
                      <w:szCs w:val="21"/>
                      <w:lang w:val="en-US" w:eastAsia="zh-CN"/>
                    </w:rPr>
                  </w:pPr>
                  <w:r>
                    <w:rPr>
                      <w:rFonts w:hint="eastAsia"/>
                      <w:b w:val="0"/>
                      <w:bCs w:val="0"/>
                      <w:color w:val="auto"/>
                      <w:sz w:val="21"/>
                      <w:szCs w:val="21"/>
                      <w:lang w:val="en-US" w:eastAsia="zh-CN"/>
                    </w:rPr>
                    <w:t>/</w:t>
                  </w:r>
                </w:p>
              </w:tc>
              <w:tc>
                <w:tcPr>
                  <w:tcW w:w="619" w:type="pct"/>
                  <w:tcBorders>
                    <w:tl2br w:val="nil"/>
                    <w:tr2bl w:val="nil"/>
                  </w:tcBorders>
                  <w:noWrap w:val="0"/>
                  <w:vAlign w:val="center"/>
                </w:tcPr>
                <w:p>
                  <w:pPr>
                    <w:ind w:left="-105" w:leftChars="-50" w:right="-105" w:rightChars="-50"/>
                    <w:contextualSpacing/>
                    <w:jc w:val="center"/>
                    <w:rPr>
                      <w:rFonts w:hint="default"/>
                      <w:b w:val="0"/>
                      <w:bCs w:val="0"/>
                      <w:color w:val="auto"/>
                      <w:sz w:val="21"/>
                      <w:szCs w:val="21"/>
                      <w:lang w:val="en-US" w:eastAsia="zh-CN"/>
                    </w:rPr>
                  </w:pPr>
                  <w:r>
                    <w:rPr>
                      <w:rFonts w:hint="eastAsia"/>
                      <w:b w:val="0"/>
                      <w:bCs w:val="0"/>
                      <w:color w:val="auto"/>
                      <w:sz w:val="21"/>
                      <w:szCs w:val="21"/>
                      <w:lang w:val="en-US" w:eastAsia="zh-CN"/>
                    </w:rPr>
                    <w:t>60</w:t>
                  </w:r>
                </w:p>
              </w:tc>
              <w:tc>
                <w:tcPr>
                  <w:tcW w:w="971" w:type="pct"/>
                  <w:tcBorders>
                    <w:tl2br w:val="nil"/>
                    <w:tr2bl w:val="nil"/>
                  </w:tcBorders>
                  <w:noWrap w:val="0"/>
                  <w:vAlign w:val="center"/>
                </w:tcPr>
                <w:p>
                  <w:pPr>
                    <w:ind w:left="-105" w:leftChars="-50" w:right="-105" w:rightChars="-50"/>
                    <w:contextualSpacing/>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每季度监测1次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rFonts w:hint="eastAsia" w:ascii="Times New Roman" w:hAnsi="Times New Roman" w:eastAsia="宋体" w:cs="Times New Roman"/>
                      <w:b w:val="0"/>
                      <w:bCs w:val="0"/>
                      <w:color w:val="auto"/>
                      <w:sz w:val="21"/>
                      <w:szCs w:val="21"/>
                      <w:lang w:val="zh-CN" w:eastAsia="zh-CN"/>
                    </w:rPr>
                  </w:pPr>
                </w:p>
              </w:tc>
              <w:tc>
                <w:tcPr>
                  <w:tcW w:w="551" w:type="pct"/>
                  <w:tcBorders>
                    <w:tl2br w:val="nil"/>
                    <w:tr2bl w:val="nil"/>
                  </w:tcBorders>
                  <w:noWrap w:val="0"/>
                  <w:vAlign w:val="center"/>
                </w:tcPr>
                <w:p>
                  <w:pPr>
                    <w:jc w:val="center"/>
                    <w:rPr>
                      <w:color w:val="auto"/>
                      <w:szCs w:val="21"/>
                    </w:rPr>
                  </w:pPr>
                  <w:r>
                    <w:rPr>
                      <w:rFonts w:hint="eastAsia" w:cs="Times New Roman"/>
                      <w:b w:val="0"/>
                      <w:bCs w:val="0"/>
                      <w:color w:val="auto"/>
                      <w:sz w:val="21"/>
                      <w:szCs w:val="21"/>
                      <w:lang w:val="en-US" w:eastAsia="zh-CN"/>
                    </w:rPr>
                    <w:t>BOD</w:t>
                  </w:r>
                  <w:r>
                    <w:rPr>
                      <w:rFonts w:hint="eastAsia" w:cs="Times New Roman"/>
                      <w:b w:val="0"/>
                      <w:bCs w:val="0"/>
                      <w:color w:val="auto"/>
                      <w:sz w:val="21"/>
                      <w:szCs w:val="21"/>
                      <w:vertAlign w:val="subscript"/>
                      <w:lang w:val="en-US" w:eastAsia="zh-CN"/>
                    </w:rPr>
                    <w:t>5</w:t>
                  </w:r>
                </w:p>
              </w:tc>
              <w:tc>
                <w:tcPr>
                  <w:tcW w:w="631" w:type="pct"/>
                  <w:vMerge w:val="continue"/>
                  <w:tcBorders>
                    <w:tl2br w:val="nil"/>
                    <w:tr2bl w:val="nil"/>
                  </w:tcBorders>
                  <w:noWrap w:val="0"/>
                  <w:vAlign w:val="center"/>
                </w:tcPr>
                <w:p>
                  <w:pPr>
                    <w:jc w:val="center"/>
                    <w:rPr>
                      <w:rFonts w:hint="eastAsia" w:ascii="Times New Roman" w:hAnsi="Times New Roman" w:eastAsia="宋体" w:cs="Times New Roman"/>
                      <w:b w:val="0"/>
                      <w:bCs w:val="0"/>
                      <w:color w:val="auto"/>
                      <w:sz w:val="21"/>
                      <w:szCs w:val="21"/>
                      <w:lang w:val="en-US" w:eastAsia="zh-CN"/>
                    </w:rPr>
                  </w:pPr>
                </w:p>
              </w:tc>
              <w:tc>
                <w:tcPr>
                  <w:tcW w:w="546" w:type="pct"/>
                  <w:tcBorders>
                    <w:tl2br w:val="nil"/>
                    <w:tr2bl w:val="nil"/>
                  </w:tcBorders>
                  <w:noWrap w:val="0"/>
                  <w:vAlign w:val="center"/>
                </w:tcPr>
                <w:p>
                  <w:pPr>
                    <w:ind w:left="-105" w:leftChars="-50" w:right="-105" w:rightChars="-50"/>
                    <w:contextualSpacing/>
                    <w:jc w:val="center"/>
                    <w:rPr>
                      <w:rFonts w:hint="eastAsia" w:ascii="Times New Roman" w:hAnsi="Times New Roman" w:eastAsia="宋体" w:cs="Times New Roman"/>
                      <w:b w:val="0"/>
                      <w:bCs w:val="0"/>
                      <w:color w:val="auto"/>
                      <w:kern w:val="2"/>
                      <w:sz w:val="21"/>
                      <w:szCs w:val="21"/>
                      <w:lang w:val="en-US" w:eastAsia="zh-CN" w:bidi="ar-SA"/>
                    </w:rPr>
                  </w:pPr>
                  <w:r>
                    <w:rPr>
                      <w:rFonts w:hint="eastAsia"/>
                      <w:b w:val="0"/>
                      <w:bCs w:val="0"/>
                      <w:color w:val="auto"/>
                      <w:sz w:val="21"/>
                      <w:szCs w:val="21"/>
                      <w:lang w:val="en-US" w:eastAsia="zh-CN"/>
                    </w:rPr>
                    <w:t>10</w:t>
                  </w:r>
                  <w:r>
                    <w:rPr>
                      <w:b w:val="0"/>
                      <w:bCs w:val="0"/>
                      <w:color w:val="auto"/>
                      <w:sz w:val="21"/>
                      <w:szCs w:val="21"/>
                    </w:rPr>
                    <w:t>mg/L</w:t>
                  </w:r>
                </w:p>
              </w:tc>
              <w:tc>
                <w:tcPr>
                  <w:tcW w:w="646" w:type="pct"/>
                  <w:tcBorders>
                    <w:tl2br w:val="nil"/>
                    <w:tr2bl w:val="nil"/>
                  </w:tcBorders>
                  <w:noWrap w:val="0"/>
                  <w:vAlign w:val="center"/>
                </w:tcPr>
                <w:p>
                  <w:pPr>
                    <w:ind w:left="-105" w:leftChars="-50" w:right="-105" w:rightChars="-50"/>
                    <w:contextualSpacing/>
                    <w:jc w:val="center"/>
                    <w:rPr>
                      <w:rFonts w:hint="default" w:ascii="Times New Roman" w:hAnsi="Times New Roman" w:eastAsia="宋体" w:cs="Times New Roman"/>
                      <w:b w:val="0"/>
                      <w:bCs w:val="0"/>
                      <w:color w:val="auto"/>
                      <w:kern w:val="2"/>
                      <w:sz w:val="21"/>
                      <w:szCs w:val="21"/>
                      <w:lang w:val="en-US" w:eastAsia="zh-CN" w:bidi="ar-SA"/>
                    </w:rPr>
                  </w:pPr>
                  <w:r>
                    <w:rPr>
                      <w:rFonts w:hint="eastAsia"/>
                      <w:b w:val="0"/>
                      <w:bCs w:val="0"/>
                      <w:color w:val="auto"/>
                      <w:sz w:val="21"/>
                      <w:szCs w:val="21"/>
                      <w:lang w:val="en-US" w:eastAsia="zh-CN"/>
                    </w:rPr>
                    <w:t>0.140</w:t>
                  </w:r>
                </w:p>
              </w:tc>
              <w:tc>
                <w:tcPr>
                  <w:tcW w:w="656" w:type="pct"/>
                  <w:vMerge w:val="continue"/>
                  <w:tcBorders>
                    <w:tl2br w:val="nil"/>
                    <w:tr2bl w:val="nil"/>
                  </w:tcBorders>
                  <w:noWrap w:val="0"/>
                  <w:vAlign w:val="center"/>
                </w:tcPr>
                <w:p>
                  <w:pPr>
                    <w:jc w:val="center"/>
                    <w:rPr>
                      <w:rFonts w:hint="eastAsia"/>
                      <w:b w:val="0"/>
                      <w:bCs w:val="0"/>
                      <w:color w:val="auto"/>
                      <w:sz w:val="21"/>
                      <w:szCs w:val="21"/>
                      <w:lang w:val="en-US" w:eastAsia="zh-CN"/>
                    </w:rPr>
                  </w:pPr>
                </w:p>
              </w:tc>
              <w:tc>
                <w:tcPr>
                  <w:tcW w:w="619" w:type="pct"/>
                  <w:tcBorders>
                    <w:tl2br w:val="nil"/>
                    <w:tr2bl w:val="nil"/>
                  </w:tcBorders>
                  <w:noWrap w:val="0"/>
                  <w:vAlign w:val="center"/>
                </w:tcPr>
                <w:p>
                  <w:pPr>
                    <w:ind w:left="-105" w:leftChars="-50" w:right="-105" w:rightChars="-50"/>
                    <w:contextualSpacing/>
                    <w:jc w:val="center"/>
                    <w:rPr>
                      <w:rFonts w:hint="eastAsia"/>
                      <w:b w:val="0"/>
                      <w:bCs w:val="0"/>
                      <w:color w:val="auto"/>
                      <w:sz w:val="21"/>
                      <w:szCs w:val="21"/>
                      <w:lang w:val="en-US" w:eastAsia="zh-CN"/>
                    </w:rPr>
                  </w:pPr>
                  <w:r>
                    <w:rPr>
                      <w:rFonts w:hint="eastAsia"/>
                      <w:b w:val="0"/>
                      <w:bCs w:val="0"/>
                      <w:color w:val="auto"/>
                      <w:sz w:val="21"/>
                      <w:szCs w:val="21"/>
                      <w:lang w:val="en-US" w:eastAsia="zh-CN"/>
                    </w:rPr>
                    <w:t>10</w:t>
                  </w:r>
                </w:p>
              </w:tc>
              <w:tc>
                <w:tcPr>
                  <w:tcW w:w="971" w:type="pct"/>
                  <w:tcBorders>
                    <w:tl2br w:val="nil"/>
                    <w:tr2bl w:val="nil"/>
                  </w:tcBorders>
                  <w:noWrap w:val="0"/>
                  <w:vAlign w:val="center"/>
                </w:tcPr>
                <w:p>
                  <w:pPr>
                    <w:ind w:left="-105" w:leftChars="-50" w:right="-105" w:rightChars="-50"/>
                    <w:contextualSpacing/>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每季度监测1次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jc w:val="center"/>
                    <w:rPr>
                      <w:b w:val="0"/>
                      <w:bCs w:val="0"/>
                      <w:color w:val="auto"/>
                      <w:sz w:val="21"/>
                      <w:szCs w:val="21"/>
                    </w:rPr>
                  </w:pPr>
                  <w:r>
                    <w:rPr>
                      <w:color w:val="auto"/>
                      <w:szCs w:val="21"/>
                    </w:rPr>
                    <w:t>SS</w:t>
                  </w: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10</w:t>
                  </w:r>
                  <w:r>
                    <w:rPr>
                      <w:b w:val="0"/>
                      <w:bCs w:val="0"/>
                      <w:color w:val="auto"/>
                      <w:sz w:val="21"/>
                      <w:szCs w:val="21"/>
                    </w:rPr>
                    <w:t>mg/L</w:t>
                  </w:r>
                </w:p>
              </w:tc>
              <w:tc>
                <w:tcPr>
                  <w:tcW w:w="646"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0.140</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tcBorders>
                    <w:tl2br w:val="nil"/>
                    <w:tr2bl w:val="nil"/>
                  </w:tcBorders>
                  <w:noWrap w:val="0"/>
                  <w:vAlign w:val="center"/>
                </w:tcPr>
                <w:p>
                  <w:pPr>
                    <w:ind w:left="-105" w:leftChars="-50" w:right="-105" w:rightChars="-50"/>
                    <w:contextualSpacing/>
                    <w:jc w:val="center"/>
                    <w:rPr>
                      <w:rFonts w:hint="default"/>
                      <w:b w:val="0"/>
                      <w:bCs w:val="0"/>
                      <w:color w:val="auto"/>
                      <w:sz w:val="21"/>
                      <w:szCs w:val="21"/>
                      <w:lang w:val="en-US" w:eastAsia="zh-CN"/>
                    </w:rPr>
                  </w:pPr>
                  <w:r>
                    <w:rPr>
                      <w:rFonts w:hint="eastAsia"/>
                      <w:b w:val="0"/>
                      <w:bCs w:val="0"/>
                      <w:color w:val="auto"/>
                      <w:sz w:val="21"/>
                      <w:szCs w:val="21"/>
                      <w:lang w:val="en-US" w:eastAsia="zh-CN"/>
                    </w:rPr>
                    <w:t>10</w:t>
                  </w:r>
                </w:p>
              </w:tc>
              <w:tc>
                <w:tcPr>
                  <w:tcW w:w="971" w:type="pct"/>
                  <w:tcBorders>
                    <w:tl2br w:val="nil"/>
                    <w:tr2bl w:val="nil"/>
                  </w:tcBorders>
                  <w:noWrap w:val="0"/>
                  <w:vAlign w:val="center"/>
                </w:tcPr>
                <w:p>
                  <w:pPr>
                    <w:ind w:left="-105" w:leftChars="-50" w:right="-105" w:rightChars="-50"/>
                    <w:contextualSpacing/>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每季度监测1次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jc w:val="center"/>
                    <w:rPr>
                      <w:b w:val="0"/>
                      <w:bCs w:val="0"/>
                      <w:color w:val="auto"/>
                      <w:sz w:val="21"/>
                      <w:szCs w:val="21"/>
                    </w:rPr>
                  </w:pPr>
                  <w:r>
                    <w:rPr>
                      <w:color w:val="auto"/>
                      <w:szCs w:val="21"/>
                    </w:rPr>
                    <w:t>NH</w:t>
                  </w:r>
                  <w:r>
                    <w:rPr>
                      <w:color w:val="auto"/>
                      <w:szCs w:val="21"/>
                      <w:vertAlign w:val="subscript"/>
                    </w:rPr>
                    <w:t>3</w:t>
                  </w:r>
                  <w:r>
                    <w:rPr>
                      <w:color w:val="auto"/>
                      <w:szCs w:val="21"/>
                    </w:rPr>
                    <w:t>-N</w:t>
                  </w: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10</w:t>
                  </w:r>
                  <w:r>
                    <w:rPr>
                      <w:b w:val="0"/>
                      <w:bCs w:val="0"/>
                      <w:color w:val="auto"/>
                      <w:sz w:val="21"/>
                      <w:szCs w:val="21"/>
                    </w:rPr>
                    <w:t>mg/L</w:t>
                  </w:r>
                </w:p>
              </w:tc>
              <w:tc>
                <w:tcPr>
                  <w:tcW w:w="646"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0.140</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tcBorders>
                    <w:tl2br w:val="nil"/>
                    <w:tr2bl w:val="nil"/>
                  </w:tcBorders>
                  <w:noWrap w:val="0"/>
                  <w:vAlign w:val="center"/>
                </w:tcPr>
                <w:p>
                  <w:pPr>
                    <w:ind w:left="-105" w:leftChars="-50" w:right="-105" w:rightChars="-50"/>
                    <w:contextualSpacing/>
                    <w:jc w:val="center"/>
                    <w:rPr>
                      <w:rFonts w:hint="default"/>
                      <w:b w:val="0"/>
                      <w:bCs w:val="0"/>
                      <w:color w:val="auto"/>
                      <w:sz w:val="21"/>
                      <w:szCs w:val="21"/>
                      <w:lang w:val="en-US" w:eastAsia="zh-CN"/>
                    </w:rPr>
                  </w:pPr>
                  <w:r>
                    <w:rPr>
                      <w:rFonts w:hint="eastAsia"/>
                      <w:b w:val="0"/>
                      <w:bCs w:val="0"/>
                      <w:color w:val="auto"/>
                      <w:sz w:val="21"/>
                      <w:szCs w:val="21"/>
                      <w:lang w:val="en-US" w:eastAsia="zh-CN"/>
                    </w:rPr>
                    <w:t>10</w:t>
                  </w:r>
                </w:p>
              </w:tc>
              <w:tc>
                <w:tcPr>
                  <w:tcW w:w="971" w:type="pct"/>
                  <w:tcBorders>
                    <w:tl2br w:val="nil"/>
                    <w:tr2bl w:val="nil"/>
                  </w:tcBorders>
                  <w:noWrap w:val="0"/>
                  <w:vAlign w:val="center"/>
                </w:tcPr>
                <w:p>
                  <w:pPr>
                    <w:ind w:left="-105" w:leftChars="-50" w:right="-105" w:rightChars="-50"/>
                    <w:contextualSpacing/>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每季度监测1次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jc w:val="center"/>
                    <w:rPr>
                      <w:b w:val="0"/>
                      <w:bCs w:val="0"/>
                      <w:color w:val="auto"/>
                      <w:sz w:val="21"/>
                      <w:szCs w:val="21"/>
                    </w:rPr>
                  </w:pPr>
                  <w:r>
                    <w:rPr>
                      <w:rFonts w:hint="eastAsia"/>
                      <w:color w:val="auto"/>
                      <w:szCs w:val="21"/>
                      <w:lang w:val="en-US" w:eastAsia="zh-CN"/>
                    </w:rPr>
                    <w:t>总氮</w:t>
                  </w: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ind w:left="-105" w:leftChars="-50" w:right="-105" w:rightChars="-50"/>
                    <w:contextualSpacing/>
                    <w:jc w:val="center"/>
                    <w:rPr>
                      <w:rFonts w:hint="eastAsia"/>
                      <w:b w:val="0"/>
                      <w:bCs w:val="0"/>
                      <w:color w:val="auto"/>
                      <w:sz w:val="21"/>
                      <w:szCs w:val="21"/>
                      <w:lang w:val="en-US" w:eastAsia="zh-CN"/>
                    </w:rPr>
                  </w:pPr>
                  <w:r>
                    <w:rPr>
                      <w:rFonts w:hint="eastAsia"/>
                      <w:b w:val="0"/>
                      <w:bCs w:val="0"/>
                      <w:color w:val="auto"/>
                      <w:sz w:val="21"/>
                      <w:szCs w:val="21"/>
                      <w:lang w:val="en-US" w:eastAsia="zh-CN"/>
                    </w:rPr>
                    <w:t>15</w:t>
                  </w:r>
                  <w:r>
                    <w:rPr>
                      <w:b w:val="0"/>
                      <w:bCs w:val="0"/>
                      <w:color w:val="auto"/>
                      <w:sz w:val="21"/>
                      <w:szCs w:val="21"/>
                    </w:rPr>
                    <w:t>mg/L</w:t>
                  </w:r>
                </w:p>
              </w:tc>
              <w:tc>
                <w:tcPr>
                  <w:tcW w:w="646"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0.210</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tcBorders>
                    <w:tl2br w:val="nil"/>
                    <w:tr2bl w:val="nil"/>
                  </w:tcBorders>
                  <w:noWrap w:val="0"/>
                  <w:vAlign w:val="center"/>
                </w:tcPr>
                <w:p>
                  <w:pPr>
                    <w:ind w:left="-105" w:leftChars="-50" w:right="-105" w:rightChars="-50"/>
                    <w:contextualSpacing/>
                    <w:jc w:val="center"/>
                    <w:rPr>
                      <w:rFonts w:hint="eastAsia"/>
                      <w:b w:val="0"/>
                      <w:bCs w:val="0"/>
                      <w:color w:val="auto"/>
                      <w:sz w:val="21"/>
                      <w:szCs w:val="21"/>
                      <w:lang w:val="en-US" w:eastAsia="zh-CN"/>
                    </w:rPr>
                  </w:pPr>
                  <w:r>
                    <w:rPr>
                      <w:rFonts w:hint="eastAsia"/>
                      <w:b w:val="0"/>
                      <w:bCs w:val="0"/>
                      <w:color w:val="auto"/>
                      <w:sz w:val="21"/>
                      <w:szCs w:val="21"/>
                      <w:lang w:val="en-US" w:eastAsia="zh-CN"/>
                    </w:rPr>
                    <w:t>15</w:t>
                  </w:r>
                </w:p>
              </w:tc>
              <w:tc>
                <w:tcPr>
                  <w:tcW w:w="971" w:type="pct"/>
                  <w:tcBorders>
                    <w:tl2br w:val="nil"/>
                    <w:tr2bl w:val="nil"/>
                  </w:tcBorders>
                  <w:noWrap w:val="0"/>
                  <w:vAlign w:val="center"/>
                </w:tcPr>
                <w:p>
                  <w:pPr>
                    <w:ind w:left="-105" w:leftChars="-50" w:right="-105" w:rightChars="-50"/>
                    <w:contextualSpacing/>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每季度监测1次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jc w:val="center"/>
                    <w:rPr>
                      <w:b w:val="0"/>
                      <w:bCs w:val="0"/>
                      <w:color w:val="auto"/>
                      <w:sz w:val="21"/>
                      <w:szCs w:val="21"/>
                    </w:rPr>
                  </w:pPr>
                  <w:r>
                    <w:rPr>
                      <w:rFonts w:hint="eastAsia"/>
                      <w:color w:val="auto"/>
                      <w:szCs w:val="21"/>
                      <w:lang w:val="en-US" w:eastAsia="zh-CN"/>
                    </w:rPr>
                    <w:t>石油类</w:t>
                  </w: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ind w:left="-105" w:leftChars="-50" w:right="-105" w:rightChars="-50"/>
                    <w:contextualSpacing/>
                    <w:jc w:val="center"/>
                    <w:rPr>
                      <w:rFonts w:hint="eastAsia"/>
                      <w:b w:val="0"/>
                      <w:bCs w:val="0"/>
                      <w:color w:val="auto"/>
                      <w:sz w:val="21"/>
                      <w:szCs w:val="21"/>
                      <w:lang w:val="en-US" w:eastAsia="zh-CN"/>
                    </w:rPr>
                  </w:pPr>
                  <w:r>
                    <w:rPr>
                      <w:rFonts w:hint="eastAsia"/>
                      <w:b w:val="0"/>
                      <w:bCs w:val="0"/>
                      <w:color w:val="auto"/>
                      <w:sz w:val="21"/>
                      <w:szCs w:val="21"/>
                      <w:lang w:val="en-US" w:eastAsia="zh-CN"/>
                    </w:rPr>
                    <w:t>1</w:t>
                  </w:r>
                  <w:r>
                    <w:rPr>
                      <w:b w:val="0"/>
                      <w:bCs w:val="0"/>
                      <w:color w:val="auto"/>
                      <w:sz w:val="21"/>
                      <w:szCs w:val="21"/>
                    </w:rPr>
                    <w:t>mg/L</w:t>
                  </w:r>
                </w:p>
              </w:tc>
              <w:tc>
                <w:tcPr>
                  <w:tcW w:w="646" w:type="pct"/>
                  <w:tcBorders>
                    <w:tl2br w:val="nil"/>
                    <w:tr2bl w:val="nil"/>
                  </w:tcBorders>
                  <w:noWrap w:val="0"/>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0.014</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tcBorders>
                    <w:tl2br w:val="nil"/>
                    <w:tr2bl w:val="nil"/>
                  </w:tcBorders>
                  <w:noWrap w:val="0"/>
                  <w:vAlign w:val="center"/>
                </w:tcPr>
                <w:p>
                  <w:pPr>
                    <w:ind w:left="-105" w:leftChars="-50" w:right="-105" w:rightChars="-50"/>
                    <w:contextualSpacing/>
                    <w:jc w:val="center"/>
                    <w:rPr>
                      <w:rFonts w:hint="eastAsia"/>
                      <w:b w:val="0"/>
                      <w:bCs w:val="0"/>
                      <w:color w:val="auto"/>
                      <w:sz w:val="21"/>
                      <w:szCs w:val="21"/>
                      <w:lang w:val="en-US" w:eastAsia="zh-CN"/>
                    </w:rPr>
                  </w:pPr>
                  <w:r>
                    <w:rPr>
                      <w:rFonts w:hint="eastAsia"/>
                      <w:b w:val="0"/>
                      <w:bCs w:val="0"/>
                      <w:color w:val="auto"/>
                      <w:sz w:val="21"/>
                      <w:szCs w:val="21"/>
                      <w:lang w:val="en-US" w:eastAsia="zh-CN"/>
                    </w:rPr>
                    <w:t>1</w:t>
                  </w:r>
                </w:p>
              </w:tc>
              <w:tc>
                <w:tcPr>
                  <w:tcW w:w="971" w:type="pct"/>
                  <w:tcBorders>
                    <w:tl2br w:val="nil"/>
                    <w:tr2bl w:val="nil"/>
                  </w:tcBorders>
                  <w:noWrap w:val="0"/>
                  <w:vAlign w:val="center"/>
                </w:tcPr>
                <w:p>
                  <w:pPr>
                    <w:ind w:left="-105" w:leftChars="-50" w:right="-105" w:rightChars="-50"/>
                    <w:contextualSpacing/>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每季度监测1次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6" w:type="pct"/>
                  <w:vMerge w:val="continue"/>
                  <w:tcBorders>
                    <w:tl2br w:val="nil"/>
                    <w:tr2bl w:val="nil"/>
                  </w:tcBorders>
                  <w:noWrap w:val="0"/>
                  <w:vAlign w:val="center"/>
                </w:tcPr>
                <w:p>
                  <w:pPr>
                    <w:jc w:val="center"/>
                    <w:rPr>
                      <w:b w:val="0"/>
                      <w:bCs w:val="0"/>
                      <w:color w:val="auto"/>
                      <w:sz w:val="21"/>
                      <w:szCs w:val="21"/>
                    </w:rPr>
                  </w:pPr>
                </w:p>
              </w:tc>
              <w:tc>
                <w:tcPr>
                  <w:tcW w:w="551" w:type="pct"/>
                  <w:tcBorders>
                    <w:tl2br w:val="nil"/>
                    <w:tr2bl w:val="nil"/>
                  </w:tcBorders>
                  <w:noWrap w:val="0"/>
                  <w:vAlign w:val="center"/>
                </w:tcPr>
                <w:p>
                  <w:pPr>
                    <w:jc w:val="center"/>
                    <w:rPr>
                      <w:b w:val="0"/>
                      <w:bCs w:val="0"/>
                      <w:color w:val="auto"/>
                      <w:sz w:val="21"/>
                      <w:szCs w:val="21"/>
                    </w:rPr>
                  </w:pPr>
                  <w:r>
                    <w:rPr>
                      <w:rFonts w:hint="eastAsia"/>
                      <w:color w:val="auto"/>
                      <w:szCs w:val="21"/>
                    </w:rPr>
                    <w:t>pH</w:t>
                  </w:r>
                </w:p>
              </w:tc>
              <w:tc>
                <w:tcPr>
                  <w:tcW w:w="631" w:type="pct"/>
                  <w:vMerge w:val="continue"/>
                  <w:tcBorders>
                    <w:tl2br w:val="nil"/>
                    <w:tr2bl w:val="nil"/>
                  </w:tcBorders>
                  <w:noWrap w:val="0"/>
                  <w:vAlign w:val="center"/>
                </w:tcPr>
                <w:p>
                  <w:pPr>
                    <w:jc w:val="center"/>
                    <w:rPr>
                      <w:b w:val="0"/>
                      <w:bCs w:val="0"/>
                      <w:color w:val="auto"/>
                      <w:sz w:val="21"/>
                      <w:szCs w:val="21"/>
                    </w:rPr>
                  </w:pPr>
                </w:p>
              </w:tc>
              <w:tc>
                <w:tcPr>
                  <w:tcW w:w="546" w:type="pct"/>
                  <w:tcBorders>
                    <w:tl2br w:val="nil"/>
                    <w:tr2bl w:val="nil"/>
                  </w:tcBorders>
                  <w:noWrap w:val="0"/>
                  <w:vAlign w:val="center"/>
                </w:tcPr>
                <w:p>
                  <w:pPr>
                    <w:ind w:left="-105" w:leftChars="-50" w:right="-105" w:rightChars="-50"/>
                    <w:contextualSpacing/>
                    <w:jc w:val="center"/>
                    <w:rPr>
                      <w:rFonts w:hint="default"/>
                      <w:b w:val="0"/>
                      <w:bCs w:val="0"/>
                      <w:color w:val="auto"/>
                      <w:sz w:val="21"/>
                      <w:szCs w:val="21"/>
                      <w:lang w:val="en-US" w:eastAsia="zh-CN"/>
                    </w:rPr>
                  </w:pPr>
                  <w:r>
                    <w:rPr>
                      <w:rFonts w:hint="eastAsia" w:cs="Times New Roman"/>
                      <w:b w:val="0"/>
                      <w:bCs w:val="0"/>
                      <w:color w:val="auto"/>
                      <w:sz w:val="21"/>
                      <w:szCs w:val="21"/>
                      <w:lang w:val="en-US" w:eastAsia="zh-CN"/>
                    </w:rPr>
                    <w:t>6.5-8.5</w:t>
                  </w:r>
                </w:p>
              </w:tc>
              <w:tc>
                <w:tcPr>
                  <w:tcW w:w="646" w:type="pct"/>
                  <w:tcBorders>
                    <w:tl2br w:val="nil"/>
                    <w:tr2bl w:val="nil"/>
                  </w:tcBorders>
                  <w:noWrap w:val="0"/>
                  <w:vAlign w:val="center"/>
                </w:tcPr>
                <w:p>
                  <w:pPr>
                    <w:ind w:left="-105" w:leftChars="-50" w:right="-105" w:rightChars="-50"/>
                    <w:contextualSpacing/>
                    <w:jc w:val="center"/>
                    <w:rPr>
                      <w:rFonts w:hint="default"/>
                      <w:b w:val="0"/>
                      <w:bCs w:val="0"/>
                      <w:color w:val="auto"/>
                      <w:sz w:val="21"/>
                      <w:szCs w:val="21"/>
                      <w:lang w:val="en-US" w:eastAsia="zh-CN"/>
                    </w:rPr>
                  </w:pPr>
                  <w:r>
                    <w:rPr>
                      <w:rFonts w:hint="eastAsia"/>
                      <w:b w:val="0"/>
                      <w:bCs w:val="0"/>
                      <w:color w:val="auto"/>
                      <w:sz w:val="21"/>
                      <w:szCs w:val="21"/>
                      <w:lang w:val="en-US" w:eastAsia="zh-CN"/>
                    </w:rPr>
                    <w:t>/</w:t>
                  </w:r>
                </w:p>
              </w:tc>
              <w:tc>
                <w:tcPr>
                  <w:tcW w:w="656" w:type="pct"/>
                  <w:vMerge w:val="continue"/>
                  <w:tcBorders>
                    <w:tl2br w:val="nil"/>
                    <w:tr2bl w:val="nil"/>
                  </w:tcBorders>
                  <w:noWrap w:val="0"/>
                  <w:vAlign w:val="center"/>
                </w:tcPr>
                <w:p>
                  <w:pPr>
                    <w:jc w:val="center"/>
                    <w:rPr>
                      <w:b w:val="0"/>
                      <w:bCs w:val="0"/>
                      <w:color w:val="auto"/>
                      <w:sz w:val="21"/>
                      <w:szCs w:val="21"/>
                    </w:rPr>
                  </w:pPr>
                </w:p>
              </w:tc>
              <w:tc>
                <w:tcPr>
                  <w:tcW w:w="619" w:type="pct"/>
                  <w:tcBorders>
                    <w:tl2br w:val="nil"/>
                    <w:tr2bl w:val="nil"/>
                  </w:tcBorders>
                  <w:noWrap w:val="0"/>
                  <w:vAlign w:val="center"/>
                </w:tcPr>
                <w:p>
                  <w:pPr>
                    <w:ind w:left="-105" w:leftChars="-50" w:right="-105" w:rightChars="-50"/>
                    <w:contextualSpacing/>
                    <w:jc w:val="center"/>
                    <w:rPr>
                      <w:rFonts w:hint="eastAsia"/>
                      <w:b w:val="0"/>
                      <w:bCs w:val="0"/>
                      <w:color w:val="auto"/>
                      <w:sz w:val="21"/>
                      <w:szCs w:val="21"/>
                      <w:lang w:val="en-US" w:eastAsia="zh-CN"/>
                    </w:rPr>
                  </w:pPr>
                  <w:r>
                    <w:rPr>
                      <w:rFonts w:hint="eastAsia"/>
                      <w:b w:val="0"/>
                      <w:bCs w:val="0"/>
                      <w:color w:val="auto"/>
                      <w:sz w:val="21"/>
                      <w:szCs w:val="21"/>
                      <w:lang w:val="en-US" w:eastAsia="zh-CN"/>
                    </w:rPr>
                    <w:t>6-9</w:t>
                  </w:r>
                </w:p>
              </w:tc>
              <w:tc>
                <w:tcPr>
                  <w:tcW w:w="971" w:type="pct"/>
                  <w:tcBorders>
                    <w:tl2br w:val="nil"/>
                    <w:tr2bl w:val="nil"/>
                  </w:tcBorders>
                  <w:noWrap w:val="0"/>
                  <w:vAlign w:val="center"/>
                </w:tcPr>
                <w:p>
                  <w:pPr>
                    <w:ind w:left="-105" w:leftChars="-50" w:right="-105" w:rightChars="-50"/>
                    <w:contextualSpacing/>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每季度监测1次</w:t>
                  </w:r>
                </w:p>
              </w:tc>
            </w:tr>
          </w:tbl>
          <w:p>
            <w:pPr>
              <w:spacing w:line="360" w:lineRule="auto"/>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三</w:t>
            </w:r>
            <w:r>
              <w:rPr>
                <w:rFonts w:hint="default" w:ascii="Times New Roman" w:hAnsi="Times New Roman" w:eastAsia="黑体" w:cs="Times New Roman"/>
                <w:b w:val="0"/>
                <w:bCs w:val="0"/>
                <w:color w:val="auto"/>
                <w:sz w:val="24"/>
                <w:szCs w:val="24"/>
                <w:highlight w:val="none"/>
                <w:lang w:val="en-US" w:eastAsia="zh-CN"/>
              </w:rPr>
              <w:t>、噪声</w:t>
            </w:r>
          </w:p>
          <w:p>
            <w:pPr>
              <w:keepNext w:val="0"/>
              <w:keepLines w:val="0"/>
              <w:pageBreakBefore w:val="0"/>
              <w:kinsoku/>
              <w:wordWrap/>
              <w:overflowPunct/>
              <w:topLinePunct w:val="0"/>
              <w:bidi w:val="0"/>
              <w:adjustRightInd w:val="0"/>
              <w:snapToGrid w:val="0"/>
              <w:spacing w:line="360" w:lineRule="auto"/>
              <w:ind w:left="0" w:leftChars="0" w:right="0" w:rightChars="0" w:firstLine="480" w:firstLineChars="200"/>
              <w:jc w:val="both"/>
              <w:textAlignment w:val="auto"/>
              <w:rPr>
                <w:rFonts w:hint="eastAsia"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1、噪声产生、排放情况简述</w:t>
            </w:r>
          </w:p>
          <w:p>
            <w:pPr>
              <w:keepNext w:val="0"/>
              <w:keepLines w:val="0"/>
              <w:pageBreakBefore w:val="0"/>
              <w:kinsoku/>
              <w:wordWrap/>
              <w:overflowPunct/>
              <w:topLinePunct w:val="0"/>
              <w:bidi w:val="0"/>
              <w:adjustRightInd w:val="0"/>
              <w:snapToGrid w:val="0"/>
              <w:spacing w:line="360" w:lineRule="auto"/>
              <w:ind w:left="0" w:leftChars="0" w:right="0" w:righ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本项目噪声源主要为各种机泵、风机等，源强约为</w:t>
            </w:r>
            <w:r>
              <w:rPr>
                <w:rFonts w:hint="default" w:ascii="Times New Roman" w:hAnsi="Times New Roman" w:cs="Times New Roman"/>
                <w:color w:val="auto"/>
                <w:sz w:val="24"/>
                <w:lang w:val="en-US" w:eastAsia="zh-CN"/>
              </w:rPr>
              <w:t>8</w:t>
            </w:r>
            <w:r>
              <w:rPr>
                <w:rFonts w:hint="eastAsia" w:ascii="Times New Roman" w:hAnsi="Times New Roman" w:cs="Times New Roman"/>
                <w:color w:val="auto"/>
                <w:sz w:val="24"/>
                <w:lang w:val="en-US" w:eastAsia="zh-CN"/>
              </w:rPr>
              <w:t>0</w:t>
            </w:r>
            <w:r>
              <w:rPr>
                <w:rFonts w:hint="default" w:ascii="Times New Roman" w:hAnsi="Times New Roman" w:cs="Times New Roman"/>
                <w:color w:val="auto"/>
                <w:sz w:val="24"/>
                <w:lang w:val="en-US" w:eastAsia="zh-CN"/>
              </w:rPr>
              <w:t>-90</w:t>
            </w:r>
            <w:r>
              <w:rPr>
                <w:rFonts w:hint="eastAsia" w:ascii="Times New Roman" w:hAnsi="Times New Roman" w:cs="Times New Roman"/>
                <w:color w:val="auto"/>
                <w:sz w:val="24"/>
                <w:lang w:val="en-US" w:eastAsia="zh-CN"/>
              </w:rPr>
              <w:t>dB（A）。</w:t>
            </w:r>
          </w:p>
          <w:p>
            <w:pPr>
              <w:keepNext w:val="0"/>
              <w:keepLines w:val="0"/>
              <w:pageBreakBefore w:val="0"/>
              <w:kinsoku/>
              <w:wordWrap/>
              <w:overflowPunct/>
              <w:topLinePunct w:val="0"/>
              <w:bidi w:val="0"/>
              <w:adjustRightInd w:val="0"/>
              <w:snapToGrid w:val="0"/>
              <w:spacing w:line="360" w:lineRule="auto"/>
              <w:ind w:left="0" w:leftChars="0" w:right="0" w:rightChars="0" w:firstLine="480" w:firstLineChars="200"/>
              <w:jc w:val="both"/>
              <w:textAlignment w:val="auto"/>
              <w:rPr>
                <w:rFonts w:hint="eastAsia"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2、排放源信息表</w:t>
            </w:r>
          </w:p>
          <w:p>
            <w:pPr>
              <w:keepNext w:val="0"/>
              <w:keepLines w:val="0"/>
              <w:pageBreakBefore w:val="0"/>
              <w:kinsoku/>
              <w:wordWrap/>
              <w:overflowPunct/>
              <w:topLinePunct w:val="0"/>
              <w:bidi w:val="0"/>
              <w:adjustRightInd w:val="0"/>
              <w:snapToGrid w:val="0"/>
              <w:spacing w:line="360" w:lineRule="auto"/>
              <w:ind w:left="0" w:leftChars="0" w:right="0" w:righ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本项目主要噪声源调查清单见下表。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表4-</w:t>
            </w:r>
            <w:r>
              <w:rPr>
                <w:rFonts w:hint="eastAsia" w:ascii="Times New Roman" w:hAnsi="Times New Roman" w:eastAsia="黑体" w:cs="Times New Roman"/>
                <w:b w:val="0"/>
                <w:bCs w:val="0"/>
                <w:color w:val="auto"/>
                <w:kern w:val="0"/>
                <w:sz w:val="24"/>
                <w:szCs w:val="24"/>
                <w:lang w:val="en-US" w:eastAsia="zh-CN"/>
              </w:rPr>
              <w:t xml:space="preserve">17 </w:t>
            </w:r>
            <w:bookmarkStart w:id="13" w:name="_Hlk117512062"/>
            <w:r>
              <w:rPr>
                <w:rFonts w:hint="eastAsia" w:ascii="Times New Roman" w:hAnsi="Times New Roman" w:eastAsia="黑体" w:cs="Times New Roman"/>
                <w:b w:val="0"/>
                <w:bCs w:val="0"/>
                <w:color w:val="auto"/>
                <w:kern w:val="0"/>
                <w:sz w:val="24"/>
                <w:szCs w:val="24"/>
                <w:lang w:val="en-US" w:eastAsia="zh-CN"/>
              </w:rPr>
              <w:t>项目主要噪声源调查清单</w:t>
            </w:r>
          </w:p>
          <w:bookmarkEnd w:id="13"/>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
              <w:gridCol w:w="1291"/>
              <w:gridCol w:w="539"/>
              <w:gridCol w:w="646"/>
              <w:gridCol w:w="646"/>
              <w:gridCol w:w="646"/>
              <w:gridCol w:w="1247"/>
              <w:gridCol w:w="1816"/>
              <w:gridCol w:w="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1" w:type="pct"/>
                  <w:vMerge w:val="restart"/>
                  <w:shd w:val="clear" w:color="auto" w:fill="auto"/>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噪声源</w:t>
                  </w:r>
                </w:p>
              </w:tc>
              <w:tc>
                <w:tcPr>
                  <w:tcW w:w="761" w:type="pct"/>
                  <w:vMerge w:val="restart"/>
                  <w:shd w:val="clear" w:color="auto" w:fill="auto"/>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设备名称</w:t>
                  </w:r>
                </w:p>
              </w:tc>
              <w:tc>
                <w:tcPr>
                  <w:tcW w:w="318" w:type="pct"/>
                  <w:vMerge w:val="restar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数量</w:t>
                  </w:r>
                </w:p>
              </w:tc>
              <w:tc>
                <w:tcPr>
                  <w:tcW w:w="1143" w:type="pct"/>
                  <w:gridSpan w:val="3"/>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空间相对位置/m</w:t>
                  </w:r>
                </w:p>
              </w:tc>
              <w:tc>
                <w:tcPr>
                  <w:tcW w:w="735" w:type="pct"/>
                  <w:vMerge w:val="restar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声功率级dB（A）</w:t>
                  </w:r>
                </w:p>
              </w:tc>
              <w:tc>
                <w:tcPr>
                  <w:tcW w:w="1071" w:type="pct"/>
                  <w:vMerge w:val="restar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声源控制措施</w:t>
                  </w:r>
                </w:p>
              </w:tc>
              <w:tc>
                <w:tcPr>
                  <w:tcW w:w="388" w:type="pct"/>
                  <w:vMerge w:val="restar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运行</w:t>
                  </w:r>
                </w:p>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1"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761"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318"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w:t>
                  </w:r>
                </w:p>
              </w:tc>
              <w:tc>
                <w:tcPr>
                  <w:tcW w:w="735"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1071"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388"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8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1#罐区</w:t>
                  </w:r>
                </w:p>
              </w:tc>
              <w:tc>
                <w:tcPr>
                  <w:tcW w:w="76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机泵</w:t>
                  </w:r>
                </w:p>
              </w:tc>
              <w:tc>
                <w:tcPr>
                  <w:tcW w:w="318" w:type="pct"/>
                  <w:shd w:val="clear" w:color="auto" w:fill="auto"/>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-32</w:t>
                  </w:r>
                </w:p>
              </w:tc>
              <w:tc>
                <w:tcPr>
                  <w:tcW w:w="381" w:type="pct"/>
                  <w:shd w:val="clear" w:color="auto" w:fill="auto"/>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w:t>
                  </w:r>
                </w:p>
              </w:tc>
              <w:tc>
                <w:tcPr>
                  <w:tcW w:w="735"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85</w:t>
                  </w:r>
                </w:p>
              </w:tc>
              <w:tc>
                <w:tcPr>
                  <w:tcW w:w="107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减振、消声</w:t>
                  </w:r>
                </w:p>
              </w:tc>
              <w:tc>
                <w:tcPr>
                  <w:tcW w:w="38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2#罐区</w:t>
                  </w:r>
                </w:p>
              </w:tc>
              <w:tc>
                <w:tcPr>
                  <w:tcW w:w="76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机泵</w:t>
                  </w:r>
                </w:p>
              </w:tc>
              <w:tc>
                <w:tcPr>
                  <w:tcW w:w="318" w:type="pct"/>
                  <w:shd w:val="clear" w:color="auto" w:fill="auto"/>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34</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c>
                <w:tcPr>
                  <w:tcW w:w="735"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85</w:t>
                  </w:r>
                </w:p>
              </w:tc>
              <w:tc>
                <w:tcPr>
                  <w:tcW w:w="107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减振、消声</w:t>
                  </w:r>
                </w:p>
              </w:tc>
              <w:tc>
                <w:tcPr>
                  <w:tcW w:w="38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3#罐区</w:t>
                  </w:r>
                </w:p>
              </w:tc>
              <w:tc>
                <w:tcPr>
                  <w:tcW w:w="76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机泵</w:t>
                  </w:r>
                </w:p>
              </w:tc>
              <w:tc>
                <w:tcPr>
                  <w:tcW w:w="318" w:type="pct"/>
                  <w:shd w:val="clear" w:color="auto" w:fill="auto"/>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143</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44</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w:t>
                  </w:r>
                </w:p>
              </w:tc>
              <w:tc>
                <w:tcPr>
                  <w:tcW w:w="735"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85</w:t>
                  </w:r>
                </w:p>
              </w:tc>
              <w:tc>
                <w:tcPr>
                  <w:tcW w:w="107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减振、消声</w:t>
                  </w:r>
                </w:p>
              </w:tc>
              <w:tc>
                <w:tcPr>
                  <w:tcW w:w="38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4#罐区</w:t>
                  </w:r>
                </w:p>
              </w:tc>
              <w:tc>
                <w:tcPr>
                  <w:tcW w:w="76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机泵</w:t>
                  </w:r>
                </w:p>
              </w:tc>
              <w:tc>
                <w:tcPr>
                  <w:tcW w:w="318" w:type="pct"/>
                  <w:shd w:val="clear" w:color="auto" w:fill="auto"/>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381" w:type="pct"/>
                  <w:shd w:val="clear" w:color="auto" w:fill="auto"/>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38</w:t>
                  </w:r>
                </w:p>
              </w:tc>
              <w:tc>
                <w:tcPr>
                  <w:tcW w:w="735"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85</w:t>
                  </w:r>
                </w:p>
              </w:tc>
              <w:tc>
                <w:tcPr>
                  <w:tcW w:w="107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减振、消声</w:t>
                  </w:r>
                </w:p>
              </w:tc>
              <w:tc>
                <w:tcPr>
                  <w:tcW w:w="38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5#罐区</w:t>
                  </w:r>
                </w:p>
              </w:tc>
              <w:tc>
                <w:tcPr>
                  <w:tcW w:w="76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机泵</w:t>
                  </w:r>
                </w:p>
              </w:tc>
              <w:tc>
                <w:tcPr>
                  <w:tcW w:w="318" w:type="pct"/>
                  <w:shd w:val="clear" w:color="auto" w:fill="auto"/>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-164</w:t>
                  </w:r>
                </w:p>
              </w:tc>
              <w:tc>
                <w:tcPr>
                  <w:tcW w:w="381" w:type="pct"/>
                  <w:shd w:val="clear" w:color="auto" w:fill="auto"/>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735"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80</w:t>
                  </w:r>
                </w:p>
              </w:tc>
              <w:tc>
                <w:tcPr>
                  <w:tcW w:w="107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减振、消声</w:t>
                  </w:r>
                </w:p>
              </w:tc>
              <w:tc>
                <w:tcPr>
                  <w:tcW w:w="38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6#罐区</w:t>
                  </w:r>
                </w:p>
              </w:tc>
              <w:tc>
                <w:tcPr>
                  <w:tcW w:w="76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机泵</w:t>
                  </w:r>
                </w:p>
              </w:tc>
              <w:tc>
                <w:tcPr>
                  <w:tcW w:w="318" w:type="pct"/>
                  <w:shd w:val="clear" w:color="auto" w:fill="auto"/>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-130</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-167</w:t>
                  </w:r>
                </w:p>
              </w:tc>
              <w:tc>
                <w:tcPr>
                  <w:tcW w:w="38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w:t>
                  </w:r>
                </w:p>
              </w:tc>
              <w:tc>
                <w:tcPr>
                  <w:tcW w:w="735"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85</w:t>
                  </w:r>
                </w:p>
              </w:tc>
              <w:tc>
                <w:tcPr>
                  <w:tcW w:w="107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减振、消声</w:t>
                  </w:r>
                </w:p>
              </w:tc>
              <w:tc>
                <w:tcPr>
                  <w:tcW w:w="38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装卸车区</w:t>
                  </w:r>
                </w:p>
              </w:tc>
              <w:tc>
                <w:tcPr>
                  <w:tcW w:w="76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机泵</w:t>
                  </w:r>
                </w:p>
              </w:tc>
              <w:tc>
                <w:tcPr>
                  <w:tcW w:w="31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74</w:t>
                  </w:r>
                </w:p>
              </w:tc>
              <w:tc>
                <w:tcPr>
                  <w:tcW w:w="381" w:type="pct"/>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-168</w:t>
                  </w:r>
                </w:p>
              </w:tc>
              <w:tc>
                <w:tcPr>
                  <w:tcW w:w="381" w:type="pct"/>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w:t>
                  </w:r>
                </w:p>
              </w:tc>
              <w:tc>
                <w:tcPr>
                  <w:tcW w:w="381" w:type="pct"/>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35"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w:t>
                  </w:r>
                </w:p>
              </w:tc>
              <w:tc>
                <w:tcPr>
                  <w:tcW w:w="107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减振、消声</w:t>
                  </w:r>
                </w:p>
              </w:tc>
              <w:tc>
                <w:tcPr>
                  <w:tcW w:w="38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1" w:type="pct"/>
                  <w:vMerge w:val="restar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eastAsia"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动力车间</w:t>
                  </w:r>
                </w:p>
              </w:tc>
              <w:tc>
                <w:tcPr>
                  <w:tcW w:w="76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eastAsia"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导热油锅炉（含风机）</w:t>
                  </w:r>
                </w:p>
              </w:tc>
              <w:tc>
                <w:tcPr>
                  <w:tcW w:w="31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381" w:type="pct"/>
                  <w:vMerge w:val="restart"/>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205</w:t>
                  </w:r>
                </w:p>
              </w:tc>
              <w:tc>
                <w:tcPr>
                  <w:tcW w:w="381" w:type="pct"/>
                  <w:vMerge w:val="restart"/>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381" w:type="pct"/>
                  <w:vMerge w:val="restart"/>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35" w:type="pct"/>
                  <w:vMerge w:val="restar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w:t>
                  </w:r>
                </w:p>
              </w:tc>
              <w:tc>
                <w:tcPr>
                  <w:tcW w:w="1071" w:type="pct"/>
                  <w:vMerge w:val="restart"/>
                  <w:shd w:val="clear" w:color="auto" w:fill="auto"/>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隔声、减震、消声</w:t>
                  </w:r>
                </w:p>
              </w:tc>
              <w:tc>
                <w:tcPr>
                  <w:tcW w:w="388" w:type="pct"/>
                  <w:vMerge w:val="restar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1" w:type="pct"/>
                  <w:vMerge w:val="continue"/>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eastAsia" w:ascii="Times New Roman" w:hAnsi="Times New Roman" w:cs="Times New Roman"/>
                      <w:i w:val="0"/>
                      <w:iCs w:val="0"/>
                      <w:color w:val="auto"/>
                      <w:kern w:val="0"/>
                      <w:sz w:val="21"/>
                      <w:szCs w:val="21"/>
                      <w:u w:val="none"/>
                      <w:lang w:val="en-US" w:eastAsia="zh-CN" w:bidi="ar"/>
                    </w:rPr>
                  </w:pPr>
                </w:p>
              </w:tc>
              <w:tc>
                <w:tcPr>
                  <w:tcW w:w="76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eastAsia"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蒸汽锅炉（含风机）</w:t>
                  </w:r>
                </w:p>
              </w:tc>
              <w:tc>
                <w:tcPr>
                  <w:tcW w:w="31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381" w:type="pct"/>
                  <w:vMerge w:val="continue"/>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381" w:type="pct"/>
                  <w:vMerge w:val="continue"/>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381" w:type="pct"/>
                  <w:vMerge w:val="continue"/>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735"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p>
              </w:tc>
              <w:tc>
                <w:tcPr>
                  <w:tcW w:w="1071"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388"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81" w:type="pct"/>
                  <w:vMerge w:val="continue"/>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eastAsia" w:ascii="Times New Roman" w:hAnsi="Times New Roman" w:cs="Times New Roman"/>
                      <w:i w:val="0"/>
                      <w:iCs w:val="0"/>
                      <w:color w:val="auto"/>
                      <w:kern w:val="0"/>
                      <w:sz w:val="21"/>
                      <w:szCs w:val="21"/>
                      <w:u w:val="none"/>
                      <w:lang w:val="en-US" w:eastAsia="zh-CN" w:bidi="ar"/>
                    </w:rPr>
                  </w:pPr>
                </w:p>
              </w:tc>
              <w:tc>
                <w:tcPr>
                  <w:tcW w:w="76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eastAsia" w:ascii="Times New Roman" w:hAnsi="Times New Roman" w:cs="Times New Roman"/>
                      <w:i w:val="0"/>
                      <w:iCs w:val="0"/>
                      <w:color w:val="auto"/>
                      <w:kern w:val="0"/>
                      <w:sz w:val="21"/>
                      <w:szCs w:val="21"/>
                      <w:u w:val="none"/>
                      <w:lang w:val="en-US" w:eastAsia="zh-CN" w:bidi="ar"/>
                    </w:rPr>
                  </w:pPr>
                  <w:r>
                    <w:rPr>
                      <w:rFonts w:hint="eastAsia" w:ascii="宋体" w:hAnsi="宋体" w:cs="宋体"/>
                      <w:i w:val="0"/>
                      <w:iCs w:val="0"/>
                      <w:color w:val="auto"/>
                      <w:sz w:val="21"/>
                      <w:szCs w:val="21"/>
                      <w:highlight w:val="none"/>
                      <w:u w:val="none"/>
                      <w:lang w:val="en-US" w:eastAsia="zh-CN"/>
                    </w:rPr>
                    <w:t>空压机组</w:t>
                  </w:r>
                </w:p>
              </w:tc>
              <w:tc>
                <w:tcPr>
                  <w:tcW w:w="31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381" w:type="pct"/>
                  <w:vMerge w:val="continue"/>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381" w:type="pct"/>
                  <w:vMerge w:val="continue"/>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381" w:type="pct"/>
                  <w:vMerge w:val="continue"/>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735"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p>
              </w:tc>
              <w:tc>
                <w:tcPr>
                  <w:tcW w:w="1071"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388"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81" w:type="pct"/>
                  <w:vMerge w:val="continue"/>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eastAsia" w:ascii="Times New Roman" w:hAnsi="Times New Roman" w:cs="Times New Roman"/>
                      <w:i w:val="0"/>
                      <w:iCs w:val="0"/>
                      <w:color w:val="auto"/>
                      <w:kern w:val="0"/>
                      <w:sz w:val="21"/>
                      <w:szCs w:val="21"/>
                      <w:u w:val="none"/>
                      <w:lang w:val="en-US" w:eastAsia="zh-CN" w:bidi="ar"/>
                    </w:rPr>
                  </w:pPr>
                </w:p>
              </w:tc>
              <w:tc>
                <w:tcPr>
                  <w:tcW w:w="76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eastAsia" w:ascii="Times New Roman" w:hAnsi="Times New Roman" w:cs="Times New Roman"/>
                      <w:i w:val="0"/>
                      <w:iCs w:val="0"/>
                      <w:color w:val="auto"/>
                      <w:kern w:val="0"/>
                      <w:sz w:val="21"/>
                      <w:szCs w:val="21"/>
                      <w:u w:val="none"/>
                      <w:lang w:val="en-US" w:eastAsia="zh-CN" w:bidi="ar"/>
                    </w:rPr>
                  </w:pPr>
                  <w:r>
                    <w:rPr>
                      <w:rFonts w:hint="eastAsia" w:ascii="宋体" w:hAnsi="宋体" w:cs="宋体"/>
                      <w:i w:val="0"/>
                      <w:iCs w:val="0"/>
                      <w:color w:val="auto"/>
                      <w:sz w:val="21"/>
                      <w:szCs w:val="21"/>
                      <w:highlight w:val="none"/>
                      <w:u w:val="none"/>
                      <w:lang w:val="en-US" w:eastAsia="zh-CN"/>
                    </w:rPr>
                    <w:t>制氮机组</w:t>
                  </w:r>
                </w:p>
              </w:tc>
              <w:tc>
                <w:tcPr>
                  <w:tcW w:w="31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381" w:type="pct"/>
                  <w:vMerge w:val="continue"/>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381" w:type="pct"/>
                  <w:vMerge w:val="continue"/>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381" w:type="pct"/>
                  <w:vMerge w:val="continue"/>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735"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p>
              </w:tc>
              <w:tc>
                <w:tcPr>
                  <w:tcW w:w="1071"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c>
                <w:tcPr>
                  <w:tcW w:w="388" w:type="pct"/>
                  <w:vMerge w:val="continue"/>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8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eastAsia" w:ascii="Times New Roman" w:hAnsi="Times New Roman" w:cs="Times New Roman"/>
                      <w:i w:val="0"/>
                      <w:iCs w:val="0"/>
                      <w:color w:val="auto"/>
                      <w:kern w:val="0"/>
                      <w:sz w:val="21"/>
                      <w:szCs w:val="21"/>
                      <w:u w:val="none"/>
                      <w:lang w:val="en-US" w:eastAsia="zh-CN" w:bidi="ar"/>
                    </w:rPr>
                  </w:pPr>
                  <w:r>
                    <w:rPr>
                      <w:rFonts w:hint="eastAsia" w:ascii="宋体" w:hAnsi="宋体" w:cs="宋体"/>
                      <w:i w:val="0"/>
                      <w:iCs w:val="0"/>
                      <w:color w:val="auto"/>
                      <w:sz w:val="21"/>
                      <w:szCs w:val="21"/>
                      <w:highlight w:val="none"/>
                      <w:u w:val="none"/>
                      <w:lang w:val="en-US" w:eastAsia="zh-CN"/>
                    </w:rPr>
                    <w:t>尾气处理环保设施</w:t>
                  </w:r>
                </w:p>
              </w:tc>
              <w:tc>
                <w:tcPr>
                  <w:tcW w:w="76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eastAsia" w:ascii="宋体" w:hAnsi="宋体" w:cs="宋体"/>
                      <w:i w:val="0"/>
                      <w:iCs w:val="0"/>
                      <w:color w:val="auto"/>
                      <w:sz w:val="21"/>
                      <w:szCs w:val="21"/>
                      <w:highlight w:val="none"/>
                      <w:u w:val="none"/>
                      <w:lang w:val="en-US" w:eastAsia="zh-CN"/>
                    </w:rPr>
                  </w:pPr>
                  <w:r>
                    <w:rPr>
                      <w:rFonts w:hint="eastAsia" w:ascii="宋体" w:hAnsi="宋体" w:cs="宋体"/>
                      <w:i w:val="0"/>
                      <w:iCs w:val="0"/>
                      <w:color w:val="auto"/>
                      <w:sz w:val="21"/>
                      <w:szCs w:val="21"/>
                      <w:highlight w:val="none"/>
                      <w:u w:val="none"/>
                      <w:lang w:val="en-US" w:eastAsia="zh-CN"/>
                    </w:rPr>
                    <w:t>风机</w:t>
                  </w:r>
                </w:p>
              </w:tc>
              <w:tc>
                <w:tcPr>
                  <w:tcW w:w="31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381" w:type="pct"/>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118</w:t>
                  </w:r>
                </w:p>
              </w:tc>
              <w:tc>
                <w:tcPr>
                  <w:tcW w:w="381" w:type="pct"/>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-123</w:t>
                  </w:r>
                </w:p>
              </w:tc>
              <w:tc>
                <w:tcPr>
                  <w:tcW w:w="381" w:type="pct"/>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35"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w:t>
                  </w:r>
                </w:p>
              </w:tc>
              <w:tc>
                <w:tcPr>
                  <w:tcW w:w="107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减振、消声</w:t>
                  </w:r>
                </w:p>
              </w:tc>
              <w:tc>
                <w:tcPr>
                  <w:tcW w:w="38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全天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eastAsia" w:ascii="宋体" w:hAnsi="宋体" w:cs="宋体"/>
                      <w:i w:val="0"/>
                      <w:iCs w:val="0"/>
                      <w:color w:val="auto"/>
                      <w:sz w:val="21"/>
                      <w:szCs w:val="21"/>
                      <w:highlight w:val="none"/>
                      <w:u w:val="none"/>
                      <w:lang w:val="en-US" w:eastAsia="zh-CN"/>
                    </w:rPr>
                  </w:pPr>
                  <w:r>
                    <w:rPr>
                      <w:rFonts w:hint="eastAsia" w:ascii="宋体" w:hAnsi="宋体" w:cs="宋体"/>
                      <w:i w:val="0"/>
                      <w:iCs w:val="0"/>
                      <w:color w:val="auto"/>
                      <w:sz w:val="21"/>
                      <w:szCs w:val="21"/>
                      <w:highlight w:val="none"/>
                      <w:u w:val="none"/>
                      <w:lang w:val="en-US" w:eastAsia="zh-CN"/>
                    </w:rPr>
                    <w:t>污水处理站</w:t>
                  </w:r>
                </w:p>
              </w:tc>
              <w:tc>
                <w:tcPr>
                  <w:tcW w:w="761" w:type="pct"/>
                  <w:shd w:val="clear" w:color="auto" w:fill="auto"/>
                  <w:tcMar>
                    <w:top w:w="0" w:type="dxa"/>
                    <w:left w:w="28" w:type="dxa"/>
                    <w:bottom w:w="0" w:type="dxa"/>
                    <w:right w:w="28" w:type="dxa"/>
                  </w:tcMar>
                  <w:vAlign w:val="center"/>
                </w:tcPr>
                <w:p>
                  <w:pPr>
                    <w:keepNext w:val="0"/>
                    <w:keepLines w:val="0"/>
                    <w:widowControl/>
                    <w:suppressLineNumbers w:val="0"/>
                    <w:jc w:val="center"/>
                    <w:textAlignment w:val="center"/>
                    <w:rPr>
                      <w:rFonts w:hint="eastAsia" w:ascii="宋体" w:hAnsi="宋体" w:cs="宋体"/>
                      <w:i w:val="0"/>
                      <w:iCs w:val="0"/>
                      <w:color w:val="auto"/>
                      <w:sz w:val="21"/>
                      <w:szCs w:val="21"/>
                      <w:highlight w:val="none"/>
                      <w:u w:val="none"/>
                      <w:lang w:val="en-US" w:eastAsia="zh-CN"/>
                    </w:rPr>
                  </w:pPr>
                  <w:r>
                    <w:rPr>
                      <w:rFonts w:hint="eastAsia" w:ascii="宋体" w:hAnsi="宋体" w:cs="宋体"/>
                      <w:i w:val="0"/>
                      <w:iCs w:val="0"/>
                      <w:color w:val="auto"/>
                      <w:sz w:val="21"/>
                      <w:szCs w:val="21"/>
                      <w:highlight w:val="none"/>
                      <w:u w:val="none"/>
                      <w:lang w:val="en-US" w:eastAsia="zh-CN"/>
                    </w:rPr>
                    <w:t>机泵</w:t>
                  </w:r>
                </w:p>
              </w:tc>
              <w:tc>
                <w:tcPr>
                  <w:tcW w:w="31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c>
                <w:tcPr>
                  <w:tcW w:w="381" w:type="pct"/>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217</w:t>
                  </w:r>
                </w:p>
              </w:tc>
              <w:tc>
                <w:tcPr>
                  <w:tcW w:w="381" w:type="pct"/>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381" w:type="pct"/>
                  <w:tcMar>
                    <w:top w:w="0" w:type="dxa"/>
                    <w:left w:w="28" w:type="dxa"/>
                    <w:bottom w:w="0" w:type="dxa"/>
                    <w:right w:w="28" w:type="dxa"/>
                  </w:tcMar>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735"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w:t>
                  </w:r>
                </w:p>
              </w:tc>
              <w:tc>
                <w:tcPr>
                  <w:tcW w:w="1071"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减振、消声</w:t>
                  </w:r>
                </w:p>
              </w:tc>
              <w:tc>
                <w:tcPr>
                  <w:tcW w:w="388" w:type="pct"/>
                  <w:shd w:val="clear" w:color="auto" w:fill="auto"/>
                  <w:tcMar>
                    <w:top w:w="0" w:type="dxa"/>
                    <w:left w:w="28" w:type="dxa"/>
                    <w:bottom w:w="0" w:type="dxa"/>
                    <w:right w:w="28" w:type="dxa"/>
                  </w:tcMar>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全天</w:t>
                  </w:r>
                </w:p>
              </w:tc>
            </w:tr>
          </w:tbl>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3、噪声达标分析</w:t>
            </w:r>
          </w:p>
          <w:p>
            <w:pPr>
              <w:keepNext w:val="0"/>
              <w:keepLines w:val="0"/>
              <w:pageBreakBefore w:val="0"/>
              <w:kinsoku/>
              <w:wordWrap/>
              <w:overflowPunct/>
              <w:topLinePunct w:val="0"/>
              <w:bidi w:val="0"/>
              <w:adjustRightInd w:val="0"/>
              <w:snapToGrid w:val="0"/>
              <w:spacing w:line="360" w:lineRule="auto"/>
              <w:ind w:left="0" w:leftChars="0" w:right="0" w:rightChars="0" w:firstLine="480" w:firstLineChars="200"/>
              <w:textAlignment w:val="auto"/>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根据项目建设内容及《环境影响评价技术导则—声环境》（HJ2.4-2021）的要求，项目噪声预测采用的模型为《环境影响评价技术导则 声环境》(HJ2.4.2021)附录A（规范性附录）户外声传播的衰减和附录B（规范性附录）中“B.1工业噪声预测计算模型”。</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表4-18 项目厂界噪声预测结果</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5"/>
              <w:gridCol w:w="1124"/>
              <w:gridCol w:w="1935"/>
              <w:gridCol w:w="1996"/>
              <w:gridCol w:w="19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0"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预测点位</w:t>
                  </w:r>
                </w:p>
              </w:tc>
              <w:tc>
                <w:tcPr>
                  <w:tcW w:w="663"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时间</w:t>
                  </w:r>
                </w:p>
              </w:tc>
              <w:tc>
                <w:tcPr>
                  <w:tcW w:w="1141"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贡献值（dB(A)）</w:t>
                  </w:r>
                </w:p>
              </w:tc>
              <w:tc>
                <w:tcPr>
                  <w:tcW w:w="1177"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标准值dB(A)</w:t>
                  </w:r>
                </w:p>
              </w:tc>
              <w:tc>
                <w:tcPr>
                  <w:tcW w:w="1176"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预测结果dB(A)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0" w:type="pct"/>
                  <w:vMerge w:val="restar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项目东边界</w:t>
                  </w:r>
                </w:p>
              </w:tc>
              <w:tc>
                <w:tcPr>
                  <w:tcW w:w="663"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昼间</w:t>
                  </w:r>
                </w:p>
              </w:tc>
              <w:tc>
                <w:tcPr>
                  <w:tcW w:w="1141" w:type="pct"/>
                  <w:vMerge w:val="restar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42.1</w:t>
                  </w:r>
                </w:p>
              </w:tc>
              <w:tc>
                <w:tcPr>
                  <w:tcW w:w="1177"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60</w:t>
                  </w:r>
                </w:p>
              </w:tc>
              <w:tc>
                <w:tcPr>
                  <w:tcW w:w="1176"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0" w:type="pct"/>
                  <w:vMerge w:val="continue"/>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663"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夜间</w:t>
                  </w:r>
                </w:p>
              </w:tc>
              <w:tc>
                <w:tcPr>
                  <w:tcW w:w="1141" w:type="pct"/>
                  <w:vMerge w:val="continue"/>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177"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p>
              </w:tc>
              <w:tc>
                <w:tcPr>
                  <w:tcW w:w="1176"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0" w:type="pct"/>
                  <w:vMerge w:val="restar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项目南边界</w:t>
                  </w:r>
                </w:p>
              </w:tc>
              <w:tc>
                <w:tcPr>
                  <w:tcW w:w="663"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昼间</w:t>
                  </w:r>
                </w:p>
              </w:tc>
              <w:tc>
                <w:tcPr>
                  <w:tcW w:w="1141" w:type="pct"/>
                  <w:vMerge w:val="restar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35.6</w:t>
                  </w:r>
                </w:p>
              </w:tc>
              <w:tc>
                <w:tcPr>
                  <w:tcW w:w="1177"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60</w:t>
                  </w:r>
                </w:p>
              </w:tc>
              <w:tc>
                <w:tcPr>
                  <w:tcW w:w="1176"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0" w:type="pct"/>
                  <w:vMerge w:val="continue"/>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663"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夜间</w:t>
                  </w:r>
                </w:p>
              </w:tc>
              <w:tc>
                <w:tcPr>
                  <w:tcW w:w="1141" w:type="pct"/>
                  <w:vMerge w:val="continue"/>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177"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p>
              </w:tc>
              <w:tc>
                <w:tcPr>
                  <w:tcW w:w="1176"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840" w:type="pct"/>
                  <w:vMerge w:val="restar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项目西边界</w:t>
                  </w:r>
                </w:p>
              </w:tc>
              <w:tc>
                <w:tcPr>
                  <w:tcW w:w="663"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昼间</w:t>
                  </w:r>
                </w:p>
              </w:tc>
              <w:tc>
                <w:tcPr>
                  <w:tcW w:w="1141" w:type="pct"/>
                  <w:vMerge w:val="restar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42.0</w:t>
                  </w:r>
                </w:p>
              </w:tc>
              <w:tc>
                <w:tcPr>
                  <w:tcW w:w="1177"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60</w:t>
                  </w:r>
                </w:p>
              </w:tc>
              <w:tc>
                <w:tcPr>
                  <w:tcW w:w="1176"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0" w:type="pct"/>
                  <w:vMerge w:val="continue"/>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663"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夜间</w:t>
                  </w:r>
                </w:p>
              </w:tc>
              <w:tc>
                <w:tcPr>
                  <w:tcW w:w="1141" w:type="pct"/>
                  <w:vMerge w:val="continue"/>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177"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p>
              </w:tc>
              <w:tc>
                <w:tcPr>
                  <w:tcW w:w="1176"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0" w:type="pct"/>
                  <w:vMerge w:val="restar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项目北边界</w:t>
                  </w:r>
                </w:p>
              </w:tc>
              <w:tc>
                <w:tcPr>
                  <w:tcW w:w="663"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昼间</w:t>
                  </w:r>
                </w:p>
              </w:tc>
              <w:tc>
                <w:tcPr>
                  <w:tcW w:w="1141" w:type="pct"/>
                  <w:vMerge w:val="restar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40.9</w:t>
                  </w:r>
                </w:p>
              </w:tc>
              <w:tc>
                <w:tcPr>
                  <w:tcW w:w="1177"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60</w:t>
                  </w:r>
                </w:p>
              </w:tc>
              <w:tc>
                <w:tcPr>
                  <w:tcW w:w="1176"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0" w:type="pct"/>
                  <w:vMerge w:val="continue"/>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663"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夜间</w:t>
                  </w:r>
                </w:p>
              </w:tc>
              <w:tc>
                <w:tcPr>
                  <w:tcW w:w="1141" w:type="pct"/>
                  <w:vMerge w:val="continue"/>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177"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50</w:t>
                  </w:r>
                </w:p>
              </w:tc>
              <w:tc>
                <w:tcPr>
                  <w:tcW w:w="1176" w:type="pct"/>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达标</w:t>
                  </w:r>
                </w:p>
              </w:tc>
            </w:tr>
          </w:tbl>
          <w:p>
            <w:pPr>
              <w:keepNext w:val="0"/>
              <w:keepLines w:val="0"/>
              <w:pageBreakBefore w:val="0"/>
              <w:kinsoku/>
              <w:wordWrap/>
              <w:overflowPunct/>
              <w:topLinePunct w:val="0"/>
              <w:bidi w:val="0"/>
              <w:adjustRightInd w:val="0"/>
              <w:snapToGrid w:val="0"/>
              <w:spacing w:line="360" w:lineRule="auto"/>
              <w:ind w:left="0" w:leftChars="0" w:right="0" w:righ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本项目采取选用低噪音设备、合理布局、减振隔声等措施降低噪声影响，采取降噪措施是通用的、成熟的、效果显著的。经预测可知，项目噪声源对各厂界噪声贡献值昼、夜均能满足《工业企业厂界环境噪声排放标准》（GB12348-2008）2类标准要求。</w:t>
            </w:r>
          </w:p>
          <w:p>
            <w:pPr>
              <w:spacing w:line="360" w:lineRule="auto"/>
              <w:ind w:firstLine="480" w:firstLineChars="200"/>
              <w:rPr>
                <w:rFonts w:hint="eastAsia"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4、噪声控制措施</w:t>
            </w:r>
          </w:p>
          <w:p>
            <w:pPr>
              <w:keepNext w:val="0"/>
              <w:keepLines w:val="0"/>
              <w:pageBreakBefore w:val="0"/>
              <w:kinsoku/>
              <w:wordWrap/>
              <w:overflowPunct/>
              <w:topLinePunct w:val="0"/>
              <w:bidi w:val="0"/>
              <w:adjustRightInd w:val="0"/>
              <w:snapToGrid w:val="0"/>
              <w:spacing w:line="360" w:lineRule="auto"/>
              <w:ind w:left="0" w:leftChars="0" w:right="0" w:righ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项目建成投产后，设备噪声通过采取降噪措施，厂界噪声贡献值满足《工业企业厂界环境噪声排放标准》（GB12348-2008）2类标准。为保证治理效果，试运行设过程中应落实以下措施：</w:t>
            </w:r>
          </w:p>
          <w:p>
            <w:pPr>
              <w:keepNext w:val="0"/>
              <w:keepLines w:val="0"/>
              <w:pageBreakBefore w:val="0"/>
              <w:kinsoku/>
              <w:wordWrap/>
              <w:overflowPunct/>
              <w:topLinePunct w:val="0"/>
              <w:bidi w:val="0"/>
              <w:adjustRightInd w:val="0"/>
              <w:snapToGrid w:val="0"/>
              <w:spacing w:line="360" w:lineRule="auto"/>
              <w:ind w:left="0" w:leftChars="0" w:right="0" w:righ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（1）购置低噪声设备，同时加大高噪声设备的噪声治理力度，对高噪声设备采取消声、减振等降噪措施。</w:t>
            </w:r>
          </w:p>
          <w:p>
            <w:pPr>
              <w:keepNext w:val="0"/>
              <w:keepLines w:val="0"/>
              <w:pageBreakBefore w:val="0"/>
              <w:kinsoku/>
              <w:wordWrap/>
              <w:overflowPunct/>
              <w:topLinePunct w:val="0"/>
              <w:bidi w:val="0"/>
              <w:adjustRightInd w:val="0"/>
              <w:snapToGrid w:val="0"/>
              <w:spacing w:line="360" w:lineRule="auto"/>
              <w:ind w:left="0" w:leftChars="0" w:right="0" w:righ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（2）噪声控制由相关专业人员设计。在设备布置时，尽量使工作和休息场所远离强噪声源，并设置必要的值班室，对工作人员进行噪声防护隔离。</w:t>
            </w:r>
          </w:p>
          <w:p>
            <w:pPr>
              <w:keepNext w:val="0"/>
              <w:keepLines w:val="0"/>
              <w:pageBreakBefore w:val="0"/>
              <w:kinsoku/>
              <w:wordWrap/>
              <w:overflowPunct/>
              <w:topLinePunct w:val="0"/>
              <w:bidi w:val="0"/>
              <w:adjustRightInd w:val="0"/>
              <w:snapToGrid w:val="0"/>
              <w:spacing w:line="360" w:lineRule="auto"/>
              <w:ind w:left="0" w:leftChars="0" w:right="0" w:righ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（3）合理布局厂区道路，维护厂区道路平整，加强机动运输车辆行驶管理，降低交通噪声影响。</w:t>
            </w:r>
          </w:p>
          <w:p>
            <w:pPr>
              <w:keepNext w:val="0"/>
              <w:keepLines w:val="0"/>
              <w:pageBreakBefore w:val="0"/>
              <w:kinsoku/>
              <w:wordWrap/>
              <w:overflowPunct/>
              <w:topLinePunct w:val="0"/>
              <w:bidi w:val="0"/>
              <w:adjustRightInd w:val="0"/>
              <w:snapToGrid w:val="0"/>
              <w:spacing w:line="360" w:lineRule="auto"/>
              <w:ind w:left="0" w:leftChars="0" w:right="0" w:righ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（4）运营期加强设备的维护与管理，避免出现异常情况导致特发高噪声。</w:t>
            </w:r>
          </w:p>
          <w:p>
            <w:pPr>
              <w:keepNext w:val="0"/>
              <w:keepLines w:val="0"/>
              <w:pageBreakBefore w:val="0"/>
              <w:kinsoku/>
              <w:wordWrap/>
              <w:overflowPunct/>
              <w:topLinePunct w:val="0"/>
              <w:bidi w:val="0"/>
              <w:adjustRightInd w:val="0"/>
              <w:snapToGrid w:val="0"/>
              <w:spacing w:line="360" w:lineRule="auto"/>
              <w:ind w:left="0" w:leftChars="0" w:right="0" w:righ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（5）合理布局，预防噪声叠加干扰，合理布置生产装置，将噪声大的设备远离厂界布置。</w:t>
            </w:r>
          </w:p>
          <w:p>
            <w:pPr>
              <w:keepNext w:val="0"/>
              <w:keepLines w:val="0"/>
              <w:pageBreakBefore w:val="0"/>
              <w:kinsoku/>
              <w:wordWrap/>
              <w:overflowPunct/>
              <w:topLinePunct w:val="0"/>
              <w:bidi w:val="0"/>
              <w:adjustRightInd w:val="0"/>
              <w:snapToGrid w:val="0"/>
              <w:spacing w:line="360" w:lineRule="auto"/>
              <w:ind w:left="0" w:leftChars="0" w:right="0" w:righ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（6）加强和完善道路和厂区的绿化等辅助性降噪措施，进一步降低工程噪声和交通噪声对周围环境的影响。</w:t>
            </w:r>
          </w:p>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5</w:t>
            </w:r>
            <w:r>
              <w:rPr>
                <w:rFonts w:hint="default" w:ascii="Times New Roman" w:hAnsi="Times New Roman" w:eastAsia="黑体" w:cs="Times New Roman"/>
                <w:b w:val="0"/>
                <w:bCs w:val="0"/>
                <w:color w:val="auto"/>
                <w:sz w:val="24"/>
                <w:szCs w:val="24"/>
                <w:highlight w:val="none"/>
                <w:lang w:val="en-US" w:eastAsia="zh-CN"/>
              </w:rPr>
              <w:t>、噪声监测要求</w:t>
            </w:r>
          </w:p>
          <w:p>
            <w:pPr>
              <w:pStyle w:val="13"/>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eastAsia" w:ascii="Times New Roman" w:hAnsi="Times New Roman" w:eastAsia="宋体" w:cs="Times New Roman"/>
                <w:color w:val="auto"/>
                <w:kern w:val="0"/>
                <w:sz w:val="24"/>
                <w:lang w:eastAsia="zh-CN"/>
              </w:rPr>
            </w:pPr>
            <w:r>
              <w:rPr>
                <w:rFonts w:hint="eastAsia" w:ascii="Times New Roman" w:hAnsi="Times New Roman" w:eastAsia="宋体" w:cs="Times New Roman"/>
                <w:color w:val="auto"/>
                <w:kern w:val="0"/>
                <w:sz w:val="24"/>
                <w:lang w:eastAsia="zh-CN"/>
              </w:rPr>
              <w:t>根据《排污单位自行监测技术指南 储油库、加油站》（HJ1249-2022），确定本项目噪声监测要求见下表。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w:t>
            </w:r>
            <w:r>
              <w:rPr>
                <w:rFonts w:hint="eastAsia" w:ascii="Times New Roman" w:hAnsi="Times New Roman" w:eastAsia="黑体" w:cs="Times New Roman"/>
                <w:b w:val="0"/>
                <w:bCs w:val="0"/>
                <w:color w:val="auto"/>
                <w:kern w:val="0"/>
                <w:sz w:val="24"/>
                <w:szCs w:val="24"/>
                <w:lang w:val="en-US" w:eastAsia="zh-CN"/>
              </w:rPr>
              <w:t>4-1</w:t>
            </w:r>
            <w:r>
              <w:rPr>
                <w:rFonts w:hint="eastAsia" w:eastAsia="黑体" w:cs="Times New Roman"/>
                <w:b w:val="0"/>
                <w:bCs w:val="0"/>
                <w:color w:val="auto"/>
                <w:kern w:val="0"/>
                <w:sz w:val="24"/>
                <w:szCs w:val="24"/>
                <w:lang w:val="en-US" w:eastAsia="zh-CN"/>
              </w:rPr>
              <w:t>9</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lang w:val="en-US" w:eastAsia="zh-CN"/>
              </w:rPr>
              <w:t>项目噪声监测要求信息表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9"/>
              <w:gridCol w:w="2870"/>
              <w:gridCol w:w="2672"/>
              <w:gridCol w:w="14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污染源类别</w:t>
                  </w:r>
                </w:p>
              </w:tc>
              <w:tc>
                <w:tcPr>
                  <w:tcW w:w="16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排放口编号/监测点位</w:t>
                  </w:r>
                </w:p>
              </w:tc>
              <w:tc>
                <w:tcPr>
                  <w:tcW w:w="157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监测</w:t>
                  </w:r>
                  <w:r>
                    <w:rPr>
                      <w:rFonts w:hint="eastAsia" w:cs="Times New Roman"/>
                      <w:color w:val="auto"/>
                      <w:sz w:val="21"/>
                      <w:szCs w:val="21"/>
                      <w:highlight w:val="none"/>
                      <w:lang w:val="en-US" w:eastAsia="zh-CN"/>
                    </w:rPr>
                    <w:t>内容</w:t>
                  </w:r>
                </w:p>
              </w:tc>
              <w:tc>
                <w:tcPr>
                  <w:tcW w:w="8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16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厂界四周</w:t>
                  </w:r>
                </w:p>
              </w:tc>
              <w:tc>
                <w:tcPr>
                  <w:tcW w:w="157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昼间、夜间，等效A声级</w:t>
                  </w:r>
                </w:p>
              </w:tc>
              <w:tc>
                <w:tcPr>
                  <w:tcW w:w="8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1次/季度</w:t>
                  </w:r>
                </w:p>
              </w:tc>
            </w:tr>
          </w:tbl>
          <w:p>
            <w:pPr>
              <w:spacing w:line="360" w:lineRule="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四</w:t>
            </w:r>
            <w:r>
              <w:rPr>
                <w:rFonts w:hint="default" w:ascii="Times New Roman" w:hAnsi="Times New Roman" w:eastAsia="黑体" w:cs="Times New Roman"/>
                <w:color w:val="auto"/>
                <w:sz w:val="24"/>
                <w:szCs w:val="24"/>
                <w:highlight w:val="none"/>
                <w:lang w:val="en-US" w:eastAsia="zh-CN"/>
              </w:rPr>
              <w:t>、固体废物</w:t>
            </w:r>
          </w:p>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1、</w:t>
            </w:r>
            <w:r>
              <w:rPr>
                <w:rFonts w:hint="default" w:ascii="Times New Roman" w:hAnsi="Times New Roman" w:eastAsia="黑体" w:cs="Times New Roman"/>
                <w:b w:val="0"/>
                <w:bCs w:val="0"/>
                <w:color w:val="auto"/>
                <w:sz w:val="24"/>
                <w:szCs w:val="24"/>
                <w:highlight w:val="none"/>
                <w:lang w:val="en-US" w:eastAsia="zh-CN"/>
              </w:rPr>
              <w:t>固体废物识别及处理措施</w:t>
            </w:r>
          </w:p>
          <w:p>
            <w:pPr>
              <w:adjustRightInd w:val="0"/>
              <w:snapToGrid w:val="0"/>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项目产生的固体废物包括</w:t>
            </w:r>
            <w:r>
              <w:rPr>
                <w:rFonts w:hint="default" w:ascii="Times New Roman" w:hAnsi="Times New Roman" w:cs="Times New Roman"/>
                <w:color w:val="auto"/>
                <w:sz w:val="24"/>
                <w:lang w:val="en-US" w:eastAsia="zh-CN"/>
              </w:rPr>
              <w:t>一般</w:t>
            </w:r>
            <w:r>
              <w:rPr>
                <w:rFonts w:hint="eastAsia" w:cs="Times New Roman"/>
                <w:color w:val="auto"/>
                <w:sz w:val="24"/>
                <w:lang w:val="en-US" w:eastAsia="zh-CN"/>
              </w:rPr>
              <w:t>工业</w:t>
            </w:r>
            <w:r>
              <w:rPr>
                <w:rFonts w:hint="default" w:ascii="Times New Roman" w:hAnsi="Times New Roman" w:cs="Times New Roman"/>
                <w:color w:val="auto"/>
                <w:sz w:val="24"/>
                <w:lang w:val="en-US" w:eastAsia="zh-CN"/>
              </w:rPr>
              <w:t>固体废物、</w:t>
            </w:r>
            <w:r>
              <w:rPr>
                <w:rFonts w:hint="default" w:ascii="Times New Roman" w:hAnsi="Times New Roman" w:cs="Times New Roman"/>
                <w:color w:val="auto"/>
                <w:sz w:val="24"/>
                <w:szCs w:val="24"/>
                <w:lang w:val="en-US" w:eastAsia="zh-CN"/>
              </w:rPr>
              <w:t>生活垃圾和危险废物。</w:t>
            </w:r>
            <w:r>
              <w:rPr>
                <w:rFonts w:hint="default" w:ascii="Times New Roman" w:hAnsi="Times New Roman" w:cs="Times New Roman"/>
                <w:color w:val="auto"/>
                <w:sz w:val="24"/>
                <w:lang w:val="en-US" w:eastAsia="zh-CN"/>
              </w:rPr>
              <w:t>一般</w:t>
            </w:r>
            <w:r>
              <w:rPr>
                <w:rFonts w:hint="eastAsia" w:cs="Times New Roman"/>
                <w:color w:val="auto"/>
                <w:sz w:val="24"/>
                <w:lang w:val="en-US" w:eastAsia="zh-CN"/>
              </w:rPr>
              <w:t>工业</w:t>
            </w:r>
            <w:r>
              <w:rPr>
                <w:rFonts w:hint="default" w:ascii="Times New Roman" w:hAnsi="Times New Roman" w:cs="Times New Roman"/>
                <w:color w:val="auto"/>
                <w:sz w:val="24"/>
                <w:lang w:val="en-US" w:eastAsia="zh-CN"/>
              </w:rPr>
              <w:t>固体废物</w:t>
            </w:r>
            <w:r>
              <w:rPr>
                <w:rFonts w:hint="eastAsia" w:cs="Times New Roman"/>
                <w:color w:val="auto"/>
                <w:sz w:val="24"/>
                <w:lang w:val="en-US" w:eastAsia="zh-CN"/>
              </w:rPr>
              <w:t>主要为污水处理站污泥</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szCs w:val="24"/>
                <w:lang w:val="en-US" w:eastAsia="zh-CN"/>
              </w:rPr>
              <w:t>危险废物</w:t>
            </w:r>
            <w:r>
              <w:rPr>
                <w:rFonts w:hint="eastAsia" w:ascii="Times New Roman" w:hAnsi="Times New Roman" w:cs="Times New Roman"/>
                <w:color w:val="auto"/>
                <w:sz w:val="24"/>
                <w:szCs w:val="24"/>
                <w:lang w:val="en-US" w:eastAsia="zh-CN"/>
              </w:rPr>
              <w:t>主要包括清罐含油残渣、废导热油等</w:t>
            </w:r>
            <w:r>
              <w:rPr>
                <w:rFonts w:hint="eastAsia" w:cs="Times New Roman"/>
                <w:color w:val="auto"/>
                <w:sz w:val="24"/>
                <w:szCs w:val="24"/>
                <w:lang w:val="en-US" w:eastAsia="zh-CN"/>
              </w:rPr>
              <w:t>、污水处理站污油</w:t>
            </w:r>
            <w:r>
              <w:rPr>
                <w:rFonts w:hint="default" w:ascii="Times New Roman" w:hAnsi="Times New Roman" w:cs="Times New Roman"/>
                <w:color w:val="auto"/>
                <w:sz w:val="24"/>
                <w:szCs w:val="24"/>
                <w:lang w:val="en-US" w:eastAsia="zh-CN"/>
              </w:rPr>
              <w:t>。</w:t>
            </w:r>
          </w:p>
          <w:p>
            <w:pPr>
              <w:adjustRightInd w:val="0"/>
              <w:snapToGrid w:val="0"/>
              <w:spacing w:line="360" w:lineRule="auto"/>
              <w:ind w:firstLine="480" w:firstLineChars="200"/>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w:t>
            </w:r>
            <w:r>
              <w:rPr>
                <w:rFonts w:hint="eastAsia" w:ascii="Times New Roman" w:hAnsi="Times New Roman" w:cs="Times New Roman"/>
                <w:color w:val="auto"/>
                <w:sz w:val="24"/>
                <w:szCs w:val="24"/>
                <w:lang w:val="en-US" w:eastAsia="zh-CN"/>
              </w:rPr>
              <w:t>1）污水处理站污泥：</w:t>
            </w:r>
            <w:r>
              <w:rPr>
                <w:rFonts w:hint="default" w:ascii="Times New Roman" w:hAnsi="Times New Roman" w:cs="Times New Roman"/>
                <w:color w:val="auto"/>
                <w:sz w:val="24"/>
                <w:szCs w:val="24"/>
                <w:lang w:val="en-US" w:eastAsia="zh-CN"/>
              </w:rPr>
              <w:t>项目</w:t>
            </w:r>
            <w:r>
              <w:rPr>
                <w:rFonts w:hint="eastAsia" w:ascii="Times New Roman" w:hAnsi="Times New Roman" w:cs="Times New Roman"/>
                <w:color w:val="auto"/>
                <w:sz w:val="24"/>
                <w:szCs w:val="24"/>
                <w:lang w:val="en-US" w:eastAsia="zh-CN"/>
              </w:rPr>
              <w:t>污水处理站运行过程中会产生污泥，产生量为10</w:t>
            </w:r>
            <w:r>
              <w:rPr>
                <w:rFonts w:hint="default" w:ascii="Times New Roman" w:hAnsi="Times New Roman" w:cs="Times New Roman"/>
                <w:color w:val="auto"/>
                <w:sz w:val="24"/>
                <w:szCs w:val="24"/>
                <w:lang w:val="en-US" w:eastAsia="zh-CN"/>
              </w:rPr>
              <w:t>t/a，</w:t>
            </w:r>
            <w:r>
              <w:rPr>
                <w:rFonts w:hint="eastAsia" w:ascii="Times New Roman" w:hAnsi="Times New Roman" w:cs="Times New Roman"/>
                <w:color w:val="auto"/>
                <w:sz w:val="24"/>
                <w:szCs w:val="24"/>
                <w:lang w:val="en-US" w:eastAsia="zh-CN"/>
              </w:rPr>
              <w:t>暂存于污水处理站污泥暂存区</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集中收集后定期外运处理</w:t>
            </w:r>
            <w:r>
              <w:rPr>
                <w:rFonts w:hint="default" w:ascii="Times New Roman" w:hAnsi="Times New Roman" w:cs="Times New Roman"/>
                <w:color w:val="auto"/>
                <w:sz w:val="24"/>
                <w:szCs w:val="24"/>
                <w:lang w:val="en-US" w:eastAsia="zh-CN"/>
              </w:rPr>
              <w:t>。</w:t>
            </w:r>
          </w:p>
          <w:p>
            <w:pPr>
              <w:adjustRightInd w:val="0"/>
              <w:snapToGrid w:val="0"/>
              <w:spacing w:line="360" w:lineRule="auto"/>
              <w:ind w:firstLine="480" w:firstLineChars="200"/>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val="en-US" w:eastAsia="zh-CN"/>
              </w:rPr>
              <w:t>（2）清罐含油残渣：</w:t>
            </w:r>
            <w:r>
              <w:rPr>
                <w:rFonts w:hint="eastAsia" w:ascii="Times New Roman" w:hAnsi="Times New Roman" w:cs="Times New Roman"/>
                <w:color w:val="auto"/>
                <w:sz w:val="24"/>
                <w:szCs w:val="24"/>
                <w:lang w:eastAsia="zh-CN"/>
              </w:rPr>
              <w:t>为保证成品油品质，防止罐体生锈，需根据储罐使用情况进行分批次清洗，平均3年左右冲洗一次，</w:t>
            </w:r>
            <w:bookmarkStart w:id="14" w:name="_Hlk121211751"/>
            <w:r>
              <w:rPr>
                <w:rFonts w:hint="eastAsia" w:ascii="Times New Roman" w:hAnsi="Times New Roman" w:cs="Times New Roman"/>
                <w:color w:val="auto"/>
                <w:sz w:val="24"/>
                <w:szCs w:val="24"/>
                <w:lang w:eastAsia="zh-CN"/>
              </w:rPr>
              <w:t>清理储罐过程中会产生含油残渣</w:t>
            </w:r>
            <w:bookmarkEnd w:id="14"/>
            <w:r>
              <w:rPr>
                <w:rFonts w:hint="eastAsia" w:ascii="Times New Roman" w:hAnsi="Times New Roman" w:cs="Times New Roman"/>
                <w:color w:val="auto"/>
                <w:sz w:val="24"/>
                <w:szCs w:val="24"/>
                <w:lang w:eastAsia="zh-CN"/>
              </w:rPr>
              <w:t>，产生的残渣主要是油泥。类比同类项目，本项目储罐清洗油泥产生量约为一次产生约6t/次（2t/a），属于危险废物（HW08废矿物油与含矿物油废物，代码251-001-08），由专业公司进行清理，委托有资质的单位处置。</w:t>
            </w:r>
          </w:p>
          <w:p>
            <w:pPr>
              <w:adjustRightInd w:val="0"/>
              <w:snapToGrid w:val="0"/>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3</w:t>
            </w:r>
            <w:r>
              <w:rPr>
                <w:rFonts w:hint="eastAsia" w:ascii="Times New Roman" w:hAnsi="Times New Roman" w:eastAsia="宋体" w:cs="Times New Roman"/>
                <w:color w:val="auto"/>
                <w:sz w:val="24"/>
                <w:szCs w:val="24"/>
                <w:lang w:val="en-US" w:eastAsia="zh-CN"/>
              </w:rPr>
              <w:t>）废导热油：</w:t>
            </w:r>
            <w:r>
              <w:rPr>
                <w:rFonts w:hint="eastAsia" w:ascii="Times New Roman" w:hAnsi="Times New Roman" w:eastAsia="宋体" w:cs="Times New Roman"/>
                <w:color w:val="auto"/>
                <w:sz w:val="24"/>
                <w:szCs w:val="24"/>
                <w:lang w:eastAsia="zh-CN"/>
              </w:rPr>
              <w:t>导热油炉导热油需定期更换，更换周期为</w:t>
            </w:r>
            <w:r>
              <w:rPr>
                <w:rFonts w:hint="eastAsia" w:ascii="Times New Roman" w:hAnsi="Times New Roman" w:eastAsia="宋体" w:cs="Times New Roman"/>
                <w:color w:val="auto"/>
                <w:sz w:val="24"/>
                <w:szCs w:val="24"/>
                <w:lang w:val="en-US" w:eastAsia="zh-CN"/>
              </w:rPr>
              <w:t>5年/次，更换量为50t，则项目废导热油产生量为50t/5a</w:t>
            </w:r>
            <w:r>
              <w:rPr>
                <w:rFonts w:hint="eastAsia" w:ascii="Times New Roman" w:hAnsi="Times New Roman" w:eastAsia="宋体" w:cs="Times New Roman"/>
                <w:color w:val="auto"/>
                <w:sz w:val="24"/>
                <w:szCs w:val="24"/>
                <w:lang w:eastAsia="zh-CN"/>
              </w:rPr>
              <w:t>。废导热油属于危险废物，废物类别HW08废矿物油与含矿物油废物，废物代码900-249-08，定期委托有资质单位处理，导热油更换时及时运走，不在厂区内存储。</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lang w:val="en-US" w:eastAsia="zh-CN"/>
              </w:rPr>
              <w:t>（4）污水处理站污油：污水处理站隔油池会产生少量污油，收集至污油罐内，污油产生量为11.36t/a。污水处理站污油</w:t>
            </w:r>
            <w:r>
              <w:rPr>
                <w:rFonts w:hint="eastAsia" w:ascii="Times New Roman" w:hAnsi="Times New Roman" w:eastAsia="宋体" w:cs="Times New Roman"/>
                <w:color w:val="auto"/>
                <w:sz w:val="24"/>
                <w:szCs w:val="24"/>
                <w:lang w:eastAsia="zh-CN"/>
              </w:rPr>
              <w:t>属于危险废物（HW08废矿物油与含矿物油废物，代码</w:t>
            </w:r>
            <w:r>
              <w:rPr>
                <w:rFonts w:hint="eastAsia" w:ascii="Times New Roman" w:hAnsi="Times New Roman" w:eastAsia="宋体" w:cs="Times New Roman"/>
                <w:color w:val="auto"/>
                <w:sz w:val="24"/>
                <w:szCs w:val="24"/>
                <w:lang w:val="en-US" w:eastAsia="zh-CN"/>
              </w:rPr>
              <w:t>900-210-08</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，暂存于危废暂存间，委</w:t>
            </w:r>
            <w:r>
              <w:rPr>
                <w:rFonts w:hint="eastAsia" w:ascii="Times New Roman" w:hAnsi="Times New Roman" w:cs="Times New Roman"/>
                <w:color w:val="auto"/>
                <w:sz w:val="24"/>
                <w:szCs w:val="24"/>
                <w:lang w:eastAsia="zh-CN"/>
              </w:rPr>
              <w:t>托有资质的单位处置。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b/>
                <w:bCs w:val="0"/>
                <w:color w:val="auto"/>
                <w:sz w:val="24"/>
                <w:szCs w:val="24"/>
                <w:highlight w:val="none"/>
                <w:lang w:val="en-US" w:eastAsia="zh-CN"/>
              </w:rPr>
            </w:pP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生活垃圾：项目劳动定员</w:t>
            </w: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00人，按每人每天生产垃圾量0.5kg计，项目年运行</w:t>
            </w:r>
            <w:r>
              <w:rPr>
                <w:rFonts w:hint="eastAsia" w:cs="Times New Roman"/>
                <w:color w:val="auto"/>
                <w:sz w:val="24"/>
                <w:szCs w:val="24"/>
                <w:highlight w:val="none"/>
                <w:lang w:val="en-US" w:eastAsia="zh-CN"/>
              </w:rPr>
              <w:t>333</w:t>
            </w:r>
            <w:r>
              <w:rPr>
                <w:rFonts w:hint="eastAsia" w:ascii="Times New Roman" w:hAnsi="Times New Roman" w:eastAsia="宋体" w:cs="Times New Roman"/>
                <w:color w:val="auto"/>
                <w:sz w:val="24"/>
                <w:szCs w:val="24"/>
                <w:highlight w:val="none"/>
                <w:lang w:val="en-US" w:eastAsia="zh-CN"/>
              </w:rPr>
              <w:t>天，则项目产生的生活垃圾约</w:t>
            </w:r>
            <w:r>
              <w:rPr>
                <w:rFonts w:hint="eastAsia" w:cs="Times New Roman"/>
                <w:color w:val="auto"/>
                <w:sz w:val="24"/>
                <w:szCs w:val="24"/>
                <w:highlight w:val="none"/>
                <w:lang w:val="en-US" w:eastAsia="zh-CN"/>
              </w:rPr>
              <w:t>16.65</w:t>
            </w:r>
            <w:r>
              <w:rPr>
                <w:rFonts w:hint="eastAsia" w:ascii="Times New Roman" w:hAnsi="Times New Roman" w:eastAsia="宋体" w:cs="Times New Roman"/>
                <w:color w:val="auto"/>
                <w:sz w:val="24"/>
                <w:szCs w:val="24"/>
                <w:highlight w:val="none"/>
                <w:lang w:val="en-US" w:eastAsia="zh-CN"/>
              </w:rPr>
              <w:t>t/a。生活垃圾集中收集后，由环卫部门定期清理。</w:t>
            </w:r>
          </w:p>
          <w:p>
            <w:pPr>
              <w:pStyle w:val="75"/>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rPr>
              <w:t>项目固体废物识别见下表。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表4-</w:t>
            </w:r>
            <w:r>
              <w:rPr>
                <w:rFonts w:hint="eastAsia" w:eastAsia="黑体" w:cs="Times New Roman"/>
                <w:b w:val="0"/>
                <w:bCs w:val="0"/>
                <w:color w:val="auto"/>
                <w:kern w:val="0"/>
                <w:sz w:val="24"/>
                <w:szCs w:val="24"/>
                <w:lang w:val="en-US" w:eastAsia="zh-CN"/>
              </w:rPr>
              <w:t xml:space="preserve">20 </w:t>
            </w:r>
            <w:r>
              <w:rPr>
                <w:rFonts w:hint="default" w:ascii="Times New Roman" w:hAnsi="Times New Roman" w:eastAsia="黑体" w:cs="Times New Roman"/>
                <w:b w:val="0"/>
                <w:bCs w:val="0"/>
                <w:color w:val="auto"/>
                <w:kern w:val="0"/>
                <w:sz w:val="24"/>
                <w:szCs w:val="24"/>
                <w:lang w:val="en-US" w:eastAsia="zh-CN"/>
              </w:rPr>
              <w:t>固体废物分析结果汇总表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9"/>
              <w:gridCol w:w="1139"/>
              <w:gridCol w:w="554"/>
              <w:gridCol w:w="1381"/>
              <w:gridCol w:w="1188"/>
              <w:gridCol w:w="822"/>
              <w:gridCol w:w="1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固体废物名称</w:t>
                  </w:r>
                </w:p>
              </w:tc>
              <w:tc>
                <w:tcPr>
                  <w:tcW w:w="672"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产生工序</w:t>
                  </w:r>
                </w:p>
              </w:tc>
              <w:tc>
                <w:tcPr>
                  <w:tcW w:w="32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形态</w:t>
                  </w:r>
                </w:p>
              </w:tc>
              <w:tc>
                <w:tcPr>
                  <w:tcW w:w="815"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属性</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废物代码</w:t>
                  </w:r>
                </w:p>
              </w:tc>
              <w:tc>
                <w:tcPr>
                  <w:tcW w:w="485"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产生量</w:t>
                  </w:r>
                </w:p>
              </w:tc>
              <w:tc>
                <w:tcPr>
                  <w:tcW w:w="103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污水处理站污泥</w:t>
                  </w:r>
                </w:p>
              </w:tc>
              <w:tc>
                <w:tcPr>
                  <w:tcW w:w="672"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污水处理</w:t>
                  </w:r>
                </w:p>
              </w:tc>
              <w:tc>
                <w:tcPr>
                  <w:tcW w:w="32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cs="Times New Roman"/>
                      <w:b w:val="0"/>
                      <w:bCs w:val="0"/>
                      <w:color w:val="auto"/>
                      <w:sz w:val="21"/>
                      <w:szCs w:val="21"/>
                    </w:rPr>
                  </w:pPr>
                  <w:r>
                    <w:rPr>
                      <w:rFonts w:hint="eastAsia" w:ascii="TimesNewRomanPSMT" w:hAnsi="TimesNewRomanPSMT" w:eastAsia="宋体" w:cs="TimesNewRomanPSMT"/>
                      <w:b w:val="0"/>
                      <w:bCs w:val="0"/>
                      <w:i w:val="0"/>
                      <w:iCs w:val="0"/>
                      <w:color w:val="auto"/>
                      <w:sz w:val="22"/>
                      <w:szCs w:val="22"/>
                      <w:lang w:val="en-US" w:eastAsia="zh-CN"/>
                    </w:rPr>
                    <w:t>固态</w:t>
                  </w:r>
                </w:p>
              </w:tc>
              <w:tc>
                <w:tcPr>
                  <w:tcW w:w="815"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一般工业固废</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b w:val="0"/>
                      <w:bCs w:val="0"/>
                      <w:color w:val="auto"/>
                      <w:sz w:val="21"/>
                      <w:szCs w:val="21"/>
                      <w:lang w:eastAsia="zh-CN"/>
                    </w:rPr>
                  </w:pPr>
                  <w:r>
                    <w:rPr>
                      <w:rFonts w:hint="eastAsia" w:cs="Times New Roman"/>
                      <w:b w:val="0"/>
                      <w:bCs w:val="0"/>
                      <w:color w:val="auto"/>
                      <w:sz w:val="21"/>
                      <w:szCs w:val="21"/>
                      <w:lang w:eastAsia="zh-CN"/>
                    </w:rPr>
                    <w:t>——</w:t>
                  </w:r>
                </w:p>
              </w:tc>
              <w:tc>
                <w:tcPr>
                  <w:tcW w:w="485"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10</w:t>
                  </w:r>
                  <w:r>
                    <w:rPr>
                      <w:rFonts w:hint="eastAsia" w:ascii="Times New Roman" w:hAnsi="Times New Roman" w:eastAsia="宋体" w:cs="Times New Roman"/>
                      <w:color w:val="auto"/>
                      <w:sz w:val="24"/>
                      <w:szCs w:val="24"/>
                      <w:lang w:val="en-US" w:eastAsia="zh-CN"/>
                    </w:rPr>
                    <w:t>t/a</w:t>
                  </w:r>
                </w:p>
              </w:tc>
              <w:tc>
                <w:tcPr>
                  <w:tcW w:w="103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暂存于污水处理站污泥暂存区</w:t>
                  </w:r>
                  <w:r>
                    <w:rPr>
                      <w:rFonts w:hint="default" w:ascii="TimesNewRomanPSMT" w:hAnsi="TimesNewRomanPSMT" w:eastAsia="宋体" w:cs="TimesNewRomanPSMT"/>
                      <w:b w:val="0"/>
                      <w:bCs w:val="0"/>
                      <w:i w:val="0"/>
                      <w:iCs w:val="0"/>
                      <w:color w:val="auto"/>
                      <w:sz w:val="22"/>
                      <w:szCs w:val="22"/>
                      <w:lang w:val="en-US" w:eastAsia="zh-CN"/>
                    </w:rPr>
                    <w:t>，</w:t>
                  </w:r>
                  <w:r>
                    <w:rPr>
                      <w:rFonts w:hint="eastAsia" w:ascii="TimesNewRomanPSMT" w:hAnsi="TimesNewRomanPSMT" w:eastAsia="宋体" w:cs="TimesNewRomanPSMT"/>
                      <w:b w:val="0"/>
                      <w:bCs w:val="0"/>
                      <w:i w:val="0"/>
                      <w:iCs w:val="0"/>
                      <w:color w:val="auto"/>
                      <w:sz w:val="22"/>
                      <w:szCs w:val="22"/>
                      <w:lang w:val="en-US" w:eastAsia="zh-CN"/>
                    </w:rPr>
                    <w:t>集中收集后定期外运处理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清罐含油残渣</w:t>
                  </w:r>
                </w:p>
              </w:tc>
              <w:tc>
                <w:tcPr>
                  <w:tcW w:w="672"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清罐过程</w:t>
                  </w:r>
                </w:p>
              </w:tc>
              <w:tc>
                <w:tcPr>
                  <w:tcW w:w="32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固态</w:t>
                  </w:r>
                </w:p>
              </w:tc>
              <w:tc>
                <w:tcPr>
                  <w:tcW w:w="815"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危险废物</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251-001-08</w:t>
                  </w:r>
                </w:p>
              </w:tc>
              <w:tc>
                <w:tcPr>
                  <w:tcW w:w="485"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6t/3a</w:t>
                  </w:r>
                </w:p>
              </w:tc>
              <w:tc>
                <w:tcPr>
                  <w:tcW w:w="103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暂存于危废暂存间，集中收集后</w:t>
                  </w:r>
                  <w:r>
                    <w:rPr>
                      <w:rFonts w:hint="default" w:ascii="TimesNewRomanPSMT" w:hAnsi="TimesNewRomanPSMT" w:eastAsia="宋体" w:cs="TimesNewRomanPSMT"/>
                      <w:b w:val="0"/>
                      <w:bCs w:val="0"/>
                      <w:i w:val="0"/>
                      <w:iCs w:val="0"/>
                      <w:color w:val="auto"/>
                      <w:sz w:val="22"/>
                      <w:szCs w:val="22"/>
                      <w:lang w:val="en-US" w:eastAsia="zh-CN"/>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cs="TimesNewRomanPSMT"/>
                      <w:b w:val="0"/>
                      <w:bCs w:val="0"/>
                      <w:i w:val="0"/>
                      <w:iCs w:val="0"/>
                      <w:color w:val="auto"/>
                      <w:sz w:val="22"/>
                      <w:szCs w:val="22"/>
                      <w:lang w:val="en-US" w:eastAsia="zh-CN"/>
                    </w:rPr>
                    <w:t>废导热油</w:t>
                  </w:r>
                </w:p>
              </w:tc>
              <w:tc>
                <w:tcPr>
                  <w:tcW w:w="672"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cs="TimesNewRomanPSMT"/>
                      <w:b w:val="0"/>
                      <w:bCs w:val="0"/>
                      <w:i w:val="0"/>
                      <w:iCs w:val="0"/>
                      <w:color w:val="auto"/>
                      <w:sz w:val="22"/>
                      <w:szCs w:val="22"/>
                      <w:lang w:val="en-US" w:eastAsia="zh-CN"/>
                    </w:rPr>
                    <w:t>导热油炉</w:t>
                  </w:r>
                </w:p>
              </w:tc>
              <w:tc>
                <w:tcPr>
                  <w:tcW w:w="32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液态</w:t>
                  </w:r>
                </w:p>
              </w:tc>
              <w:tc>
                <w:tcPr>
                  <w:tcW w:w="815"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危险废物</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900-249-08</w:t>
                  </w:r>
                </w:p>
              </w:tc>
              <w:tc>
                <w:tcPr>
                  <w:tcW w:w="485"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50t/5a</w:t>
                  </w:r>
                </w:p>
              </w:tc>
              <w:tc>
                <w:tcPr>
                  <w:tcW w:w="103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集中收集，及时清运，</w:t>
                  </w:r>
                  <w:r>
                    <w:rPr>
                      <w:rFonts w:hint="default" w:ascii="TimesNewRomanPSMT" w:hAnsi="TimesNewRomanPSMT" w:eastAsia="宋体" w:cs="TimesNewRomanPSMT"/>
                      <w:b w:val="0"/>
                      <w:bCs w:val="0"/>
                      <w:i w:val="0"/>
                      <w:iCs w:val="0"/>
                      <w:color w:val="auto"/>
                      <w:sz w:val="22"/>
                      <w:szCs w:val="22"/>
                      <w:lang w:val="en-US" w:eastAsia="zh-CN"/>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污水处理站污油</w:t>
                  </w:r>
                </w:p>
              </w:tc>
              <w:tc>
                <w:tcPr>
                  <w:tcW w:w="672"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污水处理</w:t>
                  </w:r>
                </w:p>
              </w:tc>
              <w:tc>
                <w:tcPr>
                  <w:tcW w:w="32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液态</w:t>
                  </w:r>
                </w:p>
              </w:tc>
              <w:tc>
                <w:tcPr>
                  <w:tcW w:w="815"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危险废物</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900-210-08</w:t>
                  </w:r>
                </w:p>
              </w:tc>
              <w:tc>
                <w:tcPr>
                  <w:tcW w:w="485"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11.36t/a</w:t>
                  </w:r>
                </w:p>
              </w:tc>
              <w:tc>
                <w:tcPr>
                  <w:tcW w:w="103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暂存于危废暂存间，集中收集后</w:t>
                  </w:r>
                  <w:r>
                    <w:rPr>
                      <w:rFonts w:hint="default" w:ascii="TimesNewRomanPSMT" w:hAnsi="TimesNewRomanPSMT" w:eastAsia="宋体" w:cs="TimesNewRomanPSMT"/>
                      <w:b w:val="0"/>
                      <w:bCs w:val="0"/>
                      <w:i w:val="0"/>
                      <w:iCs w:val="0"/>
                      <w:color w:val="auto"/>
                      <w:sz w:val="22"/>
                      <w:szCs w:val="22"/>
                      <w:lang w:val="en-US" w:eastAsia="zh-CN"/>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sz w:val="22"/>
                      <w:szCs w:val="22"/>
                      <w:lang w:eastAsia="zh-CN"/>
                    </w:rPr>
                  </w:pPr>
                  <w:r>
                    <w:rPr>
                      <w:rFonts w:hint="default" w:ascii="TimesNewRomanPSMT" w:hAnsi="TimesNewRomanPSMT" w:eastAsia="宋体" w:cs="TimesNewRomanPSMT"/>
                      <w:b w:val="0"/>
                      <w:bCs w:val="0"/>
                      <w:i w:val="0"/>
                      <w:iCs w:val="0"/>
                      <w:color w:val="auto"/>
                      <w:sz w:val="22"/>
                      <w:szCs w:val="22"/>
                      <w:lang w:eastAsia="zh-CN"/>
                    </w:rPr>
                    <w:t>生活垃圾</w:t>
                  </w:r>
                </w:p>
              </w:tc>
              <w:tc>
                <w:tcPr>
                  <w:tcW w:w="672"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eastAsia="zh-CN"/>
                    </w:rPr>
                  </w:pPr>
                  <w:r>
                    <w:rPr>
                      <w:rFonts w:hint="eastAsia" w:ascii="TimesNewRomanPSMT" w:hAnsi="TimesNewRomanPSMT" w:eastAsia="宋体" w:cs="TimesNewRomanPSMT"/>
                      <w:b w:val="0"/>
                      <w:bCs w:val="0"/>
                      <w:i w:val="0"/>
                      <w:iCs w:val="0"/>
                      <w:color w:val="auto"/>
                      <w:sz w:val="22"/>
                      <w:szCs w:val="22"/>
                      <w:lang w:eastAsia="zh-CN"/>
                    </w:rPr>
                    <w:t>职工生活</w:t>
                  </w:r>
                </w:p>
              </w:tc>
              <w:tc>
                <w:tcPr>
                  <w:tcW w:w="32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sz w:val="22"/>
                      <w:szCs w:val="22"/>
                      <w:lang w:eastAsia="zh-CN"/>
                    </w:rPr>
                  </w:pPr>
                  <w:r>
                    <w:rPr>
                      <w:rFonts w:hint="default" w:ascii="TimesNewRomanPSMT" w:hAnsi="TimesNewRomanPSMT" w:eastAsia="宋体" w:cs="TimesNewRomanPSMT"/>
                      <w:b w:val="0"/>
                      <w:bCs w:val="0"/>
                      <w:i w:val="0"/>
                      <w:iCs w:val="0"/>
                      <w:color w:val="auto"/>
                      <w:sz w:val="22"/>
                      <w:szCs w:val="22"/>
                      <w:lang w:eastAsia="zh-CN"/>
                    </w:rPr>
                    <w:t>固态</w:t>
                  </w:r>
                </w:p>
              </w:tc>
              <w:tc>
                <w:tcPr>
                  <w:tcW w:w="815"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sz w:val="22"/>
                      <w:szCs w:val="22"/>
                      <w:lang w:eastAsia="zh-CN"/>
                    </w:rPr>
                  </w:pPr>
                  <w:r>
                    <w:rPr>
                      <w:rFonts w:hint="default" w:ascii="TimesNewRomanPSMT" w:hAnsi="TimesNewRomanPSMT" w:eastAsia="宋体" w:cs="TimesNewRomanPSMT"/>
                      <w:b w:val="0"/>
                      <w:bCs w:val="0"/>
                      <w:i w:val="0"/>
                      <w:iCs w:val="0"/>
                      <w:color w:val="auto"/>
                      <w:sz w:val="22"/>
                      <w:szCs w:val="22"/>
                      <w:lang w:eastAsia="zh-CN"/>
                    </w:rPr>
                    <w:t>一般固废</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sz w:val="22"/>
                      <w:szCs w:val="22"/>
                      <w:lang w:eastAsia="zh-CN"/>
                    </w:rPr>
                  </w:pPr>
                  <w:r>
                    <w:rPr>
                      <w:rFonts w:hint="default" w:ascii="TimesNewRomanPSMT" w:hAnsi="TimesNewRomanPSMT" w:eastAsia="宋体" w:cs="TimesNewRomanPSMT"/>
                      <w:b w:val="0"/>
                      <w:bCs w:val="0"/>
                      <w:i w:val="0"/>
                      <w:iCs w:val="0"/>
                      <w:color w:val="auto"/>
                      <w:sz w:val="22"/>
                      <w:szCs w:val="22"/>
                      <w:lang w:eastAsia="zh-CN"/>
                    </w:rPr>
                    <w:t>--</w:t>
                  </w:r>
                </w:p>
              </w:tc>
              <w:tc>
                <w:tcPr>
                  <w:tcW w:w="485"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cs="TimesNewRomanPSMT"/>
                      <w:b w:val="0"/>
                      <w:bCs w:val="0"/>
                      <w:i w:val="0"/>
                      <w:iCs w:val="0"/>
                      <w:color w:val="auto"/>
                      <w:sz w:val="22"/>
                      <w:szCs w:val="22"/>
                      <w:lang w:val="en-US" w:eastAsia="zh-CN"/>
                    </w:rPr>
                    <w:t>16.65t/a</w:t>
                  </w:r>
                </w:p>
              </w:tc>
              <w:tc>
                <w:tcPr>
                  <w:tcW w:w="103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sz w:val="22"/>
                      <w:szCs w:val="22"/>
                      <w:lang w:val="en-US" w:eastAsia="zh-CN"/>
                    </w:rPr>
                  </w:pPr>
                  <w:r>
                    <w:rPr>
                      <w:rFonts w:hint="default" w:ascii="TimesNewRomanPSMT" w:hAnsi="TimesNewRomanPSMT" w:eastAsia="宋体" w:cs="TimesNewRomanPSMT"/>
                      <w:b w:val="0"/>
                      <w:bCs w:val="0"/>
                      <w:i w:val="0"/>
                      <w:iCs w:val="0"/>
                      <w:color w:val="auto"/>
                      <w:sz w:val="22"/>
                      <w:szCs w:val="22"/>
                      <w:lang w:val="en-US" w:eastAsia="zh-CN"/>
                    </w:rPr>
                    <w:t>定期清运处理</w:t>
                  </w:r>
                </w:p>
              </w:tc>
            </w:tr>
          </w:tbl>
          <w:p>
            <w:pPr>
              <w:keepNext w:val="0"/>
              <w:keepLines w:val="0"/>
              <w:pageBreakBefore w:val="0"/>
              <w:kinsoku/>
              <w:wordWrap/>
              <w:overflowPunct/>
              <w:topLinePunct w:val="0"/>
              <w:bidi w:val="0"/>
              <w:adjustRightInd w:val="0"/>
              <w:snapToGrid w:val="0"/>
              <w:spacing w:line="480" w:lineRule="exact"/>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本项目危险废物产生情况</w:t>
            </w:r>
            <w:r>
              <w:rPr>
                <w:rFonts w:hint="eastAsia" w:cs="Times New Roman"/>
                <w:color w:val="auto"/>
                <w:sz w:val="24"/>
                <w:szCs w:val="24"/>
                <w:lang w:eastAsia="zh-CN"/>
              </w:rPr>
              <w:t>及</w:t>
            </w:r>
            <w:r>
              <w:rPr>
                <w:rFonts w:hint="default" w:ascii="Times New Roman" w:hAnsi="Times New Roman" w:cs="Times New Roman"/>
                <w:color w:val="auto"/>
                <w:sz w:val="24"/>
                <w:szCs w:val="24"/>
              </w:rPr>
              <w:t>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w:t>
            </w:r>
            <w:r>
              <w:rPr>
                <w:rFonts w:hint="eastAsia" w:ascii="Times New Roman" w:hAnsi="Times New Roman" w:eastAsia="黑体" w:cs="Times New Roman"/>
                <w:b w:val="0"/>
                <w:bCs w:val="0"/>
                <w:color w:val="auto"/>
                <w:kern w:val="0"/>
                <w:sz w:val="24"/>
                <w:szCs w:val="24"/>
                <w:lang w:val="en-US" w:eastAsia="zh-CN"/>
              </w:rPr>
              <w:t>4-</w:t>
            </w:r>
            <w:r>
              <w:rPr>
                <w:rFonts w:hint="eastAsia" w:eastAsia="黑体" w:cs="Times New Roman"/>
                <w:b w:val="0"/>
                <w:bCs w:val="0"/>
                <w:color w:val="auto"/>
                <w:kern w:val="0"/>
                <w:sz w:val="24"/>
                <w:szCs w:val="24"/>
                <w:lang w:val="en-US" w:eastAsia="zh-CN"/>
              </w:rPr>
              <w:t>21</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lang w:val="en-US" w:eastAsia="zh-CN"/>
              </w:rPr>
              <w:t>本项目危险废物汇总表</w:t>
            </w:r>
          </w:p>
          <w:tbl>
            <w:tblPr>
              <w:tblStyle w:val="26"/>
              <w:tblW w:w="8313"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31"/>
              <w:gridCol w:w="1370"/>
              <w:gridCol w:w="1379"/>
              <w:gridCol w:w="1380"/>
              <w:gridCol w:w="1247"/>
              <w:gridCol w:w="1583"/>
              <w:gridCol w:w="72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jc w:val="center"/>
              </w:trPr>
              <w:tc>
                <w:tcPr>
                  <w:tcW w:w="631"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序号</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危险废物名称</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危险废物类别</w:t>
                  </w:r>
                </w:p>
              </w:tc>
              <w:tc>
                <w:tcPr>
                  <w:tcW w:w="1380"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危险废物代码</w:t>
                  </w:r>
                </w:p>
              </w:tc>
              <w:tc>
                <w:tcPr>
                  <w:tcW w:w="1247"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rPr>
                    <w:t>产生量</w:t>
                  </w:r>
                </w:p>
              </w:tc>
              <w:tc>
                <w:tcPr>
                  <w:tcW w:w="1583"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产生工序及装置</w:t>
                  </w:r>
                </w:p>
              </w:tc>
              <w:tc>
                <w:tcPr>
                  <w:tcW w:w="723"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形态</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31"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1</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lang w:eastAsia="zh-CN"/>
                    </w:rPr>
                  </w:pPr>
                  <w:r>
                    <w:rPr>
                      <w:rFonts w:hint="eastAsia" w:ascii="TimesNewRomanPSMT" w:hAnsi="TimesNewRomanPSMT" w:eastAsia="宋体" w:cs="TimesNewRomanPSMT"/>
                      <w:b w:val="0"/>
                      <w:bCs w:val="0"/>
                      <w:i w:val="0"/>
                      <w:iCs w:val="0"/>
                      <w:color w:val="auto"/>
                      <w:sz w:val="22"/>
                      <w:szCs w:val="22"/>
                      <w:lang w:val="en-US" w:eastAsia="zh-CN"/>
                    </w:rPr>
                    <w:t>清罐含油残渣</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HW</w:t>
                  </w:r>
                  <w:r>
                    <w:rPr>
                      <w:rFonts w:hint="eastAsia" w:cs="Times New Roman"/>
                      <w:b w:val="0"/>
                      <w:bCs w:val="0"/>
                      <w:color w:val="auto"/>
                      <w:sz w:val="21"/>
                      <w:szCs w:val="21"/>
                      <w:lang w:val="en-US" w:eastAsia="zh-CN"/>
                    </w:rPr>
                    <w:t>08</w:t>
                  </w:r>
                </w:p>
              </w:tc>
              <w:tc>
                <w:tcPr>
                  <w:tcW w:w="138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kern w:val="2"/>
                      <w:sz w:val="22"/>
                      <w:szCs w:val="22"/>
                      <w:lang w:val="en-US" w:eastAsia="zh-CN" w:bidi="ar-SA"/>
                    </w:rPr>
                  </w:pPr>
                  <w:r>
                    <w:rPr>
                      <w:rFonts w:hint="eastAsia" w:ascii="TimesNewRomanPSMT" w:hAnsi="TimesNewRomanPSMT" w:eastAsia="宋体" w:cs="TimesNewRomanPSMT"/>
                      <w:b w:val="0"/>
                      <w:bCs w:val="0"/>
                      <w:i w:val="0"/>
                      <w:iCs w:val="0"/>
                      <w:color w:val="auto"/>
                      <w:sz w:val="22"/>
                      <w:szCs w:val="22"/>
                      <w:lang w:val="en-US" w:eastAsia="zh-CN"/>
                    </w:rPr>
                    <w:t>251-001-08</w:t>
                  </w:r>
                </w:p>
              </w:tc>
              <w:tc>
                <w:tcPr>
                  <w:tcW w:w="1247"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kern w:val="2"/>
                      <w:sz w:val="22"/>
                      <w:szCs w:val="22"/>
                      <w:lang w:val="en-US" w:eastAsia="zh-CN" w:bidi="ar-SA"/>
                    </w:rPr>
                  </w:pPr>
                  <w:r>
                    <w:rPr>
                      <w:rFonts w:hint="eastAsia" w:ascii="TimesNewRomanPSMT" w:hAnsi="TimesNewRomanPSMT" w:eastAsia="宋体" w:cs="TimesNewRomanPSMT"/>
                      <w:b w:val="0"/>
                      <w:bCs w:val="0"/>
                      <w:i w:val="0"/>
                      <w:iCs w:val="0"/>
                      <w:color w:val="auto"/>
                      <w:sz w:val="22"/>
                      <w:szCs w:val="22"/>
                      <w:lang w:val="en-US" w:eastAsia="zh-CN"/>
                    </w:rPr>
                    <w:t>6t/3a</w:t>
                  </w:r>
                </w:p>
              </w:tc>
              <w:tc>
                <w:tcPr>
                  <w:tcW w:w="158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kern w:val="2"/>
                      <w:sz w:val="22"/>
                      <w:szCs w:val="22"/>
                      <w:lang w:val="en-US" w:eastAsia="zh-CN" w:bidi="ar-SA"/>
                    </w:rPr>
                  </w:pPr>
                  <w:r>
                    <w:rPr>
                      <w:rFonts w:hint="eastAsia" w:ascii="TimesNewRomanPSMT" w:hAnsi="TimesNewRomanPSMT" w:eastAsia="宋体" w:cs="TimesNewRomanPSMT"/>
                      <w:b w:val="0"/>
                      <w:bCs w:val="0"/>
                      <w:i w:val="0"/>
                      <w:iCs w:val="0"/>
                      <w:color w:val="auto"/>
                      <w:sz w:val="22"/>
                      <w:szCs w:val="22"/>
                      <w:lang w:val="en-US" w:eastAsia="zh-CN"/>
                    </w:rPr>
                    <w:t>清罐过程</w:t>
                  </w:r>
                </w:p>
              </w:tc>
              <w:tc>
                <w:tcPr>
                  <w:tcW w:w="72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kern w:val="2"/>
                      <w:sz w:val="22"/>
                      <w:szCs w:val="22"/>
                      <w:lang w:val="en-US" w:eastAsia="zh-CN" w:bidi="ar-SA"/>
                    </w:rPr>
                  </w:pPr>
                  <w:r>
                    <w:rPr>
                      <w:rFonts w:hint="eastAsia" w:ascii="TimesNewRomanPSMT" w:hAnsi="TimesNewRomanPSMT" w:eastAsia="宋体" w:cs="TimesNewRomanPSMT"/>
                      <w:b w:val="0"/>
                      <w:bCs w:val="0"/>
                      <w:i w:val="0"/>
                      <w:iCs w:val="0"/>
                      <w:color w:val="auto"/>
                      <w:sz w:val="22"/>
                      <w:szCs w:val="22"/>
                      <w:lang w:val="en-US" w:eastAsia="zh-CN"/>
                    </w:rPr>
                    <w:t>固态</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31"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b w:val="0"/>
                      <w:bCs w:val="0"/>
                      <w:color w:val="auto"/>
                      <w:sz w:val="21"/>
                      <w:szCs w:val="21"/>
                      <w:lang w:eastAsia="zh-CN"/>
                    </w:rPr>
                  </w:pPr>
                  <w:r>
                    <w:rPr>
                      <w:rFonts w:hint="eastAsia" w:ascii="TimesNewRomanPSMT" w:hAnsi="TimesNewRomanPSMT" w:cs="TimesNewRomanPSMT"/>
                      <w:b w:val="0"/>
                      <w:bCs w:val="0"/>
                      <w:i w:val="0"/>
                      <w:iCs w:val="0"/>
                      <w:color w:val="auto"/>
                      <w:sz w:val="22"/>
                      <w:szCs w:val="22"/>
                      <w:lang w:val="en-US" w:eastAsia="zh-CN"/>
                    </w:rPr>
                    <w:t>废导热油</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HW0</w:t>
                  </w:r>
                  <w:r>
                    <w:rPr>
                      <w:rFonts w:hint="eastAsia" w:cs="Times New Roman"/>
                      <w:b w:val="0"/>
                      <w:bCs w:val="0"/>
                      <w:color w:val="auto"/>
                      <w:sz w:val="21"/>
                      <w:szCs w:val="21"/>
                      <w:lang w:val="en-US" w:eastAsia="zh-CN"/>
                    </w:rPr>
                    <w:t>8</w:t>
                  </w:r>
                </w:p>
              </w:tc>
              <w:tc>
                <w:tcPr>
                  <w:tcW w:w="138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kern w:val="2"/>
                      <w:sz w:val="22"/>
                      <w:szCs w:val="22"/>
                      <w:lang w:val="en-US" w:eastAsia="zh-CN" w:bidi="ar-SA"/>
                    </w:rPr>
                  </w:pPr>
                  <w:r>
                    <w:rPr>
                      <w:rFonts w:hint="eastAsia" w:ascii="TimesNewRomanPSMT" w:hAnsi="TimesNewRomanPSMT" w:eastAsia="宋体" w:cs="TimesNewRomanPSMT"/>
                      <w:b w:val="0"/>
                      <w:bCs w:val="0"/>
                      <w:i w:val="0"/>
                      <w:iCs w:val="0"/>
                      <w:color w:val="auto"/>
                      <w:sz w:val="22"/>
                      <w:szCs w:val="22"/>
                      <w:lang w:val="en-US" w:eastAsia="zh-CN"/>
                    </w:rPr>
                    <w:t>900-249-08</w:t>
                  </w:r>
                </w:p>
              </w:tc>
              <w:tc>
                <w:tcPr>
                  <w:tcW w:w="1247"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kern w:val="2"/>
                      <w:sz w:val="22"/>
                      <w:szCs w:val="22"/>
                      <w:lang w:val="en-US" w:eastAsia="zh-CN" w:bidi="ar-SA"/>
                    </w:rPr>
                  </w:pPr>
                  <w:r>
                    <w:rPr>
                      <w:rFonts w:hint="eastAsia" w:ascii="TimesNewRomanPSMT" w:hAnsi="TimesNewRomanPSMT" w:eastAsia="宋体" w:cs="TimesNewRomanPSMT"/>
                      <w:b w:val="0"/>
                      <w:bCs w:val="0"/>
                      <w:i w:val="0"/>
                      <w:iCs w:val="0"/>
                      <w:color w:val="auto"/>
                      <w:sz w:val="22"/>
                      <w:szCs w:val="22"/>
                      <w:lang w:val="en-US" w:eastAsia="zh-CN"/>
                    </w:rPr>
                    <w:t>50t/5a</w:t>
                  </w:r>
                </w:p>
              </w:tc>
              <w:tc>
                <w:tcPr>
                  <w:tcW w:w="158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kern w:val="2"/>
                      <w:sz w:val="22"/>
                      <w:szCs w:val="22"/>
                      <w:lang w:val="en-US" w:eastAsia="zh-CN" w:bidi="ar-SA"/>
                    </w:rPr>
                  </w:pPr>
                  <w:r>
                    <w:rPr>
                      <w:rFonts w:hint="eastAsia" w:ascii="TimesNewRomanPSMT" w:hAnsi="TimesNewRomanPSMT" w:cs="TimesNewRomanPSMT"/>
                      <w:b w:val="0"/>
                      <w:bCs w:val="0"/>
                      <w:i w:val="0"/>
                      <w:iCs w:val="0"/>
                      <w:color w:val="auto"/>
                      <w:sz w:val="22"/>
                      <w:szCs w:val="22"/>
                      <w:lang w:val="en-US" w:eastAsia="zh-CN"/>
                    </w:rPr>
                    <w:t>导热油炉</w:t>
                  </w:r>
                </w:p>
              </w:tc>
              <w:tc>
                <w:tcPr>
                  <w:tcW w:w="72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kern w:val="2"/>
                      <w:sz w:val="22"/>
                      <w:szCs w:val="22"/>
                      <w:lang w:val="en-US" w:eastAsia="zh-CN" w:bidi="ar-SA"/>
                    </w:rPr>
                  </w:pPr>
                  <w:r>
                    <w:rPr>
                      <w:rFonts w:hint="eastAsia" w:ascii="TimesNewRomanPSMT" w:hAnsi="TimesNewRomanPSMT" w:eastAsia="宋体" w:cs="TimesNewRomanPSMT"/>
                      <w:b w:val="0"/>
                      <w:bCs w:val="0"/>
                      <w:i w:val="0"/>
                      <w:iCs w:val="0"/>
                      <w:color w:val="auto"/>
                      <w:sz w:val="22"/>
                      <w:szCs w:val="22"/>
                      <w:lang w:val="en-US" w:eastAsia="zh-CN"/>
                    </w:rPr>
                    <w:t>液态</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31"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3</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污水处理站污油</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HW0</w:t>
                  </w:r>
                  <w:r>
                    <w:rPr>
                      <w:rFonts w:hint="eastAsia" w:cs="Times New Roman"/>
                      <w:b w:val="0"/>
                      <w:bCs w:val="0"/>
                      <w:color w:val="auto"/>
                      <w:sz w:val="21"/>
                      <w:szCs w:val="21"/>
                      <w:lang w:val="en-US" w:eastAsia="zh-CN"/>
                    </w:rPr>
                    <w:t>8</w:t>
                  </w:r>
                </w:p>
              </w:tc>
              <w:tc>
                <w:tcPr>
                  <w:tcW w:w="138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kern w:val="2"/>
                      <w:sz w:val="22"/>
                      <w:szCs w:val="22"/>
                      <w:lang w:val="en-US" w:eastAsia="zh-CN" w:bidi="ar-SA"/>
                    </w:rPr>
                  </w:pPr>
                  <w:r>
                    <w:rPr>
                      <w:rFonts w:hint="eastAsia" w:ascii="TimesNewRomanPSMT" w:hAnsi="TimesNewRomanPSMT" w:eastAsia="宋体" w:cs="TimesNewRomanPSMT"/>
                      <w:b w:val="0"/>
                      <w:bCs w:val="0"/>
                      <w:i w:val="0"/>
                      <w:iCs w:val="0"/>
                      <w:color w:val="auto"/>
                      <w:sz w:val="22"/>
                      <w:szCs w:val="22"/>
                      <w:lang w:val="en-US" w:eastAsia="zh-CN"/>
                    </w:rPr>
                    <w:t>900-210-08</w:t>
                  </w:r>
                </w:p>
              </w:tc>
              <w:tc>
                <w:tcPr>
                  <w:tcW w:w="1247"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kern w:val="2"/>
                      <w:sz w:val="22"/>
                      <w:szCs w:val="22"/>
                      <w:lang w:val="en-US" w:eastAsia="zh-CN" w:bidi="ar-SA"/>
                    </w:rPr>
                  </w:pPr>
                  <w:r>
                    <w:rPr>
                      <w:rFonts w:hint="eastAsia" w:ascii="TimesNewRomanPSMT" w:hAnsi="TimesNewRomanPSMT" w:eastAsia="宋体" w:cs="TimesNewRomanPSMT"/>
                      <w:b w:val="0"/>
                      <w:bCs w:val="0"/>
                      <w:i w:val="0"/>
                      <w:iCs w:val="0"/>
                      <w:color w:val="auto"/>
                      <w:sz w:val="22"/>
                      <w:szCs w:val="22"/>
                      <w:lang w:val="en-US" w:eastAsia="zh-CN"/>
                    </w:rPr>
                    <w:t>11.36t/a</w:t>
                  </w:r>
                </w:p>
              </w:tc>
              <w:tc>
                <w:tcPr>
                  <w:tcW w:w="158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污水处理</w:t>
                  </w:r>
                </w:p>
              </w:tc>
              <w:tc>
                <w:tcPr>
                  <w:tcW w:w="72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液态</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31"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kern w:val="0"/>
                      <w:sz w:val="21"/>
                      <w:szCs w:val="21"/>
                    </w:rPr>
                    <w:t>序号</w:t>
                  </w:r>
                </w:p>
              </w:tc>
              <w:tc>
                <w:tcPr>
                  <w:tcW w:w="1370"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sz w:val="24"/>
                      <w:lang w:eastAsia="zh-CN"/>
                    </w:rPr>
                  </w:pPr>
                  <w:r>
                    <w:rPr>
                      <w:rFonts w:hint="default" w:ascii="Times New Roman" w:hAnsi="Times New Roman" w:eastAsia="宋体" w:cs="Times New Roman"/>
                      <w:b w:val="0"/>
                      <w:bCs w:val="0"/>
                      <w:color w:val="auto"/>
                      <w:kern w:val="0"/>
                      <w:sz w:val="21"/>
                      <w:szCs w:val="21"/>
                    </w:rPr>
                    <w:t>主要成分</w:t>
                  </w:r>
                </w:p>
              </w:tc>
              <w:tc>
                <w:tcPr>
                  <w:tcW w:w="1379"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rPr>
                    <w:t>有害成分</w:t>
                  </w:r>
                </w:p>
              </w:tc>
              <w:tc>
                <w:tcPr>
                  <w:tcW w:w="1380"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rPr>
                    <w:t>产废周期</w:t>
                  </w:r>
                </w:p>
              </w:tc>
              <w:tc>
                <w:tcPr>
                  <w:tcW w:w="1247"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kern w:val="0"/>
                      <w:sz w:val="21"/>
                      <w:szCs w:val="21"/>
                    </w:rPr>
                    <w:t>危险特性</w:t>
                  </w:r>
                </w:p>
              </w:tc>
              <w:tc>
                <w:tcPr>
                  <w:tcW w:w="2306" w:type="dxa"/>
                  <w:gridSpan w:val="2"/>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kern w:val="0"/>
                      <w:sz w:val="21"/>
                      <w:szCs w:val="21"/>
                    </w:rPr>
                    <w:t>污染防治措施</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jc w:val="center"/>
              </w:trPr>
              <w:tc>
                <w:tcPr>
                  <w:tcW w:w="631"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NewRomanPSMT" w:hAnsi="TimesNewRomanPSMT" w:eastAsia="宋体" w:cs="TimesNewRomanPSMT"/>
                      <w:b w:val="0"/>
                      <w:bCs w:val="0"/>
                      <w:i w:val="0"/>
                      <w:iCs w:val="0"/>
                      <w:color w:val="auto"/>
                      <w:sz w:val="22"/>
                      <w:szCs w:val="22"/>
                      <w:lang w:val="en-US" w:eastAsia="zh-CN"/>
                    </w:rPr>
                    <w:t>含油残渣</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lang w:val="en-US" w:eastAsia="zh-CN"/>
                    </w:rPr>
                  </w:pPr>
                  <w:r>
                    <w:rPr>
                      <w:rFonts w:hint="eastAsia" w:cs="Times New Roman"/>
                      <w:b w:val="0"/>
                      <w:bCs w:val="0"/>
                      <w:color w:val="auto"/>
                      <w:kern w:val="0"/>
                      <w:sz w:val="21"/>
                      <w:szCs w:val="21"/>
                      <w:lang w:val="en-US" w:eastAsia="zh-CN"/>
                    </w:rPr>
                    <w:t>油泥</w:t>
                  </w:r>
                </w:p>
              </w:tc>
              <w:tc>
                <w:tcPr>
                  <w:tcW w:w="1380"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lang w:val="en-US" w:eastAsia="zh-CN"/>
                    </w:rPr>
                  </w:pPr>
                  <w:r>
                    <w:rPr>
                      <w:rFonts w:hint="eastAsia" w:cs="Times New Roman"/>
                      <w:b w:val="0"/>
                      <w:bCs w:val="0"/>
                      <w:color w:val="auto"/>
                      <w:kern w:val="0"/>
                      <w:sz w:val="21"/>
                      <w:szCs w:val="21"/>
                      <w:lang w:val="en-US" w:eastAsia="zh-CN"/>
                    </w:rPr>
                    <w:t>3a</w:t>
                  </w:r>
                  <w:r>
                    <w:rPr>
                      <w:rFonts w:hint="default" w:ascii="Times New Roman" w:hAnsi="Times New Roman" w:eastAsia="宋体" w:cs="Times New Roman"/>
                      <w:b w:val="0"/>
                      <w:bCs w:val="0"/>
                      <w:color w:val="auto"/>
                      <w:kern w:val="0"/>
                      <w:sz w:val="21"/>
                      <w:szCs w:val="21"/>
                      <w:lang w:val="en-US" w:eastAsia="zh-CN"/>
                    </w:rPr>
                    <w:t>/次</w:t>
                  </w:r>
                </w:p>
              </w:tc>
              <w:tc>
                <w:tcPr>
                  <w:tcW w:w="1247"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lang w:val="en-US" w:eastAsia="zh-CN"/>
                    </w:rPr>
                  </w:pPr>
                  <w:r>
                    <w:rPr>
                      <w:rFonts w:ascii="宋体" w:hAnsi="宋体" w:eastAsia="宋体" w:cs="宋体"/>
                      <w:b w:val="0"/>
                      <w:bCs w:val="0"/>
                      <w:i w:val="0"/>
                      <w:iCs w:val="0"/>
                      <w:color w:val="auto"/>
                      <w:kern w:val="0"/>
                      <w:sz w:val="22"/>
                      <w:szCs w:val="22"/>
                      <w:lang w:val="en-US" w:eastAsia="zh-CN" w:bidi="ar"/>
                    </w:rPr>
                    <w:t>T/In</w:t>
                  </w:r>
                </w:p>
              </w:tc>
              <w:tc>
                <w:tcPr>
                  <w:tcW w:w="2306" w:type="dxa"/>
                  <w:gridSpan w:val="2"/>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b w:val="0"/>
                      <w:bCs w:val="0"/>
                      <w:color w:val="auto"/>
                      <w:lang w:eastAsia="zh-CN"/>
                    </w:rPr>
                  </w:pPr>
                  <w:r>
                    <w:rPr>
                      <w:rFonts w:hint="eastAsia" w:ascii="TimesNewRomanPSMT" w:hAnsi="TimesNewRomanPSMT" w:eastAsia="宋体" w:cs="TimesNewRomanPSMT"/>
                      <w:b w:val="0"/>
                      <w:bCs w:val="0"/>
                      <w:i w:val="0"/>
                      <w:iCs w:val="0"/>
                      <w:color w:val="auto"/>
                      <w:sz w:val="22"/>
                      <w:szCs w:val="22"/>
                      <w:lang w:val="en-US" w:eastAsia="zh-CN"/>
                    </w:rPr>
                    <w:t>暂存于危废暂存间，集中收集后</w:t>
                  </w:r>
                  <w:r>
                    <w:rPr>
                      <w:rFonts w:hint="default" w:ascii="TimesNewRomanPSMT" w:hAnsi="TimesNewRomanPSMT" w:eastAsia="宋体" w:cs="TimesNewRomanPSMT"/>
                      <w:b w:val="0"/>
                      <w:bCs w:val="0"/>
                      <w:i w:val="0"/>
                      <w:iCs w:val="0"/>
                      <w:color w:val="auto"/>
                      <w:sz w:val="22"/>
                      <w:szCs w:val="22"/>
                      <w:lang w:val="en-US" w:eastAsia="zh-CN"/>
                    </w:rPr>
                    <w:t>委托有资质单位处置</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jc w:val="center"/>
              </w:trPr>
              <w:tc>
                <w:tcPr>
                  <w:tcW w:w="631"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2</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NewRomanPSMT" w:hAnsi="TimesNewRomanPSMT" w:cs="TimesNewRomanPSMT"/>
                      <w:b w:val="0"/>
                      <w:bCs w:val="0"/>
                      <w:i w:val="0"/>
                      <w:iCs w:val="0"/>
                      <w:color w:val="auto"/>
                      <w:sz w:val="22"/>
                      <w:szCs w:val="22"/>
                      <w:lang w:val="en-US" w:eastAsia="zh-CN"/>
                    </w:rPr>
                    <w:t>导热油</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eastAsia" w:ascii="TimesNewRomanPSMT" w:hAnsi="TimesNewRomanPSMT" w:cs="TimesNewRomanPSMT"/>
                      <w:b w:val="0"/>
                      <w:bCs w:val="0"/>
                      <w:i w:val="0"/>
                      <w:iCs w:val="0"/>
                      <w:color w:val="auto"/>
                      <w:sz w:val="22"/>
                      <w:szCs w:val="22"/>
                      <w:lang w:val="en-US" w:eastAsia="zh-CN"/>
                    </w:rPr>
                    <w:t>导热油</w:t>
                  </w:r>
                </w:p>
              </w:tc>
              <w:tc>
                <w:tcPr>
                  <w:tcW w:w="1380"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cs="Times New Roman"/>
                      <w:b w:val="0"/>
                      <w:bCs w:val="0"/>
                      <w:color w:val="auto"/>
                      <w:kern w:val="0"/>
                      <w:sz w:val="21"/>
                      <w:szCs w:val="21"/>
                      <w:lang w:val="en-US" w:eastAsia="zh-CN"/>
                    </w:rPr>
                  </w:pPr>
                  <w:r>
                    <w:rPr>
                      <w:rFonts w:hint="eastAsia" w:cs="Times New Roman"/>
                      <w:b w:val="0"/>
                      <w:bCs w:val="0"/>
                      <w:color w:val="auto"/>
                      <w:kern w:val="0"/>
                      <w:sz w:val="21"/>
                      <w:szCs w:val="21"/>
                      <w:lang w:val="en-US" w:eastAsia="zh-CN"/>
                    </w:rPr>
                    <w:t>5a</w:t>
                  </w:r>
                  <w:r>
                    <w:rPr>
                      <w:rFonts w:hint="default" w:ascii="Times New Roman" w:hAnsi="Times New Roman" w:eastAsia="宋体" w:cs="Times New Roman"/>
                      <w:b w:val="0"/>
                      <w:bCs w:val="0"/>
                      <w:color w:val="auto"/>
                      <w:kern w:val="0"/>
                      <w:sz w:val="21"/>
                      <w:szCs w:val="21"/>
                      <w:lang w:val="en-US" w:eastAsia="zh-CN"/>
                    </w:rPr>
                    <w:t>/次</w:t>
                  </w:r>
                </w:p>
              </w:tc>
              <w:tc>
                <w:tcPr>
                  <w:tcW w:w="1247"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outlineLvl w:val="9"/>
                    <w:rPr>
                      <w:rFonts w:ascii="宋体" w:hAnsi="宋体" w:eastAsia="宋体" w:cs="宋体"/>
                      <w:b w:val="0"/>
                      <w:bCs w:val="0"/>
                      <w:i w:val="0"/>
                      <w:iCs w:val="0"/>
                      <w:color w:val="auto"/>
                      <w:kern w:val="0"/>
                      <w:sz w:val="22"/>
                      <w:szCs w:val="22"/>
                      <w:lang w:val="en-US" w:eastAsia="zh-CN" w:bidi="ar"/>
                    </w:rPr>
                  </w:pPr>
                  <w:r>
                    <w:rPr>
                      <w:rFonts w:ascii="宋体" w:hAnsi="宋体" w:eastAsia="宋体" w:cs="宋体"/>
                      <w:b w:val="0"/>
                      <w:bCs w:val="0"/>
                      <w:i w:val="0"/>
                      <w:iCs w:val="0"/>
                      <w:color w:val="auto"/>
                      <w:kern w:val="0"/>
                      <w:sz w:val="22"/>
                      <w:szCs w:val="22"/>
                      <w:lang w:val="en-US" w:eastAsia="zh-CN" w:bidi="ar"/>
                    </w:rPr>
                    <w:t>T/In</w:t>
                  </w:r>
                </w:p>
              </w:tc>
              <w:tc>
                <w:tcPr>
                  <w:tcW w:w="2306" w:type="dxa"/>
                  <w:gridSpan w:val="2"/>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b w:val="0"/>
                      <w:bCs w:val="0"/>
                      <w:color w:val="auto"/>
                      <w:lang w:eastAsia="zh-CN"/>
                    </w:rPr>
                  </w:pPr>
                  <w:r>
                    <w:rPr>
                      <w:rFonts w:hint="eastAsia" w:ascii="TimesNewRomanPSMT" w:hAnsi="TimesNewRomanPSMT" w:eastAsia="宋体" w:cs="TimesNewRomanPSMT"/>
                      <w:b w:val="0"/>
                      <w:bCs w:val="0"/>
                      <w:i w:val="0"/>
                      <w:iCs w:val="0"/>
                      <w:color w:val="auto"/>
                      <w:sz w:val="22"/>
                      <w:szCs w:val="22"/>
                      <w:lang w:val="en-US" w:eastAsia="zh-CN"/>
                    </w:rPr>
                    <w:t>集中收集，及时清运，</w:t>
                  </w:r>
                  <w:r>
                    <w:rPr>
                      <w:rFonts w:hint="default" w:ascii="TimesNewRomanPSMT" w:hAnsi="TimesNewRomanPSMT" w:eastAsia="宋体" w:cs="TimesNewRomanPSMT"/>
                      <w:b w:val="0"/>
                      <w:bCs w:val="0"/>
                      <w:i w:val="0"/>
                      <w:iCs w:val="0"/>
                      <w:color w:val="auto"/>
                      <w:sz w:val="22"/>
                      <w:szCs w:val="22"/>
                      <w:lang w:val="en-US" w:eastAsia="zh-CN"/>
                    </w:rPr>
                    <w:t>委托有资质单位处置</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jc w:val="center"/>
              </w:trPr>
              <w:tc>
                <w:tcPr>
                  <w:tcW w:w="631"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3</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NewRomanPSMT" w:hAnsi="TimesNewRomanPSMT" w:cs="TimesNewRomanPSMT"/>
                      <w:b w:val="0"/>
                      <w:bCs w:val="0"/>
                      <w:i w:val="0"/>
                      <w:iCs w:val="0"/>
                      <w:color w:val="auto"/>
                      <w:sz w:val="22"/>
                      <w:szCs w:val="22"/>
                      <w:lang w:val="en-US" w:eastAsia="zh-CN"/>
                    </w:rPr>
                  </w:pPr>
                  <w:r>
                    <w:rPr>
                      <w:rFonts w:hint="eastAsia" w:ascii="TimesNewRomanPSMT" w:hAnsi="TimesNewRomanPSMT" w:cs="TimesNewRomanPSMT"/>
                      <w:b w:val="0"/>
                      <w:bCs w:val="0"/>
                      <w:i w:val="0"/>
                      <w:iCs w:val="0"/>
                      <w:color w:val="auto"/>
                      <w:sz w:val="22"/>
                      <w:szCs w:val="22"/>
                      <w:lang w:val="en-US" w:eastAsia="zh-CN"/>
                    </w:rPr>
                    <w:t>石油类</w:t>
                  </w:r>
                </w:p>
              </w:tc>
              <w:tc>
                <w:tcPr>
                  <w:tcW w:w="1379"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NewRomanPSMT" w:hAnsi="TimesNewRomanPSMT" w:cs="TimesNewRomanPSMT"/>
                      <w:b w:val="0"/>
                      <w:bCs w:val="0"/>
                      <w:i w:val="0"/>
                      <w:iCs w:val="0"/>
                      <w:color w:val="auto"/>
                      <w:sz w:val="22"/>
                      <w:szCs w:val="22"/>
                      <w:lang w:val="en-US" w:eastAsia="zh-CN"/>
                    </w:rPr>
                  </w:pPr>
                  <w:r>
                    <w:rPr>
                      <w:rFonts w:hint="eastAsia" w:ascii="TimesNewRomanPSMT" w:hAnsi="TimesNewRomanPSMT" w:cs="TimesNewRomanPSMT"/>
                      <w:b w:val="0"/>
                      <w:bCs w:val="0"/>
                      <w:i w:val="0"/>
                      <w:iCs w:val="0"/>
                      <w:color w:val="auto"/>
                      <w:sz w:val="22"/>
                      <w:szCs w:val="22"/>
                      <w:lang w:val="en-US" w:eastAsia="zh-CN"/>
                    </w:rPr>
                    <w:t>石油类</w:t>
                  </w:r>
                </w:p>
              </w:tc>
              <w:tc>
                <w:tcPr>
                  <w:tcW w:w="1380"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cs="Times New Roman"/>
                      <w:b w:val="0"/>
                      <w:bCs w:val="0"/>
                      <w:color w:val="auto"/>
                      <w:kern w:val="0"/>
                      <w:sz w:val="21"/>
                      <w:szCs w:val="21"/>
                      <w:lang w:val="en-US" w:eastAsia="zh-CN"/>
                    </w:rPr>
                  </w:pPr>
                  <w:r>
                    <w:rPr>
                      <w:rFonts w:hint="eastAsia" w:cs="Times New Roman"/>
                      <w:b w:val="0"/>
                      <w:bCs w:val="0"/>
                      <w:color w:val="auto"/>
                      <w:kern w:val="0"/>
                      <w:sz w:val="21"/>
                      <w:szCs w:val="21"/>
                      <w:lang w:val="en-US" w:eastAsia="zh-CN"/>
                    </w:rPr>
                    <w:t>连续</w:t>
                  </w:r>
                </w:p>
              </w:tc>
              <w:tc>
                <w:tcPr>
                  <w:tcW w:w="1247"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outlineLvl w:val="9"/>
                    <w:rPr>
                      <w:rFonts w:ascii="宋体" w:hAnsi="宋体" w:eastAsia="宋体" w:cs="宋体"/>
                      <w:b w:val="0"/>
                      <w:bCs w:val="0"/>
                      <w:i w:val="0"/>
                      <w:iCs w:val="0"/>
                      <w:color w:val="auto"/>
                      <w:kern w:val="0"/>
                      <w:sz w:val="22"/>
                      <w:szCs w:val="22"/>
                      <w:lang w:val="en-US" w:eastAsia="zh-CN" w:bidi="ar"/>
                    </w:rPr>
                  </w:pPr>
                  <w:r>
                    <w:rPr>
                      <w:rFonts w:ascii="宋体" w:hAnsi="宋体" w:eastAsia="宋体" w:cs="宋体"/>
                      <w:b w:val="0"/>
                      <w:bCs w:val="0"/>
                      <w:i w:val="0"/>
                      <w:iCs w:val="0"/>
                      <w:color w:val="auto"/>
                      <w:kern w:val="0"/>
                      <w:sz w:val="22"/>
                      <w:szCs w:val="22"/>
                      <w:lang w:val="en-US" w:eastAsia="zh-CN" w:bidi="ar"/>
                    </w:rPr>
                    <w:t>T/In</w:t>
                  </w:r>
                </w:p>
              </w:tc>
              <w:tc>
                <w:tcPr>
                  <w:tcW w:w="2306" w:type="dxa"/>
                  <w:gridSpan w:val="2"/>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暂存于危废暂存间，集中收集后</w:t>
                  </w:r>
                  <w:r>
                    <w:rPr>
                      <w:rFonts w:hint="default" w:ascii="TimesNewRomanPSMT" w:hAnsi="TimesNewRomanPSMT" w:eastAsia="宋体" w:cs="TimesNewRomanPSMT"/>
                      <w:b w:val="0"/>
                      <w:bCs w:val="0"/>
                      <w:i w:val="0"/>
                      <w:iCs w:val="0"/>
                      <w:color w:val="auto"/>
                      <w:sz w:val="22"/>
                      <w:szCs w:val="22"/>
                      <w:lang w:val="en-US" w:eastAsia="zh-CN"/>
                    </w:rPr>
                    <w:t>委托有资质单位处置</w:t>
                  </w:r>
                </w:p>
              </w:tc>
            </w:tr>
          </w:tbl>
          <w:p>
            <w:pPr>
              <w:keepNext w:val="0"/>
              <w:keepLines w:val="0"/>
              <w:pageBreakBefore w:val="0"/>
              <w:kinsoku/>
              <w:wordWrap/>
              <w:overflowPunct/>
              <w:topLinePunct w:val="0"/>
              <w:bidi w:val="0"/>
              <w:adjustRightInd w:val="0"/>
              <w:snapToGrid w:val="0"/>
              <w:spacing w:line="480" w:lineRule="exact"/>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eastAsia" w:ascii="Times New Roman" w:hAnsi="Times New Roman" w:eastAsia="宋体" w:cs="Times New Roman"/>
                <w:color w:val="auto"/>
                <w:sz w:val="24"/>
                <w:szCs w:val="24"/>
                <w:lang w:val="en-US" w:eastAsia="zh-CN"/>
              </w:rPr>
              <w:t>危险废物贮存场所基本情况</w:t>
            </w:r>
            <w:r>
              <w:rPr>
                <w:rFonts w:hint="default" w:ascii="Times New Roman" w:hAnsi="Times New Roman" w:eastAsia="宋体" w:cs="Times New Roman"/>
                <w:color w:val="auto"/>
                <w:sz w:val="24"/>
                <w:szCs w:val="24"/>
              </w:rPr>
              <w:t>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w:t>
            </w:r>
            <w:r>
              <w:rPr>
                <w:rFonts w:hint="eastAsia" w:ascii="Times New Roman" w:hAnsi="Times New Roman" w:eastAsia="黑体" w:cs="Times New Roman"/>
                <w:b w:val="0"/>
                <w:bCs w:val="0"/>
                <w:color w:val="auto"/>
                <w:kern w:val="0"/>
                <w:sz w:val="24"/>
                <w:szCs w:val="24"/>
                <w:lang w:val="en-US" w:eastAsia="zh-CN"/>
              </w:rPr>
              <w:t>4-</w:t>
            </w:r>
            <w:r>
              <w:rPr>
                <w:rFonts w:hint="eastAsia" w:eastAsia="黑体" w:cs="Times New Roman"/>
                <w:b w:val="0"/>
                <w:bCs w:val="0"/>
                <w:color w:val="auto"/>
                <w:kern w:val="0"/>
                <w:sz w:val="24"/>
                <w:szCs w:val="24"/>
                <w:lang w:val="en-US" w:eastAsia="zh-CN"/>
              </w:rPr>
              <w:t>22</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lang w:val="en-US" w:eastAsia="zh-CN"/>
              </w:rPr>
              <w:t>建设项目危险废物贮存场所（设施）基本情况样表</w:t>
            </w:r>
          </w:p>
          <w:tbl>
            <w:tblPr>
              <w:tblStyle w:val="26"/>
              <w:tblW w:w="8313"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556"/>
              <w:gridCol w:w="1185"/>
              <w:gridCol w:w="1335"/>
              <w:gridCol w:w="766"/>
              <w:gridCol w:w="1249"/>
              <w:gridCol w:w="708"/>
              <w:gridCol w:w="988"/>
              <w:gridCol w:w="664"/>
              <w:gridCol w:w="86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56"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序号</w:t>
                  </w:r>
                </w:p>
              </w:tc>
              <w:tc>
                <w:tcPr>
                  <w:tcW w:w="1185" w:type="dxa"/>
                  <w:tcBorders>
                    <w:tl2br w:val="nil"/>
                    <w:tr2bl w:val="nil"/>
                  </w:tcBorders>
                  <w:tcMar>
                    <w:top w:w="0" w:type="dxa"/>
                    <w:left w:w="28" w:type="dxa"/>
                    <w:bottom w:w="0" w:type="dxa"/>
                    <w:right w:w="28" w:type="dxa"/>
                  </w:tcMar>
                  <w:vAlign w:val="top"/>
                </w:tcPr>
                <w:p>
                  <w:pPr>
                    <w:topLinePunct/>
                    <w:adjustRightInd w:val="0"/>
                    <w:snapToGrid w:val="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贮存场所（设施）名称</w:t>
                  </w:r>
                </w:p>
              </w:tc>
              <w:tc>
                <w:tcPr>
                  <w:tcW w:w="1335"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危险废物名称</w:t>
                  </w:r>
                </w:p>
              </w:tc>
              <w:tc>
                <w:tcPr>
                  <w:tcW w:w="766"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危险废物类别</w:t>
                  </w:r>
                </w:p>
              </w:tc>
              <w:tc>
                <w:tcPr>
                  <w:tcW w:w="1249"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危险废物代码</w:t>
                  </w:r>
                </w:p>
              </w:tc>
              <w:tc>
                <w:tcPr>
                  <w:tcW w:w="708"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位置</w:t>
                  </w:r>
                </w:p>
              </w:tc>
              <w:tc>
                <w:tcPr>
                  <w:tcW w:w="988"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贮存方式</w:t>
                  </w:r>
                </w:p>
              </w:tc>
              <w:tc>
                <w:tcPr>
                  <w:tcW w:w="664"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贮存</w:t>
                  </w:r>
                </w:p>
                <w:p>
                  <w:pPr>
                    <w:topLinePunct/>
                    <w:adjustRightInd w:val="0"/>
                    <w:snapToGrid w:val="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能力</w:t>
                  </w:r>
                </w:p>
              </w:tc>
              <w:tc>
                <w:tcPr>
                  <w:tcW w:w="862"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贮存</w:t>
                  </w:r>
                </w:p>
                <w:p>
                  <w:pPr>
                    <w:topLinePunct/>
                    <w:adjustRightInd w:val="0"/>
                    <w:snapToGrid w:val="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周期</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56" w:type="dxa"/>
                  <w:vMerge w:val="restart"/>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1</w:t>
                  </w:r>
                </w:p>
              </w:tc>
              <w:tc>
                <w:tcPr>
                  <w:tcW w:w="1185" w:type="dxa"/>
                  <w:vMerge w:val="restart"/>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危废暂存间</w:t>
                  </w:r>
                </w:p>
              </w:tc>
              <w:tc>
                <w:tcPr>
                  <w:tcW w:w="1335"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NewRomanPSMT" w:hAnsi="TimesNewRomanPSMT" w:eastAsia="宋体" w:cs="TimesNewRomanPSMT"/>
                      <w:b w:val="0"/>
                      <w:bCs w:val="0"/>
                      <w:i w:val="0"/>
                      <w:iCs w:val="0"/>
                      <w:color w:val="auto"/>
                      <w:sz w:val="22"/>
                      <w:szCs w:val="22"/>
                      <w:lang w:val="en-US" w:eastAsia="zh-CN"/>
                    </w:rPr>
                    <w:t>清罐含油残渣</w:t>
                  </w:r>
                </w:p>
              </w:tc>
              <w:tc>
                <w:tcPr>
                  <w:tcW w:w="766"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rPr>
                    <w:t>HW</w:t>
                  </w:r>
                  <w:r>
                    <w:rPr>
                      <w:rFonts w:hint="eastAsia" w:cs="Times New Roman"/>
                      <w:b w:val="0"/>
                      <w:bCs w:val="0"/>
                      <w:color w:val="auto"/>
                      <w:sz w:val="21"/>
                      <w:szCs w:val="21"/>
                      <w:lang w:val="en-US" w:eastAsia="zh-CN"/>
                    </w:rPr>
                    <w:t>08</w:t>
                  </w:r>
                </w:p>
              </w:tc>
              <w:tc>
                <w:tcPr>
                  <w:tcW w:w="1249"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NewRomanPSMT" w:hAnsi="TimesNewRomanPSMT" w:eastAsia="宋体" w:cs="TimesNewRomanPSMT"/>
                      <w:b w:val="0"/>
                      <w:bCs w:val="0"/>
                      <w:i w:val="0"/>
                      <w:iCs w:val="0"/>
                      <w:color w:val="auto"/>
                      <w:sz w:val="22"/>
                      <w:szCs w:val="22"/>
                      <w:lang w:val="en-US" w:eastAsia="zh-CN"/>
                    </w:rPr>
                    <w:t>251-001-08</w:t>
                  </w:r>
                </w:p>
              </w:tc>
              <w:tc>
                <w:tcPr>
                  <w:tcW w:w="708" w:type="dxa"/>
                  <w:vMerge w:val="restart"/>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lang w:val="en-US" w:eastAsia="zh-CN"/>
                    </w:rPr>
                  </w:pPr>
                  <w:r>
                    <w:rPr>
                      <w:rFonts w:hint="eastAsia" w:cs="Times New Roman"/>
                      <w:b w:val="0"/>
                      <w:bCs w:val="0"/>
                      <w:color w:val="auto"/>
                      <w:kern w:val="0"/>
                      <w:sz w:val="21"/>
                      <w:szCs w:val="21"/>
                      <w:lang w:val="en-US" w:eastAsia="zh-CN"/>
                    </w:rPr>
                    <w:t>3#罐区东侧</w:t>
                  </w:r>
                </w:p>
              </w:tc>
              <w:tc>
                <w:tcPr>
                  <w:tcW w:w="988"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rPr>
                  </w:pPr>
                  <w:r>
                    <w:rPr>
                      <w:rFonts w:hint="eastAsia" w:cs="Times New Roman"/>
                      <w:b w:val="0"/>
                      <w:bCs w:val="0"/>
                      <w:color w:val="auto"/>
                      <w:kern w:val="0"/>
                      <w:sz w:val="21"/>
                      <w:szCs w:val="21"/>
                      <w:lang w:eastAsia="zh-CN"/>
                    </w:rPr>
                    <w:t>桶装</w:t>
                  </w:r>
                </w:p>
              </w:tc>
              <w:tc>
                <w:tcPr>
                  <w:tcW w:w="664"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lang w:val="en-US"/>
                    </w:rPr>
                  </w:pPr>
                  <w:r>
                    <w:rPr>
                      <w:rFonts w:hint="eastAsia" w:cs="Times New Roman"/>
                      <w:b w:val="0"/>
                      <w:bCs w:val="0"/>
                      <w:color w:val="auto"/>
                      <w:sz w:val="21"/>
                      <w:szCs w:val="21"/>
                      <w:lang w:val="en-US" w:eastAsia="zh-CN"/>
                    </w:rPr>
                    <w:t>20</w:t>
                  </w:r>
                </w:p>
              </w:tc>
              <w:tc>
                <w:tcPr>
                  <w:tcW w:w="862"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lang w:eastAsia="zh-CN"/>
                    </w:rPr>
                  </w:pPr>
                  <w:r>
                    <w:rPr>
                      <w:rFonts w:hint="eastAsia" w:ascii="Times New Roman" w:hAnsi="Times New Roman" w:eastAsia="宋体" w:cs="Times New Roman"/>
                      <w:b w:val="0"/>
                      <w:bCs w:val="0"/>
                      <w:color w:val="auto"/>
                      <w:kern w:val="0"/>
                      <w:sz w:val="21"/>
                      <w:szCs w:val="21"/>
                      <w:lang w:eastAsia="zh-CN"/>
                    </w:rPr>
                    <w:t>半年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56" w:type="dxa"/>
                  <w:vMerge w:val="continue"/>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rPr>
                  </w:pPr>
                </w:p>
              </w:tc>
              <w:tc>
                <w:tcPr>
                  <w:tcW w:w="1185" w:type="dxa"/>
                  <w:vMerge w:val="continue"/>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kern w:val="0"/>
                      <w:sz w:val="21"/>
                      <w:szCs w:val="21"/>
                    </w:rPr>
                  </w:pPr>
                </w:p>
              </w:tc>
              <w:tc>
                <w:tcPr>
                  <w:tcW w:w="1335"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污水处理站污油</w:t>
                  </w:r>
                </w:p>
              </w:tc>
              <w:tc>
                <w:tcPr>
                  <w:tcW w:w="766" w:type="dxa"/>
                  <w:tcBorders>
                    <w:tl2br w:val="nil"/>
                    <w:tr2bl w:val="nil"/>
                  </w:tcBorders>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HW0</w:t>
                  </w:r>
                  <w:r>
                    <w:rPr>
                      <w:rFonts w:hint="eastAsia" w:cs="Times New Roman"/>
                      <w:b w:val="0"/>
                      <w:bCs w:val="0"/>
                      <w:color w:val="auto"/>
                      <w:sz w:val="21"/>
                      <w:szCs w:val="21"/>
                      <w:lang w:val="en-US" w:eastAsia="zh-CN"/>
                    </w:rPr>
                    <w:t>8</w:t>
                  </w:r>
                </w:p>
              </w:tc>
              <w:tc>
                <w:tcPr>
                  <w:tcW w:w="1249"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kern w:val="2"/>
                      <w:sz w:val="22"/>
                      <w:szCs w:val="22"/>
                      <w:lang w:val="en-US" w:eastAsia="zh-CN" w:bidi="ar-SA"/>
                    </w:rPr>
                  </w:pPr>
                  <w:r>
                    <w:rPr>
                      <w:rFonts w:hint="eastAsia" w:ascii="TimesNewRomanPSMT" w:hAnsi="TimesNewRomanPSMT" w:eastAsia="宋体" w:cs="TimesNewRomanPSMT"/>
                      <w:b w:val="0"/>
                      <w:bCs w:val="0"/>
                      <w:i w:val="0"/>
                      <w:iCs w:val="0"/>
                      <w:color w:val="auto"/>
                      <w:sz w:val="22"/>
                      <w:szCs w:val="22"/>
                      <w:lang w:val="en-US" w:eastAsia="zh-CN"/>
                    </w:rPr>
                    <w:t>900-210-08</w:t>
                  </w:r>
                </w:p>
              </w:tc>
              <w:tc>
                <w:tcPr>
                  <w:tcW w:w="708" w:type="dxa"/>
                  <w:vMerge w:val="continue"/>
                  <w:tcBorders>
                    <w:tl2br w:val="nil"/>
                    <w:tr2bl w:val="nil"/>
                  </w:tcBorders>
                  <w:tcMar>
                    <w:top w:w="0" w:type="dxa"/>
                    <w:left w:w="28" w:type="dxa"/>
                    <w:bottom w:w="0" w:type="dxa"/>
                    <w:right w:w="28" w:type="dxa"/>
                  </w:tcMar>
                  <w:vAlign w:val="center"/>
                </w:tcPr>
                <w:p>
                  <w:pPr>
                    <w:topLinePunct/>
                    <w:adjustRightInd w:val="0"/>
                    <w:snapToGrid w:val="0"/>
                    <w:jc w:val="center"/>
                    <w:rPr>
                      <w:rFonts w:hint="eastAsia" w:cs="Times New Roman"/>
                      <w:b w:val="0"/>
                      <w:bCs w:val="0"/>
                      <w:color w:val="auto"/>
                      <w:kern w:val="0"/>
                      <w:sz w:val="21"/>
                      <w:szCs w:val="21"/>
                      <w:lang w:val="en-US" w:eastAsia="zh-CN"/>
                    </w:rPr>
                  </w:pPr>
                </w:p>
              </w:tc>
              <w:tc>
                <w:tcPr>
                  <w:tcW w:w="988" w:type="dxa"/>
                  <w:tcBorders>
                    <w:tl2br w:val="nil"/>
                    <w:tr2bl w:val="nil"/>
                  </w:tcBorders>
                  <w:tcMar>
                    <w:top w:w="0" w:type="dxa"/>
                    <w:left w:w="28" w:type="dxa"/>
                    <w:bottom w:w="0" w:type="dxa"/>
                    <w:right w:w="28" w:type="dxa"/>
                  </w:tcMar>
                  <w:vAlign w:val="center"/>
                </w:tcPr>
                <w:p>
                  <w:pPr>
                    <w:topLinePunct/>
                    <w:adjustRightInd w:val="0"/>
                    <w:snapToGrid w:val="0"/>
                    <w:jc w:val="center"/>
                    <w:rPr>
                      <w:rFonts w:hint="eastAsia" w:ascii="Times New Roman" w:hAnsi="Times New Roman" w:eastAsia="宋体" w:cs="Times New Roman"/>
                      <w:b w:val="0"/>
                      <w:bCs w:val="0"/>
                      <w:color w:val="auto"/>
                      <w:kern w:val="0"/>
                      <w:sz w:val="21"/>
                      <w:szCs w:val="21"/>
                      <w:lang w:val="en-US" w:eastAsia="zh-CN" w:bidi="ar-SA"/>
                    </w:rPr>
                  </w:pPr>
                  <w:r>
                    <w:rPr>
                      <w:rFonts w:hint="eastAsia" w:cs="Times New Roman"/>
                      <w:b w:val="0"/>
                      <w:bCs w:val="0"/>
                      <w:color w:val="auto"/>
                      <w:kern w:val="0"/>
                      <w:sz w:val="21"/>
                      <w:szCs w:val="21"/>
                      <w:lang w:eastAsia="zh-CN"/>
                    </w:rPr>
                    <w:t>桶装</w:t>
                  </w:r>
                </w:p>
              </w:tc>
              <w:tc>
                <w:tcPr>
                  <w:tcW w:w="664" w:type="dxa"/>
                  <w:tcBorders>
                    <w:tl2br w:val="nil"/>
                    <w:tr2bl w:val="nil"/>
                  </w:tcBorders>
                  <w:tcMar>
                    <w:top w:w="0" w:type="dxa"/>
                    <w:left w:w="28" w:type="dxa"/>
                    <w:bottom w:w="0" w:type="dxa"/>
                    <w:right w:w="28" w:type="dxa"/>
                  </w:tcMar>
                  <w:vAlign w:val="center"/>
                </w:tcPr>
                <w:p>
                  <w:pPr>
                    <w:topLinePunct/>
                    <w:adjustRightInd w:val="0"/>
                    <w:snapToGrid w:val="0"/>
                    <w:jc w:val="center"/>
                    <w:rPr>
                      <w:rFonts w:hint="eastAsia" w:ascii="Times New Roman" w:hAnsi="Times New Roman" w:eastAsia="宋体" w:cs="Times New Roman"/>
                      <w:b w:val="0"/>
                      <w:bCs w:val="0"/>
                      <w:color w:val="auto"/>
                      <w:kern w:val="0"/>
                      <w:sz w:val="21"/>
                      <w:szCs w:val="21"/>
                      <w:lang w:val="en-US" w:eastAsia="zh-CN" w:bidi="ar-SA"/>
                    </w:rPr>
                  </w:pPr>
                  <w:r>
                    <w:rPr>
                      <w:rFonts w:hint="eastAsia" w:cs="Times New Roman"/>
                      <w:b w:val="0"/>
                      <w:bCs w:val="0"/>
                      <w:color w:val="auto"/>
                      <w:sz w:val="21"/>
                      <w:szCs w:val="21"/>
                      <w:lang w:val="en-US" w:eastAsia="zh-CN"/>
                    </w:rPr>
                    <w:t>20</w:t>
                  </w:r>
                </w:p>
              </w:tc>
              <w:tc>
                <w:tcPr>
                  <w:tcW w:w="862" w:type="dxa"/>
                  <w:tcBorders>
                    <w:tl2br w:val="nil"/>
                    <w:tr2bl w:val="nil"/>
                  </w:tcBorders>
                  <w:tcMar>
                    <w:top w:w="0" w:type="dxa"/>
                    <w:left w:w="28" w:type="dxa"/>
                    <w:bottom w:w="0" w:type="dxa"/>
                    <w:right w:w="28" w:type="dxa"/>
                  </w:tcMar>
                  <w:vAlign w:val="center"/>
                </w:tcPr>
                <w:p>
                  <w:pPr>
                    <w:topLinePunct/>
                    <w:adjustRightInd w:val="0"/>
                    <w:snapToGrid w:val="0"/>
                    <w:jc w:val="center"/>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eastAsia="zh-CN"/>
                    </w:rPr>
                    <w:t>半年</w:t>
                  </w:r>
                </w:p>
              </w:tc>
            </w:tr>
          </w:tbl>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2、</w:t>
            </w:r>
            <w:r>
              <w:rPr>
                <w:rFonts w:hint="default" w:ascii="Times New Roman" w:hAnsi="Times New Roman" w:eastAsia="黑体" w:cs="Times New Roman"/>
                <w:b w:val="0"/>
                <w:bCs w:val="0"/>
                <w:color w:val="auto"/>
                <w:sz w:val="24"/>
                <w:szCs w:val="24"/>
                <w:highlight w:val="none"/>
                <w:lang w:val="en-US" w:eastAsia="zh-CN"/>
              </w:rPr>
              <w:t>固体废物环境管理要求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auto"/>
                <w:kern w:val="0"/>
                <w:sz w:val="24"/>
                <w:lang w:val="en-US" w:eastAsia="zh-CN"/>
              </w:rPr>
            </w:pPr>
            <w:r>
              <w:rPr>
                <w:rFonts w:hint="eastAsia" w:cs="Times New Roman"/>
                <w:color w:val="auto"/>
                <w:kern w:val="0"/>
                <w:sz w:val="24"/>
                <w:lang w:val="en-US" w:eastAsia="zh-CN"/>
              </w:rPr>
              <w:t>①一般工业固废</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lang w:val="zh-CN"/>
              </w:rPr>
            </w:pPr>
            <w:r>
              <w:rPr>
                <w:rFonts w:hint="eastAsia" w:cs="Times New Roman"/>
                <w:color w:val="auto"/>
                <w:kern w:val="0"/>
                <w:sz w:val="24"/>
                <w:lang w:val="zh-CN"/>
              </w:rPr>
              <w:t>项目</w:t>
            </w:r>
            <w:r>
              <w:rPr>
                <w:rFonts w:hint="default" w:ascii="Times New Roman" w:hAnsi="Times New Roman" w:cs="Times New Roman"/>
                <w:color w:val="auto"/>
                <w:kern w:val="0"/>
                <w:sz w:val="24"/>
                <w:lang w:val="zh-CN"/>
              </w:rPr>
              <w:t>一般</w:t>
            </w:r>
            <w:r>
              <w:rPr>
                <w:rFonts w:hint="eastAsia" w:ascii="Times New Roman" w:hAnsi="Times New Roman" w:cs="Times New Roman"/>
                <w:color w:val="auto"/>
                <w:kern w:val="0"/>
                <w:sz w:val="24"/>
                <w:lang w:val="en-US" w:eastAsia="zh-CN"/>
              </w:rPr>
              <w:t>工业</w:t>
            </w:r>
            <w:r>
              <w:rPr>
                <w:rFonts w:hint="default" w:ascii="Times New Roman" w:hAnsi="Times New Roman" w:cs="Times New Roman"/>
                <w:color w:val="auto"/>
                <w:kern w:val="0"/>
                <w:sz w:val="24"/>
                <w:lang w:val="zh-CN"/>
              </w:rPr>
              <w:t>固体废物执行《一般工业固体废物贮存和填埋污染控制标准》（GB18599-2020）。</w:t>
            </w:r>
            <w:r>
              <w:rPr>
                <w:rFonts w:hint="eastAsia" w:ascii="Times New Roman" w:hAnsi="Times New Roman" w:cs="Times New Roman"/>
                <w:color w:val="auto"/>
                <w:kern w:val="0"/>
                <w:sz w:val="24"/>
                <w:lang w:val="en-US" w:eastAsia="zh-CN"/>
              </w:rPr>
              <w:t>项目一般工业固废主要为污水处理站污泥，</w:t>
            </w:r>
            <w:r>
              <w:rPr>
                <w:rFonts w:hint="eastAsia" w:ascii="Times New Roman" w:hAnsi="Times New Roman" w:eastAsia="宋体" w:cs="Times New Roman"/>
                <w:color w:val="auto"/>
                <w:kern w:val="0"/>
                <w:sz w:val="24"/>
                <w:lang w:val="en-US" w:eastAsia="zh-CN"/>
              </w:rPr>
              <w:t>暂存于</w:t>
            </w:r>
            <w:r>
              <w:rPr>
                <w:rFonts w:hint="eastAsia" w:ascii="Times New Roman" w:hAnsi="Times New Roman" w:cs="Times New Roman"/>
                <w:color w:val="auto"/>
                <w:kern w:val="0"/>
                <w:sz w:val="24"/>
                <w:lang w:val="en-US" w:eastAsia="zh-CN"/>
              </w:rPr>
              <w:t>污水处理站污泥暂存区</w:t>
            </w:r>
            <w:r>
              <w:rPr>
                <w:rFonts w:hint="default" w:ascii="Times New Roman" w:hAnsi="Times New Roman" w:eastAsia="宋体" w:cs="Times New Roman"/>
                <w:color w:val="auto"/>
                <w:kern w:val="0"/>
                <w:sz w:val="24"/>
                <w:lang w:val="en-US" w:eastAsia="zh-CN"/>
              </w:rPr>
              <w:t>，</w:t>
            </w:r>
            <w:r>
              <w:rPr>
                <w:rFonts w:hint="eastAsia" w:ascii="Times New Roman" w:hAnsi="Times New Roman" w:eastAsia="宋体" w:cs="Times New Roman"/>
                <w:color w:val="auto"/>
                <w:kern w:val="0"/>
                <w:sz w:val="24"/>
                <w:lang w:val="en-US" w:eastAsia="zh-CN"/>
              </w:rPr>
              <w:t>集中收集后</w:t>
            </w:r>
            <w:r>
              <w:rPr>
                <w:rFonts w:hint="eastAsia" w:ascii="Times New Roman" w:hAnsi="Times New Roman" w:cs="Times New Roman"/>
                <w:color w:val="auto"/>
                <w:kern w:val="0"/>
                <w:sz w:val="24"/>
                <w:lang w:val="en-US" w:eastAsia="zh-CN"/>
              </w:rPr>
              <w:t>定期外运处理</w:t>
            </w:r>
            <w:r>
              <w:rPr>
                <w:rFonts w:hint="eastAsia" w:cs="Times New Roman"/>
                <w:color w:val="auto"/>
                <w:kern w:val="0"/>
                <w:sz w:val="24"/>
                <w:lang w:val="zh-CN"/>
              </w:rPr>
              <w:t>。暂存区</w:t>
            </w:r>
            <w:r>
              <w:rPr>
                <w:rFonts w:hint="default" w:ascii="Times New Roman" w:hAnsi="Times New Roman" w:cs="Times New Roman"/>
                <w:color w:val="auto"/>
                <w:kern w:val="0"/>
                <w:sz w:val="24"/>
                <w:lang w:val="zh-CN"/>
              </w:rPr>
              <w:t>按照《环境保护图形标志——固体废物贮存（处置）场》（GB15562.2）的要求设置环保图形标志；指定专人进行日常管理。</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lang w:val="en-US" w:eastAsia="zh-CN"/>
              </w:rPr>
            </w:pPr>
            <w:r>
              <w:rPr>
                <w:rFonts w:hint="eastAsia" w:cs="Times New Roman"/>
                <w:color w:val="auto"/>
                <w:kern w:val="0"/>
                <w:sz w:val="24"/>
                <w:lang w:val="en-US" w:eastAsia="zh-CN"/>
              </w:rPr>
              <w:t>②危险废物</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lang w:val="zh-CN"/>
              </w:rPr>
            </w:pPr>
            <w:r>
              <w:rPr>
                <w:rFonts w:hint="default" w:ascii="Times New Roman" w:hAnsi="Times New Roman" w:eastAsia="宋体" w:cs="Times New Roman"/>
                <w:color w:val="auto"/>
                <w:kern w:val="0"/>
                <w:sz w:val="24"/>
                <w:lang w:val="en-US" w:eastAsia="zh-CN"/>
              </w:rPr>
              <w:t>危险废物</w:t>
            </w:r>
            <w:r>
              <w:rPr>
                <w:rFonts w:hint="eastAsia" w:ascii="Times New Roman" w:hAnsi="Times New Roman" w:eastAsia="宋体" w:cs="Times New Roman"/>
                <w:color w:val="auto"/>
                <w:kern w:val="0"/>
                <w:sz w:val="24"/>
                <w:lang w:val="en-US" w:eastAsia="zh-CN"/>
              </w:rPr>
              <w:t>主要包括清罐含油残渣、废导热油、污水处理站污油等</w:t>
            </w:r>
            <w:r>
              <w:rPr>
                <w:rFonts w:hint="eastAsia" w:ascii="Times New Roman" w:hAnsi="Times New Roman" w:eastAsia="宋体" w:cs="Times New Roman"/>
                <w:color w:val="auto"/>
                <w:kern w:val="0"/>
                <w:sz w:val="24"/>
                <w:lang w:val="zh-CN" w:eastAsia="zh-CN"/>
              </w:rPr>
              <w:t>。</w:t>
            </w:r>
            <w:r>
              <w:rPr>
                <w:rFonts w:hint="eastAsia" w:ascii="Times New Roman" w:hAnsi="Times New Roman" w:eastAsia="宋体" w:cs="Times New Roman"/>
                <w:color w:val="auto"/>
                <w:kern w:val="0"/>
                <w:sz w:val="24"/>
                <w:lang w:val="en-US" w:eastAsia="zh-CN"/>
              </w:rPr>
              <w:t>清罐含油残渣暂存于危废暂存间，集中收集后</w:t>
            </w:r>
            <w:r>
              <w:rPr>
                <w:rFonts w:hint="default" w:ascii="Times New Roman" w:hAnsi="Times New Roman" w:eastAsia="宋体" w:cs="Times New Roman"/>
                <w:color w:val="auto"/>
                <w:kern w:val="0"/>
                <w:sz w:val="24"/>
                <w:lang w:val="en-US" w:eastAsia="zh-CN"/>
              </w:rPr>
              <w:t>委托有资质单位处置</w:t>
            </w:r>
            <w:r>
              <w:rPr>
                <w:rFonts w:hint="eastAsia" w:ascii="Times New Roman" w:hAnsi="Times New Roman" w:eastAsia="宋体" w:cs="Times New Roman"/>
                <w:color w:val="auto"/>
                <w:kern w:val="0"/>
                <w:sz w:val="24"/>
                <w:lang w:val="en-US" w:eastAsia="zh-CN"/>
              </w:rPr>
              <w:t>；集中收集，及时清运，不在厂区内存储，</w:t>
            </w:r>
            <w:r>
              <w:rPr>
                <w:rFonts w:hint="default" w:ascii="Times New Roman" w:hAnsi="Times New Roman" w:eastAsia="宋体" w:cs="Times New Roman"/>
                <w:color w:val="auto"/>
                <w:kern w:val="0"/>
                <w:sz w:val="24"/>
                <w:lang w:val="en-US" w:eastAsia="zh-CN"/>
              </w:rPr>
              <w:t>委托有资质单位处置</w:t>
            </w:r>
            <w:r>
              <w:rPr>
                <w:rFonts w:hint="eastAsia" w:ascii="Times New Roman" w:hAnsi="Times New Roman" w:eastAsia="宋体" w:cs="Times New Roman"/>
                <w:color w:val="auto"/>
                <w:kern w:val="0"/>
                <w:sz w:val="24"/>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lang w:val="zh-CN" w:eastAsia="zh-CN"/>
              </w:rPr>
            </w:pPr>
            <w:r>
              <w:rPr>
                <w:rFonts w:hint="default" w:ascii="Times New Roman" w:hAnsi="Times New Roman" w:eastAsia="宋体" w:cs="Times New Roman"/>
                <w:color w:val="auto"/>
                <w:kern w:val="0"/>
                <w:sz w:val="24"/>
                <w:lang w:val="zh-CN"/>
              </w:rPr>
              <w:t>本项目</w:t>
            </w:r>
            <w:r>
              <w:rPr>
                <w:rFonts w:hint="eastAsia" w:ascii="Times New Roman" w:hAnsi="Times New Roman" w:eastAsia="宋体" w:cs="Times New Roman"/>
                <w:color w:val="auto"/>
                <w:kern w:val="0"/>
                <w:sz w:val="24"/>
                <w:lang w:val="zh-CN"/>
              </w:rPr>
              <w:t>设有危废间</w:t>
            </w:r>
            <w:r>
              <w:rPr>
                <w:rFonts w:hint="default" w:ascii="Times New Roman" w:hAnsi="Times New Roman" w:eastAsia="宋体" w:cs="Times New Roman"/>
                <w:color w:val="auto"/>
                <w:kern w:val="0"/>
                <w:sz w:val="24"/>
                <w:lang w:val="zh-CN"/>
              </w:rPr>
              <w:t>一处。危废间位于</w:t>
            </w:r>
            <w:r>
              <w:rPr>
                <w:rFonts w:hint="eastAsia" w:ascii="Times New Roman" w:hAnsi="Times New Roman" w:eastAsia="宋体" w:cs="Times New Roman"/>
                <w:color w:val="auto"/>
                <w:kern w:val="0"/>
                <w:sz w:val="24"/>
                <w:lang w:val="en-US" w:eastAsia="zh-CN"/>
              </w:rPr>
              <w:t>3#罐区东侧</w:t>
            </w:r>
            <w:r>
              <w:rPr>
                <w:rFonts w:hint="default" w:ascii="Times New Roman" w:hAnsi="Times New Roman" w:eastAsia="宋体" w:cs="Times New Roman"/>
                <w:color w:val="auto"/>
                <w:kern w:val="0"/>
                <w:sz w:val="24"/>
                <w:lang w:val="zh-CN"/>
              </w:rPr>
              <w:t>，占地面</w:t>
            </w:r>
            <w:r>
              <w:rPr>
                <w:rFonts w:hint="default" w:ascii="Times New Roman" w:hAnsi="Times New Roman" w:cs="Times New Roman"/>
                <w:color w:val="auto"/>
                <w:kern w:val="0"/>
                <w:sz w:val="24"/>
                <w:lang w:val="zh-CN"/>
              </w:rPr>
              <w:t>积约</w:t>
            </w:r>
            <w:r>
              <w:rPr>
                <w:rFonts w:hint="eastAsia" w:cs="Times New Roman"/>
                <w:color w:val="auto"/>
                <w:kern w:val="0"/>
                <w:sz w:val="24"/>
                <w:lang w:val="en-US" w:eastAsia="zh-CN"/>
              </w:rPr>
              <w:t>80</w:t>
            </w:r>
            <w:r>
              <w:rPr>
                <w:rFonts w:hint="default" w:ascii="Times New Roman" w:hAnsi="Times New Roman" w:cs="Times New Roman"/>
                <w:color w:val="auto"/>
                <w:kern w:val="0"/>
                <w:sz w:val="24"/>
                <w:lang w:val="zh-CN"/>
              </w:rPr>
              <w:t>m</w:t>
            </w:r>
            <w:r>
              <w:rPr>
                <w:rFonts w:hint="default" w:ascii="Times New Roman" w:hAnsi="Times New Roman" w:cs="Times New Roman"/>
                <w:color w:val="auto"/>
                <w:kern w:val="0"/>
                <w:sz w:val="24"/>
                <w:vertAlign w:val="superscript"/>
                <w:lang w:val="zh-CN" w:eastAsia="zh-CN"/>
              </w:rPr>
              <w:t>2</w:t>
            </w:r>
            <w:r>
              <w:rPr>
                <w:rFonts w:hint="default" w:ascii="Times New Roman" w:hAnsi="Times New Roman" w:cs="Times New Roman"/>
                <w:color w:val="auto"/>
                <w:kern w:val="0"/>
                <w:sz w:val="24"/>
                <w:lang w:val="zh-CN" w:eastAsia="zh-CN"/>
              </w:rPr>
              <w:t>，</w:t>
            </w:r>
            <w:r>
              <w:rPr>
                <w:rFonts w:hint="default" w:ascii="Times New Roman" w:hAnsi="Times New Roman" w:cs="Times New Roman"/>
                <w:color w:val="auto"/>
                <w:kern w:val="0"/>
                <w:sz w:val="24"/>
                <w:lang w:val="zh-CN"/>
              </w:rPr>
              <w:t>危险废物在危废间内暂存，定期清理，贮存不超过</w:t>
            </w:r>
            <w:r>
              <w:rPr>
                <w:rFonts w:hint="eastAsia" w:cs="Times New Roman"/>
                <w:color w:val="auto"/>
                <w:kern w:val="0"/>
                <w:sz w:val="24"/>
                <w:lang w:val="zh-CN" w:eastAsia="zh-CN"/>
              </w:rPr>
              <w:t>半</w:t>
            </w:r>
            <w:r>
              <w:rPr>
                <w:rFonts w:hint="default" w:ascii="Times New Roman" w:hAnsi="Times New Roman" w:cs="Times New Roman"/>
                <w:color w:val="auto"/>
                <w:kern w:val="0"/>
                <w:sz w:val="24"/>
                <w:lang w:val="zh-CN"/>
              </w:rPr>
              <w:t>年</w:t>
            </w:r>
            <w:r>
              <w:rPr>
                <w:rFonts w:hint="default" w:ascii="Times New Roman" w:hAnsi="Times New Roman" w:cs="Times New Roman"/>
                <w:color w:val="auto"/>
                <w:kern w:val="0"/>
                <w:sz w:val="24"/>
                <w:lang w:val="zh-CN" w:eastAsia="zh-CN"/>
              </w:rPr>
              <w:t>。</w:t>
            </w:r>
            <w:r>
              <w:rPr>
                <w:rFonts w:hint="eastAsia" w:cs="Times New Roman"/>
                <w:color w:val="auto"/>
                <w:kern w:val="0"/>
                <w:sz w:val="24"/>
                <w:lang w:val="zh-CN" w:eastAsia="zh-CN"/>
              </w:rPr>
              <w:t>危废间的建设严格按照相关技术规范进行：</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lang w:val="zh-CN"/>
              </w:rPr>
            </w:pPr>
            <w:r>
              <w:rPr>
                <w:rFonts w:hint="eastAsia" w:cs="Times New Roman"/>
                <w:color w:val="auto"/>
                <w:kern w:val="0"/>
                <w:sz w:val="24"/>
                <w:lang w:val="en-US" w:eastAsia="zh-CN"/>
              </w:rPr>
              <w:t>①</w:t>
            </w:r>
            <w:r>
              <w:rPr>
                <w:rFonts w:hint="default" w:ascii="Times New Roman" w:hAnsi="Times New Roman" w:cs="Times New Roman"/>
                <w:color w:val="auto"/>
                <w:kern w:val="0"/>
                <w:sz w:val="24"/>
                <w:lang w:val="zh-CN"/>
              </w:rPr>
              <w:t>危废暂存库要严格按照《危险废物贮存污染控制标准》（GB18597-2001）及修改单要求进行防渗工程设计施工，并配备消防设备。</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lang w:val="zh-CN"/>
              </w:rPr>
            </w:pPr>
            <w:r>
              <w:rPr>
                <w:rFonts w:hint="eastAsia" w:cs="Times New Roman"/>
                <w:color w:val="auto"/>
                <w:kern w:val="0"/>
                <w:sz w:val="24"/>
                <w:lang w:val="en-US" w:eastAsia="zh-CN"/>
              </w:rPr>
              <w:t>②</w:t>
            </w:r>
            <w:r>
              <w:rPr>
                <w:rFonts w:hint="default" w:ascii="Times New Roman" w:hAnsi="Times New Roman" w:cs="Times New Roman"/>
                <w:color w:val="auto"/>
                <w:kern w:val="0"/>
                <w:sz w:val="24"/>
                <w:lang w:val="zh-CN"/>
              </w:rPr>
              <w:t>存储容器做到防腐、防漏，暂存于危废暂存间，设置危险废物标识。</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lang w:val="zh-CN"/>
              </w:rPr>
            </w:pPr>
            <w:r>
              <w:rPr>
                <w:rFonts w:hint="eastAsia" w:cs="Times New Roman"/>
                <w:color w:val="auto"/>
                <w:kern w:val="0"/>
                <w:sz w:val="24"/>
                <w:lang w:val="en-US" w:eastAsia="zh-CN"/>
              </w:rPr>
              <w:t>③</w:t>
            </w:r>
            <w:r>
              <w:rPr>
                <w:rFonts w:hint="default" w:ascii="Times New Roman" w:hAnsi="Times New Roman" w:cs="Times New Roman"/>
                <w:color w:val="auto"/>
                <w:kern w:val="0"/>
                <w:sz w:val="24"/>
                <w:lang w:val="zh-CN"/>
              </w:rPr>
              <w:t>根据《挥发性有机物无组织排放控制标准》（GB37822-2019）10.4要求对危险废物设置专人管理和登记，建立危险废物储存台账，如实记录危险废物储存和处理情况，台账保存期限不小于3年。</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lang w:val="zh-CN"/>
              </w:rPr>
            </w:pPr>
            <w:r>
              <w:rPr>
                <w:rFonts w:hint="eastAsia" w:cs="Times New Roman"/>
                <w:color w:val="auto"/>
                <w:kern w:val="0"/>
                <w:sz w:val="24"/>
                <w:lang w:val="en-US" w:eastAsia="zh-CN"/>
              </w:rPr>
              <w:t>④</w:t>
            </w:r>
            <w:r>
              <w:rPr>
                <w:rFonts w:hint="default" w:ascii="Times New Roman" w:hAnsi="Times New Roman" w:cs="Times New Roman"/>
                <w:color w:val="auto"/>
                <w:kern w:val="0"/>
                <w:sz w:val="24"/>
                <w:lang w:val="zh-CN"/>
              </w:rPr>
              <w:t>危险废物定期由有资质单位负责转运处理，企业不得私自转运。转移严格按照《危险废物转移联单管理办法》的相关要求执行。</w:t>
            </w:r>
          </w:p>
          <w:p>
            <w:pPr>
              <w:spacing w:line="360" w:lineRule="auto"/>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五</w:t>
            </w:r>
            <w:r>
              <w:rPr>
                <w:rFonts w:hint="default" w:ascii="Times New Roman" w:hAnsi="Times New Roman" w:eastAsia="黑体" w:cs="Times New Roman"/>
                <w:b w:val="0"/>
                <w:bCs w:val="0"/>
                <w:color w:val="auto"/>
                <w:sz w:val="24"/>
                <w:szCs w:val="24"/>
                <w:highlight w:val="none"/>
                <w:lang w:val="en-US" w:eastAsia="zh-CN"/>
              </w:rPr>
              <w:t>、地下水、土壤</w:t>
            </w:r>
          </w:p>
          <w:p>
            <w:pPr>
              <w:spacing w:line="360" w:lineRule="auto"/>
              <w:ind w:firstLine="480" w:firstLineChars="200"/>
              <w:rPr>
                <w:rFonts w:hint="default" w:ascii="Times New Roman" w:hAnsi="Times New Roman" w:eastAsia="黑体" w:cs="Times New Roman"/>
                <w:b w:val="0"/>
                <w:bCs w:val="0"/>
                <w:color w:val="auto"/>
                <w:sz w:val="24"/>
                <w:szCs w:val="24"/>
                <w:highlight w:val="none"/>
                <w:lang w:val="zh-CN" w:eastAsia="zh-CN"/>
              </w:rPr>
            </w:pPr>
            <w:r>
              <w:rPr>
                <w:rFonts w:hint="eastAsia" w:ascii="Times New Roman" w:hAnsi="Times New Roman" w:eastAsia="黑体" w:cs="Times New Roman"/>
                <w:b w:val="0"/>
                <w:bCs w:val="0"/>
                <w:color w:val="auto"/>
                <w:sz w:val="24"/>
                <w:szCs w:val="24"/>
                <w:highlight w:val="none"/>
                <w:lang w:val="zh-CN" w:eastAsia="zh-CN"/>
              </w:rPr>
              <w:t>1、</w:t>
            </w:r>
            <w:r>
              <w:rPr>
                <w:rFonts w:hint="default" w:ascii="Times New Roman" w:hAnsi="Times New Roman" w:eastAsia="黑体" w:cs="Times New Roman"/>
                <w:b w:val="0"/>
                <w:bCs w:val="0"/>
                <w:color w:val="auto"/>
                <w:sz w:val="24"/>
                <w:szCs w:val="24"/>
                <w:highlight w:val="none"/>
                <w:lang w:val="zh-CN" w:eastAsia="zh-CN"/>
              </w:rPr>
              <w:t>污染源、类型及途径</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lang w:val="zh-CN"/>
              </w:rPr>
            </w:pPr>
            <w:r>
              <w:rPr>
                <w:rFonts w:hint="eastAsia" w:ascii="Times New Roman" w:hAnsi="Times New Roman" w:eastAsia="宋体" w:cs="Times New Roman"/>
                <w:color w:val="auto"/>
                <w:kern w:val="0"/>
                <w:sz w:val="24"/>
                <w:lang w:val="zh-CN"/>
              </w:rPr>
              <w:t>本项目对地下水可能造成的污染途径主要是储罐区、装卸车区等区域的渗漏引起的地下水污染。本项目属于污染影响型建设项目，土壤影响途径主要为运营期的大气沉降和垂直入渗。</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lang w:val="zh-CN"/>
              </w:rPr>
            </w:pPr>
            <w:r>
              <w:rPr>
                <w:rFonts w:hint="default" w:ascii="Times New Roman" w:hAnsi="Times New Roman" w:eastAsia="宋体" w:cs="Times New Roman"/>
                <w:color w:val="auto"/>
                <w:kern w:val="0"/>
                <w:sz w:val="24"/>
                <w:lang w:val="zh-CN"/>
              </w:rPr>
              <w:t>项目运营后对地下水和土壤污染源、污染物类型和污染途径详见</w:t>
            </w:r>
            <w:r>
              <w:rPr>
                <w:rFonts w:hint="eastAsia" w:ascii="Times New Roman" w:hAnsi="Times New Roman" w:eastAsia="宋体" w:cs="Times New Roman"/>
                <w:color w:val="auto"/>
                <w:kern w:val="0"/>
                <w:sz w:val="24"/>
                <w:lang w:val="zh-CN"/>
              </w:rPr>
              <w:t>下表</w:t>
            </w:r>
            <w:r>
              <w:rPr>
                <w:rFonts w:hint="default" w:ascii="Times New Roman" w:hAnsi="Times New Roman" w:eastAsia="宋体" w:cs="Times New Roman"/>
                <w:color w:val="auto"/>
                <w:kern w:val="0"/>
                <w:sz w:val="24"/>
                <w:lang w:val="zh-CN"/>
              </w:rPr>
              <w:t>。</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w:t>
            </w:r>
            <w:r>
              <w:rPr>
                <w:rFonts w:hint="eastAsia" w:ascii="Times New Roman" w:hAnsi="Times New Roman" w:eastAsia="黑体" w:cs="Times New Roman"/>
                <w:b w:val="0"/>
                <w:bCs w:val="0"/>
                <w:color w:val="auto"/>
                <w:kern w:val="0"/>
                <w:sz w:val="24"/>
                <w:szCs w:val="24"/>
                <w:lang w:val="en-US" w:eastAsia="zh-CN"/>
              </w:rPr>
              <w:t>4-2</w:t>
            </w:r>
            <w:r>
              <w:rPr>
                <w:rFonts w:hint="eastAsia" w:eastAsia="黑体" w:cs="Times New Roman"/>
                <w:b w:val="0"/>
                <w:bCs w:val="0"/>
                <w:color w:val="auto"/>
                <w:kern w:val="0"/>
                <w:sz w:val="24"/>
                <w:szCs w:val="24"/>
                <w:lang w:val="en-US" w:eastAsia="zh-CN"/>
              </w:rPr>
              <w:t>3</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lang w:val="en-US" w:eastAsia="zh-CN"/>
              </w:rPr>
              <w:t>项目地下水、土壤污染源、类型及途径一览表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1"/>
              <w:gridCol w:w="1374"/>
              <w:gridCol w:w="1325"/>
              <w:gridCol w:w="1833"/>
              <w:gridCol w:w="1657"/>
              <w:gridCol w:w="10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38" w:type="pct"/>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污染源</w:t>
                  </w:r>
                </w:p>
              </w:tc>
              <w:tc>
                <w:tcPr>
                  <w:tcW w:w="810" w:type="pct"/>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污染途径</w:t>
                  </w:r>
                </w:p>
              </w:tc>
              <w:tc>
                <w:tcPr>
                  <w:tcW w:w="781" w:type="pct"/>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污染物类型</w:t>
                  </w:r>
                </w:p>
              </w:tc>
              <w:tc>
                <w:tcPr>
                  <w:tcW w:w="1081" w:type="pct"/>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地下水特征因子</w:t>
                  </w:r>
                </w:p>
              </w:tc>
              <w:tc>
                <w:tcPr>
                  <w:tcW w:w="977" w:type="pct"/>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土壤特征因子</w:t>
                  </w:r>
                </w:p>
              </w:tc>
              <w:tc>
                <w:tcPr>
                  <w:tcW w:w="610" w:type="pct"/>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pct"/>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储罐区、装卸车区</w:t>
                  </w:r>
                </w:p>
              </w:tc>
              <w:tc>
                <w:tcPr>
                  <w:tcW w:w="810" w:type="pct"/>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大气沉降和垂直入渗</w:t>
                  </w:r>
                </w:p>
              </w:tc>
              <w:tc>
                <w:tcPr>
                  <w:tcW w:w="781" w:type="pct"/>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VOCs、石油类</w:t>
                  </w:r>
                </w:p>
              </w:tc>
              <w:tc>
                <w:tcPr>
                  <w:tcW w:w="1081" w:type="pct"/>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石油类、</w:t>
                  </w:r>
                  <w:r>
                    <w:rPr>
                      <w:rFonts w:hint="default" w:ascii="Times New Roman" w:hAnsi="Times New Roman" w:eastAsia="宋体" w:cs="Times New Roman"/>
                      <w:i w:val="0"/>
                      <w:color w:val="auto"/>
                      <w:spacing w:val="-11"/>
                      <w:kern w:val="0"/>
                      <w:sz w:val="21"/>
                      <w:szCs w:val="21"/>
                      <w:u w:val="none"/>
                      <w:lang w:val="en-US" w:eastAsia="zh-CN" w:bidi="ar"/>
                    </w:rPr>
                    <w:t>石油烃（C</w:t>
                  </w:r>
                  <w:r>
                    <w:rPr>
                      <w:rFonts w:hint="eastAsia" w:ascii="Times New Roman" w:hAnsi="Times New Roman" w:eastAsia="宋体" w:cs="Times New Roman"/>
                      <w:i w:val="0"/>
                      <w:color w:val="auto"/>
                      <w:spacing w:val="-11"/>
                      <w:kern w:val="0"/>
                      <w:sz w:val="21"/>
                      <w:szCs w:val="21"/>
                      <w:u w:val="none"/>
                      <w:vertAlign w:val="subscript"/>
                      <w:lang w:val="en-US" w:eastAsia="zh-CN" w:bidi="ar"/>
                    </w:rPr>
                    <w:t>6</w:t>
                  </w:r>
                  <w:r>
                    <w:rPr>
                      <w:rFonts w:hint="default" w:ascii="Times New Roman" w:hAnsi="Times New Roman" w:eastAsia="宋体" w:cs="Times New Roman"/>
                      <w:i w:val="0"/>
                      <w:color w:val="auto"/>
                      <w:spacing w:val="-11"/>
                      <w:kern w:val="0"/>
                      <w:sz w:val="21"/>
                      <w:szCs w:val="21"/>
                      <w:u w:val="none"/>
                      <w:lang w:val="en-US" w:eastAsia="zh-CN" w:bidi="ar"/>
                    </w:rPr>
                    <w:t>-C</w:t>
                  </w:r>
                  <w:r>
                    <w:rPr>
                      <w:rFonts w:hint="eastAsia" w:ascii="Times New Roman" w:hAnsi="Times New Roman" w:eastAsia="宋体" w:cs="Times New Roman"/>
                      <w:i w:val="0"/>
                      <w:color w:val="auto"/>
                      <w:spacing w:val="-11"/>
                      <w:kern w:val="0"/>
                      <w:sz w:val="21"/>
                      <w:szCs w:val="21"/>
                      <w:u w:val="none"/>
                      <w:vertAlign w:val="subscript"/>
                      <w:lang w:val="en-US" w:eastAsia="zh-CN" w:bidi="ar"/>
                    </w:rPr>
                    <w:t>9</w:t>
                  </w:r>
                  <w:r>
                    <w:rPr>
                      <w:rFonts w:hint="default" w:ascii="Times New Roman" w:hAnsi="Times New Roman" w:eastAsia="宋体" w:cs="Times New Roman"/>
                      <w:i w:val="0"/>
                      <w:color w:val="auto"/>
                      <w:spacing w:val="-11"/>
                      <w:kern w:val="0"/>
                      <w:sz w:val="21"/>
                      <w:szCs w:val="21"/>
                      <w:u w:val="none"/>
                      <w:lang w:val="en-US" w:eastAsia="zh-CN" w:bidi="ar"/>
                    </w:rPr>
                    <w:t>）</w:t>
                  </w:r>
                  <w:r>
                    <w:rPr>
                      <w:rFonts w:hint="eastAsia" w:ascii="Times New Roman" w:hAnsi="Times New Roman" w:eastAsia="宋体" w:cs="Times New Roman"/>
                      <w:i w:val="0"/>
                      <w:color w:val="auto"/>
                      <w:spacing w:val="-11"/>
                      <w:kern w:val="0"/>
                      <w:sz w:val="21"/>
                      <w:szCs w:val="21"/>
                      <w:u w:val="none"/>
                      <w:lang w:val="en-US" w:eastAsia="zh-CN" w:bidi="ar"/>
                    </w:rPr>
                    <w:t>、</w:t>
                  </w:r>
                  <w:r>
                    <w:rPr>
                      <w:rFonts w:hint="default" w:ascii="Times New Roman" w:hAnsi="Times New Roman" w:eastAsia="宋体" w:cs="Times New Roman"/>
                      <w:i w:val="0"/>
                      <w:color w:val="auto"/>
                      <w:spacing w:val="-11"/>
                      <w:kern w:val="0"/>
                      <w:sz w:val="21"/>
                      <w:szCs w:val="21"/>
                      <w:u w:val="none"/>
                      <w:lang w:val="en-US" w:eastAsia="zh-CN" w:bidi="ar"/>
                    </w:rPr>
                    <w:t>石油烃（C</w:t>
                  </w:r>
                  <w:r>
                    <w:rPr>
                      <w:rFonts w:hint="eastAsia" w:ascii="Times New Roman" w:hAnsi="Times New Roman" w:eastAsia="宋体" w:cs="Times New Roman"/>
                      <w:i w:val="0"/>
                      <w:color w:val="auto"/>
                      <w:spacing w:val="-11"/>
                      <w:kern w:val="0"/>
                      <w:sz w:val="21"/>
                      <w:szCs w:val="21"/>
                      <w:u w:val="none"/>
                      <w:vertAlign w:val="subscript"/>
                      <w:lang w:val="en-US" w:eastAsia="zh-CN" w:bidi="ar"/>
                    </w:rPr>
                    <w:t>10</w:t>
                  </w:r>
                  <w:r>
                    <w:rPr>
                      <w:rFonts w:hint="default" w:ascii="Times New Roman" w:hAnsi="Times New Roman" w:eastAsia="宋体" w:cs="Times New Roman"/>
                      <w:i w:val="0"/>
                      <w:color w:val="auto"/>
                      <w:spacing w:val="-11"/>
                      <w:kern w:val="0"/>
                      <w:sz w:val="21"/>
                      <w:szCs w:val="21"/>
                      <w:u w:val="none"/>
                      <w:lang w:val="en-US" w:eastAsia="zh-CN" w:bidi="ar"/>
                    </w:rPr>
                    <w:t>-C</w:t>
                  </w:r>
                  <w:r>
                    <w:rPr>
                      <w:rFonts w:hint="eastAsia" w:ascii="Times New Roman" w:hAnsi="Times New Roman" w:eastAsia="宋体" w:cs="Times New Roman"/>
                      <w:i w:val="0"/>
                      <w:color w:val="auto"/>
                      <w:spacing w:val="-11"/>
                      <w:kern w:val="0"/>
                      <w:sz w:val="21"/>
                      <w:szCs w:val="21"/>
                      <w:u w:val="none"/>
                      <w:vertAlign w:val="subscript"/>
                      <w:lang w:val="en-US" w:eastAsia="zh-CN" w:bidi="ar"/>
                    </w:rPr>
                    <w:t>40</w:t>
                  </w:r>
                  <w:r>
                    <w:rPr>
                      <w:rFonts w:hint="default" w:ascii="Times New Roman" w:hAnsi="Times New Roman" w:eastAsia="宋体" w:cs="Times New Roman"/>
                      <w:i w:val="0"/>
                      <w:color w:val="auto"/>
                      <w:spacing w:val="-11"/>
                      <w:kern w:val="0"/>
                      <w:sz w:val="21"/>
                      <w:szCs w:val="21"/>
                      <w:u w:val="none"/>
                      <w:lang w:val="en-US" w:eastAsia="zh-CN" w:bidi="ar"/>
                    </w:rPr>
                    <w:t>）</w:t>
                  </w:r>
                </w:p>
              </w:tc>
              <w:tc>
                <w:tcPr>
                  <w:tcW w:w="977" w:type="pct"/>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石油类、</w:t>
                  </w:r>
                  <w:r>
                    <w:rPr>
                      <w:rFonts w:hint="default" w:ascii="Times New Roman" w:hAnsi="Times New Roman" w:eastAsia="宋体" w:cs="Times New Roman"/>
                      <w:i w:val="0"/>
                      <w:color w:val="auto"/>
                      <w:spacing w:val="-11"/>
                      <w:kern w:val="0"/>
                      <w:sz w:val="21"/>
                      <w:szCs w:val="21"/>
                      <w:u w:val="none"/>
                      <w:lang w:val="en-US" w:eastAsia="zh-CN" w:bidi="ar"/>
                    </w:rPr>
                    <w:t>石油烃（C</w:t>
                  </w:r>
                  <w:r>
                    <w:rPr>
                      <w:rFonts w:hint="eastAsia" w:ascii="Times New Roman" w:hAnsi="Times New Roman" w:eastAsia="宋体" w:cs="Times New Roman"/>
                      <w:i w:val="0"/>
                      <w:color w:val="auto"/>
                      <w:spacing w:val="-11"/>
                      <w:kern w:val="0"/>
                      <w:sz w:val="21"/>
                      <w:szCs w:val="21"/>
                      <w:u w:val="none"/>
                      <w:vertAlign w:val="subscript"/>
                      <w:lang w:val="en-US" w:eastAsia="zh-CN" w:bidi="ar"/>
                    </w:rPr>
                    <w:t>6</w:t>
                  </w:r>
                  <w:r>
                    <w:rPr>
                      <w:rFonts w:hint="default" w:ascii="Times New Roman" w:hAnsi="Times New Roman" w:eastAsia="宋体" w:cs="Times New Roman"/>
                      <w:i w:val="0"/>
                      <w:color w:val="auto"/>
                      <w:spacing w:val="-11"/>
                      <w:kern w:val="0"/>
                      <w:sz w:val="21"/>
                      <w:szCs w:val="21"/>
                      <w:u w:val="none"/>
                      <w:lang w:val="en-US" w:eastAsia="zh-CN" w:bidi="ar"/>
                    </w:rPr>
                    <w:t>-C</w:t>
                  </w:r>
                  <w:r>
                    <w:rPr>
                      <w:rFonts w:hint="eastAsia" w:ascii="Times New Roman" w:hAnsi="Times New Roman" w:eastAsia="宋体" w:cs="Times New Roman"/>
                      <w:i w:val="0"/>
                      <w:color w:val="auto"/>
                      <w:spacing w:val="-11"/>
                      <w:kern w:val="0"/>
                      <w:sz w:val="21"/>
                      <w:szCs w:val="21"/>
                      <w:u w:val="none"/>
                      <w:vertAlign w:val="subscript"/>
                      <w:lang w:val="en-US" w:eastAsia="zh-CN" w:bidi="ar"/>
                    </w:rPr>
                    <w:t>9</w:t>
                  </w:r>
                  <w:r>
                    <w:rPr>
                      <w:rFonts w:hint="default" w:ascii="Times New Roman" w:hAnsi="Times New Roman" w:eastAsia="宋体" w:cs="Times New Roman"/>
                      <w:i w:val="0"/>
                      <w:color w:val="auto"/>
                      <w:spacing w:val="-11"/>
                      <w:kern w:val="0"/>
                      <w:sz w:val="21"/>
                      <w:szCs w:val="21"/>
                      <w:u w:val="none"/>
                      <w:lang w:val="en-US" w:eastAsia="zh-CN" w:bidi="ar"/>
                    </w:rPr>
                    <w:t>）</w:t>
                  </w:r>
                  <w:r>
                    <w:rPr>
                      <w:rFonts w:hint="eastAsia" w:ascii="Times New Roman" w:hAnsi="Times New Roman" w:eastAsia="宋体" w:cs="Times New Roman"/>
                      <w:i w:val="0"/>
                      <w:color w:val="auto"/>
                      <w:spacing w:val="-11"/>
                      <w:kern w:val="0"/>
                      <w:sz w:val="21"/>
                      <w:szCs w:val="21"/>
                      <w:u w:val="none"/>
                      <w:lang w:val="en-US" w:eastAsia="zh-CN" w:bidi="ar"/>
                    </w:rPr>
                    <w:t>、</w:t>
                  </w:r>
                  <w:r>
                    <w:rPr>
                      <w:rFonts w:hint="default" w:ascii="Times New Roman" w:hAnsi="Times New Roman" w:eastAsia="宋体" w:cs="Times New Roman"/>
                      <w:i w:val="0"/>
                      <w:color w:val="auto"/>
                      <w:spacing w:val="-11"/>
                      <w:kern w:val="0"/>
                      <w:sz w:val="21"/>
                      <w:szCs w:val="21"/>
                      <w:u w:val="none"/>
                      <w:lang w:val="en-US" w:eastAsia="zh-CN" w:bidi="ar"/>
                    </w:rPr>
                    <w:t>石油烃（C</w:t>
                  </w:r>
                  <w:r>
                    <w:rPr>
                      <w:rFonts w:hint="eastAsia" w:ascii="Times New Roman" w:hAnsi="Times New Roman" w:eastAsia="宋体" w:cs="Times New Roman"/>
                      <w:i w:val="0"/>
                      <w:color w:val="auto"/>
                      <w:spacing w:val="-11"/>
                      <w:kern w:val="0"/>
                      <w:sz w:val="21"/>
                      <w:szCs w:val="21"/>
                      <w:u w:val="none"/>
                      <w:vertAlign w:val="subscript"/>
                      <w:lang w:val="en-US" w:eastAsia="zh-CN" w:bidi="ar"/>
                    </w:rPr>
                    <w:t>10</w:t>
                  </w:r>
                  <w:r>
                    <w:rPr>
                      <w:rFonts w:hint="default" w:ascii="Times New Roman" w:hAnsi="Times New Roman" w:eastAsia="宋体" w:cs="Times New Roman"/>
                      <w:i w:val="0"/>
                      <w:color w:val="auto"/>
                      <w:spacing w:val="-11"/>
                      <w:kern w:val="0"/>
                      <w:sz w:val="21"/>
                      <w:szCs w:val="21"/>
                      <w:u w:val="none"/>
                      <w:lang w:val="en-US" w:eastAsia="zh-CN" w:bidi="ar"/>
                    </w:rPr>
                    <w:t>-C</w:t>
                  </w:r>
                  <w:r>
                    <w:rPr>
                      <w:rFonts w:hint="eastAsia" w:ascii="Times New Roman" w:hAnsi="Times New Roman" w:eastAsia="宋体" w:cs="Times New Roman"/>
                      <w:i w:val="0"/>
                      <w:color w:val="auto"/>
                      <w:spacing w:val="-11"/>
                      <w:kern w:val="0"/>
                      <w:sz w:val="21"/>
                      <w:szCs w:val="21"/>
                      <w:u w:val="none"/>
                      <w:vertAlign w:val="subscript"/>
                      <w:lang w:val="en-US" w:eastAsia="zh-CN" w:bidi="ar"/>
                    </w:rPr>
                    <w:t>40</w:t>
                  </w:r>
                  <w:r>
                    <w:rPr>
                      <w:rFonts w:hint="default" w:ascii="Times New Roman" w:hAnsi="Times New Roman" w:eastAsia="宋体" w:cs="Times New Roman"/>
                      <w:i w:val="0"/>
                      <w:color w:val="auto"/>
                      <w:spacing w:val="-11"/>
                      <w:kern w:val="0"/>
                      <w:sz w:val="21"/>
                      <w:szCs w:val="21"/>
                      <w:u w:val="none"/>
                      <w:lang w:val="en-US" w:eastAsia="zh-CN" w:bidi="ar"/>
                    </w:rPr>
                    <w:t>）</w:t>
                  </w:r>
                </w:p>
              </w:tc>
              <w:tc>
                <w:tcPr>
                  <w:tcW w:w="610" w:type="pct"/>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间断排放</w:t>
                  </w:r>
                </w:p>
              </w:tc>
            </w:tr>
          </w:tbl>
          <w:p>
            <w:pPr>
              <w:spacing w:line="360" w:lineRule="auto"/>
              <w:ind w:firstLine="480" w:firstLineChars="200"/>
              <w:rPr>
                <w:rFonts w:hint="default" w:ascii="Times New Roman" w:hAnsi="Times New Roman" w:eastAsia="黑体" w:cs="Times New Roman"/>
                <w:b w:val="0"/>
                <w:bCs w:val="0"/>
                <w:color w:val="auto"/>
                <w:sz w:val="24"/>
                <w:szCs w:val="24"/>
                <w:highlight w:val="none"/>
                <w:lang w:val="zh-CN" w:eastAsia="zh-CN"/>
              </w:rPr>
            </w:pPr>
            <w:r>
              <w:rPr>
                <w:rFonts w:hint="default" w:ascii="Times New Roman" w:hAnsi="Times New Roman" w:eastAsia="黑体" w:cs="Times New Roman"/>
                <w:b w:val="0"/>
                <w:bCs w:val="0"/>
                <w:color w:val="auto"/>
                <w:sz w:val="24"/>
                <w:szCs w:val="24"/>
                <w:highlight w:val="none"/>
                <w:lang w:val="zh-CN" w:eastAsia="zh-CN"/>
              </w:rPr>
              <w:t>2</w:t>
            </w:r>
            <w:r>
              <w:rPr>
                <w:rFonts w:hint="eastAsia" w:ascii="Times New Roman" w:hAnsi="Times New Roman" w:eastAsia="黑体" w:cs="Times New Roman"/>
                <w:b w:val="0"/>
                <w:bCs w:val="0"/>
                <w:color w:val="auto"/>
                <w:sz w:val="24"/>
                <w:szCs w:val="24"/>
                <w:highlight w:val="none"/>
                <w:lang w:val="zh-CN" w:eastAsia="zh-CN"/>
              </w:rPr>
              <w:t>、</w:t>
            </w:r>
            <w:r>
              <w:rPr>
                <w:rFonts w:hint="default" w:ascii="Times New Roman" w:hAnsi="Times New Roman" w:eastAsia="黑体" w:cs="Times New Roman"/>
                <w:b w:val="0"/>
                <w:bCs w:val="0"/>
                <w:color w:val="auto"/>
                <w:sz w:val="24"/>
                <w:szCs w:val="24"/>
                <w:highlight w:val="none"/>
                <w:lang w:val="zh-CN" w:eastAsia="zh-CN"/>
              </w:rPr>
              <w:t>分区防控措施</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w:t>
            </w:r>
            <w:r>
              <w:rPr>
                <w:rFonts w:hint="eastAsia" w:ascii="Times New Roman" w:hAnsi="Times New Roman" w:eastAsia="黑体" w:cs="Times New Roman"/>
                <w:b w:val="0"/>
                <w:bCs w:val="0"/>
                <w:color w:val="auto"/>
                <w:kern w:val="0"/>
                <w:sz w:val="24"/>
                <w:szCs w:val="24"/>
                <w:lang w:val="en-US" w:eastAsia="zh-CN"/>
              </w:rPr>
              <w:t>4-24 项目污染区划分及防渗等级一览表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7"/>
              <w:gridCol w:w="3619"/>
              <w:gridCol w:w="32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54"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厂内分区</w:t>
                  </w:r>
                </w:p>
              </w:tc>
              <w:tc>
                <w:tcPr>
                  <w:tcW w:w="2135"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防渗处理措施</w:t>
                  </w:r>
                </w:p>
              </w:tc>
              <w:tc>
                <w:tcPr>
                  <w:tcW w:w="1911"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防渗等级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4"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罐区、危废间</w:t>
                  </w:r>
                </w:p>
              </w:tc>
              <w:tc>
                <w:tcPr>
                  <w:tcW w:w="2135"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bidi w:val="0"/>
                    <w:spacing w:line="240" w:lineRule="auto"/>
                    <w:ind w:left="0" w:leftChars="0" w:right="0" w:rightChars="0" w:firstLine="0" w:firstLineChars="0"/>
                    <w:jc w:val="left"/>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150厚碎石夯入土中+80厚C15混凝土垫层+C25抗渗合成纤维混凝土面层100mm，掺YP-A高延展高强度复合阻裂纤维2.0kg/m3+水泥浆一道+20厚细石混凝土抹平+40厚C20不发火细石混凝土</w:t>
                  </w:r>
                </w:p>
              </w:tc>
              <w:tc>
                <w:tcPr>
                  <w:tcW w:w="1911" w:type="pct"/>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重点防渗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4"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bookmarkStart w:id="15" w:name="_Hlk120093207"/>
                  <w:r>
                    <w:rPr>
                      <w:rFonts w:hint="eastAsia" w:ascii="TimesNewRomanPSMT" w:hAnsi="TimesNewRomanPSMT" w:eastAsia="宋体" w:cs="TimesNewRomanPSMT"/>
                      <w:b w:val="0"/>
                      <w:bCs w:val="0"/>
                      <w:i w:val="0"/>
                      <w:iCs w:val="0"/>
                      <w:color w:val="auto"/>
                      <w:sz w:val="22"/>
                      <w:szCs w:val="22"/>
                      <w:lang w:val="en-US" w:eastAsia="zh-CN"/>
                    </w:rPr>
                    <w:t>污水处理站</w:t>
                  </w:r>
                </w:p>
              </w:tc>
              <w:tc>
                <w:tcPr>
                  <w:tcW w:w="2135"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bidi w:val="0"/>
                    <w:spacing w:line="240" w:lineRule="auto"/>
                    <w:ind w:left="0" w:leftChars="0" w:right="0" w:rightChars="0" w:firstLine="0" w:firstLineChars="0"/>
                    <w:jc w:val="left"/>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采用混凝土自防水等级为S6，同时凡水池底板面、外壁墙内侧面及地下水位以下的外侧面均批1∶2水泥防水砂浆（厚20mm）。</w:t>
                  </w:r>
                </w:p>
                <w:p>
                  <w:pPr>
                    <w:keepNext w:val="0"/>
                    <w:keepLines w:val="0"/>
                    <w:pageBreakBefore w:val="0"/>
                    <w:kinsoku/>
                    <w:wordWrap/>
                    <w:overflowPunct/>
                    <w:topLinePunct w:val="0"/>
                    <w:bidi w:val="0"/>
                    <w:spacing w:line="240" w:lineRule="auto"/>
                    <w:ind w:left="0" w:leftChars="0" w:right="0" w:rightChars="0" w:firstLine="0" w:firstLineChars="0"/>
                    <w:jc w:val="left"/>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对构筑物的防渗，通过增加砼的密实度、控制水灰比，确保钢筋保护层厚度等环节实现。</w:t>
                  </w:r>
                </w:p>
              </w:tc>
              <w:tc>
                <w:tcPr>
                  <w:tcW w:w="1911" w:type="pct"/>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重点防渗</w:t>
                  </w:r>
                </w:p>
              </w:tc>
            </w:tr>
            <w:bookmarkEnd w:id="15"/>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954"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装卸车区</w:t>
                  </w:r>
                </w:p>
              </w:tc>
              <w:tc>
                <w:tcPr>
                  <w:tcW w:w="2135"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bidi w:val="0"/>
                    <w:spacing w:line="240" w:lineRule="auto"/>
                    <w:ind w:left="0" w:leftChars="0" w:right="0" w:rightChars="0" w:firstLine="0" w:firstLineChars="0"/>
                    <w:jc w:val="left"/>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200mm灰土+150mm水稳+200mmC30砼</w:t>
                  </w:r>
                </w:p>
              </w:tc>
              <w:tc>
                <w:tcPr>
                  <w:tcW w:w="1911" w:type="pct"/>
                  <w:tcBorders>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一般防渗要求</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auto"/>
                <w:kern w:val="0"/>
                <w:sz w:val="24"/>
                <w:lang w:val="zh-CN"/>
              </w:rPr>
            </w:pPr>
            <w:r>
              <w:rPr>
                <w:rFonts w:hint="eastAsia" w:ascii="Times New Roman" w:hAnsi="Times New Roman" w:eastAsia="宋体" w:cs="Times New Roman"/>
                <w:color w:val="auto"/>
                <w:kern w:val="0"/>
                <w:sz w:val="24"/>
                <w:lang w:val="zh-CN"/>
              </w:rPr>
              <w:t>在日常运行时应当加强罐区、危废间、污水处理站及装卸车区的防渗巡检和维护工作，确保防渗不破损。在污染防治措施到位，严格管理的前提下，本项目对项目区地下水环境的影响较小。</w:t>
            </w:r>
          </w:p>
          <w:p>
            <w:pPr>
              <w:spacing w:line="360" w:lineRule="auto"/>
              <w:ind w:firstLine="480" w:firstLineChars="200"/>
              <w:rPr>
                <w:rFonts w:hint="eastAsia" w:ascii="Times New Roman" w:hAnsi="Times New Roman" w:eastAsia="黑体" w:cs="Times New Roman"/>
                <w:b w:val="0"/>
                <w:bCs w:val="0"/>
                <w:color w:val="auto"/>
                <w:sz w:val="24"/>
                <w:szCs w:val="24"/>
                <w:highlight w:val="none"/>
                <w:lang w:val="zh-CN" w:eastAsia="zh-CN"/>
              </w:rPr>
            </w:pPr>
            <w:r>
              <w:rPr>
                <w:rFonts w:hint="eastAsia" w:ascii="Times New Roman" w:hAnsi="Times New Roman" w:eastAsia="黑体" w:cs="Times New Roman"/>
                <w:b w:val="0"/>
                <w:bCs w:val="0"/>
                <w:color w:val="auto"/>
                <w:sz w:val="24"/>
                <w:szCs w:val="24"/>
                <w:highlight w:val="none"/>
                <w:lang w:val="zh-CN" w:eastAsia="zh-CN"/>
              </w:rPr>
              <w:t>3、跟踪监测要求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auto"/>
                <w:kern w:val="0"/>
                <w:sz w:val="24"/>
                <w:lang w:val="zh-CN"/>
              </w:rPr>
            </w:pPr>
            <w:r>
              <w:rPr>
                <w:rFonts w:hint="eastAsia" w:ascii="Times New Roman" w:hAnsi="Times New Roman" w:eastAsia="宋体" w:cs="Times New Roman"/>
                <w:color w:val="auto"/>
                <w:kern w:val="0"/>
                <w:sz w:val="24"/>
                <w:lang w:val="zh-CN"/>
              </w:rPr>
              <w:t>本项目对地下水、土壤环境影响途径主要为垂直入渗，在贯彻落实上述分区防控措施的前提下，对地下水、土壤环境影响较小。</w:t>
            </w:r>
          </w:p>
          <w:p>
            <w:pPr>
              <w:pStyle w:val="75"/>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企业运营期正常工况下不需要针对地下水、土壤环境污染进行跟踪监测，必要时可参照</w:t>
            </w:r>
            <w:r>
              <w:rPr>
                <w:rFonts w:hint="eastAsia" w:ascii="Times New Roman" w:hAnsi="Times New Roman" w:eastAsia="宋体" w:cs="Times New Roman"/>
                <w:color w:val="auto"/>
                <w:kern w:val="0"/>
                <w:sz w:val="24"/>
                <w:lang w:eastAsia="zh-CN"/>
              </w:rPr>
              <w:t>《排污单位自行监测技术指南 储油库、加油站》（HJ1249-2022）</w:t>
            </w:r>
            <w:r>
              <w:rPr>
                <w:rFonts w:hint="default" w:ascii="Times New Roman" w:hAnsi="Times New Roman" w:cs="Times New Roman"/>
                <w:color w:val="auto"/>
                <w:sz w:val="24"/>
                <w:lang w:val="en-US" w:eastAsia="zh-CN"/>
              </w:rPr>
              <w:t>要求及本项目实际情况开展跟踪监测。</w:t>
            </w:r>
          </w:p>
          <w:p>
            <w:pPr>
              <w:spacing w:line="360" w:lineRule="auto"/>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六</w:t>
            </w:r>
            <w:r>
              <w:rPr>
                <w:rFonts w:hint="default" w:ascii="Times New Roman" w:hAnsi="Times New Roman" w:eastAsia="黑体" w:cs="Times New Roman"/>
                <w:b w:val="0"/>
                <w:bCs w:val="0"/>
                <w:color w:val="auto"/>
                <w:sz w:val="24"/>
                <w:szCs w:val="24"/>
                <w:highlight w:val="none"/>
                <w:lang w:val="en-US" w:eastAsia="zh-CN"/>
              </w:rPr>
              <w:t>、生态</w:t>
            </w:r>
          </w:p>
          <w:p>
            <w:pPr>
              <w:adjustRightInd w:val="0"/>
              <w:snapToGrid w:val="0"/>
              <w:spacing w:line="360" w:lineRule="auto"/>
              <w:ind w:firstLine="480" w:firstLineChars="200"/>
              <w:rPr>
                <w:rFonts w:hint="default" w:ascii="Times New Roman" w:hAnsi="Times New Roman" w:cs="Times New Roman"/>
                <w:color w:val="auto"/>
                <w:kern w:val="0"/>
                <w:sz w:val="24"/>
              </w:rPr>
            </w:pPr>
            <w:r>
              <w:rPr>
                <w:rFonts w:hint="eastAsia" w:ascii="Times New Roman" w:hAnsi="Times New Roman" w:eastAsia="宋体" w:cs="Times New Roman"/>
                <w:color w:val="auto"/>
                <w:sz w:val="24"/>
                <w:szCs w:val="24"/>
                <w:lang w:eastAsia="zh-CN"/>
              </w:rPr>
              <w:t>本项目位于</w:t>
            </w:r>
            <w:r>
              <w:rPr>
                <w:rFonts w:hint="eastAsia" w:ascii="Times New Roman" w:hAnsi="Times New Roman" w:eastAsia="宋体" w:cs="Times New Roman"/>
                <w:color w:val="auto"/>
                <w:sz w:val="24"/>
                <w:szCs w:val="24"/>
                <w:lang w:val="en-US" w:eastAsia="zh-CN"/>
              </w:rPr>
              <w:t>原淄博正晋特钢有限公司厂区内</w:t>
            </w:r>
            <w:r>
              <w:rPr>
                <w:rFonts w:hint="eastAsia" w:ascii="Times New Roman" w:hAnsi="Times New Roman" w:eastAsia="宋体" w:cs="Times New Roman"/>
                <w:color w:val="auto"/>
                <w:sz w:val="24"/>
                <w:szCs w:val="24"/>
                <w:lang w:eastAsia="zh-CN"/>
              </w:rPr>
              <w:t>，不属于产业园区外建设项目新增用地且用地范围内含有生态环境保护目标的情况，无需开展生态现状调查。</w:t>
            </w:r>
          </w:p>
          <w:p>
            <w:pPr>
              <w:spacing w:line="360" w:lineRule="auto"/>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七</w:t>
            </w:r>
            <w:r>
              <w:rPr>
                <w:rFonts w:hint="default" w:ascii="Times New Roman" w:hAnsi="Times New Roman" w:eastAsia="黑体" w:cs="Times New Roman"/>
                <w:b w:val="0"/>
                <w:bCs w:val="0"/>
                <w:color w:val="auto"/>
                <w:sz w:val="24"/>
                <w:szCs w:val="24"/>
                <w:highlight w:val="none"/>
                <w:lang w:val="en-US" w:eastAsia="zh-CN"/>
              </w:rPr>
              <w:t>、环境风险</w:t>
            </w:r>
          </w:p>
          <w:p>
            <w:pPr>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见风险评价专章。</w:t>
            </w:r>
          </w:p>
          <w:p>
            <w:pPr>
              <w:spacing w:line="360" w:lineRule="auto"/>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八</w:t>
            </w:r>
            <w:r>
              <w:rPr>
                <w:rFonts w:hint="default" w:ascii="Times New Roman" w:hAnsi="Times New Roman" w:eastAsia="黑体" w:cs="Times New Roman"/>
                <w:b w:val="0"/>
                <w:bCs w:val="0"/>
                <w:color w:val="auto"/>
                <w:sz w:val="24"/>
                <w:szCs w:val="24"/>
                <w:highlight w:val="none"/>
                <w:lang w:val="en-US" w:eastAsia="zh-CN"/>
              </w:rPr>
              <w:t>、电磁辐射</w:t>
            </w:r>
          </w:p>
          <w:p>
            <w:pPr>
              <w:keepNext w:val="0"/>
              <w:keepLines w:val="0"/>
              <w:pageBreakBefore w:val="0"/>
              <w:widowControl w:val="0"/>
              <w:tabs>
                <w:tab w:val="left" w:pos="5265"/>
              </w:tabs>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color w:val="auto"/>
                <w:kern w:val="0"/>
                <w:sz w:val="24"/>
                <w:lang w:val="zh-CN"/>
              </w:rPr>
            </w:pPr>
            <w:r>
              <w:rPr>
                <w:rFonts w:hint="default" w:ascii="Times New Roman" w:hAnsi="Times New Roman" w:cs="Times New Roman"/>
                <w:color w:val="auto"/>
                <w:kern w:val="0"/>
                <w:sz w:val="24"/>
                <w:lang w:val="zh-CN"/>
              </w:rPr>
              <w:t>本项目不属于</w:t>
            </w:r>
            <w:r>
              <w:rPr>
                <w:rFonts w:hint="default" w:ascii="Times New Roman" w:hAnsi="Times New Roman" w:cs="Times New Roman"/>
                <w:color w:val="auto"/>
                <w:sz w:val="24"/>
                <w:szCs w:val="24"/>
                <w:lang w:val="zh-CN"/>
              </w:rPr>
              <w:t>新建</w:t>
            </w:r>
            <w:r>
              <w:rPr>
                <w:rFonts w:hint="default" w:ascii="Times New Roman" w:hAnsi="Times New Roman" w:cs="Times New Roman"/>
                <w:color w:val="auto"/>
                <w:kern w:val="0"/>
                <w:sz w:val="24"/>
                <w:lang w:val="zh-CN"/>
              </w:rPr>
              <w:t>或改建、扩建广播电台、差转台、电视塔台、卫星地球上行站、雷达等电磁辐射类项目，本项目不需要分析电磁辐射对环境目标的影响。</w:t>
            </w:r>
          </w:p>
          <w:p>
            <w:pPr>
              <w:spacing w:line="360" w:lineRule="auto"/>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九</w:t>
            </w:r>
            <w:r>
              <w:rPr>
                <w:rFonts w:hint="default" w:ascii="Times New Roman" w:hAnsi="Times New Roman" w:eastAsia="黑体" w:cs="Times New Roman"/>
                <w:b w:val="0"/>
                <w:bCs w:val="0"/>
                <w:color w:val="auto"/>
                <w:sz w:val="24"/>
                <w:szCs w:val="24"/>
                <w:highlight w:val="none"/>
                <w:lang w:val="en-US" w:eastAsia="zh-CN"/>
              </w:rPr>
              <w:t>、环境影响评价制度与排污许可制度的衔接</w:t>
            </w:r>
          </w:p>
          <w:p>
            <w:pPr>
              <w:pStyle w:val="14"/>
              <w:bidi w:val="0"/>
              <w:spacing w:line="360" w:lineRule="auto"/>
              <w:ind w:firstLine="480" w:firstLineChars="200"/>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根据《控制污染物排放许可制实施方案》（国办发[2016]81号，2016年11月11日）和《关于印发&lt;排污许可证管理暂行规定&gt;的通知》（环水体[2016]186号，2016年12月23日）等文件，环境影响评价制度是建设项目的环境准入门槛，排污许可制是企事业单位生产运营期排污的法律依据，必须做好充分衔接，实现从污染预防到污染治理和排放控制的全过程监管。</w:t>
            </w:r>
          </w:p>
          <w:p>
            <w:pPr>
              <w:pStyle w:val="14"/>
              <w:bidi w:val="0"/>
              <w:spacing w:line="360" w:lineRule="auto"/>
              <w:ind w:firstLine="480" w:firstLineChars="200"/>
              <w:rPr>
                <w:rFonts w:hint="eastAsia" w:ascii="Times New Roman" w:hAnsi="Times New Roman"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本项目建成后，应根据《固定污染源排污许可分类管理名录》（2019年版）（生态环境部部令第11号）要求</w:t>
            </w:r>
            <w:r>
              <w:rPr>
                <w:rFonts w:hint="eastAsia" w:ascii="Times New Roman" w:hAnsi="Times New Roman" w:eastAsia="宋体" w:cs="Times New Roman"/>
                <w:b w:val="0"/>
                <w:bCs w:val="0"/>
                <w:color w:val="auto"/>
                <w:kern w:val="2"/>
                <w:sz w:val="24"/>
                <w:szCs w:val="24"/>
                <w:lang w:val="en-US" w:eastAsia="zh-CN" w:bidi="ar-SA"/>
              </w:rPr>
              <w:t>申领</w:t>
            </w:r>
            <w:r>
              <w:rPr>
                <w:rFonts w:hint="default" w:ascii="Times New Roman" w:hAnsi="Times New Roman" w:eastAsia="宋体" w:cs="Times New Roman"/>
                <w:b w:val="0"/>
                <w:bCs w:val="0"/>
                <w:color w:val="auto"/>
                <w:kern w:val="2"/>
                <w:sz w:val="24"/>
                <w:szCs w:val="24"/>
                <w:lang w:val="en-US" w:eastAsia="zh-CN" w:bidi="ar-SA"/>
              </w:rPr>
              <w:t>排污许可证</w:t>
            </w:r>
            <w:r>
              <w:rPr>
                <w:rFonts w:hint="eastAsia" w:ascii="Times New Roman" w:hAnsi="Times New Roman" w:cs="Times New Roman"/>
                <w:b w:val="0"/>
                <w:bCs w:val="0"/>
                <w:color w:val="auto"/>
                <w:kern w:val="2"/>
                <w:sz w:val="24"/>
                <w:szCs w:val="24"/>
                <w:lang w:val="en-US" w:eastAsia="zh-CN" w:bidi="ar-SA"/>
              </w:rPr>
              <w:t>。</w:t>
            </w:r>
          </w:p>
          <w:p>
            <w:pPr>
              <w:pStyle w:val="14"/>
              <w:bidi w:val="0"/>
              <w:spacing w:line="360" w:lineRule="auto"/>
              <w:ind w:firstLine="480" w:firstLineChars="200"/>
              <w:rPr>
                <w:rFonts w:hint="eastAsia" w:ascii="Times New Roman" w:hAnsi="Times New Roman" w:cs="Times New Roman"/>
                <w:b w:val="0"/>
                <w:bCs w:val="0"/>
                <w:color w:val="auto"/>
                <w:kern w:val="2"/>
                <w:sz w:val="24"/>
                <w:szCs w:val="24"/>
                <w:lang w:val="en-US" w:eastAsia="zh-CN" w:bidi="ar-SA"/>
              </w:rPr>
            </w:pPr>
          </w:p>
          <w:p>
            <w:pPr>
              <w:pStyle w:val="14"/>
              <w:bidi w:val="0"/>
              <w:spacing w:line="360" w:lineRule="auto"/>
              <w:ind w:firstLine="480" w:firstLineChars="200"/>
              <w:rPr>
                <w:rFonts w:hint="eastAsia" w:ascii="Times New Roman" w:hAnsi="Times New Roman" w:cs="Times New Roman"/>
                <w:b w:val="0"/>
                <w:bCs w:val="0"/>
                <w:color w:val="auto"/>
                <w:kern w:val="2"/>
                <w:sz w:val="24"/>
                <w:szCs w:val="24"/>
                <w:lang w:val="en-US" w:eastAsia="zh-CN" w:bidi="ar-SA"/>
              </w:rPr>
            </w:pPr>
          </w:p>
          <w:p>
            <w:pPr>
              <w:pStyle w:val="14"/>
              <w:bidi w:val="0"/>
              <w:spacing w:line="360" w:lineRule="auto"/>
              <w:ind w:firstLine="480" w:firstLineChars="200"/>
              <w:rPr>
                <w:rFonts w:hint="eastAsia" w:ascii="Times New Roman" w:hAnsi="Times New Roman" w:cs="Times New Roman"/>
                <w:b w:val="0"/>
                <w:bCs w:val="0"/>
                <w:color w:val="auto"/>
                <w:kern w:val="2"/>
                <w:sz w:val="24"/>
                <w:szCs w:val="24"/>
                <w:lang w:val="en-US" w:eastAsia="zh-CN" w:bidi="ar-SA"/>
              </w:rPr>
            </w:pPr>
          </w:p>
          <w:p>
            <w:pPr>
              <w:pStyle w:val="14"/>
              <w:bidi w:val="0"/>
              <w:spacing w:line="360" w:lineRule="auto"/>
              <w:ind w:firstLine="480" w:firstLineChars="200"/>
              <w:rPr>
                <w:rFonts w:hint="eastAsia" w:ascii="Times New Roman" w:hAnsi="Times New Roman" w:cs="Times New Roman"/>
                <w:b w:val="0"/>
                <w:bCs w:val="0"/>
                <w:color w:val="auto"/>
                <w:kern w:val="2"/>
                <w:sz w:val="24"/>
                <w:szCs w:val="24"/>
                <w:lang w:val="en-US" w:eastAsia="zh-CN" w:bidi="ar-SA"/>
              </w:rPr>
            </w:pPr>
          </w:p>
          <w:p>
            <w:pPr>
              <w:pStyle w:val="14"/>
              <w:bidi w:val="0"/>
              <w:spacing w:line="360" w:lineRule="auto"/>
              <w:ind w:firstLine="480" w:firstLineChars="200"/>
              <w:rPr>
                <w:rFonts w:hint="eastAsia" w:ascii="Times New Roman" w:hAnsi="Times New Roman" w:cs="Times New Roman"/>
                <w:b w:val="0"/>
                <w:bCs w:val="0"/>
                <w:color w:val="auto"/>
                <w:kern w:val="2"/>
                <w:sz w:val="24"/>
                <w:szCs w:val="24"/>
                <w:lang w:val="en-US" w:eastAsia="zh-CN" w:bidi="ar-SA"/>
              </w:rPr>
            </w:pPr>
          </w:p>
          <w:p>
            <w:pPr>
              <w:pStyle w:val="14"/>
              <w:bidi w:val="0"/>
              <w:spacing w:line="360" w:lineRule="auto"/>
              <w:rPr>
                <w:rFonts w:hint="eastAsia" w:ascii="Times New Roman" w:hAnsi="Times New Roman" w:eastAsia="宋体" w:cs="Times New Roman"/>
                <w:color w:val="auto"/>
                <w:sz w:val="28"/>
                <w:szCs w:val="28"/>
                <w:lang w:eastAsia="zh-CN"/>
              </w:rPr>
            </w:pPr>
          </w:p>
        </w:tc>
      </w:tr>
    </w:tbl>
    <w:p>
      <w:pPr>
        <w:adjustRightInd w:val="0"/>
        <w:snapToGrid w:val="0"/>
        <w:spacing w:line="360" w:lineRule="auto"/>
        <w:rPr>
          <w:rFonts w:hint="default" w:ascii="Times New Roman" w:hAnsi="Times New Roman" w:cs="Times New Roman"/>
          <w:b/>
          <w:color w:val="auto"/>
          <w:kern w:val="0"/>
          <w:sz w:val="28"/>
          <w:szCs w:val="28"/>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2"/>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五、</w:t>
      </w:r>
      <w:bookmarkStart w:id="16" w:name="_Hlk54167917"/>
      <w:r>
        <w:rPr>
          <w:rFonts w:hint="default" w:ascii="Times New Roman" w:hAnsi="Times New Roman" w:eastAsia="黑体" w:cs="Times New Roman"/>
          <w:snapToGrid w:val="0"/>
          <w:color w:val="auto"/>
          <w:sz w:val="30"/>
          <w:szCs w:val="30"/>
          <w:highlight w:val="none"/>
        </w:rPr>
        <w:t>环境保护措施监督检查清单</w:t>
      </w:r>
      <w:bookmarkEnd w:id="16"/>
    </w:p>
    <w:tbl>
      <w:tblPr>
        <w:tblStyle w:val="26"/>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8"/>
        <w:gridCol w:w="1389"/>
        <w:gridCol w:w="1185"/>
        <w:gridCol w:w="1601"/>
        <w:gridCol w:w="378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27" w:type="pct"/>
            <w:tcBorders>
              <w:tl2br w:val="single" w:color="auto" w:sz="4" w:space="0"/>
            </w:tcBorders>
            <w:tcMar>
              <w:top w:w="0" w:type="dxa"/>
              <w:left w:w="28" w:type="dxa"/>
              <w:bottom w:w="0" w:type="dxa"/>
              <w:right w:w="28" w:type="dxa"/>
            </w:tcMar>
          </w:tcPr>
          <w:p>
            <w:pPr>
              <w:adjustRightInd w:val="0"/>
              <w:snapToGrid w:val="0"/>
              <w:jc w:val="right"/>
              <w:rPr>
                <w:rFonts w:hint="eastAsia" w:ascii="黑体" w:hAnsi="黑体" w:eastAsia="黑体" w:cs="黑体"/>
                <w:b w:val="0"/>
                <w:bCs w:val="0"/>
                <w:color w:val="auto"/>
                <w:szCs w:val="21"/>
              </w:rPr>
            </w:pPr>
            <w:r>
              <w:rPr>
                <w:rFonts w:hint="eastAsia" w:ascii="黑体" w:hAnsi="黑体" w:eastAsia="黑体" w:cs="黑体"/>
                <w:b w:val="0"/>
                <w:bCs w:val="0"/>
                <w:color w:val="auto"/>
                <w:szCs w:val="21"/>
              </w:rPr>
              <w:t>内容</w:t>
            </w:r>
          </w:p>
          <w:p>
            <w:pPr>
              <w:adjustRightInd w:val="0"/>
              <w:snapToGrid w:val="0"/>
              <w:rPr>
                <w:rFonts w:hint="eastAsia" w:ascii="黑体" w:hAnsi="黑体" w:eastAsia="黑体" w:cs="黑体"/>
                <w:b w:val="0"/>
                <w:bCs w:val="0"/>
                <w:color w:val="auto"/>
                <w:szCs w:val="21"/>
              </w:rPr>
            </w:pPr>
          </w:p>
          <w:p>
            <w:pPr>
              <w:adjustRightInd w:val="0"/>
              <w:snapToGrid w:val="0"/>
              <w:rPr>
                <w:rFonts w:hint="eastAsia" w:ascii="黑体" w:hAnsi="黑体" w:eastAsia="黑体" w:cs="黑体"/>
                <w:b w:val="0"/>
                <w:bCs w:val="0"/>
                <w:color w:val="auto"/>
                <w:szCs w:val="21"/>
              </w:rPr>
            </w:pPr>
            <w:r>
              <w:rPr>
                <w:rFonts w:hint="eastAsia" w:ascii="黑体" w:hAnsi="黑体" w:eastAsia="黑体" w:cs="黑体"/>
                <w:b w:val="0"/>
                <w:bCs w:val="0"/>
                <w:color w:val="auto"/>
                <w:szCs w:val="21"/>
              </w:rPr>
              <w:t>要素</w:t>
            </w:r>
          </w:p>
        </w:tc>
        <w:tc>
          <w:tcPr>
            <w:tcW w:w="780" w:type="pct"/>
            <w:tcMar>
              <w:top w:w="0" w:type="dxa"/>
              <w:left w:w="28" w:type="dxa"/>
              <w:bottom w:w="0" w:type="dxa"/>
              <w:right w:w="28" w:type="dxa"/>
            </w:tcMar>
            <w:vAlign w:val="center"/>
          </w:tcPr>
          <w:p>
            <w:pPr>
              <w:adjustRightInd w:val="0"/>
              <w:snapToGrid w:val="0"/>
              <w:jc w:val="center"/>
              <w:rPr>
                <w:rFonts w:hint="eastAsia" w:ascii="黑体" w:hAnsi="黑体" w:eastAsia="黑体" w:cs="黑体"/>
                <w:b w:val="0"/>
                <w:bCs w:val="0"/>
                <w:color w:val="auto"/>
                <w:szCs w:val="21"/>
              </w:rPr>
            </w:pPr>
            <w:r>
              <w:rPr>
                <w:rFonts w:hint="eastAsia" w:ascii="黑体" w:hAnsi="黑体" w:eastAsia="黑体" w:cs="黑体"/>
                <w:b w:val="0"/>
                <w:bCs w:val="0"/>
                <w:color w:val="auto"/>
                <w:szCs w:val="21"/>
              </w:rPr>
              <w:t>排放口(编号、名称)/污染源</w:t>
            </w:r>
          </w:p>
        </w:tc>
        <w:tc>
          <w:tcPr>
            <w:tcW w:w="666" w:type="pct"/>
            <w:tcMar>
              <w:top w:w="0" w:type="dxa"/>
              <w:left w:w="28" w:type="dxa"/>
              <w:bottom w:w="0" w:type="dxa"/>
              <w:right w:w="28" w:type="dxa"/>
            </w:tcMar>
            <w:vAlign w:val="center"/>
          </w:tcPr>
          <w:p>
            <w:pPr>
              <w:adjustRightInd w:val="0"/>
              <w:snapToGrid w:val="0"/>
              <w:jc w:val="center"/>
              <w:rPr>
                <w:rFonts w:hint="eastAsia" w:ascii="黑体" w:hAnsi="黑体" w:eastAsia="黑体" w:cs="黑体"/>
                <w:b w:val="0"/>
                <w:bCs w:val="0"/>
                <w:color w:val="auto"/>
                <w:szCs w:val="21"/>
              </w:rPr>
            </w:pPr>
            <w:r>
              <w:rPr>
                <w:rFonts w:hint="eastAsia" w:ascii="黑体" w:hAnsi="黑体" w:eastAsia="黑体" w:cs="黑体"/>
                <w:b w:val="0"/>
                <w:bCs w:val="0"/>
                <w:color w:val="auto"/>
                <w:szCs w:val="21"/>
              </w:rPr>
              <w:t>污染物项目</w:t>
            </w:r>
          </w:p>
        </w:tc>
        <w:tc>
          <w:tcPr>
            <w:tcW w:w="899" w:type="pct"/>
            <w:tcMar>
              <w:top w:w="0" w:type="dxa"/>
              <w:left w:w="28" w:type="dxa"/>
              <w:bottom w:w="0" w:type="dxa"/>
              <w:right w:w="28" w:type="dxa"/>
            </w:tcMar>
            <w:vAlign w:val="center"/>
          </w:tcPr>
          <w:p>
            <w:pPr>
              <w:adjustRightInd w:val="0"/>
              <w:snapToGrid w:val="0"/>
              <w:jc w:val="center"/>
              <w:rPr>
                <w:rFonts w:hint="eastAsia" w:ascii="黑体" w:hAnsi="黑体" w:eastAsia="黑体" w:cs="黑体"/>
                <w:b w:val="0"/>
                <w:bCs w:val="0"/>
                <w:color w:val="auto"/>
                <w:szCs w:val="21"/>
              </w:rPr>
            </w:pPr>
            <w:r>
              <w:rPr>
                <w:rFonts w:hint="eastAsia" w:ascii="黑体" w:hAnsi="黑体" w:eastAsia="黑体" w:cs="黑体"/>
                <w:b w:val="0"/>
                <w:bCs w:val="0"/>
                <w:color w:val="auto"/>
                <w:szCs w:val="21"/>
              </w:rPr>
              <w:t>环境保护</w:t>
            </w:r>
          </w:p>
          <w:p>
            <w:pPr>
              <w:adjustRightInd w:val="0"/>
              <w:snapToGrid w:val="0"/>
              <w:jc w:val="center"/>
              <w:rPr>
                <w:rFonts w:hint="eastAsia" w:ascii="黑体" w:hAnsi="黑体" w:eastAsia="黑体" w:cs="黑体"/>
                <w:b w:val="0"/>
                <w:bCs w:val="0"/>
                <w:color w:val="auto"/>
                <w:szCs w:val="21"/>
              </w:rPr>
            </w:pPr>
            <w:r>
              <w:rPr>
                <w:rFonts w:hint="eastAsia" w:ascii="黑体" w:hAnsi="黑体" w:eastAsia="黑体" w:cs="黑体"/>
                <w:b w:val="0"/>
                <w:bCs w:val="0"/>
                <w:color w:val="auto"/>
                <w:szCs w:val="21"/>
              </w:rPr>
              <w:t>措施</w:t>
            </w:r>
          </w:p>
        </w:tc>
        <w:tc>
          <w:tcPr>
            <w:tcW w:w="2125" w:type="pct"/>
            <w:tcMar>
              <w:top w:w="0" w:type="dxa"/>
              <w:left w:w="28" w:type="dxa"/>
              <w:bottom w:w="0" w:type="dxa"/>
              <w:right w:w="28" w:type="dxa"/>
            </w:tcMar>
            <w:vAlign w:val="center"/>
          </w:tcPr>
          <w:p>
            <w:pPr>
              <w:adjustRightInd w:val="0"/>
              <w:snapToGrid w:val="0"/>
              <w:jc w:val="center"/>
              <w:rPr>
                <w:rFonts w:hint="eastAsia" w:ascii="黑体" w:hAnsi="黑体" w:eastAsia="黑体" w:cs="黑体"/>
                <w:b w:val="0"/>
                <w:bCs w:val="0"/>
                <w:color w:val="auto"/>
                <w:szCs w:val="21"/>
              </w:rPr>
            </w:pPr>
            <w:r>
              <w:rPr>
                <w:rFonts w:hint="eastAsia" w:ascii="黑体" w:hAnsi="黑体" w:eastAsia="黑体" w:cs="黑体"/>
                <w:b w:val="0"/>
                <w:bCs w:val="0"/>
                <w:color w:val="auto"/>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restar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r>
              <w:rPr>
                <w:rFonts w:hint="eastAsia" w:ascii="黑体" w:hAnsi="黑体" w:eastAsia="黑体" w:cs="黑体"/>
                <w:color w:val="auto"/>
                <w:spacing w:val="-8"/>
                <w:sz w:val="21"/>
                <w:szCs w:val="21"/>
                <w:highlight w:val="none"/>
                <w:lang w:eastAsia="zh-CN"/>
              </w:rPr>
              <w:t>大气环境</w:t>
            </w:r>
          </w:p>
        </w:tc>
        <w:tc>
          <w:tcPr>
            <w:tcW w:w="780" w:type="pct"/>
            <w:vMerge w:val="restart"/>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RTO废气处理装置</w:t>
            </w:r>
            <w:r>
              <w:rPr>
                <w:rFonts w:hint="eastAsia" w:ascii="Times New Roman" w:hAnsi="Times New Roman"/>
                <w:color w:val="auto"/>
              </w:rPr>
              <w:t>排气筒</w:t>
            </w:r>
            <w:r>
              <w:rPr>
                <w:rFonts w:hint="eastAsia" w:ascii="Times New Roman" w:hAnsi="Times New Roman"/>
                <w:color w:val="auto"/>
                <w:lang w:eastAsia="zh-CN"/>
              </w:rPr>
              <w:t>（</w:t>
            </w:r>
            <w:r>
              <w:rPr>
                <w:rFonts w:hint="eastAsia" w:ascii="Times New Roman" w:hAnsi="Times New Roman"/>
                <w:color w:val="auto"/>
                <w:lang w:val="en-US" w:eastAsia="zh-CN"/>
              </w:rPr>
              <w:t>DA001</w:t>
            </w:r>
            <w:r>
              <w:rPr>
                <w:rFonts w:hint="eastAsia" w:ascii="Times New Roman" w:hAnsi="Times New Roman"/>
                <w:color w:val="auto"/>
                <w:lang w:eastAsia="zh-CN"/>
              </w:rPr>
              <w:t>）</w:t>
            </w:r>
          </w:p>
        </w:tc>
        <w:tc>
          <w:tcPr>
            <w:tcW w:w="666" w:type="pct"/>
            <w:tcMar>
              <w:top w:w="0" w:type="dxa"/>
              <w:left w:w="28" w:type="dxa"/>
              <w:bottom w:w="0" w:type="dxa"/>
              <w:right w:w="28"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eastAsia="宋体" w:cs="Times New Roman"/>
                <w:color w:val="auto"/>
                <w:szCs w:val="21"/>
                <w:lang w:val="en-US" w:eastAsia="zh-CN"/>
              </w:rPr>
              <w:t>挥发性有机物</w:t>
            </w:r>
          </w:p>
        </w:tc>
        <w:tc>
          <w:tcPr>
            <w:tcW w:w="899" w:type="pct"/>
            <w:tcMar>
              <w:top w:w="0" w:type="dxa"/>
              <w:left w:w="28" w:type="dxa"/>
              <w:bottom w:w="0" w:type="dxa"/>
              <w:right w:w="28" w:type="dxa"/>
            </w:tcMar>
            <w:vAlign w:val="center"/>
          </w:tcPr>
          <w:p>
            <w:pPr>
              <w:pStyle w:val="14"/>
              <w:spacing w:line="240" w:lineRule="atLeast"/>
              <w:jc w:val="center"/>
              <w:rPr>
                <w:rFonts w:hint="default" w:ascii="Times New Roman" w:hAnsi="Times New Roman" w:cs="Times New Roman"/>
                <w:color w:val="auto"/>
                <w:szCs w:val="21"/>
                <w:lang w:val="en-US" w:eastAsia="zh-CN"/>
              </w:rPr>
            </w:pPr>
            <w:r>
              <w:rPr>
                <w:rFonts w:hint="eastAsia" w:ascii="Times New Roman" w:hAnsi="Times New Roman" w:eastAsia="宋体" w:cs="Times New Roman"/>
                <w:color w:val="auto"/>
                <w:szCs w:val="21"/>
                <w:lang w:val="en-US" w:eastAsia="zh-CN"/>
              </w:rPr>
              <w:t>油气回收装置+RTO废气处理装置</w:t>
            </w:r>
          </w:p>
        </w:tc>
        <w:tc>
          <w:tcPr>
            <w:tcW w:w="2125" w:type="pct"/>
            <w:tcMar>
              <w:top w:w="0" w:type="dxa"/>
              <w:left w:w="28" w:type="dxa"/>
              <w:bottom w:w="0" w:type="dxa"/>
              <w:right w:w="28"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《挥发性有机物排放标准 第7部分：其他行业》（DB 37/2801.7-2019）表1中Ⅱ时段排放标准限值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780" w:type="pct"/>
            <w:vMerge w:val="continue"/>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666" w:type="pct"/>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沥青烟</w:t>
            </w:r>
          </w:p>
        </w:tc>
        <w:tc>
          <w:tcPr>
            <w:tcW w:w="899" w:type="pct"/>
            <w:tcMar>
              <w:top w:w="0" w:type="dxa"/>
              <w:left w:w="28" w:type="dxa"/>
              <w:bottom w:w="0" w:type="dxa"/>
              <w:right w:w="28" w:type="dxa"/>
            </w:tcMar>
            <w:vAlign w:val="center"/>
          </w:tcPr>
          <w:p>
            <w:pPr>
              <w:pStyle w:val="14"/>
              <w:spacing w:line="240" w:lineRule="atLeast"/>
              <w:jc w:val="center"/>
              <w:rPr>
                <w:rFonts w:hint="eastAsia" w:ascii="Times New Roman" w:hAnsi="Times New Roman" w:cs="Times New Roman"/>
                <w:color w:val="auto"/>
                <w:szCs w:val="21"/>
                <w:lang w:eastAsia="zh-CN"/>
              </w:rPr>
            </w:pPr>
            <w:r>
              <w:rPr>
                <w:rFonts w:hint="eastAsia" w:ascii="Times New Roman" w:hAnsi="Times New Roman" w:eastAsia="宋体" w:cs="Times New Roman"/>
                <w:color w:val="auto"/>
                <w:szCs w:val="21"/>
                <w:lang w:val="en-US" w:eastAsia="zh-CN"/>
              </w:rPr>
              <w:t>RTO废气处理装置</w:t>
            </w:r>
          </w:p>
        </w:tc>
        <w:tc>
          <w:tcPr>
            <w:tcW w:w="2125" w:type="pct"/>
            <w:tcMar>
              <w:top w:w="0" w:type="dxa"/>
              <w:left w:w="28" w:type="dxa"/>
              <w:bottom w:w="0" w:type="dxa"/>
              <w:right w:w="28"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《大气污染物综合排放标准》（GB16297-1996）表2中二级标准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780" w:type="pct"/>
            <w:vMerge w:val="continue"/>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666" w:type="pct"/>
            <w:tcMar>
              <w:top w:w="0" w:type="dxa"/>
              <w:left w:w="28" w:type="dxa"/>
              <w:bottom w:w="0" w:type="dxa"/>
              <w:right w:w="28"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eastAsia="宋体" w:cs="Times New Roman"/>
                <w:color w:val="auto"/>
                <w:szCs w:val="21"/>
                <w:lang w:val="en-US" w:eastAsia="zh-CN"/>
              </w:rPr>
              <w:t>颗粒物</w:t>
            </w:r>
          </w:p>
        </w:tc>
        <w:tc>
          <w:tcPr>
            <w:tcW w:w="899" w:type="pct"/>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2125" w:type="pct"/>
            <w:vMerge w:val="restart"/>
            <w:tcMar>
              <w:top w:w="0" w:type="dxa"/>
              <w:left w:w="28" w:type="dxa"/>
              <w:bottom w:w="0" w:type="dxa"/>
              <w:right w:w="28"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《区域性大气污染物综合排放标准》（DB37/2376-2019）中表1中重点控制区大气污染物排放浓度限值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780" w:type="pct"/>
            <w:vMerge w:val="continue"/>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666" w:type="pct"/>
            <w:tcMar>
              <w:top w:w="0" w:type="dxa"/>
              <w:left w:w="28" w:type="dxa"/>
              <w:bottom w:w="0" w:type="dxa"/>
              <w:right w:w="28"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eastAsia="宋体" w:cs="Times New Roman"/>
                <w:color w:val="auto"/>
                <w:szCs w:val="21"/>
                <w:lang w:val="en-US" w:eastAsia="zh-CN"/>
              </w:rPr>
              <w:t>SO</w:t>
            </w:r>
            <w:r>
              <w:rPr>
                <w:rFonts w:hint="eastAsia" w:ascii="Times New Roman" w:hAnsi="Times New Roman" w:eastAsia="宋体" w:cs="Times New Roman"/>
                <w:color w:val="auto"/>
                <w:szCs w:val="21"/>
                <w:vertAlign w:val="subscript"/>
                <w:lang w:val="en-US" w:eastAsia="zh-CN"/>
              </w:rPr>
              <w:t>2</w:t>
            </w:r>
          </w:p>
        </w:tc>
        <w:tc>
          <w:tcPr>
            <w:tcW w:w="899" w:type="pct"/>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c>
          <w:tcPr>
            <w:tcW w:w="2125" w:type="pct"/>
            <w:vMerge w:val="continue"/>
            <w:tcMar>
              <w:top w:w="0" w:type="dxa"/>
              <w:left w:w="28" w:type="dxa"/>
              <w:bottom w:w="0" w:type="dxa"/>
              <w:right w:w="28"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780" w:type="pct"/>
            <w:vMerge w:val="continue"/>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666" w:type="pct"/>
            <w:tcMar>
              <w:top w:w="0" w:type="dxa"/>
              <w:left w:w="28" w:type="dxa"/>
              <w:bottom w:w="0" w:type="dxa"/>
              <w:right w:w="28" w:type="dxa"/>
            </w:tcMar>
            <w:vAlign w:val="center"/>
          </w:tcPr>
          <w:p>
            <w:pPr>
              <w:pStyle w:val="14"/>
              <w:spacing w:line="240" w:lineRule="atLeast"/>
              <w:jc w:val="center"/>
              <w:rPr>
                <w:rFonts w:hint="eastAsia" w:ascii="Times New Roman" w:hAnsi="Times New Roman" w:cs="Times New Roman"/>
                <w:color w:val="auto"/>
                <w:szCs w:val="21"/>
                <w:lang w:val="en-US" w:eastAsia="zh-CN"/>
              </w:rPr>
            </w:pPr>
            <w:r>
              <w:rPr>
                <w:rFonts w:hint="eastAsia" w:ascii="Times New Roman" w:hAnsi="Times New Roman" w:eastAsia="宋体" w:cs="Times New Roman"/>
                <w:color w:val="auto"/>
                <w:szCs w:val="21"/>
                <w:lang w:val="en-US" w:eastAsia="zh-CN"/>
              </w:rPr>
              <w:t>NO</w:t>
            </w:r>
            <w:r>
              <w:rPr>
                <w:rFonts w:hint="eastAsia" w:ascii="Times New Roman" w:hAnsi="Times New Roman" w:eastAsia="宋体" w:cs="Times New Roman"/>
                <w:color w:val="auto"/>
                <w:szCs w:val="21"/>
                <w:vertAlign w:val="subscript"/>
                <w:lang w:val="en-US" w:eastAsia="zh-CN"/>
              </w:rPr>
              <w:t>X</w:t>
            </w:r>
          </w:p>
        </w:tc>
        <w:tc>
          <w:tcPr>
            <w:tcW w:w="899" w:type="pct"/>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低氮燃烧器</w:t>
            </w:r>
          </w:p>
        </w:tc>
        <w:tc>
          <w:tcPr>
            <w:tcW w:w="2125" w:type="pct"/>
            <w:vMerge w:val="continue"/>
            <w:tcMar>
              <w:top w:w="0" w:type="dxa"/>
              <w:left w:w="28" w:type="dxa"/>
              <w:bottom w:w="0" w:type="dxa"/>
              <w:right w:w="28"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780" w:type="pct"/>
            <w:vMerge w:val="restart"/>
            <w:tcMar>
              <w:top w:w="0" w:type="dxa"/>
              <w:left w:w="28" w:type="dxa"/>
              <w:bottom w:w="0" w:type="dxa"/>
              <w:right w:w="28" w:type="dxa"/>
            </w:tcMar>
            <w:vAlign w:val="center"/>
          </w:tcPr>
          <w:p>
            <w:pPr>
              <w:pStyle w:val="14"/>
              <w:spacing w:line="240" w:lineRule="atLeast"/>
              <w:jc w:val="center"/>
              <w:rPr>
                <w:rFonts w:hint="eastAsia" w:cs="Times New Roman"/>
                <w:color w:val="auto"/>
                <w:szCs w:val="21"/>
                <w:lang w:val="en-US" w:eastAsia="zh-CN"/>
              </w:rPr>
            </w:pPr>
            <w:r>
              <w:rPr>
                <w:rFonts w:hint="eastAsia" w:ascii="Times New Roman" w:hAnsi="Times New Roman"/>
                <w:color w:val="auto"/>
                <w:lang w:val="en-US" w:eastAsia="zh-CN"/>
              </w:rPr>
              <w:t>导热油锅炉</w:t>
            </w:r>
            <w:r>
              <w:rPr>
                <w:rFonts w:hint="eastAsia" w:ascii="Times New Roman" w:hAnsi="Times New Roman"/>
                <w:color w:val="auto"/>
              </w:rPr>
              <w:t>排气筒</w:t>
            </w:r>
            <w:r>
              <w:rPr>
                <w:rFonts w:hint="eastAsia" w:ascii="Times New Roman" w:hAnsi="Times New Roman"/>
                <w:color w:val="auto"/>
                <w:lang w:eastAsia="zh-CN"/>
              </w:rPr>
              <w:t>（</w:t>
            </w:r>
            <w:r>
              <w:rPr>
                <w:rFonts w:hint="eastAsia" w:ascii="Times New Roman" w:hAnsi="Times New Roman"/>
                <w:color w:val="auto"/>
                <w:lang w:val="en-US" w:eastAsia="zh-CN"/>
              </w:rPr>
              <w:t>DA002</w:t>
            </w:r>
            <w:r>
              <w:rPr>
                <w:rFonts w:hint="eastAsia" w:ascii="Times New Roman" w:hAnsi="Times New Roman"/>
                <w:color w:val="auto"/>
                <w:lang w:eastAsia="zh-CN"/>
              </w:rPr>
              <w:t>）</w:t>
            </w:r>
          </w:p>
        </w:tc>
        <w:tc>
          <w:tcPr>
            <w:tcW w:w="666" w:type="pct"/>
            <w:tcMar>
              <w:top w:w="0" w:type="dxa"/>
              <w:left w:w="28" w:type="dxa"/>
              <w:bottom w:w="0" w:type="dxa"/>
              <w:right w:w="28" w:type="dxa"/>
            </w:tcMar>
            <w:vAlign w:val="center"/>
          </w:tcPr>
          <w:p>
            <w:pPr>
              <w:pStyle w:val="14"/>
              <w:spacing w:line="240" w:lineRule="atLeast"/>
              <w:jc w:val="center"/>
              <w:rPr>
                <w:rFonts w:hint="default" w:cs="Times New Roman"/>
                <w:color w:val="auto"/>
                <w:szCs w:val="21"/>
                <w:lang w:val="en-US" w:eastAsia="zh-CN"/>
              </w:rPr>
            </w:pPr>
            <w:r>
              <w:rPr>
                <w:rFonts w:hint="eastAsia" w:ascii="Times New Roman" w:hAnsi="Times New Roman" w:eastAsia="宋体" w:cs="Times New Roman"/>
                <w:color w:val="auto"/>
                <w:szCs w:val="21"/>
                <w:lang w:val="en-US" w:eastAsia="zh-CN"/>
              </w:rPr>
              <w:t>颗粒物</w:t>
            </w:r>
          </w:p>
        </w:tc>
        <w:tc>
          <w:tcPr>
            <w:tcW w:w="899" w:type="pct"/>
            <w:tcMar>
              <w:top w:w="0" w:type="dxa"/>
              <w:left w:w="28" w:type="dxa"/>
              <w:bottom w:w="0" w:type="dxa"/>
              <w:right w:w="28" w:type="dxa"/>
            </w:tcMar>
            <w:vAlign w:val="center"/>
          </w:tcPr>
          <w:p>
            <w:pPr>
              <w:pStyle w:val="14"/>
              <w:spacing w:line="240" w:lineRule="atLeast"/>
              <w:jc w:val="center"/>
              <w:rPr>
                <w:rFonts w:hint="eastAsia" w:cs="Times New Roman"/>
                <w:color w:val="auto"/>
                <w:sz w:val="21"/>
                <w:szCs w:val="21"/>
                <w:lang w:val="en-US" w:eastAsia="zh-CN"/>
              </w:rPr>
            </w:pPr>
            <w:r>
              <w:rPr>
                <w:rFonts w:hint="eastAsia" w:ascii="Times New Roman" w:hAnsi="Times New Roman" w:eastAsia="宋体" w:cs="Times New Roman"/>
                <w:color w:val="auto"/>
                <w:szCs w:val="21"/>
                <w:lang w:val="en-US" w:eastAsia="zh-CN"/>
              </w:rPr>
              <w:t>/</w:t>
            </w:r>
          </w:p>
        </w:tc>
        <w:tc>
          <w:tcPr>
            <w:tcW w:w="2125" w:type="pct"/>
            <w:vMerge w:val="restart"/>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《锅炉大气污染物排放标准》（DB37/2374-2018）表2大气污染物排放浓度限值重点控制区标准要求及《淄博市锅炉氮氧化物专项整治工作方案》中的标准要求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780" w:type="pct"/>
            <w:vMerge w:val="continue"/>
            <w:tcMar>
              <w:top w:w="0" w:type="dxa"/>
              <w:left w:w="28" w:type="dxa"/>
              <w:bottom w:w="0" w:type="dxa"/>
              <w:right w:w="28" w:type="dxa"/>
            </w:tcMar>
            <w:vAlign w:val="center"/>
          </w:tcPr>
          <w:p>
            <w:pPr>
              <w:pStyle w:val="14"/>
              <w:spacing w:line="240" w:lineRule="atLeast"/>
              <w:jc w:val="center"/>
              <w:rPr>
                <w:rFonts w:hint="eastAsia" w:ascii="Times New Roman" w:hAnsi="Times New Roman"/>
                <w:color w:val="auto"/>
                <w:lang w:val="en-US" w:eastAsia="zh-CN"/>
              </w:rPr>
            </w:pPr>
          </w:p>
        </w:tc>
        <w:tc>
          <w:tcPr>
            <w:tcW w:w="666" w:type="pct"/>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SO</w:t>
            </w:r>
            <w:r>
              <w:rPr>
                <w:rFonts w:hint="eastAsia" w:ascii="Times New Roman" w:hAnsi="Times New Roman" w:eastAsia="宋体" w:cs="Times New Roman"/>
                <w:color w:val="auto"/>
                <w:szCs w:val="21"/>
                <w:vertAlign w:val="subscript"/>
                <w:lang w:val="en-US" w:eastAsia="zh-CN"/>
              </w:rPr>
              <w:t>2</w:t>
            </w:r>
          </w:p>
        </w:tc>
        <w:tc>
          <w:tcPr>
            <w:tcW w:w="899" w:type="pct"/>
            <w:tcMar>
              <w:top w:w="0" w:type="dxa"/>
              <w:left w:w="28" w:type="dxa"/>
              <w:bottom w:w="0" w:type="dxa"/>
              <w:right w:w="28" w:type="dxa"/>
            </w:tcMar>
            <w:vAlign w:val="center"/>
          </w:tcPr>
          <w:p>
            <w:pPr>
              <w:pStyle w:val="14"/>
              <w:spacing w:line="240" w:lineRule="atLeast"/>
              <w:jc w:val="center"/>
              <w:rPr>
                <w:rFonts w:hint="eastAsia" w:ascii="Times New Roman" w:hAnsi="Times New Roman" w:cs="Times New Roman"/>
                <w:color w:val="auto"/>
                <w:szCs w:val="21"/>
                <w:lang w:eastAsia="zh-CN"/>
              </w:rPr>
            </w:pPr>
            <w:r>
              <w:rPr>
                <w:rFonts w:hint="eastAsia" w:ascii="Times New Roman" w:hAnsi="Times New Roman" w:cs="Times New Roman"/>
                <w:color w:val="auto"/>
                <w:szCs w:val="21"/>
                <w:lang w:val="en-US" w:eastAsia="zh-CN"/>
              </w:rPr>
              <w:t>/</w:t>
            </w:r>
          </w:p>
        </w:tc>
        <w:tc>
          <w:tcPr>
            <w:tcW w:w="2125" w:type="pct"/>
            <w:vMerge w:val="continue"/>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780" w:type="pct"/>
            <w:vMerge w:val="continue"/>
            <w:tcMar>
              <w:top w:w="0" w:type="dxa"/>
              <w:left w:w="28" w:type="dxa"/>
              <w:bottom w:w="0" w:type="dxa"/>
              <w:right w:w="28" w:type="dxa"/>
            </w:tcMar>
            <w:vAlign w:val="center"/>
          </w:tcPr>
          <w:p>
            <w:pPr>
              <w:pStyle w:val="14"/>
              <w:spacing w:line="240" w:lineRule="atLeast"/>
              <w:jc w:val="center"/>
              <w:rPr>
                <w:rFonts w:hint="eastAsia" w:ascii="Times New Roman" w:hAnsi="Times New Roman"/>
                <w:color w:val="auto"/>
                <w:lang w:val="en-US" w:eastAsia="zh-CN"/>
              </w:rPr>
            </w:pPr>
          </w:p>
        </w:tc>
        <w:tc>
          <w:tcPr>
            <w:tcW w:w="666" w:type="pct"/>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NO</w:t>
            </w:r>
            <w:r>
              <w:rPr>
                <w:rFonts w:hint="eastAsia" w:ascii="Times New Roman" w:hAnsi="Times New Roman" w:eastAsia="宋体" w:cs="Times New Roman"/>
                <w:color w:val="auto"/>
                <w:szCs w:val="21"/>
                <w:vertAlign w:val="subscript"/>
                <w:lang w:val="en-US" w:eastAsia="zh-CN"/>
              </w:rPr>
              <w:t>X</w:t>
            </w:r>
          </w:p>
        </w:tc>
        <w:tc>
          <w:tcPr>
            <w:tcW w:w="899" w:type="pct"/>
            <w:tcMar>
              <w:top w:w="0" w:type="dxa"/>
              <w:left w:w="28" w:type="dxa"/>
              <w:bottom w:w="0" w:type="dxa"/>
              <w:right w:w="28" w:type="dxa"/>
            </w:tcMar>
            <w:vAlign w:val="center"/>
          </w:tcPr>
          <w:p>
            <w:pPr>
              <w:pStyle w:val="14"/>
              <w:spacing w:line="240" w:lineRule="atLeast"/>
              <w:jc w:val="center"/>
              <w:rPr>
                <w:rFonts w:hint="eastAsia" w:ascii="Times New Roman" w:hAnsi="Times New Roman" w:cs="Times New Roman"/>
                <w:color w:val="auto"/>
                <w:szCs w:val="21"/>
                <w:lang w:eastAsia="zh-CN"/>
              </w:rPr>
            </w:pPr>
            <w:r>
              <w:rPr>
                <w:rFonts w:hint="eastAsia" w:ascii="Times New Roman" w:hAnsi="Times New Roman" w:eastAsia="宋体" w:cs="Times New Roman"/>
                <w:color w:val="auto"/>
                <w:szCs w:val="21"/>
                <w:lang w:val="en-US" w:eastAsia="zh-CN"/>
              </w:rPr>
              <w:t>低氮燃烧器</w:t>
            </w:r>
          </w:p>
        </w:tc>
        <w:tc>
          <w:tcPr>
            <w:tcW w:w="2125" w:type="pct"/>
            <w:vMerge w:val="continue"/>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780" w:type="pct"/>
            <w:vMerge w:val="restart"/>
            <w:tcMar>
              <w:top w:w="0" w:type="dxa"/>
              <w:left w:w="28" w:type="dxa"/>
              <w:bottom w:w="0" w:type="dxa"/>
              <w:right w:w="28" w:type="dxa"/>
            </w:tcMar>
            <w:vAlign w:val="center"/>
          </w:tcPr>
          <w:p>
            <w:pPr>
              <w:adjustRightInd w:val="0"/>
              <w:snapToGrid w:val="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蒸汽锅炉排气筒（DA003）</w:t>
            </w:r>
          </w:p>
        </w:tc>
        <w:tc>
          <w:tcPr>
            <w:tcW w:w="666" w:type="pct"/>
            <w:tcMar>
              <w:top w:w="0" w:type="dxa"/>
              <w:left w:w="28" w:type="dxa"/>
              <w:bottom w:w="0" w:type="dxa"/>
              <w:right w:w="28" w:type="dxa"/>
            </w:tcMar>
            <w:vAlign w:val="center"/>
          </w:tcPr>
          <w:p>
            <w:pPr>
              <w:pStyle w:val="14"/>
              <w:spacing w:line="240" w:lineRule="atLeast"/>
              <w:jc w:val="center"/>
              <w:rPr>
                <w:rFonts w:hint="eastAsia" w:cs="Times New Roman"/>
                <w:color w:val="auto"/>
                <w:szCs w:val="21"/>
                <w:lang w:val="en-US" w:eastAsia="zh-CN"/>
              </w:rPr>
            </w:pPr>
            <w:r>
              <w:rPr>
                <w:rFonts w:hint="eastAsia" w:ascii="Times New Roman" w:hAnsi="Times New Roman" w:eastAsia="宋体" w:cs="Times New Roman"/>
                <w:color w:val="auto"/>
                <w:szCs w:val="21"/>
                <w:lang w:val="en-US" w:eastAsia="zh-CN"/>
              </w:rPr>
              <w:t>颗粒物</w:t>
            </w:r>
          </w:p>
        </w:tc>
        <w:tc>
          <w:tcPr>
            <w:tcW w:w="899" w:type="pct"/>
            <w:tcMar>
              <w:top w:w="0" w:type="dxa"/>
              <w:left w:w="28" w:type="dxa"/>
              <w:bottom w:w="0" w:type="dxa"/>
              <w:right w:w="28" w:type="dxa"/>
            </w:tcMar>
            <w:vAlign w:val="center"/>
          </w:tcPr>
          <w:p>
            <w:pPr>
              <w:pStyle w:val="14"/>
              <w:spacing w:line="240" w:lineRule="atLeast"/>
              <w:jc w:val="center"/>
              <w:rPr>
                <w:rFonts w:hint="eastAsia" w:cs="Times New Roman"/>
                <w:color w:val="auto"/>
                <w:sz w:val="21"/>
                <w:szCs w:val="21"/>
                <w:lang w:val="en-US" w:eastAsia="zh-CN"/>
              </w:rPr>
            </w:pPr>
            <w:r>
              <w:rPr>
                <w:rFonts w:hint="eastAsia" w:ascii="Times New Roman" w:hAnsi="Times New Roman" w:eastAsia="宋体" w:cs="Times New Roman"/>
                <w:color w:val="auto"/>
                <w:szCs w:val="21"/>
                <w:lang w:val="en-US" w:eastAsia="zh-CN"/>
              </w:rPr>
              <w:t>/</w:t>
            </w:r>
          </w:p>
        </w:tc>
        <w:tc>
          <w:tcPr>
            <w:tcW w:w="2125" w:type="pct"/>
            <w:vMerge w:val="continue"/>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780" w:type="pct"/>
            <w:vMerge w:val="continue"/>
            <w:tcMar>
              <w:top w:w="0" w:type="dxa"/>
              <w:left w:w="28" w:type="dxa"/>
              <w:bottom w:w="0" w:type="dxa"/>
              <w:right w:w="28" w:type="dxa"/>
            </w:tcMar>
            <w:vAlign w:val="center"/>
          </w:tcPr>
          <w:p>
            <w:pPr>
              <w:adjustRightInd w:val="0"/>
              <w:snapToGrid w:val="0"/>
              <w:jc w:val="center"/>
              <w:rPr>
                <w:rFonts w:hint="eastAsia" w:ascii="Times New Roman" w:hAnsi="Times New Roman" w:eastAsia="宋体" w:cs="Times New Roman"/>
                <w:color w:val="auto"/>
                <w:lang w:val="en-US" w:eastAsia="zh-CN"/>
              </w:rPr>
            </w:pPr>
          </w:p>
        </w:tc>
        <w:tc>
          <w:tcPr>
            <w:tcW w:w="666" w:type="pct"/>
            <w:tcMar>
              <w:top w:w="0" w:type="dxa"/>
              <w:left w:w="28" w:type="dxa"/>
              <w:bottom w:w="0" w:type="dxa"/>
              <w:right w:w="28" w:type="dxa"/>
            </w:tcMar>
            <w:vAlign w:val="center"/>
          </w:tcPr>
          <w:p>
            <w:pPr>
              <w:pStyle w:val="14"/>
              <w:spacing w:line="240" w:lineRule="atLeast"/>
              <w:jc w:val="center"/>
              <w:rPr>
                <w:rFonts w:hint="default" w:cs="Times New Roman"/>
                <w:color w:val="auto"/>
                <w:szCs w:val="21"/>
                <w:lang w:val="en-US" w:eastAsia="zh-CN"/>
              </w:rPr>
            </w:pPr>
            <w:r>
              <w:rPr>
                <w:rFonts w:hint="eastAsia" w:ascii="Times New Roman" w:hAnsi="Times New Roman" w:eastAsia="宋体" w:cs="Times New Roman"/>
                <w:color w:val="auto"/>
                <w:szCs w:val="21"/>
                <w:lang w:val="en-US" w:eastAsia="zh-CN"/>
              </w:rPr>
              <w:t>SO</w:t>
            </w:r>
            <w:r>
              <w:rPr>
                <w:rFonts w:hint="eastAsia" w:ascii="Times New Roman" w:hAnsi="Times New Roman" w:eastAsia="宋体" w:cs="Times New Roman"/>
                <w:color w:val="auto"/>
                <w:szCs w:val="21"/>
                <w:vertAlign w:val="subscript"/>
                <w:lang w:val="en-US" w:eastAsia="zh-CN"/>
              </w:rPr>
              <w:t>2</w:t>
            </w:r>
          </w:p>
        </w:tc>
        <w:tc>
          <w:tcPr>
            <w:tcW w:w="899" w:type="pct"/>
            <w:tcMar>
              <w:top w:w="0" w:type="dxa"/>
              <w:left w:w="28" w:type="dxa"/>
              <w:bottom w:w="0" w:type="dxa"/>
              <w:right w:w="28" w:type="dxa"/>
            </w:tcMar>
            <w:vAlign w:val="center"/>
          </w:tcPr>
          <w:p>
            <w:pPr>
              <w:pStyle w:val="14"/>
              <w:spacing w:line="240" w:lineRule="atLeast"/>
              <w:jc w:val="center"/>
              <w:rPr>
                <w:rFonts w:hint="eastAsia" w:cs="Times New Roman"/>
                <w:color w:val="auto"/>
                <w:sz w:val="21"/>
                <w:szCs w:val="21"/>
                <w:lang w:val="en-US" w:eastAsia="zh-CN"/>
              </w:rPr>
            </w:pPr>
            <w:r>
              <w:rPr>
                <w:rFonts w:hint="eastAsia" w:ascii="Times New Roman" w:hAnsi="Times New Roman" w:cs="Times New Roman"/>
                <w:color w:val="auto"/>
                <w:szCs w:val="21"/>
                <w:lang w:val="en-US" w:eastAsia="zh-CN"/>
              </w:rPr>
              <w:t>/</w:t>
            </w:r>
          </w:p>
        </w:tc>
        <w:tc>
          <w:tcPr>
            <w:tcW w:w="2125" w:type="pct"/>
            <w:vMerge w:val="continue"/>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780" w:type="pct"/>
            <w:vMerge w:val="continue"/>
            <w:tcMar>
              <w:top w:w="0" w:type="dxa"/>
              <w:left w:w="28" w:type="dxa"/>
              <w:bottom w:w="0" w:type="dxa"/>
              <w:right w:w="28" w:type="dxa"/>
            </w:tcMar>
            <w:vAlign w:val="center"/>
          </w:tcPr>
          <w:p>
            <w:pPr>
              <w:adjustRightInd w:val="0"/>
              <w:snapToGrid w:val="0"/>
              <w:jc w:val="center"/>
              <w:rPr>
                <w:rFonts w:hint="eastAsia" w:ascii="Times New Roman" w:hAnsi="Times New Roman" w:eastAsia="宋体" w:cs="Times New Roman"/>
                <w:color w:val="auto"/>
                <w:lang w:val="en-US" w:eastAsia="zh-CN"/>
              </w:rPr>
            </w:pPr>
          </w:p>
        </w:tc>
        <w:tc>
          <w:tcPr>
            <w:tcW w:w="666" w:type="pct"/>
            <w:tcMar>
              <w:top w:w="0" w:type="dxa"/>
              <w:left w:w="28" w:type="dxa"/>
              <w:bottom w:w="0" w:type="dxa"/>
              <w:right w:w="28" w:type="dxa"/>
            </w:tcMar>
            <w:vAlign w:val="center"/>
          </w:tcPr>
          <w:p>
            <w:pPr>
              <w:pStyle w:val="14"/>
              <w:spacing w:line="240" w:lineRule="atLeast"/>
              <w:jc w:val="center"/>
              <w:rPr>
                <w:rFonts w:hint="default" w:cs="Times New Roman"/>
                <w:color w:val="auto"/>
                <w:szCs w:val="21"/>
                <w:lang w:val="en-US" w:eastAsia="zh-CN"/>
              </w:rPr>
            </w:pPr>
            <w:r>
              <w:rPr>
                <w:rFonts w:hint="eastAsia" w:ascii="Times New Roman" w:hAnsi="Times New Roman" w:eastAsia="宋体" w:cs="Times New Roman"/>
                <w:color w:val="auto"/>
                <w:szCs w:val="21"/>
                <w:lang w:val="en-US" w:eastAsia="zh-CN"/>
              </w:rPr>
              <w:t>NO</w:t>
            </w:r>
            <w:r>
              <w:rPr>
                <w:rFonts w:hint="eastAsia" w:ascii="Times New Roman" w:hAnsi="Times New Roman" w:eastAsia="宋体" w:cs="Times New Roman"/>
                <w:color w:val="auto"/>
                <w:szCs w:val="21"/>
                <w:vertAlign w:val="subscript"/>
                <w:lang w:val="en-US" w:eastAsia="zh-CN"/>
              </w:rPr>
              <w:t>X</w:t>
            </w:r>
          </w:p>
        </w:tc>
        <w:tc>
          <w:tcPr>
            <w:tcW w:w="899" w:type="pct"/>
            <w:tcMar>
              <w:top w:w="0" w:type="dxa"/>
              <w:left w:w="28" w:type="dxa"/>
              <w:bottom w:w="0" w:type="dxa"/>
              <w:right w:w="28" w:type="dxa"/>
            </w:tcMar>
            <w:vAlign w:val="center"/>
          </w:tcPr>
          <w:p>
            <w:pPr>
              <w:pStyle w:val="14"/>
              <w:spacing w:line="240" w:lineRule="atLeast"/>
              <w:jc w:val="center"/>
              <w:rPr>
                <w:rFonts w:hint="eastAsia" w:cs="Times New Roman"/>
                <w:color w:val="auto"/>
                <w:sz w:val="21"/>
                <w:szCs w:val="21"/>
                <w:lang w:val="en-US" w:eastAsia="zh-CN"/>
              </w:rPr>
            </w:pPr>
            <w:r>
              <w:rPr>
                <w:rFonts w:hint="eastAsia" w:ascii="Times New Roman" w:hAnsi="Times New Roman" w:eastAsia="宋体" w:cs="Times New Roman"/>
                <w:color w:val="auto"/>
                <w:szCs w:val="21"/>
                <w:lang w:val="en-US" w:eastAsia="zh-CN"/>
              </w:rPr>
              <w:t>低氮燃烧器</w:t>
            </w:r>
          </w:p>
        </w:tc>
        <w:tc>
          <w:tcPr>
            <w:tcW w:w="2125" w:type="pct"/>
            <w:vMerge w:val="continue"/>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780" w:type="pct"/>
            <w:vMerge w:val="restart"/>
            <w:tcMar>
              <w:top w:w="0" w:type="dxa"/>
              <w:left w:w="28" w:type="dxa"/>
              <w:bottom w:w="0" w:type="dxa"/>
              <w:right w:w="28" w:type="dxa"/>
            </w:tcMar>
            <w:vAlign w:val="center"/>
          </w:tcPr>
          <w:p>
            <w:pPr>
              <w:adjustRightInd w:val="0"/>
              <w:snapToGrid w:val="0"/>
              <w:jc w:val="center"/>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生物滤塔</w:t>
            </w:r>
            <w:r>
              <w:rPr>
                <w:rFonts w:hint="eastAsia" w:ascii="Times New Roman" w:hAnsi="Times New Roman" w:eastAsia="宋体" w:cs="Times New Roman"/>
                <w:color w:val="auto"/>
                <w:lang w:val="en-US" w:eastAsia="zh-CN"/>
              </w:rPr>
              <w:t>排气筒（DA004）</w:t>
            </w:r>
          </w:p>
        </w:tc>
        <w:tc>
          <w:tcPr>
            <w:tcW w:w="666" w:type="pct"/>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899" w:type="pct"/>
            <w:vMerge w:val="restart"/>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color w:val="auto"/>
                <w:lang w:val="en-US" w:eastAsia="zh-CN"/>
              </w:rPr>
              <w:t>生物滤塔</w:t>
            </w:r>
          </w:p>
        </w:tc>
        <w:tc>
          <w:tcPr>
            <w:tcW w:w="2125" w:type="pct"/>
            <w:vMerge w:val="restart"/>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《恶臭污染物排放标准》（GB14554-93）表2恶臭污染物排放标准值要求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780" w:type="pct"/>
            <w:vMerge w:val="continue"/>
            <w:tcMar>
              <w:top w:w="0" w:type="dxa"/>
              <w:left w:w="28" w:type="dxa"/>
              <w:bottom w:w="0" w:type="dxa"/>
              <w:right w:w="28" w:type="dxa"/>
            </w:tcMar>
            <w:vAlign w:val="center"/>
          </w:tcPr>
          <w:p>
            <w:pPr>
              <w:adjustRightInd w:val="0"/>
              <w:snapToGrid w:val="0"/>
              <w:jc w:val="center"/>
              <w:rPr>
                <w:rFonts w:hint="eastAsia" w:cs="Times New Roman"/>
                <w:color w:val="auto"/>
                <w:szCs w:val="21"/>
                <w:lang w:val="en-US" w:eastAsia="zh-CN"/>
              </w:rPr>
            </w:pPr>
          </w:p>
        </w:tc>
        <w:tc>
          <w:tcPr>
            <w:tcW w:w="666" w:type="pct"/>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899" w:type="pct"/>
            <w:vMerge w:val="continue"/>
            <w:tcMar>
              <w:top w:w="0" w:type="dxa"/>
              <w:left w:w="28" w:type="dxa"/>
              <w:bottom w:w="0" w:type="dxa"/>
              <w:right w:w="28" w:type="dxa"/>
            </w:tcMar>
            <w:vAlign w:val="center"/>
          </w:tcPr>
          <w:p>
            <w:pPr>
              <w:pStyle w:val="14"/>
              <w:spacing w:line="240" w:lineRule="atLeast"/>
              <w:jc w:val="center"/>
              <w:rPr>
                <w:rFonts w:hint="eastAsia" w:ascii="Times New Roman" w:hAnsi="Times New Roman" w:eastAsia="宋体" w:cs="Times New Roman"/>
                <w:color w:val="auto"/>
                <w:szCs w:val="21"/>
                <w:lang w:val="en-US" w:eastAsia="zh-CN"/>
              </w:rPr>
            </w:pPr>
          </w:p>
        </w:tc>
        <w:tc>
          <w:tcPr>
            <w:tcW w:w="2125" w:type="pct"/>
            <w:vMerge w:val="continue"/>
            <w:tcMar>
              <w:top w:w="0" w:type="dxa"/>
              <w:left w:w="28" w:type="dxa"/>
              <w:bottom w:w="0" w:type="dxa"/>
              <w:right w:w="28" w:type="dxa"/>
            </w:tcMar>
            <w:vAlign w:val="center"/>
          </w:tcPr>
          <w:p>
            <w:pPr>
              <w:adjustRightInd w:val="0"/>
              <w:snapToGrid w:val="0"/>
              <w:jc w:val="center"/>
              <w:rPr>
                <w:rFonts w:hint="eastAsia" w:ascii="Times New Roman" w:hAnsi="Times New Roman" w:eastAsia="宋体" w:cs="Times New Roman"/>
                <w:color w:val="auto"/>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780" w:type="pct"/>
            <w:tcMar>
              <w:top w:w="0" w:type="dxa"/>
              <w:left w:w="28" w:type="dxa"/>
              <w:bottom w:w="0" w:type="dxa"/>
              <w:right w:w="28"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无组织</w:t>
            </w:r>
          </w:p>
        </w:tc>
        <w:tc>
          <w:tcPr>
            <w:tcW w:w="666" w:type="pct"/>
            <w:tcMar>
              <w:top w:w="0" w:type="dxa"/>
              <w:left w:w="28" w:type="dxa"/>
              <w:bottom w:w="0" w:type="dxa"/>
              <w:right w:w="28"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VOCs</w:t>
            </w:r>
          </w:p>
        </w:tc>
        <w:tc>
          <w:tcPr>
            <w:tcW w:w="899" w:type="pct"/>
            <w:tcMar>
              <w:top w:w="0" w:type="dxa"/>
              <w:left w:w="28" w:type="dxa"/>
              <w:bottom w:w="0" w:type="dxa"/>
              <w:right w:w="28"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定期检测维护</w:t>
            </w:r>
          </w:p>
        </w:tc>
        <w:tc>
          <w:tcPr>
            <w:tcW w:w="2125" w:type="pct"/>
            <w:tcMar>
              <w:top w:w="0" w:type="dxa"/>
              <w:left w:w="28" w:type="dxa"/>
              <w:bottom w:w="0" w:type="dxa"/>
              <w:right w:w="28" w:type="dxa"/>
            </w:tcMar>
            <w:vAlign w:val="center"/>
          </w:tcPr>
          <w:p>
            <w:pPr>
              <w:pStyle w:val="14"/>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《挥发性有机物排放标准 第7部分：其他行业》（DB 37/2801.7-2019）表2</w:t>
            </w:r>
            <w:r>
              <w:rPr>
                <w:rFonts w:hint="default" w:ascii="Times New Roman" w:hAnsi="Times New Roman" w:eastAsia="宋体" w:cs="Times New Roman"/>
                <w:color w:val="auto"/>
                <w:szCs w:val="21"/>
                <w:lang w:val="en-US" w:eastAsia="zh-CN"/>
              </w:rPr>
              <w:t>厂界监控点浓度限值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5" w:hRule="atLeast"/>
          <w:jc w:val="center"/>
        </w:trPr>
        <w:tc>
          <w:tcPr>
            <w:tcW w:w="527" w:type="pct"/>
            <w:vMerge w:val="restar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地表水</w:t>
            </w:r>
          </w:p>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环境</w:t>
            </w:r>
          </w:p>
        </w:tc>
        <w:tc>
          <w:tcPr>
            <w:tcW w:w="780" w:type="pct"/>
            <w:tcMar>
              <w:top w:w="0" w:type="dxa"/>
              <w:left w:w="28" w:type="dxa"/>
              <w:bottom w:w="0" w:type="dxa"/>
              <w:right w:w="28" w:type="dxa"/>
            </w:tcMar>
            <w:vAlign w:val="center"/>
          </w:tcPr>
          <w:p>
            <w:pPr>
              <w:jc w:val="center"/>
              <w:rPr>
                <w:rFonts w:hint="eastAsia" w:ascii="Times New Roman" w:hAnsi="Times New Roman" w:eastAsia="宋体" w:cs="Times New Roman"/>
                <w:color w:val="auto"/>
                <w:sz w:val="21"/>
                <w:szCs w:val="21"/>
                <w:lang w:eastAsia="zh-CN"/>
              </w:rPr>
            </w:pPr>
            <w:r>
              <w:rPr>
                <w:b w:val="0"/>
                <w:bCs w:val="0"/>
                <w:color w:val="auto"/>
                <w:sz w:val="21"/>
                <w:szCs w:val="21"/>
              </w:rPr>
              <w:t>生活污水</w:t>
            </w:r>
          </w:p>
        </w:tc>
        <w:tc>
          <w:tcPr>
            <w:tcW w:w="666" w:type="pct"/>
            <w:tcMar>
              <w:top w:w="0" w:type="dxa"/>
              <w:left w:w="28" w:type="dxa"/>
              <w:bottom w:w="0" w:type="dxa"/>
              <w:right w:w="28" w:type="dxa"/>
            </w:tcMar>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eastAsia"/>
                <w:color w:val="auto"/>
                <w:sz w:val="21"/>
                <w:szCs w:val="21"/>
              </w:rPr>
              <w:t>COD</w:t>
            </w:r>
            <w:r>
              <w:rPr>
                <w:color w:val="auto"/>
                <w:sz w:val="21"/>
                <w:szCs w:val="21"/>
              </w:rPr>
              <w:t>、BOD</w:t>
            </w:r>
            <w:r>
              <w:rPr>
                <w:color w:val="auto"/>
                <w:sz w:val="21"/>
                <w:szCs w:val="21"/>
                <w:vertAlign w:val="subscript"/>
              </w:rPr>
              <w:t>5</w:t>
            </w:r>
            <w:r>
              <w:rPr>
                <w:color w:val="auto"/>
                <w:sz w:val="21"/>
                <w:szCs w:val="21"/>
              </w:rPr>
              <w:t>、SS</w:t>
            </w:r>
            <w:r>
              <w:rPr>
                <w:rFonts w:hint="eastAsia"/>
                <w:color w:val="auto"/>
                <w:sz w:val="21"/>
                <w:szCs w:val="21"/>
              </w:rPr>
              <w:t>、</w:t>
            </w:r>
            <w:r>
              <w:rPr>
                <w:color w:val="auto"/>
                <w:sz w:val="21"/>
                <w:szCs w:val="21"/>
              </w:rPr>
              <w:t>NH</w:t>
            </w:r>
            <w:r>
              <w:rPr>
                <w:color w:val="auto"/>
                <w:sz w:val="21"/>
                <w:szCs w:val="21"/>
                <w:vertAlign w:val="subscript"/>
              </w:rPr>
              <w:t>3</w:t>
            </w:r>
            <w:r>
              <w:rPr>
                <w:color w:val="auto"/>
                <w:sz w:val="21"/>
                <w:szCs w:val="21"/>
              </w:rPr>
              <w:t>-N</w:t>
            </w:r>
          </w:p>
        </w:tc>
        <w:tc>
          <w:tcPr>
            <w:tcW w:w="3025" w:type="pct"/>
            <w:gridSpan w:val="2"/>
            <w:tcMar>
              <w:top w:w="0" w:type="dxa"/>
              <w:left w:w="28" w:type="dxa"/>
              <w:bottom w:w="0" w:type="dxa"/>
              <w:right w:w="28" w:type="dxa"/>
            </w:tcMar>
            <w:vAlign w:val="center"/>
          </w:tcPr>
          <w:p>
            <w:pPr>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经化粪池收集后定期清运外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27"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p>
        </w:tc>
        <w:tc>
          <w:tcPr>
            <w:tcW w:w="780" w:type="pct"/>
            <w:tcMar>
              <w:top w:w="0" w:type="dxa"/>
              <w:left w:w="28" w:type="dxa"/>
              <w:bottom w:w="0" w:type="dxa"/>
              <w:right w:w="28" w:type="dxa"/>
            </w:tcMar>
            <w:vAlign w:val="center"/>
          </w:tcPr>
          <w:p>
            <w:pPr>
              <w:jc w:val="center"/>
              <w:rPr>
                <w:rFonts w:hint="eastAsia" w:eastAsia="宋体"/>
                <w:color w:val="auto"/>
                <w:sz w:val="21"/>
                <w:szCs w:val="21"/>
                <w:lang w:eastAsia="zh-CN"/>
              </w:rPr>
            </w:pPr>
            <w:r>
              <w:rPr>
                <w:rFonts w:hint="eastAsia" w:ascii="Times New Roman" w:hAnsi="Times New Roman" w:eastAsia="宋体" w:cs="Times New Roman"/>
                <w:b w:val="0"/>
                <w:bCs w:val="0"/>
                <w:color w:val="auto"/>
                <w:sz w:val="21"/>
                <w:szCs w:val="21"/>
                <w:lang w:val="zh-CN" w:eastAsia="zh-CN"/>
              </w:rPr>
              <w:t>锅炉及软水制备排浓水</w:t>
            </w:r>
            <w:r>
              <w:rPr>
                <w:rFonts w:hint="eastAsia" w:ascii="Times New Roman" w:hAnsi="Times New Roman" w:eastAsia="宋体" w:cs="Times New Roman"/>
                <w:b w:val="0"/>
                <w:bCs w:val="0"/>
                <w:color w:val="auto"/>
                <w:sz w:val="21"/>
                <w:szCs w:val="21"/>
                <w:lang w:val="en-US" w:eastAsia="zh-CN"/>
              </w:rPr>
              <w:t>、含油污水</w:t>
            </w:r>
          </w:p>
        </w:tc>
        <w:tc>
          <w:tcPr>
            <w:tcW w:w="666" w:type="pct"/>
            <w:tcMar>
              <w:top w:w="0" w:type="dxa"/>
              <w:left w:w="28" w:type="dxa"/>
              <w:bottom w:w="0" w:type="dxa"/>
              <w:right w:w="28" w:type="dxa"/>
            </w:tcMar>
            <w:vAlign w:val="center"/>
          </w:tcPr>
          <w:p>
            <w:pPr>
              <w:jc w:val="center"/>
              <w:rPr>
                <w:rFonts w:hint="default" w:eastAsia="宋体"/>
                <w:color w:val="auto"/>
                <w:sz w:val="21"/>
                <w:szCs w:val="21"/>
                <w:lang w:val="en-US" w:eastAsia="zh-CN"/>
              </w:rPr>
            </w:pPr>
            <w:r>
              <w:rPr>
                <w:color w:val="auto"/>
                <w:szCs w:val="21"/>
              </w:rPr>
              <w:t>COD</w:t>
            </w:r>
            <w:r>
              <w:rPr>
                <w:color w:val="auto"/>
                <w:szCs w:val="21"/>
                <w:vertAlign w:val="subscript"/>
              </w:rPr>
              <w:t>Cr</w:t>
            </w:r>
            <w:r>
              <w:rPr>
                <w:color w:val="auto"/>
                <w:sz w:val="21"/>
                <w:szCs w:val="21"/>
              </w:rPr>
              <w:t>、BOD</w:t>
            </w:r>
            <w:r>
              <w:rPr>
                <w:color w:val="auto"/>
                <w:sz w:val="21"/>
                <w:szCs w:val="21"/>
                <w:vertAlign w:val="subscript"/>
              </w:rPr>
              <w:t>5</w:t>
            </w:r>
            <w:r>
              <w:rPr>
                <w:color w:val="auto"/>
                <w:szCs w:val="21"/>
              </w:rPr>
              <w:t>SS</w:t>
            </w:r>
            <w:r>
              <w:rPr>
                <w:color w:val="auto"/>
                <w:sz w:val="21"/>
                <w:szCs w:val="21"/>
              </w:rPr>
              <w:t>、</w:t>
            </w:r>
            <w:r>
              <w:rPr>
                <w:color w:val="auto"/>
                <w:szCs w:val="21"/>
              </w:rPr>
              <w:t>NH</w:t>
            </w:r>
            <w:r>
              <w:rPr>
                <w:color w:val="auto"/>
                <w:szCs w:val="21"/>
                <w:vertAlign w:val="subscript"/>
              </w:rPr>
              <w:t>3</w:t>
            </w:r>
            <w:r>
              <w:rPr>
                <w:color w:val="auto"/>
                <w:szCs w:val="21"/>
              </w:rPr>
              <w:t>-N</w:t>
            </w:r>
            <w:r>
              <w:rPr>
                <w:color w:val="auto"/>
                <w:sz w:val="21"/>
                <w:szCs w:val="21"/>
              </w:rPr>
              <w:t>、</w:t>
            </w:r>
            <w:r>
              <w:rPr>
                <w:rFonts w:hint="eastAsia"/>
                <w:color w:val="auto"/>
                <w:szCs w:val="21"/>
                <w:lang w:val="en-US" w:eastAsia="zh-CN"/>
              </w:rPr>
              <w:t>总氮</w:t>
            </w:r>
            <w:r>
              <w:rPr>
                <w:color w:val="auto"/>
                <w:sz w:val="21"/>
                <w:szCs w:val="21"/>
              </w:rPr>
              <w:t>、</w:t>
            </w:r>
            <w:r>
              <w:rPr>
                <w:rFonts w:hint="eastAsia"/>
                <w:color w:val="auto"/>
                <w:szCs w:val="21"/>
                <w:lang w:val="en-US" w:eastAsia="zh-CN"/>
              </w:rPr>
              <w:t>石油类</w:t>
            </w:r>
            <w:r>
              <w:rPr>
                <w:color w:val="auto"/>
                <w:sz w:val="21"/>
                <w:szCs w:val="21"/>
              </w:rPr>
              <w:t>、</w:t>
            </w:r>
            <w:r>
              <w:rPr>
                <w:rFonts w:hint="eastAsia"/>
                <w:color w:val="auto"/>
                <w:szCs w:val="21"/>
              </w:rPr>
              <w:t>pH</w:t>
            </w:r>
          </w:p>
        </w:tc>
        <w:tc>
          <w:tcPr>
            <w:tcW w:w="3025" w:type="pct"/>
            <w:gridSpan w:val="2"/>
            <w:tcMar>
              <w:top w:w="0" w:type="dxa"/>
              <w:left w:w="28" w:type="dxa"/>
              <w:bottom w:w="0" w:type="dxa"/>
              <w:right w:w="28" w:type="dxa"/>
            </w:tcMar>
            <w:vAlign w:val="center"/>
          </w:tcPr>
          <w:p>
            <w:pPr>
              <w:adjustRightInd w:val="0"/>
              <w:snapToGrid w:val="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经污水处理站处理达到</w:t>
            </w:r>
            <w:r>
              <w:rPr>
                <w:rFonts w:hint="eastAsia" w:ascii="Times New Roman" w:hAnsi="Times New Roman" w:eastAsia="宋体" w:cs="Times New Roman"/>
                <w:b w:val="0"/>
                <w:bCs w:val="0"/>
                <w:color w:val="auto"/>
                <w:sz w:val="21"/>
                <w:szCs w:val="21"/>
                <w:lang w:val="en-US" w:eastAsia="zh-CN"/>
              </w:rPr>
              <w:t>《城市污水再生利用 工业用水水质》（GBT19923-2005）后</w:t>
            </w:r>
            <w:r>
              <w:rPr>
                <w:rFonts w:hint="eastAsia" w:ascii="Times New Roman" w:hAnsi="Times New Roman" w:eastAsia="宋体" w:cs="Times New Roman"/>
                <w:b w:val="0"/>
                <w:bCs w:val="0"/>
                <w:color w:val="auto"/>
                <w:sz w:val="21"/>
                <w:szCs w:val="21"/>
                <w:lang w:eastAsia="zh-CN"/>
              </w:rPr>
              <w:t>回用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527"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声环境</w:t>
            </w:r>
          </w:p>
        </w:tc>
        <w:tc>
          <w:tcPr>
            <w:tcW w:w="780" w:type="pct"/>
            <w:tcMar>
              <w:top w:w="0" w:type="dxa"/>
              <w:left w:w="28" w:type="dxa"/>
              <w:bottom w:w="0" w:type="dxa"/>
              <w:right w:w="28" w:type="dxa"/>
            </w:tcMar>
            <w:vAlign w:val="center"/>
          </w:tcPr>
          <w:p>
            <w:pPr>
              <w:adjustRightInd w:val="0"/>
              <w:snapToGrid w:val="0"/>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 w:val="24"/>
                <w:lang w:val="en-US" w:eastAsia="zh-CN"/>
              </w:rPr>
              <w:t>机泵、风机等</w:t>
            </w:r>
          </w:p>
        </w:tc>
        <w:tc>
          <w:tcPr>
            <w:tcW w:w="666" w:type="pct"/>
            <w:tcMar>
              <w:top w:w="0" w:type="dxa"/>
              <w:left w:w="28" w:type="dxa"/>
              <w:bottom w:w="0" w:type="dxa"/>
              <w:right w:w="28"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噪声</w:t>
            </w:r>
          </w:p>
        </w:tc>
        <w:tc>
          <w:tcPr>
            <w:tcW w:w="899" w:type="pct"/>
            <w:tcMar>
              <w:top w:w="0" w:type="dxa"/>
              <w:left w:w="28" w:type="dxa"/>
              <w:bottom w:w="0" w:type="dxa"/>
              <w:right w:w="28" w:type="dxa"/>
            </w:tcMar>
            <w:vAlign w:val="center"/>
          </w:tcPr>
          <w:p>
            <w:pPr>
              <w:ind w:left="42" w:leftChars="20" w:right="42" w:rightChars="20"/>
              <w:jc w:val="center"/>
              <w:textAlignment w:val="baseline"/>
              <w:rPr>
                <w:rFonts w:hint="default" w:ascii="Times New Roman" w:hAnsi="Times New Roman" w:cs="Times New Roman"/>
                <w:color w:val="auto"/>
                <w:szCs w:val="21"/>
              </w:rPr>
            </w:pPr>
            <w:r>
              <w:rPr>
                <w:color w:val="auto"/>
                <w:sz w:val="21"/>
                <w:szCs w:val="21"/>
              </w:rPr>
              <w:t>采用隔音、减振</w:t>
            </w:r>
            <w:r>
              <w:rPr>
                <w:rFonts w:hint="eastAsia"/>
                <w:color w:val="auto"/>
                <w:sz w:val="21"/>
                <w:szCs w:val="21"/>
                <w:lang w:eastAsia="zh-CN"/>
              </w:rPr>
              <w:t>、消声、距离衰减</w:t>
            </w:r>
            <w:r>
              <w:rPr>
                <w:color w:val="auto"/>
                <w:sz w:val="21"/>
                <w:szCs w:val="21"/>
              </w:rPr>
              <w:t>等措施</w:t>
            </w:r>
          </w:p>
        </w:tc>
        <w:tc>
          <w:tcPr>
            <w:tcW w:w="2125" w:type="pct"/>
            <w:tcMar>
              <w:top w:w="0" w:type="dxa"/>
              <w:left w:w="28" w:type="dxa"/>
              <w:bottom w:w="0" w:type="dxa"/>
              <w:right w:w="28" w:type="dxa"/>
            </w:tcMar>
            <w:vAlign w:val="center"/>
          </w:tcPr>
          <w:p>
            <w:pPr>
              <w:ind w:left="42" w:leftChars="20" w:right="42" w:rightChars="20"/>
              <w:jc w:val="center"/>
              <w:textAlignment w:val="baseline"/>
              <w:rPr>
                <w:rFonts w:hint="default" w:ascii="Times New Roman" w:hAnsi="Times New Roman" w:cs="Times New Roman"/>
                <w:color w:val="auto"/>
                <w:szCs w:val="21"/>
              </w:rPr>
            </w:pPr>
            <w:r>
              <w:rPr>
                <w:rFonts w:ascii="Times New Roman" w:hAnsi="Times New Roman" w:eastAsia="宋体" w:cs="Times New Roman"/>
                <w:color w:val="auto"/>
                <w:sz w:val="21"/>
                <w:szCs w:val="21"/>
              </w:rPr>
              <w:t>《工业企业厂界噪声排放标准》（GB12348-2008）</w:t>
            </w:r>
            <w:r>
              <w:rPr>
                <w:rFonts w:hint="eastAsia" w:cs="Times New Roman"/>
                <w:color w:val="auto"/>
                <w:sz w:val="21"/>
                <w:szCs w:val="21"/>
                <w:lang w:val="en-US" w:eastAsia="zh-CN"/>
              </w:rPr>
              <w:t>2</w:t>
            </w:r>
            <w:r>
              <w:rPr>
                <w:rFonts w:ascii="Times New Roman" w:hAnsi="Times New Roman" w:eastAsia="宋体" w:cs="Times New Roman"/>
                <w:color w:val="auto"/>
                <w:sz w:val="21"/>
                <w:szCs w:val="21"/>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527"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电磁辐射</w:t>
            </w:r>
          </w:p>
        </w:tc>
        <w:tc>
          <w:tcPr>
            <w:tcW w:w="4472" w:type="pct"/>
            <w:gridSpan w:val="4"/>
            <w:tcMar>
              <w:top w:w="0" w:type="dxa"/>
              <w:left w:w="28" w:type="dxa"/>
              <w:bottom w:w="0" w:type="dxa"/>
              <w:right w:w="28"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72" w:hRule="atLeast"/>
          <w:jc w:val="center"/>
        </w:trPr>
        <w:tc>
          <w:tcPr>
            <w:tcW w:w="527"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固体废物</w:t>
            </w:r>
          </w:p>
        </w:tc>
        <w:tc>
          <w:tcPr>
            <w:tcW w:w="4472" w:type="pct"/>
            <w:gridSpan w:val="4"/>
            <w:tcMar>
              <w:top w:w="0" w:type="dxa"/>
              <w:left w:w="28" w:type="dxa"/>
              <w:bottom w:w="0" w:type="dxa"/>
              <w:right w:w="28" w:type="dxa"/>
            </w:tcMar>
            <w:vAlign w:val="center"/>
          </w:tcPr>
          <w:p>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生活垃圾委托环卫部门定期清运；</w:t>
            </w:r>
            <w:r>
              <w:rPr>
                <w:rFonts w:hint="eastAsia" w:ascii="Times New Roman" w:hAnsi="Times New Roman" w:eastAsia="宋体" w:cs="Times New Roman"/>
                <w:color w:val="auto"/>
                <w:kern w:val="0"/>
                <w:szCs w:val="21"/>
                <w:lang w:val="en-US" w:eastAsia="zh-CN"/>
              </w:rPr>
              <w:t>污水处理站污泥暂存于污水处理站污泥暂存区</w:t>
            </w:r>
            <w:r>
              <w:rPr>
                <w:rFonts w:hint="default" w:ascii="Times New Roman" w:hAnsi="Times New Roman" w:eastAsia="宋体" w:cs="Times New Roman"/>
                <w:color w:val="auto"/>
                <w:kern w:val="0"/>
                <w:szCs w:val="21"/>
                <w:lang w:val="en-US" w:eastAsia="zh-CN"/>
              </w:rPr>
              <w:t>，</w:t>
            </w:r>
            <w:r>
              <w:rPr>
                <w:rFonts w:hint="eastAsia" w:ascii="Times New Roman" w:hAnsi="Times New Roman" w:eastAsia="宋体" w:cs="Times New Roman"/>
                <w:color w:val="auto"/>
                <w:kern w:val="0"/>
                <w:szCs w:val="21"/>
                <w:lang w:val="en-US" w:eastAsia="zh-CN"/>
              </w:rPr>
              <w:t>集中收集后定期外运处理；清罐含油残渣暂存于危废暂存间，集中收集后</w:t>
            </w:r>
            <w:r>
              <w:rPr>
                <w:rFonts w:hint="default" w:ascii="Times New Roman" w:hAnsi="Times New Roman" w:eastAsia="宋体" w:cs="Times New Roman"/>
                <w:color w:val="auto"/>
                <w:kern w:val="0"/>
                <w:szCs w:val="21"/>
                <w:lang w:val="en-US" w:eastAsia="zh-CN"/>
              </w:rPr>
              <w:t>委托有资质单位处置</w:t>
            </w:r>
            <w:r>
              <w:rPr>
                <w:rFonts w:hint="eastAsia" w:ascii="Times New Roman" w:hAnsi="Times New Roman" w:eastAsia="宋体" w:cs="Times New Roman"/>
                <w:color w:val="auto"/>
                <w:kern w:val="0"/>
                <w:szCs w:val="21"/>
                <w:lang w:val="en-US" w:eastAsia="zh-CN"/>
              </w:rPr>
              <w:t>；废导热油集中收集，及时清运，不在厂区内存储，</w:t>
            </w:r>
            <w:r>
              <w:rPr>
                <w:rFonts w:hint="default" w:ascii="Times New Roman" w:hAnsi="Times New Roman" w:eastAsia="宋体" w:cs="Times New Roman"/>
                <w:color w:val="auto"/>
                <w:kern w:val="0"/>
                <w:szCs w:val="21"/>
                <w:lang w:val="en-US" w:eastAsia="zh-CN"/>
              </w:rPr>
              <w:t>委托有资质单位处置</w:t>
            </w:r>
            <w:r>
              <w:rPr>
                <w:rFonts w:hint="eastAsia" w:ascii="Times New Roman" w:hAnsi="Times New Roman" w:eastAsia="宋体" w:cs="Times New Roman"/>
                <w:color w:val="auto"/>
                <w:kern w:val="0"/>
                <w:szCs w:val="21"/>
                <w:lang w:val="en-US" w:eastAsia="zh-CN"/>
              </w:rPr>
              <w:t>；污水处理站污油暂存于危废暂存间，委托有资质的单位处置。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94" w:hRule="atLeast"/>
          <w:jc w:val="center"/>
        </w:trPr>
        <w:tc>
          <w:tcPr>
            <w:tcW w:w="527"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土壤及地下水污染防治措施</w:t>
            </w:r>
          </w:p>
        </w:tc>
        <w:tc>
          <w:tcPr>
            <w:tcW w:w="4472" w:type="pct"/>
            <w:gridSpan w:val="4"/>
            <w:tcMar>
              <w:top w:w="0" w:type="dxa"/>
              <w:left w:w="28" w:type="dxa"/>
              <w:bottom w:w="0" w:type="dxa"/>
              <w:right w:w="28" w:type="dxa"/>
            </w:tcMar>
            <w:vAlign w:val="center"/>
          </w:tcPr>
          <w:p>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采取分区防渗措施，</w:t>
            </w:r>
            <w:r>
              <w:rPr>
                <w:rFonts w:hint="eastAsia" w:cs="Times New Roman"/>
                <w:color w:val="auto"/>
                <w:kern w:val="0"/>
                <w:szCs w:val="21"/>
                <w:lang w:val="en-US" w:eastAsia="zh-CN"/>
              </w:rPr>
              <w:t>罐区、危废间</w:t>
            </w:r>
            <w:r>
              <w:rPr>
                <w:rFonts w:hint="default" w:ascii="Times New Roman" w:hAnsi="Times New Roman" w:eastAsia="宋体" w:cs="Times New Roman"/>
                <w:color w:val="auto"/>
                <w:kern w:val="0"/>
                <w:szCs w:val="21"/>
                <w:lang w:val="en-US" w:eastAsia="zh-CN"/>
              </w:rPr>
              <w:t>、</w:t>
            </w:r>
            <w:r>
              <w:rPr>
                <w:rFonts w:hint="eastAsia" w:cs="Times New Roman"/>
                <w:color w:val="auto"/>
                <w:kern w:val="0"/>
                <w:szCs w:val="21"/>
                <w:lang w:val="en-US" w:eastAsia="zh-CN"/>
              </w:rPr>
              <w:t>污水处理站</w:t>
            </w:r>
            <w:r>
              <w:rPr>
                <w:rFonts w:hint="default" w:ascii="Times New Roman" w:hAnsi="Times New Roman" w:eastAsia="宋体" w:cs="Times New Roman"/>
                <w:color w:val="auto"/>
                <w:kern w:val="0"/>
                <w:szCs w:val="21"/>
                <w:lang w:val="en-US" w:eastAsia="zh-CN"/>
              </w:rPr>
              <w:t>按照重点污染防治区进行防渗，</w:t>
            </w:r>
            <w:r>
              <w:rPr>
                <w:rFonts w:hint="eastAsia" w:cs="Times New Roman"/>
                <w:color w:val="auto"/>
                <w:kern w:val="0"/>
                <w:szCs w:val="21"/>
                <w:lang w:val="en-US" w:eastAsia="zh-CN"/>
              </w:rPr>
              <w:t>装卸车区</w:t>
            </w:r>
            <w:r>
              <w:rPr>
                <w:rFonts w:hint="default" w:ascii="Times New Roman" w:hAnsi="Times New Roman" w:eastAsia="宋体" w:cs="Times New Roman"/>
                <w:color w:val="auto"/>
                <w:kern w:val="0"/>
                <w:szCs w:val="21"/>
                <w:lang w:val="en-US" w:eastAsia="zh-CN"/>
              </w:rPr>
              <w:t>等按照一般污染防治区进行防渗。为防止项目建成运营后对周围地下水、土壤环境造成污染，企业应加强对生产设施的管理和维护；制定环境管理制度，强化风险防范意识，加强环境保护工作。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39" w:hRule="atLeast"/>
          <w:jc w:val="center"/>
        </w:trPr>
        <w:tc>
          <w:tcPr>
            <w:tcW w:w="527"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生态保护措施</w:t>
            </w:r>
          </w:p>
        </w:tc>
        <w:tc>
          <w:tcPr>
            <w:tcW w:w="4472" w:type="pct"/>
            <w:gridSpan w:val="4"/>
            <w:tcMar>
              <w:top w:w="0" w:type="dxa"/>
              <w:left w:w="28" w:type="dxa"/>
              <w:bottom w:w="0" w:type="dxa"/>
              <w:right w:w="28" w:type="dxa"/>
            </w:tcMar>
            <w:vAlign w:val="center"/>
          </w:tcPr>
          <w:p>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cs="Times New Roman"/>
                <w:color w:val="auto"/>
                <w:szCs w:val="21"/>
              </w:rPr>
            </w:pPr>
            <w:r>
              <w:rPr>
                <w:rFonts w:hint="default" w:ascii="Times New Roman" w:hAnsi="Times New Roman" w:cs="Times New Roman"/>
                <w:color w:val="auto"/>
                <w:kern w:val="0"/>
                <w:szCs w:val="21"/>
                <w:lang w:val="zh-CN"/>
              </w:rPr>
              <w:t>拟建项目营运期间应加强运营环节的管理，保证环保措施严格实施，确保设备安全运转，使污染物排放达标。同时，加强绿化，种植花草、树木，既美化环境，以发挥吸声降噪作用，提高生态效应。在严格管理，落实各项环保措施的情况下，可实现污染物达标排放，项目对生态环境影响较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74" w:hRule="atLeast"/>
          <w:jc w:val="center"/>
        </w:trPr>
        <w:tc>
          <w:tcPr>
            <w:tcW w:w="527"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环境风险</w:t>
            </w:r>
          </w:p>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防范措施</w:t>
            </w:r>
          </w:p>
        </w:tc>
        <w:tc>
          <w:tcPr>
            <w:tcW w:w="4472" w:type="pct"/>
            <w:gridSpan w:val="4"/>
            <w:tcMar>
              <w:top w:w="0" w:type="dxa"/>
              <w:left w:w="28" w:type="dxa"/>
              <w:bottom w:w="0" w:type="dxa"/>
              <w:right w:w="28" w:type="dxa"/>
            </w:tcMar>
            <w:vAlign w:val="center"/>
          </w:tcPr>
          <w:p>
            <w:pPr>
              <w:spacing w:line="360" w:lineRule="auto"/>
              <w:ind w:firstLine="480"/>
              <w:rPr>
                <w:rFonts w:hint="default" w:ascii="Times New Roman" w:hAnsi="Times New Roman" w:cs="Times New Roman"/>
                <w:color w:val="auto"/>
                <w:szCs w:val="21"/>
              </w:rPr>
            </w:pPr>
            <w:r>
              <w:rPr>
                <w:rFonts w:hint="default" w:ascii="Times New Roman" w:hAnsi="Times New Roman" w:cs="Times New Roman"/>
                <w:color w:val="auto"/>
                <w:kern w:val="0"/>
                <w:szCs w:val="21"/>
                <w:lang w:val="zh-CN"/>
              </w:rPr>
              <w:t>强化风险意识，消防及火灾风险防范，物料贮存过程风险防范。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91" w:hRule="atLeast"/>
          <w:jc w:val="center"/>
        </w:trPr>
        <w:tc>
          <w:tcPr>
            <w:tcW w:w="527"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其他环境</w:t>
            </w:r>
          </w:p>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管理要求</w:t>
            </w:r>
          </w:p>
        </w:tc>
        <w:tc>
          <w:tcPr>
            <w:tcW w:w="4472" w:type="pct"/>
            <w:gridSpan w:val="4"/>
            <w:tcMar>
              <w:top w:w="0" w:type="dxa"/>
              <w:left w:w="28" w:type="dxa"/>
              <w:bottom w:w="0" w:type="dxa"/>
              <w:right w:w="28" w:type="dxa"/>
            </w:tcMar>
            <w:vAlign w:val="center"/>
          </w:tcPr>
          <w:p>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cs="Times New Roman"/>
                <w:color w:val="auto"/>
                <w:kern w:val="0"/>
                <w:szCs w:val="21"/>
                <w:lang w:val="zh-CN"/>
              </w:rPr>
            </w:pPr>
            <w:r>
              <w:rPr>
                <w:rFonts w:hint="default" w:ascii="Times New Roman" w:hAnsi="Times New Roman" w:cs="Times New Roman"/>
                <w:color w:val="auto"/>
                <w:kern w:val="0"/>
                <w:szCs w:val="21"/>
                <w:lang w:val="zh-CN"/>
              </w:rPr>
              <w:t>（1）严格执行环保“三同时”制度，确保各项环保措施落实到位。</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color w:val="auto"/>
                <w:kern w:val="0"/>
                <w:szCs w:val="21"/>
                <w:lang w:val="zh-CN"/>
              </w:rPr>
            </w:pPr>
            <w:r>
              <w:rPr>
                <w:rFonts w:hint="default" w:ascii="Times New Roman" w:hAnsi="Times New Roman" w:cs="Times New Roman"/>
                <w:color w:val="auto"/>
                <w:kern w:val="0"/>
                <w:szCs w:val="21"/>
                <w:lang w:val="zh-CN"/>
              </w:rPr>
              <w:t>（2）积极配合环保部门的监督、监测管理，健全厂内环境管理体制。</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color w:val="auto"/>
                <w:kern w:val="0"/>
                <w:szCs w:val="21"/>
                <w:lang w:val="zh-CN"/>
              </w:rPr>
            </w:pPr>
            <w:r>
              <w:rPr>
                <w:rFonts w:hint="default" w:ascii="Times New Roman" w:hAnsi="Times New Roman" w:cs="Times New Roman"/>
                <w:color w:val="auto"/>
                <w:kern w:val="0"/>
                <w:szCs w:val="21"/>
                <w:lang w:val="zh-CN"/>
              </w:rPr>
              <w:t>（3）加强厂区及周围的绿化，降低对区域生态环境的影响。</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color w:val="auto"/>
                <w:kern w:val="0"/>
                <w:sz w:val="24"/>
                <w:lang w:val="zh-CN"/>
              </w:rPr>
            </w:pPr>
            <w:r>
              <w:rPr>
                <w:rFonts w:hint="default" w:ascii="Times New Roman" w:hAnsi="Times New Roman" w:cs="Times New Roman"/>
                <w:color w:val="auto"/>
                <w:kern w:val="0"/>
                <w:szCs w:val="21"/>
                <w:lang w:val="zh-CN"/>
              </w:rPr>
              <w:t>（4）污染物排放口、暂存场所，应严格按照《环境保护图形标志</w:t>
            </w:r>
            <w:r>
              <w:rPr>
                <w:rFonts w:hint="eastAsia" w:cs="Times New Roman"/>
                <w:color w:val="auto"/>
                <w:kern w:val="0"/>
                <w:szCs w:val="21"/>
                <w:lang w:val="en-US" w:eastAsia="zh-CN"/>
              </w:rPr>
              <w:t>--</w:t>
            </w:r>
            <w:r>
              <w:rPr>
                <w:rFonts w:hint="default" w:ascii="Times New Roman" w:hAnsi="Times New Roman" w:cs="Times New Roman"/>
                <w:color w:val="auto"/>
                <w:kern w:val="0"/>
                <w:szCs w:val="21"/>
                <w:lang w:val="zh-CN"/>
              </w:rPr>
              <w:t>排放口（源）》（GB1556.2-1995）、《环境保护图形标志--固体废物贮存（处置）场》（GB15562.2-1995）</w:t>
            </w:r>
            <w:r>
              <w:rPr>
                <w:rFonts w:hint="eastAsia" w:cs="Times New Roman"/>
                <w:color w:val="auto"/>
                <w:kern w:val="0"/>
                <w:szCs w:val="21"/>
                <w:lang w:val="zh-CN"/>
              </w:rPr>
              <w:t>。</w:t>
            </w:r>
          </w:p>
        </w:tc>
      </w:tr>
    </w:tbl>
    <w:p>
      <w:pPr>
        <w:pStyle w:val="22"/>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snapToGrid w:val="0"/>
          <w:color w:val="auto"/>
        </w:rPr>
        <w:br w:type="page"/>
      </w:r>
      <w:r>
        <w:rPr>
          <w:rFonts w:hint="default" w:ascii="Times New Roman" w:hAnsi="Times New Roman" w:eastAsia="黑体" w:cs="Times New Roman"/>
          <w:snapToGrid w:val="0"/>
          <w:color w:val="auto"/>
          <w:sz w:val="30"/>
          <w:szCs w:val="30"/>
          <w:highlight w:val="none"/>
        </w:rPr>
        <w:t>六、结论</w:t>
      </w:r>
    </w:p>
    <w:tbl>
      <w:tblPr>
        <w:tblStyle w:val="26"/>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81" w:hRule="atLeast"/>
        </w:trPr>
        <w:tc>
          <w:tcPr>
            <w:tcW w:w="5000" w:type="pct"/>
            <w:vAlign w:val="center"/>
          </w:tcPr>
          <w:p>
            <w:pPr>
              <w:keepNext w:val="0"/>
              <w:keepLines w:val="0"/>
              <w:pageBreakBefore w:val="0"/>
              <w:widowControl w:val="0"/>
              <w:tabs>
                <w:tab w:val="left" w:pos="5265"/>
              </w:tabs>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eastAsia"/>
                <w:color w:val="auto"/>
                <w:sz w:val="24"/>
                <w:lang w:eastAsia="zh-CN"/>
              </w:rPr>
              <w:t>淄博宝发顺仓储有限公司</w:t>
            </w:r>
            <w:r>
              <w:rPr>
                <w:rFonts w:hint="eastAsia" w:cs="Times New Roman"/>
                <w:color w:val="auto"/>
                <w:sz w:val="24"/>
                <w:szCs w:val="24"/>
                <w:lang w:val="en-US" w:eastAsia="zh-CN"/>
              </w:rPr>
              <w:t>仓储项目</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不属于国家发展和改革委员会发布的《产业结构调整指导目录（2019年本）》中“鼓励类”、“限制类”、“淘汰类”，属于允许建设项目</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符合国家的产业政策</w:t>
            </w:r>
            <w:r>
              <w:rPr>
                <w:rFonts w:hint="default" w:ascii="Times New Roman" w:hAnsi="Times New Roman" w:cs="Times New Roman"/>
                <w:color w:val="auto"/>
                <w:sz w:val="24"/>
                <w:szCs w:val="24"/>
              </w:rPr>
              <w:t>。本项目已取得山东省建设项目备案证明，项目代码为</w:t>
            </w:r>
            <w:r>
              <w:rPr>
                <w:rFonts w:hint="eastAsia" w:cs="Times New Roman"/>
                <w:color w:val="auto"/>
                <w:sz w:val="24"/>
                <w:szCs w:val="24"/>
                <w:lang w:eastAsia="zh-CN"/>
              </w:rPr>
              <w:t>2212-370302-89-01-767949</w:t>
            </w:r>
            <w:r>
              <w:rPr>
                <w:rFonts w:hint="default" w:ascii="Times New Roman" w:hAnsi="Times New Roman" w:cs="Times New Roman"/>
                <w:color w:val="auto"/>
                <w:sz w:val="24"/>
                <w:szCs w:val="24"/>
              </w:rPr>
              <w:t>。项目位于</w:t>
            </w:r>
            <w:r>
              <w:rPr>
                <w:rFonts w:hint="eastAsia" w:cs="Times New Roman"/>
                <w:color w:val="auto"/>
                <w:sz w:val="24"/>
                <w:szCs w:val="24"/>
                <w:lang w:val="en-US" w:eastAsia="zh-CN"/>
              </w:rPr>
              <w:t>淄博市淄川区寨里镇土湾村胶王路与一干渠路交叉口东10米，原淄博正晋特钢有限公司厂区内</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项目用地为工业用地</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符合</w:t>
            </w:r>
            <w:r>
              <w:rPr>
                <w:rFonts w:hint="default" w:ascii="Times New Roman" w:hAnsi="Times New Roman" w:cs="Times New Roman"/>
                <w:color w:val="auto"/>
                <w:sz w:val="24"/>
                <w:szCs w:val="24"/>
                <w:highlight w:val="none"/>
                <w:lang w:val="en-US" w:eastAsia="zh-CN"/>
              </w:rPr>
              <w:t>规划</w:t>
            </w:r>
            <w:r>
              <w:rPr>
                <w:rFonts w:hint="eastAsia" w:cs="Times New Roman"/>
                <w:color w:val="auto"/>
                <w:sz w:val="24"/>
                <w:szCs w:val="24"/>
                <w:highlight w:val="none"/>
                <w:lang w:val="en-US" w:eastAsia="zh-CN"/>
              </w:rPr>
              <w:t>要求</w:t>
            </w:r>
            <w:r>
              <w:rPr>
                <w:rFonts w:hint="default" w:ascii="Times New Roman" w:hAnsi="Times New Roman" w:cs="Times New Roman"/>
                <w:color w:val="auto"/>
                <w:sz w:val="24"/>
                <w:szCs w:val="24"/>
                <w:highlight w:val="none"/>
              </w:rPr>
              <w:t>。</w:t>
            </w:r>
          </w:p>
          <w:p>
            <w:pPr>
              <w:keepNext w:val="0"/>
              <w:keepLines w:val="0"/>
              <w:pageBreakBefore w:val="0"/>
              <w:widowControl w:val="0"/>
              <w:tabs>
                <w:tab w:val="left" w:pos="5265"/>
              </w:tabs>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color w:val="auto"/>
                <w:sz w:val="24"/>
              </w:rPr>
            </w:pPr>
            <w:r>
              <w:rPr>
                <w:rFonts w:hint="default" w:ascii="Times New Roman" w:hAnsi="Times New Roman" w:cs="Times New Roman"/>
                <w:color w:val="auto"/>
                <w:sz w:val="24"/>
                <w:szCs w:val="24"/>
              </w:rPr>
              <w:t>本项目在</w:t>
            </w:r>
            <w:r>
              <w:rPr>
                <w:rFonts w:hint="default" w:cs="Times New Roman"/>
                <w:color w:val="auto"/>
                <w:sz w:val="24"/>
                <w:szCs w:val="24"/>
                <w:lang w:eastAsia="zh-CN"/>
              </w:rPr>
              <w:t>生产</w:t>
            </w:r>
            <w:r>
              <w:rPr>
                <w:rFonts w:hint="default" w:ascii="Times New Roman" w:hAnsi="Times New Roman" w:cs="Times New Roman"/>
                <w:color w:val="auto"/>
                <w:sz w:val="24"/>
                <w:szCs w:val="24"/>
              </w:rPr>
              <w:t>过程中会产生废气、废水、噪声、固体废物等，在全面落实本报告表提出的各项环境保护措施的基础上，切实做到“三同时”，并在营运期内持之以恒加强环境管理的前提下，从环境保护角度，本项目环境影响可行。</w:t>
            </w:r>
          </w:p>
        </w:tc>
      </w:tr>
    </w:tbl>
    <w:p>
      <w:pPr>
        <w:rPr>
          <w:rFonts w:hint="default" w:ascii="Times New Roman" w:hAnsi="Times New Roman" w:cs="Times New Roman"/>
          <w:color w:val="auto"/>
        </w:rPr>
        <w:sectPr>
          <w:pgSz w:w="11906" w:h="16838"/>
          <w:pgMar w:top="1701" w:right="1531" w:bottom="1701" w:left="1531" w:header="851" w:footer="850" w:gutter="0"/>
          <w:pgBorders>
            <w:top w:val="none" w:sz="0" w:space="0"/>
            <w:left w:val="none" w:sz="0" w:space="0"/>
            <w:bottom w:val="none" w:sz="0" w:space="0"/>
            <w:right w:val="none" w:sz="0" w:space="0"/>
          </w:pgBorders>
          <w:pgNumType w:fmt="decimal"/>
          <w:cols w:space="720" w:num="1"/>
          <w:docGrid w:linePitch="312" w:charSpace="0"/>
        </w:sectPr>
      </w:pPr>
    </w:p>
    <w:p>
      <w:pPr>
        <w:pStyle w:val="22"/>
        <w:adjustRightInd w:val="0"/>
        <w:snapToGrid w:val="0"/>
        <w:spacing w:before="0" w:beforeAutospacing="0" w:after="0" w:afterAutospacing="0" w:line="360" w:lineRule="auto"/>
        <w:outlineLvl w:val="0"/>
        <w:rPr>
          <w:rFonts w:hint="default" w:ascii="Times New Roman" w:hAnsi="Times New Roman" w:eastAsia="黑体" w:cs="Times New Roman"/>
          <w:snapToGrid w:val="0"/>
          <w:color w:val="auto"/>
          <w:sz w:val="32"/>
          <w:szCs w:val="32"/>
          <w:highlight w:val="none"/>
        </w:rPr>
      </w:pPr>
      <w:r>
        <w:rPr>
          <w:rFonts w:hint="default" w:ascii="Times New Roman" w:hAnsi="Times New Roman" w:eastAsia="黑体" w:cs="Times New Roman"/>
          <w:snapToGrid w:val="0"/>
          <w:color w:val="auto"/>
          <w:sz w:val="32"/>
          <w:szCs w:val="32"/>
          <w:highlight w:val="none"/>
        </w:rPr>
        <w:t>附表</w:t>
      </w:r>
    </w:p>
    <w:p>
      <w:pPr>
        <w:pStyle w:val="22"/>
        <w:adjustRightInd w:val="0"/>
        <w:snapToGrid w:val="0"/>
        <w:spacing w:before="0" w:beforeAutospacing="0" w:after="0" w:afterAutospacing="0" w:line="240" w:lineRule="auto"/>
        <w:jc w:val="center"/>
        <w:outlineLvl w:val="0"/>
        <w:rPr>
          <w:rFonts w:hint="default" w:ascii="Times New Roman" w:hAnsi="Times New Roman" w:eastAsia="方正小标宋_GBK" w:cs="Times New Roman"/>
          <w:snapToGrid w:val="0"/>
          <w:color w:val="auto"/>
          <w:sz w:val="38"/>
          <w:szCs w:val="38"/>
          <w:highlight w:val="none"/>
        </w:rPr>
      </w:pPr>
      <w:r>
        <w:rPr>
          <w:rFonts w:hint="default" w:ascii="Times New Roman" w:hAnsi="Times New Roman" w:eastAsia="方正小标宋_GBK" w:cs="Times New Roman"/>
          <w:snapToGrid w:val="0"/>
          <w:color w:val="auto"/>
          <w:sz w:val="38"/>
          <w:szCs w:val="38"/>
          <w:highlight w:val="none"/>
        </w:rPr>
        <w:t>建设项目污染物排放量汇总表</w:t>
      </w:r>
    </w:p>
    <w:tbl>
      <w:tblPr>
        <w:tblStyle w:val="26"/>
        <w:tblW w:w="13788" w:type="dxa"/>
        <w:tblInd w:w="-8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54"/>
        <w:gridCol w:w="2844"/>
        <w:gridCol w:w="1537"/>
        <w:gridCol w:w="1200"/>
        <w:gridCol w:w="1500"/>
        <w:gridCol w:w="1455"/>
        <w:gridCol w:w="1305"/>
        <w:gridCol w:w="1410"/>
        <w:gridCol w:w="138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tcBorders>
              <w:tl2br w:val="single" w:color="auto" w:sz="4" w:space="0"/>
            </w:tcBorders>
            <w:tcMar>
              <w:left w:w="28" w:type="dxa"/>
              <w:right w:w="28" w:type="dxa"/>
            </w:tcMar>
            <w:vAlign w:val="center"/>
          </w:tcPr>
          <w:p>
            <w:pPr>
              <w:pStyle w:val="57"/>
              <w:spacing w:line="240" w:lineRule="auto"/>
              <w:jc w:val="right"/>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项目</w:t>
            </w:r>
          </w:p>
          <w:p>
            <w:pPr>
              <w:pStyle w:val="57"/>
              <w:spacing w:line="240" w:lineRule="auto"/>
              <w:jc w:val="left"/>
              <w:rPr>
                <w:rFonts w:hint="eastAsia" w:ascii="黑体" w:hAnsi="黑体" w:eastAsia="黑体" w:cs="黑体"/>
                <w:snapToGrid w:val="0"/>
                <w:color w:val="auto"/>
                <w:spacing w:val="-6"/>
                <w:kern w:val="21"/>
                <w:sz w:val="21"/>
                <w:szCs w:val="21"/>
                <w:lang w:val="en-US" w:eastAsia="zh-CN"/>
              </w:rPr>
            </w:pPr>
          </w:p>
          <w:p>
            <w:pPr>
              <w:pStyle w:val="57"/>
              <w:spacing w:line="240" w:lineRule="auto"/>
              <w:jc w:val="left"/>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分类</w:t>
            </w:r>
          </w:p>
        </w:tc>
        <w:tc>
          <w:tcPr>
            <w:tcW w:w="2844" w:type="dxa"/>
            <w:tcMar>
              <w:left w:w="28" w:type="dxa"/>
              <w:right w:w="28" w:type="dxa"/>
            </w:tcMar>
            <w:vAlign w:val="center"/>
          </w:tcPr>
          <w:p>
            <w:pPr>
              <w:pStyle w:val="57"/>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污染物名称</w:t>
            </w:r>
          </w:p>
        </w:tc>
        <w:tc>
          <w:tcPr>
            <w:tcW w:w="1537" w:type="dxa"/>
            <w:tcMar>
              <w:left w:w="28" w:type="dxa"/>
              <w:right w:w="28" w:type="dxa"/>
            </w:tcMar>
            <w:vAlign w:val="center"/>
          </w:tcPr>
          <w:p>
            <w:pPr>
              <w:pStyle w:val="57"/>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现有工程</w:t>
            </w:r>
          </w:p>
          <w:p>
            <w:pPr>
              <w:pStyle w:val="57"/>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排放量（固体废物产生量）</w:t>
            </w:r>
            <w:r>
              <w:rPr>
                <w:rFonts w:hint="eastAsia" w:ascii="黑体" w:hAnsi="黑体" w:eastAsia="黑体" w:cs="黑体"/>
                <w:snapToGrid w:val="0"/>
                <w:color w:val="auto"/>
                <w:spacing w:val="-6"/>
                <w:kern w:val="21"/>
                <w:sz w:val="21"/>
                <w:szCs w:val="21"/>
                <w:lang w:val="en-US" w:eastAsia="zh-CN"/>
              </w:rPr>
              <w:fldChar w:fldCharType="begin"/>
            </w:r>
            <w:r>
              <w:rPr>
                <w:rFonts w:hint="eastAsia" w:ascii="黑体" w:hAnsi="黑体" w:eastAsia="黑体" w:cs="黑体"/>
                <w:snapToGrid w:val="0"/>
                <w:color w:val="auto"/>
                <w:spacing w:val="-6"/>
                <w:kern w:val="21"/>
                <w:sz w:val="21"/>
                <w:szCs w:val="21"/>
                <w:lang w:val="en-US" w:eastAsia="zh-CN"/>
              </w:rPr>
              <w:instrText xml:space="preserve"> = 1 \* GB3 \* MERGEFORMAT </w:instrText>
            </w:r>
            <w:r>
              <w:rPr>
                <w:rFonts w:hint="eastAsia" w:ascii="黑体" w:hAnsi="黑体" w:eastAsia="黑体" w:cs="黑体"/>
                <w:snapToGrid w:val="0"/>
                <w:color w:val="auto"/>
                <w:spacing w:val="-6"/>
                <w:kern w:val="21"/>
                <w:sz w:val="21"/>
                <w:szCs w:val="21"/>
                <w:lang w:val="en-US" w:eastAsia="zh-CN"/>
              </w:rPr>
              <w:fldChar w:fldCharType="separate"/>
            </w:r>
            <w:r>
              <w:rPr>
                <w:rFonts w:hint="eastAsia" w:ascii="黑体" w:hAnsi="黑体" w:eastAsia="黑体" w:cs="黑体"/>
                <w:color w:val="auto"/>
                <w:kern w:val="2"/>
                <w:sz w:val="21"/>
                <w:szCs w:val="21"/>
                <w:lang w:val="en-US" w:eastAsia="zh-CN"/>
              </w:rPr>
              <w:t>①</w:t>
            </w:r>
            <w:r>
              <w:rPr>
                <w:rFonts w:hint="eastAsia" w:ascii="黑体" w:hAnsi="黑体" w:eastAsia="黑体" w:cs="黑体"/>
                <w:snapToGrid w:val="0"/>
                <w:color w:val="auto"/>
                <w:spacing w:val="-6"/>
                <w:kern w:val="21"/>
                <w:sz w:val="21"/>
                <w:szCs w:val="21"/>
                <w:lang w:val="en-US" w:eastAsia="zh-CN"/>
              </w:rPr>
              <w:fldChar w:fldCharType="end"/>
            </w:r>
          </w:p>
        </w:tc>
        <w:tc>
          <w:tcPr>
            <w:tcW w:w="1200" w:type="dxa"/>
            <w:tcMar>
              <w:left w:w="28" w:type="dxa"/>
              <w:right w:w="28" w:type="dxa"/>
            </w:tcMar>
            <w:vAlign w:val="center"/>
          </w:tcPr>
          <w:p>
            <w:pPr>
              <w:pStyle w:val="57"/>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现有工程</w:t>
            </w:r>
          </w:p>
          <w:p>
            <w:pPr>
              <w:pStyle w:val="57"/>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许可排放量</w:t>
            </w:r>
          </w:p>
          <w:p>
            <w:pPr>
              <w:pStyle w:val="57"/>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fldChar w:fldCharType="begin"/>
            </w:r>
            <w:r>
              <w:rPr>
                <w:rFonts w:hint="eastAsia" w:ascii="黑体" w:hAnsi="黑体" w:eastAsia="黑体" w:cs="黑体"/>
                <w:snapToGrid w:val="0"/>
                <w:color w:val="auto"/>
                <w:spacing w:val="-6"/>
                <w:kern w:val="21"/>
                <w:sz w:val="21"/>
                <w:szCs w:val="21"/>
                <w:lang w:val="en-US" w:eastAsia="zh-CN"/>
              </w:rPr>
              <w:instrText xml:space="preserve"> = 2 \* GB3 \* MERGEFORMAT </w:instrText>
            </w:r>
            <w:r>
              <w:rPr>
                <w:rFonts w:hint="eastAsia" w:ascii="黑体" w:hAnsi="黑体" w:eastAsia="黑体" w:cs="黑体"/>
                <w:snapToGrid w:val="0"/>
                <w:color w:val="auto"/>
                <w:spacing w:val="-6"/>
                <w:kern w:val="21"/>
                <w:sz w:val="21"/>
                <w:szCs w:val="21"/>
                <w:lang w:val="en-US" w:eastAsia="zh-CN"/>
              </w:rPr>
              <w:fldChar w:fldCharType="separate"/>
            </w:r>
            <w:r>
              <w:rPr>
                <w:rFonts w:hint="eastAsia" w:ascii="黑体" w:hAnsi="黑体" w:eastAsia="黑体" w:cs="黑体"/>
                <w:snapToGrid w:val="0"/>
                <w:color w:val="auto"/>
                <w:spacing w:val="-6"/>
                <w:kern w:val="21"/>
                <w:sz w:val="21"/>
                <w:szCs w:val="21"/>
                <w:lang w:val="en-US" w:eastAsia="zh-CN"/>
              </w:rPr>
              <w:t>②</w:t>
            </w:r>
            <w:r>
              <w:rPr>
                <w:rFonts w:hint="eastAsia" w:ascii="黑体" w:hAnsi="黑体" w:eastAsia="黑体" w:cs="黑体"/>
                <w:snapToGrid w:val="0"/>
                <w:color w:val="auto"/>
                <w:spacing w:val="-6"/>
                <w:kern w:val="21"/>
                <w:sz w:val="21"/>
                <w:szCs w:val="21"/>
                <w:lang w:val="en-US" w:eastAsia="zh-CN"/>
              </w:rPr>
              <w:fldChar w:fldCharType="end"/>
            </w:r>
          </w:p>
        </w:tc>
        <w:tc>
          <w:tcPr>
            <w:tcW w:w="1500" w:type="dxa"/>
            <w:tcMar>
              <w:left w:w="28" w:type="dxa"/>
              <w:right w:w="28" w:type="dxa"/>
            </w:tcMar>
            <w:vAlign w:val="center"/>
          </w:tcPr>
          <w:p>
            <w:pPr>
              <w:pStyle w:val="57"/>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在建工程</w:t>
            </w:r>
          </w:p>
          <w:p>
            <w:pPr>
              <w:pStyle w:val="57"/>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排放量（固体废物产生量）</w:t>
            </w:r>
            <w:r>
              <w:rPr>
                <w:rFonts w:hint="eastAsia" w:ascii="黑体" w:hAnsi="黑体" w:eastAsia="黑体" w:cs="黑体"/>
                <w:snapToGrid w:val="0"/>
                <w:color w:val="auto"/>
                <w:spacing w:val="-6"/>
                <w:kern w:val="21"/>
                <w:sz w:val="21"/>
                <w:szCs w:val="21"/>
                <w:lang w:val="en-US" w:eastAsia="zh-CN"/>
              </w:rPr>
              <w:fldChar w:fldCharType="begin"/>
            </w:r>
            <w:r>
              <w:rPr>
                <w:rFonts w:hint="eastAsia" w:ascii="黑体" w:hAnsi="黑体" w:eastAsia="黑体" w:cs="黑体"/>
                <w:snapToGrid w:val="0"/>
                <w:color w:val="auto"/>
                <w:spacing w:val="-6"/>
                <w:kern w:val="21"/>
                <w:sz w:val="21"/>
                <w:szCs w:val="21"/>
                <w:lang w:val="en-US" w:eastAsia="zh-CN"/>
              </w:rPr>
              <w:instrText xml:space="preserve"> = 3 \* GB3 \* MERGEFORMAT </w:instrText>
            </w:r>
            <w:r>
              <w:rPr>
                <w:rFonts w:hint="eastAsia" w:ascii="黑体" w:hAnsi="黑体" w:eastAsia="黑体" w:cs="黑体"/>
                <w:snapToGrid w:val="0"/>
                <w:color w:val="auto"/>
                <w:spacing w:val="-6"/>
                <w:kern w:val="21"/>
                <w:sz w:val="21"/>
                <w:szCs w:val="21"/>
                <w:lang w:val="en-US" w:eastAsia="zh-CN"/>
              </w:rPr>
              <w:fldChar w:fldCharType="separate"/>
            </w:r>
            <w:r>
              <w:rPr>
                <w:rFonts w:hint="eastAsia" w:ascii="黑体" w:hAnsi="黑体" w:eastAsia="黑体" w:cs="黑体"/>
                <w:color w:val="auto"/>
                <w:kern w:val="2"/>
                <w:sz w:val="21"/>
                <w:szCs w:val="21"/>
                <w:lang w:val="en-US" w:eastAsia="zh-CN"/>
              </w:rPr>
              <w:t>③</w:t>
            </w:r>
            <w:r>
              <w:rPr>
                <w:rFonts w:hint="eastAsia" w:ascii="黑体" w:hAnsi="黑体" w:eastAsia="黑体" w:cs="黑体"/>
                <w:snapToGrid w:val="0"/>
                <w:color w:val="auto"/>
                <w:spacing w:val="-6"/>
                <w:kern w:val="21"/>
                <w:sz w:val="21"/>
                <w:szCs w:val="21"/>
                <w:lang w:val="en-US" w:eastAsia="zh-CN"/>
              </w:rPr>
              <w:fldChar w:fldCharType="end"/>
            </w:r>
          </w:p>
        </w:tc>
        <w:tc>
          <w:tcPr>
            <w:tcW w:w="1455" w:type="dxa"/>
            <w:tcMar>
              <w:left w:w="28" w:type="dxa"/>
              <w:right w:w="28" w:type="dxa"/>
            </w:tcMar>
            <w:vAlign w:val="center"/>
          </w:tcPr>
          <w:p>
            <w:pPr>
              <w:pStyle w:val="57"/>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本项目</w:t>
            </w:r>
          </w:p>
          <w:p>
            <w:pPr>
              <w:pStyle w:val="57"/>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排放量（固体废物产生量）</w:t>
            </w:r>
            <w:r>
              <w:rPr>
                <w:rFonts w:hint="eastAsia" w:ascii="黑体" w:hAnsi="黑体" w:eastAsia="黑体" w:cs="黑体"/>
                <w:snapToGrid w:val="0"/>
                <w:color w:val="auto"/>
                <w:spacing w:val="-6"/>
                <w:kern w:val="21"/>
                <w:sz w:val="21"/>
                <w:szCs w:val="21"/>
                <w:lang w:val="en-US" w:eastAsia="zh-CN"/>
              </w:rPr>
              <w:fldChar w:fldCharType="begin"/>
            </w:r>
            <w:r>
              <w:rPr>
                <w:rFonts w:hint="eastAsia" w:ascii="黑体" w:hAnsi="黑体" w:eastAsia="黑体" w:cs="黑体"/>
                <w:snapToGrid w:val="0"/>
                <w:color w:val="auto"/>
                <w:spacing w:val="-6"/>
                <w:kern w:val="21"/>
                <w:sz w:val="21"/>
                <w:szCs w:val="21"/>
                <w:lang w:val="en-US" w:eastAsia="zh-CN"/>
              </w:rPr>
              <w:instrText xml:space="preserve"> = 4 \* GB3 \* MERGEFORMAT </w:instrText>
            </w:r>
            <w:r>
              <w:rPr>
                <w:rFonts w:hint="eastAsia" w:ascii="黑体" w:hAnsi="黑体" w:eastAsia="黑体" w:cs="黑体"/>
                <w:snapToGrid w:val="0"/>
                <w:color w:val="auto"/>
                <w:spacing w:val="-6"/>
                <w:kern w:val="21"/>
                <w:sz w:val="21"/>
                <w:szCs w:val="21"/>
                <w:lang w:val="en-US" w:eastAsia="zh-CN"/>
              </w:rPr>
              <w:fldChar w:fldCharType="separate"/>
            </w:r>
            <w:r>
              <w:rPr>
                <w:rFonts w:hint="eastAsia" w:ascii="黑体" w:hAnsi="黑体" w:eastAsia="黑体" w:cs="黑体"/>
                <w:color w:val="auto"/>
                <w:kern w:val="2"/>
                <w:sz w:val="21"/>
                <w:szCs w:val="21"/>
                <w:lang w:val="en-US" w:eastAsia="zh-CN"/>
              </w:rPr>
              <w:t>④</w:t>
            </w:r>
            <w:r>
              <w:rPr>
                <w:rFonts w:hint="eastAsia" w:ascii="黑体" w:hAnsi="黑体" w:eastAsia="黑体" w:cs="黑体"/>
                <w:snapToGrid w:val="0"/>
                <w:color w:val="auto"/>
                <w:spacing w:val="-6"/>
                <w:kern w:val="21"/>
                <w:sz w:val="21"/>
                <w:szCs w:val="21"/>
                <w:lang w:val="en-US" w:eastAsia="zh-CN"/>
              </w:rPr>
              <w:fldChar w:fldCharType="end"/>
            </w:r>
          </w:p>
        </w:tc>
        <w:tc>
          <w:tcPr>
            <w:tcW w:w="1305" w:type="dxa"/>
            <w:tcMar>
              <w:left w:w="28" w:type="dxa"/>
              <w:right w:w="28" w:type="dxa"/>
            </w:tcMar>
            <w:vAlign w:val="center"/>
          </w:tcPr>
          <w:p>
            <w:pPr>
              <w:pStyle w:val="57"/>
              <w:spacing w:line="240" w:lineRule="auto"/>
              <w:rPr>
                <w:rFonts w:hint="eastAsia" w:ascii="黑体" w:hAnsi="黑体" w:eastAsia="黑体" w:cs="黑体"/>
                <w:snapToGrid w:val="0"/>
                <w:color w:val="auto"/>
                <w:spacing w:val="-16"/>
                <w:kern w:val="21"/>
                <w:sz w:val="21"/>
                <w:szCs w:val="21"/>
                <w:lang w:val="en-US" w:eastAsia="zh-CN"/>
              </w:rPr>
            </w:pPr>
            <w:r>
              <w:rPr>
                <w:rFonts w:hint="eastAsia" w:ascii="黑体" w:hAnsi="黑体" w:eastAsia="黑体" w:cs="黑体"/>
                <w:snapToGrid w:val="0"/>
                <w:color w:val="auto"/>
                <w:spacing w:val="-16"/>
                <w:kern w:val="21"/>
                <w:sz w:val="21"/>
                <w:szCs w:val="21"/>
                <w:lang w:val="en-US" w:eastAsia="zh-CN"/>
              </w:rPr>
              <w:t>以新带老削减量</w:t>
            </w:r>
          </w:p>
          <w:p>
            <w:pPr>
              <w:pStyle w:val="57"/>
              <w:spacing w:line="240" w:lineRule="auto"/>
              <w:rPr>
                <w:rFonts w:hint="eastAsia" w:ascii="黑体" w:hAnsi="黑体" w:eastAsia="黑体" w:cs="黑体"/>
                <w:snapToGrid w:val="0"/>
                <w:color w:val="auto"/>
                <w:spacing w:val="-16"/>
                <w:kern w:val="21"/>
                <w:sz w:val="21"/>
                <w:szCs w:val="21"/>
                <w:lang w:val="en-US" w:eastAsia="zh-CN"/>
              </w:rPr>
            </w:pPr>
            <w:r>
              <w:rPr>
                <w:rFonts w:hint="eastAsia" w:ascii="黑体" w:hAnsi="黑体" w:eastAsia="黑体" w:cs="黑体"/>
                <w:snapToGrid w:val="0"/>
                <w:color w:val="auto"/>
                <w:spacing w:val="-16"/>
                <w:kern w:val="21"/>
                <w:sz w:val="21"/>
                <w:szCs w:val="21"/>
                <w:lang w:val="en-US" w:eastAsia="zh-CN"/>
              </w:rPr>
              <w:t>（新建项目不填）</w:t>
            </w:r>
            <w:r>
              <w:rPr>
                <w:rFonts w:hint="eastAsia" w:ascii="黑体" w:hAnsi="黑体" w:eastAsia="黑体" w:cs="黑体"/>
                <w:snapToGrid w:val="0"/>
                <w:color w:val="auto"/>
                <w:spacing w:val="-16"/>
                <w:kern w:val="21"/>
                <w:sz w:val="21"/>
                <w:szCs w:val="21"/>
                <w:lang w:val="en-US" w:eastAsia="zh-CN"/>
              </w:rPr>
              <w:fldChar w:fldCharType="begin"/>
            </w:r>
            <w:r>
              <w:rPr>
                <w:rFonts w:hint="eastAsia" w:ascii="黑体" w:hAnsi="黑体" w:eastAsia="黑体" w:cs="黑体"/>
                <w:snapToGrid w:val="0"/>
                <w:color w:val="auto"/>
                <w:spacing w:val="-16"/>
                <w:kern w:val="21"/>
                <w:sz w:val="21"/>
                <w:szCs w:val="21"/>
                <w:lang w:val="en-US" w:eastAsia="zh-CN"/>
              </w:rPr>
              <w:instrText xml:space="preserve"> = 5 \* GB3 \* MERGEFORMAT </w:instrText>
            </w:r>
            <w:r>
              <w:rPr>
                <w:rFonts w:hint="eastAsia" w:ascii="黑体" w:hAnsi="黑体" w:eastAsia="黑体" w:cs="黑体"/>
                <w:snapToGrid w:val="0"/>
                <w:color w:val="auto"/>
                <w:spacing w:val="-16"/>
                <w:kern w:val="21"/>
                <w:sz w:val="21"/>
                <w:szCs w:val="21"/>
                <w:lang w:val="en-US" w:eastAsia="zh-CN"/>
              </w:rPr>
              <w:fldChar w:fldCharType="separate"/>
            </w:r>
            <w:r>
              <w:rPr>
                <w:rFonts w:hint="eastAsia" w:ascii="黑体" w:hAnsi="黑体" w:eastAsia="黑体" w:cs="黑体"/>
                <w:color w:val="auto"/>
                <w:kern w:val="2"/>
                <w:sz w:val="21"/>
                <w:szCs w:val="21"/>
                <w:lang w:val="en-US" w:eastAsia="zh-CN"/>
              </w:rPr>
              <w:t>⑤</w:t>
            </w:r>
            <w:r>
              <w:rPr>
                <w:rFonts w:hint="eastAsia" w:ascii="黑体" w:hAnsi="黑体" w:eastAsia="黑体" w:cs="黑体"/>
                <w:snapToGrid w:val="0"/>
                <w:color w:val="auto"/>
                <w:spacing w:val="-16"/>
                <w:kern w:val="21"/>
                <w:sz w:val="21"/>
                <w:szCs w:val="21"/>
                <w:lang w:val="en-US" w:eastAsia="zh-CN"/>
              </w:rPr>
              <w:fldChar w:fldCharType="end"/>
            </w:r>
          </w:p>
        </w:tc>
        <w:tc>
          <w:tcPr>
            <w:tcW w:w="1410" w:type="dxa"/>
            <w:tcMar>
              <w:left w:w="28" w:type="dxa"/>
              <w:right w:w="28" w:type="dxa"/>
            </w:tcMar>
            <w:vAlign w:val="center"/>
          </w:tcPr>
          <w:p>
            <w:pPr>
              <w:pStyle w:val="57"/>
              <w:spacing w:line="240" w:lineRule="auto"/>
              <w:rPr>
                <w:rFonts w:hint="eastAsia" w:ascii="黑体" w:hAnsi="黑体" w:eastAsia="黑体" w:cs="黑体"/>
                <w:snapToGrid w:val="0"/>
                <w:color w:val="auto"/>
                <w:spacing w:val="-16"/>
                <w:kern w:val="21"/>
                <w:sz w:val="21"/>
                <w:szCs w:val="21"/>
                <w:lang w:val="en-US" w:eastAsia="zh-CN"/>
              </w:rPr>
            </w:pPr>
            <w:r>
              <w:rPr>
                <w:rFonts w:hint="eastAsia" w:ascii="黑体" w:hAnsi="黑体" w:eastAsia="黑体" w:cs="黑体"/>
                <w:snapToGrid w:val="0"/>
                <w:color w:val="auto"/>
                <w:spacing w:val="-16"/>
                <w:kern w:val="21"/>
                <w:sz w:val="21"/>
                <w:szCs w:val="21"/>
                <w:lang w:val="en-US" w:eastAsia="zh-CN"/>
              </w:rPr>
              <w:t>本项目建成后</w:t>
            </w:r>
          </w:p>
          <w:p>
            <w:pPr>
              <w:pStyle w:val="57"/>
              <w:spacing w:line="240" w:lineRule="auto"/>
              <w:rPr>
                <w:rFonts w:hint="eastAsia" w:ascii="黑体" w:hAnsi="黑体" w:eastAsia="黑体" w:cs="黑体"/>
                <w:snapToGrid w:val="0"/>
                <w:color w:val="auto"/>
                <w:spacing w:val="-16"/>
                <w:kern w:val="21"/>
                <w:sz w:val="21"/>
                <w:szCs w:val="21"/>
                <w:lang w:val="en-US" w:eastAsia="zh-CN"/>
              </w:rPr>
            </w:pPr>
            <w:r>
              <w:rPr>
                <w:rFonts w:hint="eastAsia" w:ascii="黑体" w:hAnsi="黑体" w:eastAsia="黑体" w:cs="黑体"/>
                <w:snapToGrid w:val="0"/>
                <w:color w:val="auto"/>
                <w:spacing w:val="-16"/>
                <w:kern w:val="21"/>
                <w:sz w:val="21"/>
                <w:szCs w:val="21"/>
                <w:lang w:val="en-US" w:eastAsia="zh-CN"/>
              </w:rPr>
              <w:t>全厂排放量（固体废物产生量）</w:t>
            </w:r>
            <w:r>
              <w:rPr>
                <w:rFonts w:hint="eastAsia" w:ascii="黑体" w:hAnsi="黑体" w:eastAsia="黑体" w:cs="黑体"/>
                <w:snapToGrid w:val="0"/>
                <w:color w:val="auto"/>
                <w:spacing w:val="-16"/>
                <w:kern w:val="21"/>
                <w:sz w:val="21"/>
                <w:szCs w:val="21"/>
                <w:lang w:val="en-US" w:eastAsia="zh-CN"/>
              </w:rPr>
              <w:fldChar w:fldCharType="begin"/>
            </w:r>
            <w:r>
              <w:rPr>
                <w:rFonts w:hint="eastAsia" w:ascii="黑体" w:hAnsi="黑体" w:eastAsia="黑体" w:cs="黑体"/>
                <w:snapToGrid w:val="0"/>
                <w:color w:val="auto"/>
                <w:spacing w:val="-16"/>
                <w:kern w:val="21"/>
                <w:sz w:val="21"/>
                <w:szCs w:val="21"/>
                <w:lang w:val="en-US" w:eastAsia="zh-CN"/>
              </w:rPr>
              <w:instrText xml:space="preserve"> = 6 \* GB3 \* MERGEFORMAT </w:instrText>
            </w:r>
            <w:r>
              <w:rPr>
                <w:rFonts w:hint="eastAsia" w:ascii="黑体" w:hAnsi="黑体" w:eastAsia="黑体" w:cs="黑体"/>
                <w:snapToGrid w:val="0"/>
                <w:color w:val="auto"/>
                <w:spacing w:val="-16"/>
                <w:kern w:val="21"/>
                <w:sz w:val="21"/>
                <w:szCs w:val="21"/>
                <w:lang w:val="en-US" w:eastAsia="zh-CN"/>
              </w:rPr>
              <w:fldChar w:fldCharType="separate"/>
            </w:r>
            <w:r>
              <w:rPr>
                <w:rFonts w:hint="eastAsia" w:ascii="黑体" w:hAnsi="黑体" w:eastAsia="黑体" w:cs="黑体"/>
                <w:color w:val="auto"/>
                <w:kern w:val="2"/>
                <w:sz w:val="21"/>
                <w:szCs w:val="21"/>
                <w:lang w:val="en-US" w:eastAsia="zh-CN"/>
              </w:rPr>
              <w:t>⑥</w:t>
            </w:r>
            <w:r>
              <w:rPr>
                <w:rFonts w:hint="eastAsia" w:ascii="黑体" w:hAnsi="黑体" w:eastAsia="黑体" w:cs="黑体"/>
                <w:snapToGrid w:val="0"/>
                <w:color w:val="auto"/>
                <w:spacing w:val="-16"/>
                <w:kern w:val="21"/>
                <w:sz w:val="21"/>
                <w:szCs w:val="21"/>
                <w:lang w:val="en-US" w:eastAsia="zh-CN"/>
              </w:rPr>
              <w:fldChar w:fldCharType="end"/>
            </w:r>
          </w:p>
        </w:tc>
        <w:tc>
          <w:tcPr>
            <w:tcW w:w="1383" w:type="dxa"/>
            <w:tcMar>
              <w:left w:w="28" w:type="dxa"/>
              <w:right w:w="28" w:type="dxa"/>
            </w:tcMar>
            <w:vAlign w:val="center"/>
          </w:tcPr>
          <w:p>
            <w:pPr>
              <w:pStyle w:val="57"/>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变化量</w:t>
            </w:r>
          </w:p>
          <w:p>
            <w:pPr>
              <w:pStyle w:val="57"/>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fldChar w:fldCharType="begin"/>
            </w:r>
            <w:r>
              <w:rPr>
                <w:rFonts w:hint="eastAsia" w:ascii="黑体" w:hAnsi="黑体" w:eastAsia="黑体" w:cs="黑体"/>
                <w:snapToGrid w:val="0"/>
                <w:color w:val="auto"/>
                <w:spacing w:val="-6"/>
                <w:kern w:val="21"/>
                <w:sz w:val="21"/>
                <w:szCs w:val="21"/>
                <w:lang w:val="en-US" w:eastAsia="zh-CN"/>
              </w:rPr>
              <w:instrText xml:space="preserve"> = 7 \* GB3 \* MERGEFORMAT </w:instrText>
            </w:r>
            <w:r>
              <w:rPr>
                <w:rFonts w:hint="eastAsia" w:ascii="黑体" w:hAnsi="黑体" w:eastAsia="黑体" w:cs="黑体"/>
                <w:snapToGrid w:val="0"/>
                <w:color w:val="auto"/>
                <w:spacing w:val="-6"/>
                <w:kern w:val="21"/>
                <w:sz w:val="21"/>
                <w:szCs w:val="21"/>
                <w:lang w:val="en-US" w:eastAsia="zh-CN"/>
              </w:rPr>
              <w:fldChar w:fldCharType="separate"/>
            </w:r>
            <w:r>
              <w:rPr>
                <w:rFonts w:hint="eastAsia" w:ascii="黑体" w:hAnsi="黑体" w:eastAsia="黑体" w:cs="黑体"/>
                <w:color w:val="auto"/>
                <w:kern w:val="2"/>
                <w:sz w:val="21"/>
                <w:szCs w:val="21"/>
                <w:lang w:val="en-US" w:eastAsia="zh-CN"/>
              </w:rPr>
              <w:t>⑦</w:t>
            </w:r>
            <w:r>
              <w:rPr>
                <w:rFonts w:hint="eastAsia" w:ascii="黑体" w:hAnsi="黑体" w:eastAsia="黑体" w:cs="黑体"/>
                <w:snapToGrid w:val="0"/>
                <w:color w:val="auto"/>
                <w:spacing w:val="-6"/>
                <w:kern w:val="21"/>
                <w:sz w:val="21"/>
                <w:szCs w:val="21"/>
                <w:lang w:val="en-US" w:eastAsia="zh-CN"/>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Merge w:val="restart"/>
            <w:vAlign w:val="center"/>
          </w:tcPr>
          <w:p>
            <w:pPr>
              <w:pStyle w:val="57"/>
              <w:spacing w:line="240" w:lineRule="auto"/>
              <w:rPr>
                <w:rFonts w:hint="eastAsia" w:ascii="黑体" w:hAnsi="黑体" w:eastAsia="黑体" w:cs="黑体"/>
                <w:snapToGrid w:val="0"/>
                <w:color w:val="auto"/>
                <w:kern w:val="21"/>
                <w:sz w:val="21"/>
                <w:szCs w:val="21"/>
                <w:lang w:val="en-US" w:eastAsia="zh-CN"/>
              </w:rPr>
            </w:pPr>
            <w:r>
              <w:rPr>
                <w:rFonts w:hint="eastAsia" w:ascii="黑体" w:hAnsi="黑体" w:eastAsia="黑体" w:cs="黑体"/>
                <w:snapToGrid w:val="0"/>
                <w:color w:val="auto"/>
                <w:kern w:val="21"/>
                <w:sz w:val="21"/>
                <w:szCs w:val="21"/>
                <w:lang w:val="en-US" w:eastAsia="zh-CN"/>
              </w:rPr>
              <w:t>废气</w:t>
            </w:r>
          </w:p>
        </w:tc>
        <w:tc>
          <w:tcPr>
            <w:tcW w:w="2844" w:type="dxa"/>
            <w:vAlign w:val="center"/>
          </w:tcPr>
          <w:p>
            <w:pPr>
              <w:adjustRightInd w:val="0"/>
              <w:snapToGrid w:val="0"/>
              <w:jc w:val="center"/>
              <w:rPr>
                <w:rFonts w:hint="default" w:ascii="Times New Roman" w:hAnsi="Times New Roman" w:cs="Times New Roman"/>
                <w:snapToGrid w:val="0"/>
                <w:color w:val="auto"/>
                <w:kern w:val="21"/>
                <w:sz w:val="21"/>
                <w:szCs w:val="21"/>
                <w:lang w:val="en-US" w:eastAsia="zh-CN"/>
              </w:rPr>
            </w:pPr>
            <w:r>
              <w:rPr>
                <w:rFonts w:hint="eastAsia" w:cs="Times New Roman"/>
                <w:bCs/>
                <w:color w:val="auto"/>
                <w:sz w:val="21"/>
                <w:szCs w:val="21"/>
                <w:highlight w:val="none"/>
                <w:lang w:val="en-US" w:eastAsia="zh-CN"/>
              </w:rPr>
              <w:t>VOCs</w:t>
            </w:r>
          </w:p>
        </w:tc>
        <w:tc>
          <w:tcPr>
            <w:tcW w:w="1537" w:type="dxa"/>
            <w:vAlign w:val="center"/>
          </w:tcPr>
          <w:p>
            <w:pPr>
              <w:adjustRightInd w:val="0"/>
              <w:snapToGrid w:val="0"/>
              <w:jc w:val="center"/>
              <w:rPr>
                <w:rFonts w:hint="default" w:ascii="Times New Roman" w:hAnsi="Times New Roman" w:cs="Times New Roman"/>
                <w:snapToGrid w:val="0"/>
                <w:color w:val="auto"/>
                <w:kern w:val="21"/>
                <w:sz w:val="21"/>
                <w:szCs w:val="21"/>
                <w:lang w:val="en-US" w:eastAsia="zh-CN"/>
              </w:rPr>
            </w:pPr>
            <w:r>
              <w:rPr>
                <w:rFonts w:hint="eastAsia" w:cs="Times New Roman"/>
                <w:bCs/>
                <w:color w:val="auto"/>
                <w:kern w:val="2"/>
                <w:sz w:val="21"/>
                <w:szCs w:val="21"/>
                <w:highlight w:val="none"/>
                <w:lang w:val="en-US" w:eastAsia="zh-CN" w:bidi="ar-SA"/>
              </w:rPr>
              <w:t>6.46</w:t>
            </w:r>
          </w:p>
        </w:tc>
        <w:tc>
          <w:tcPr>
            <w:tcW w:w="1200"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500" w:type="dxa"/>
            <w:vAlign w:val="center"/>
          </w:tcPr>
          <w:p>
            <w:pPr>
              <w:jc w:val="center"/>
              <w:rPr>
                <w:rFonts w:hint="default" w:ascii="Times New Roman" w:hAnsi="Times New Roman" w:cs="Times New Roman"/>
                <w:color w:val="auto"/>
                <w:sz w:val="21"/>
                <w:szCs w:val="21"/>
              </w:rPr>
            </w:pPr>
            <w:r>
              <w:rPr>
                <w:color w:val="auto"/>
                <w:szCs w:val="21"/>
              </w:rPr>
              <w:t>/</w:t>
            </w:r>
          </w:p>
        </w:tc>
        <w:tc>
          <w:tcPr>
            <w:tcW w:w="1455" w:type="dxa"/>
            <w:vAlign w:val="center"/>
          </w:tcPr>
          <w:p>
            <w:pPr>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eastAsia" w:cs="Times New Roman"/>
                <w:bCs/>
                <w:color w:val="auto"/>
                <w:kern w:val="2"/>
                <w:sz w:val="21"/>
                <w:szCs w:val="21"/>
                <w:highlight w:val="none"/>
                <w:lang w:val="en-US" w:eastAsia="zh-CN" w:bidi="ar-SA"/>
              </w:rPr>
              <w:t>6.46</w:t>
            </w:r>
          </w:p>
        </w:tc>
        <w:tc>
          <w:tcPr>
            <w:tcW w:w="1305" w:type="dxa"/>
            <w:vAlign w:val="center"/>
          </w:tcPr>
          <w:p>
            <w:pPr>
              <w:jc w:val="center"/>
              <w:rPr>
                <w:rFonts w:hint="default" w:ascii="Times New Roman" w:hAnsi="Times New Roman" w:eastAsia="宋体" w:cs="Times New Roman"/>
                <w:snapToGrid w:val="0"/>
                <w:color w:val="auto"/>
                <w:kern w:val="21"/>
                <w:sz w:val="21"/>
                <w:szCs w:val="21"/>
                <w:lang w:val="en-US" w:eastAsia="zh-CN"/>
              </w:rPr>
            </w:pPr>
            <w:r>
              <w:rPr>
                <w:color w:val="auto"/>
                <w:szCs w:val="21"/>
              </w:rPr>
              <w:t>/</w:t>
            </w:r>
          </w:p>
        </w:tc>
        <w:tc>
          <w:tcPr>
            <w:tcW w:w="1410" w:type="dxa"/>
            <w:vAlign w:val="center"/>
          </w:tcPr>
          <w:p>
            <w:pPr>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eastAsia" w:cs="Times New Roman"/>
                <w:bCs/>
                <w:color w:val="auto"/>
                <w:kern w:val="2"/>
                <w:sz w:val="21"/>
                <w:szCs w:val="21"/>
                <w:highlight w:val="none"/>
                <w:lang w:val="en-US" w:eastAsia="zh-CN" w:bidi="ar-SA"/>
              </w:rPr>
              <w:t>6.46</w:t>
            </w:r>
          </w:p>
        </w:tc>
        <w:tc>
          <w:tcPr>
            <w:tcW w:w="1383" w:type="dxa"/>
            <w:vAlign w:val="center"/>
          </w:tcPr>
          <w:p>
            <w:pPr>
              <w:jc w:val="center"/>
              <w:rPr>
                <w:rFonts w:hint="default" w:ascii="Times New Roman" w:hAnsi="Times New Roman" w:eastAsia="宋体" w:cs="Times New Roman"/>
                <w:snapToGrid w:val="0"/>
                <w:color w:val="auto"/>
                <w:kern w:val="21"/>
                <w:sz w:val="21"/>
                <w:szCs w:val="21"/>
                <w:lang w:val="en-US" w:eastAsia="zh-CN"/>
              </w:rPr>
            </w:pPr>
            <w:r>
              <w:rPr>
                <w:rFonts w:hint="eastAsia" w:cs="Times New Roman"/>
                <w:color w:val="auto"/>
                <w:sz w:val="21"/>
                <w:szCs w:val="21"/>
                <w:highlight w:val="none"/>
                <w:lang w:val="en-US" w:eastAsia="zh-CN"/>
              </w:rPr>
              <w:t>+</w:t>
            </w:r>
            <w:r>
              <w:rPr>
                <w:rFonts w:hint="eastAsia" w:cs="Times New Roman"/>
                <w:bCs/>
                <w:color w:val="auto"/>
                <w:kern w:val="2"/>
                <w:sz w:val="21"/>
                <w:szCs w:val="21"/>
                <w:highlight w:val="none"/>
                <w:lang w:val="en-US" w:eastAsia="zh-CN" w:bidi="ar-SA"/>
              </w:rPr>
              <w:t>6.46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Merge w:val="continue"/>
            <w:vAlign w:val="center"/>
          </w:tcPr>
          <w:p>
            <w:pPr>
              <w:pStyle w:val="57"/>
              <w:spacing w:line="240" w:lineRule="auto"/>
              <w:rPr>
                <w:rFonts w:hint="eastAsia" w:ascii="黑体" w:hAnsi="黑体" w:eastAsia="黑体" w:cs="黑体"/>
                <w:snapToGrid w:val="0"/>
                <w:color w:val="auto"/>
                <w:kern w:val="21"/>
                <w:sz w:val="21"/>
                <w:szCs w:val="21"/>
                <w:lang w:val="en-US" w:eastAsia="zh-CN"/>
              </w:rPr>
            </w:pPr>
          </w:p>
        </w:tc>
        <w:tc>
          <w:tcPr>
            <w:tcW w:w="2844" w:type="dxa"/>
            <w:vAlign w:val="center"/>
          </w:tcPr>
          <w:p>
            <w:pPr>
              <w:adjustRightInd w:val="0"/>
              <w:snapToGrid w:val="0"/>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沥青烟</w:t>
            </w:r>
          </w:p>
        </w:tc>
        <w:tc>
          <w:tcPr>
            <w:tcW w:w="1537" w:type="dxa"/>
            <w:vAlign w:val="center"/>
          </w:tcPr>
          <w:p>
            <w:pPr>
              <w:adjustRightInd w:val="0"/>
              <w:snapToGrid w:val="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color w:val="auto"/>
                <w:szCs w:val="21"/>
                <w:lang w:val="en-US" w:eastAsia="zh-CN"/>
              </w:rPr>
              <w:t>1.05</w:t>
            </w:r>
            <w:r>
              <w:rPr>
                <w:rFonts w:hint="default" w:ascii="Times New Roman" w:hAnsi="Times New Roman" w:eastAsia="宋体" w:cs="Times New Roman"/>
                <w:color w:val="auto"/>
                <w:szCs w:val="21"/>
                <w:lang w:val="en-US" w:eastAsia="zh-CN"/>
              </w:rPr>
              <w:t>×10</w:t>
            </w:r>
            <w:r>
              <w:rPr>
                <w:rFonts w:hint="default" w:ascii="Times New Roman" w:hAnsi="Times New Roman" w:eastAsia="宋体" w:cs="Times New Roman"/>
                <w:color w:val="auto"/>
                <w:szCs w:val="21"/>
                <w:vertAlign w:val="superscript"/>
                <w:lang w:val="en-US" w:eastAsia="zh-CN"/>
              </w:rPr>
              <w:t>-</w:t>
            </w:r>
            <w:r>
              <w:rPr>
                <w:rFonts w:hint="eastAsia" w:ascii="Times New Roman" w:hAnsi="Times New Roman" w:eastAsia="宋体" w:cs="Times New Roman"/>
                <w:color w:val="auto"/>
                <w:szCs w:val="21"/>
                <w:vertAlign w:val="superscript"/>
                <w:lang w:val="en-US" w:eastAsia="zh-CN"/>
              </w:rPr>
              <w:t>3</w:t>
            </w:r>
          </w:p>
        </w:tc>
        <w:tc>
          <w:tcPr>
            <w:tcW w:w="1200" w:type="dxa"/>
            <w:vAlign w:val="center"/>
          </w:tcPr>
          <w:p>
            <w:pPr>
              <w:jc w:val="center"/>
              <w:rPr>
                <w:color w:val="auto"/>
                <w:szCs w:val="21"/>
              </w:rPr>
            </w:pPr>
          </w:p>
        </w:tc>
        <w:tc>
          <w:tcPr>
            <w:tcW w:w="1500" w:type="dxa"/>
            <w:vAlign w:val="center"/>
          </w:tcPr>
          <w:p>
            <w:pPr>
              <w:jc w:val="center"/>
              <w:rPr>
                <w:color w:val="auto"/>
                <w:szCs w:val="21"/>
              </w:rPr>
            </w:pPr>
          </w:p>
        </w:tc>
        <w:tc>
          <w:tcPr>
            <w:tcW w:w="1455" w:type="dxa"/>
            <w:vAlign w:val="center"/>
          </w:tcPr>
          <w:p>
            <w:pPr>
              <w:adjustRightInd w:val="0"/>
              <w:snapToGrid w:val="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color w:val="auto"/>
                <w:szCs w:val="21"/>
                <w:lang w:val="en-US" w:eastAsia="zh-CN"/>
              </w:rPr>
              <w:t>1.05</w:t>
            </w:r>
            <w:r>
              <w:rPr>
                <w:rFonts w:hint="default" w:ascii="Times New Roman" w:hAnsi="Times New Roman" w:eastAsia="宋体" w:cs="Times New Roman"/>
                <w:color w:val="auto"/>
                <w:szCs w:val="21"/>
                <w:lang w:val="en-US" w:eastAsia="zh-CN"/>
              </w:rPr>
              <w:t>×10</w:t>
            </w:r>
            <w:r>
              <w:rPr>
                <w:rFonts w:hint="default" w:ascii="Times New Roman" w:hAnsi="Times New Roman" w:eastAsia="宋体" w:cs="Times New Roman"/>
                <w:color w:val="auto"/>
                <w:szCs w:val="21"/>
                <w:vertAlign w:val="superscript"/>
                <w:lang w:val="en-US" w:eastAsia="zh-CN"/>
              </w:rPr>
              <w:t>-</w:t>
            </w:r>
            <w:r>
              <w:rPr>
                <w:rFonts w:hint="eastAsia" w:ascii="Times New Roman" w:hAnsi="Times New Roman" w:eastAsia="宋体" w:cs="Times New Roman"/>
                <w:color w:val="auto"/>
                <w:szCs w:val="21"/>
                <w:vertAlign w:val="superscript"/>
                <w:lang w:val="en-US" w:eastAsia="zh-CN"/>
              </w:rPr>
              <w:t>3</w:t>
            </w:r>
          </w:p>
        </w:tc>
        <w:tc>
          <w:tcPr>
            <w:tcW w:w="1305" w:type="dxa"/>
            <w:vAlign w:val="center"/>
          </w:tcPr>
          <w:p>
            <w:pPr>
              <w:jc w:val="center"/>
              <w:rPr>
                <w:rFonts w:hint="eastAsia" w:cs="Times New Roman"/>
                <w:color w:val="auto"/>
                <w:sz w:val="21"/>
                <w:szCs w:val="21"/>
                <w:highlight w:val="none"/>
                <w:lang w:val="en-US" w:eastAsia="zh-CN"/>
              </w:rPr>
            </w:pPr>
            <w:r>
              <w:rPr>
                <w:color w:val="auto"/>
                <w:szCs w:val="21"/>
              </w:rPr>
              <w:t>/</w:t>
            </w:r>
          </w:p>
        </w:tc>
        <w:tc>
          <w:tcPr>
            <w:tcW w:w="1410" w:type="dxa"/>
            <w:vAlign w:val="center"/>
          </w:tcPr>
          <w:p>
            <w:pPr>
              <w:adjustRightInd w:val="0"/>
              <w:snapToGrid w:val="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color w:val="auto"/>
                <w:szCs w:val="21"/>
                <w:lang w:val="en-US" w:eastAsia="zh-CN"/>
              </w:rPr>
              <w:t>1.05</w:t>
            </w:r>
            <w:r>
              <w:rPr>
                <w:rFonts w:hint="default" w:ascii="Times New Roman" w:hAnsi="Times New Roman" w:eastAsia="宋体" w:cs="Times New Roman"/>
                <w:color w:val="auto"/>
                <w:szCs w:val="21"/>
                <w:lang w:val="en-US" w:eastAsia="zh-CN"/>
              </w:rPr>
              <w:t>×10</w:t>
            </w:r>
            <w:r>
              <w:rPr>
                <w:rFonts w:hint="default" w:ascii="Times New Roman" w:hAnsi="Times New Roman" w:eastAsia="宋体" w:cs="Times New Roman"/>
                <w:color w:val="auto"/>
                <w:szCs w:val="21"/>
                <w:vertAlign w:val="superscript"/>
                <w:lang w:val="en-US" w:eastAsia="zh-CN"/>
              </w:rPr>
              <w:t>-</w:t>
            </w:r>
            <w:r>
              <w:rPr>
                <w:rFonts w:hint="eastAsia" w:ascii="Times New Roman" w:hAnsi="Times New Roman" w:eastAsia="宋体" w:cs="Times New Roman"/>
                <w:color w:val="auto"/>
                <w:szCs w:val="21"/>
                <w:vertAlign w:val="superscript"/>
                <w:lang w:val="en-US" w:eastAsia="zh-CN"/>
              </w:rPr>
              <w:t>3</w:t>
            </w:r>
          </w:p>
        </w:tc>
        <w:tc>
          <w:tcPr>
            <w:tcW w:w="1383" w:type="dxa"/>
            <w:vAlign w:val="center"/>
          </w:tcPr>
          <w:p>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Cs w:val="21"/>
                <w:lang w:val="en-US" w:eastAsia="zh-CN"/>
              </w:rPr>
              <w:t>1.05</w:t>
            </w:r>
            <w:r>
              <w:rPr>
                <w:rFonts w:hint="default" w:ascii="Times New Roman" w:hAnsi="Times New Roman" w:eastAsia="宋体" w:cs="Times New Roman"/>
                <w:color w:val="auto"/>
                <w:szCs w:val="21"/>
                <w:lang w:val="en-US" w:eastAsia="zh-CN"/>
              </w:rPr>
              <w:t>×10</w:t>
            </w:r>
            <w:r>
              <w:rPr>
                <w:rFonts w:hint="default" w:ascii="Times New Roman" w:hAnsi="Times New Roman" w:eastAsia="宋体" w:cs="Times New Roman"/>
                <w:color w:val="auto"/>
                <w:szCs w:val="21"/>
                <w:vertAlign w:val="superscript"/>
                <w:lang w:val="en-US" w:eastAsia="zh-CN"/>
              </w:rPr>
              <w:t>-</w:t>
            </w:r>
            <w:r>
              <w:rPr>
                <w:rFonts w:hint="eastAsia" w:ascii="Times New Roman" w:hAnsi="Times New Roman" w:eastAsia="宋体" w:cs="Times New Roman"/>
                <w:color w:val="auto"/>
                <w:szCs w:val="21"/>
                <w:vertAlign w:val="superscript"/>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Merge w:val="continue"/>
            <w:vAlign w:val="center"/>
          </w:tcPr>
          <w:p>
            <w:pPr>
              <w:pStyle w:val="57"/>
              <w:spacing w:line="240" w:lineRule="auto"/>
              <w:rPr>
                <w:rFonts w:hint="eastAsia" w:ascii="黑体" w:hAnsi="黑体" w:eastAsia="黑体" w:cs="黑体"/>
                <w:snapToGrid w:val="0"/>
                <w:color w:val="auto"/>
                <w:kern w:val="21"/>
                <w:sz w:val="21"/>
                <w:szCs w:val="21"/>
                <w:lang w:val="en-US" w:eastAsia="zh-CN"/>
              </w:rPr>
            </w:pPr>
          </w:p>
        </w:tc>
        <w:tc>
          <w:tcPr>
            <w:tcW w:w="2844" w:type="dxa"/>
            <w:vAlign w:val="center"/>
          </w:tcPr>
          <w:p>
            <w:pPr>
              <w:adjustRightInd w:val="0"/>
              <w:snapToGrid w:val="0"/>
              <w:jc w:val="center"/>
              <w:rPr>
                <w:rFonts w:hint="default" w:ascii="Times New Roman" w:hAnsi="Times New Roman" w:cs="Times New Roman"/>
                <w:snapToGrid w:val="0"/>
                <w:color w:val="auto"/>
                <w:kern w:val="21"/>
                <w:sz w:val="21"/>
                <w:szCs w:val="21"/>
                <w:lang w:val="en-US" w:eastAsia="zh-CN"/>
              </w:rPr>
            </w:pPr>
            <w:r>
              <w:rPr>
                <w:rFonts w:hint="eastAsia" w:cs="Times New Roman"/>
                <w:bCs/>
                <w:color w:val="auto"/>
                <w:kern w:val="2"/>
                <w:sz w:val="21"/>
                <w:szCs w:val="21"/>
                <w:highlight w:val="none"/>
                <w:lang w:val="en-US" w:eastAsia="zh-CN" w:bidi="ar-SA"/>
              </w:rPr>
              <w:t>颗粒物</w:t>
            </w:r>
          </w:p>
        </w:tc>
        <w:tc>
          <w:tcPr>
            <w:tcW w:w="1537" w:type="dxa"/>
            <w:vAlign w:val="center"/>
          </w:tcPr>
          <w:p>
            <w:pPr>
              <w:jc w:val="center"/>
              <w:rPr>
                <w:rFonts w:hint="default" w:ascii="Times New Roman" w:hAnsi="Times New Roman"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0.2848</w:t>
            </w:r>
          </w:p>
        </w:tc>
        <w:tc>
          <w:tcPr>
            <w:tcW w:w="1200"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500" w:type="dxa"/>
            <w:vAlign w:val="center"/>
          </w:tcPr>
          <w:p>
            <w:pPr>
              <w:jc w:val="center"/>
              <w:rPr>
                <w:rFonts w:hint="default" w:ascii="Times New Roman" w:hAnsi="Times New Roman" w:cs="Times New Roman"/>
                <w:color w:val="auto"/>
                <w:sz w:val="21"/>
                <w:szCs w:val="21"/>
              </w:rPr>
            </w:pPr>
            <w:r>
              <w:rPr>
                <w:color w:val="auto"/>
                <w:szCs w:val="21"/>
              </w:rPr>
              <w:t>/</w:t>
            </w:r>
          </w:p>
        </w:tc>
        <w:tc>
          <w:tcPr>
            <w:tcW w:w="1455" w:type="dxa"/>
            <w:vAlign w:val="center"/>
          </w:tcPr>
          <w:p>
            <w:pPr>
              <w:jc w:val="center"/>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0.2848</w:t>
            </w:r>
          </w:p>
        </w:tc>
        <w:tc>
          <w:tcPr>
            <w:tcW w:w="1305" w:type="dxa"/>
            <w:vAlign w:val="center"/>
          </w:tcPr>
          <w:p>
            <w:pPr>
              <w:jc w:val="center"/>
              <w:rPr>
                <w:rFonts w:hint="default" w:ascii="Times New Roman" w:hAnsi="Times New Roman" w:eastAsia="宋体" w:cs="Times New Roman"/>
                <w:snapToGrid w:val="0"/>
                <w:color w:val="auto"/>
                <w:kern w:val="21"/>
                <w:sz w:val="21"/>
                <w:szCs w:val="21"/>
                <w:lang w:val="en-US" w:eastAsia="zh-CN"/>
              </w:rPr>
            </w:pPr>
            <w:r>
              <w:rPr>
                <w:color w:val="auto"/>
                <w:szCs w:val="21"/>
              </w:rPr>
              <w:t>/</w:t>
            </w:r>
          </w:p>
        </w:tc>
        <w:tc>
          <w:tcPr>
            <w:tcW w:w="1410" w:type="dxa"/>
            <w:vAlign w:val="center"/>
          </w:tcPr>
          <w:p>
            <w:pPr>
              <w:jc w:val="center"/>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0.2848</w:t>
            </w:r>
          </w:p>
        </w:tc>
        <w:tc>
          <w:tcPr>
            <w:tcW w:w="1383" w:type="dxa"/>
            <w:vAlign w:val="center"/>
          </w:tcPr>
          <w:p>
            <w:pPr>
              <w:jc w:val="center"/>
              <w:rPr>
                <w:rFonts w:hint="eastAsia" w:ascii="Times New Roman" w:hAnsi="Times New Roman" w:eastAsia="宋体" w:cs="Times New Roman"/>
                <w:snapToGrid w:val="0"/>
                <w:color w:val="auto"/>
                <w:kern w:val="21"/>
                <w:sz w:val="21"/>
                <w:szCs w:val="21"/>
                <w:lang w:val="en-US" w:eastAsia="zh-CN"/>
              </w:rPr>
            </w:pPr>
            <w:r>
              <w:rPr>
                <w:rFonts w:hint="eastAsia" w:cs="Times New Roman"/>
                <w:color w:val="auto"/>
                <w:sz w:val="21"/>
                <w:szCs w:val="21"/>
                <w:highlight w:val="none"/>
                <w:lang w:val="en-US" w:eastAsia="zh-CN"/>
              </w:rPr>
              <w:t>+</w:t>
            </w:r>
            <w:r>
              <w:rPr>
                <w:rFonts w:hint="eastAsia" w:ascii="Times New Roman" w:hAnsi="Times New Roman" w:eastAsia="宋体" w:cs="Times New Roman"/>
                <w:snapToGrid w:val="0"/>
                <w:color w:val="auto"/>
                <w:kern w:val="21"/>
                <w:sz w:val="21"/>
                <w:szCs w:val="21"/>
                <w:lang w:val="en-US" w:eastAsia="zh-CN"/>
              </w:rPr>
              <w:t>0.2848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Merge w:val="continue"/>
            <w:vAlign w:val="center"/>
          </w:tcPr>
          <w:p>
            <w:pPr>
              <w:pStyle w:val="57"/>
              <w:spacing w:line="240" w:lineRule="auto"/>
              <w:rPr>
                <w:rFonts w:hint="eastAsia" w:ascii="黑体" w:hAnsi="黑体" w:eastAsia="黑体" w:cs="黑体"/>
                <w:snapToGrid w:val="0"/>
                <w:color w:val="auto"/>
                <w:kern w:val="21"/>
                <w:sz w:val="21"/>
                <w:szCs w:val="21"/>
                <w:lang w:val="en-US" w:eastAsia="zh-CN"/>
              </w:rPr>
            </w:pPr>
          </w:p>
        </w:tc>
        <w:tc>
          <w:tcPr>
            <w:tcW w:w="2844" w:type="dxa"/>
            <w:vAlign w:val="center"/>
          </w:tcPr>
          <w:p>
            <w:pPr>
              <w:adjustRightInd w:val="0"/>
              <w:snapToGrid w:val="0"/>
              <w:jc w:val="center"/>
              <w:rPr>
                <w:rFonts w:hint="eastAsia" w:cs="Times New Roman"/>
                <w:color w:val="auto"/>
                <w:szCs w:val="21"/>
                <w:lang w:val="en-US" w:eastAsia="zh-CN"/>
              </w:rPr>
            </w:pPr>
            <w:r>
              <w:rPr>
                <w:rFonts w:hint="eastAsia" w:cs="Times New Roman"/>
                <w:bCs/>
                <w:color w:val="auto"/>
                <w:kern w:val="2"/>
                <w:sz w:val="21"/>
                <w:szCs w:val="21"/>
                <w:highlight w:val="none"/>
                <w:lang w:val="en-US" w:eastAsia="zh-CN" w:bidi="ar-SA"/>
              </w:rPr>
              <w:t>二氧化硫</w:t>
            </w:r>
          </w:p>
        </w:tc>
        <w:tc>
          <w:tcPr>
            <w:tcW w:w="1537" w:type="dxa"/>
            <w:vAlign w:val="center"/>
          </w:tcPr>
          <w:p>
            <w:pPr>
              <w:adjustRightInd w:val="0"/>
              <w:snapToGrid w:val="0"/>
              <w:jc w:val="center"/>
              <w:rPr>
                <w:color w:val="auto"/>
                <w:szCs w:val="21"/>
              </w:rPr>
            </w:pPr>
            <w:r>
              <w:rPr>
                <w:rFonts w:hint="eastAsia" w:ascii="Times New Roman" w:hAnsi="Times New Roman" w:eastAsia="宋体" w:cs="Times New Roman"/>
                <w:snapToGrid w:val="0"/>
                <w:color w:val="auto"/>
                <w:kern w:val="21"/>
                <w:sz w:val="21"/>
                <w:szCs w:val="21"/>
                <w:lang w:val="en-US" w:eastAsia="zh-CN"/>
              </w:rPr>
              <w:t>1.2659</w:t>
            </w:r>
          </w:p>
        </w:tc>
        <w:tc>
          <w:tcPr>
            <w:tcW w:w="1200" w:type="dxa"/>
            <w:vAlign w:val="center"/>
          </w:tcPr>
          <w:p>
            <w:pPr>
              <w:jc w:val="center"/>
              <w:rPr>
                <w:color w:val="auto"/>
                <w:szCs w:val="21"/>
              </w:rPr>
            </w:pPr>
            <w:r>
              <w:rPr>
                <w:color w:val="auto"/>
                <w:szCs w:val="21"/>
              </w:rPr>
              <w:t>/</w:t>
            </w:r>
          </w:p>
        </w:tc>
        <w:tc>
          <w:tcPr>
            <w:tcW w:w="1500" w:type="dxa"/>
            <w:vAlign w:val="center"/>
          </w:tcPr>
          <w:p>
            <w:pPr>
              <w:jc w:val="center"/>
              <w:rPr>
                <w:color w:val="auto"/>
                <w:szCs w:val="21"/>
              </w:rPr>
            </w:pPr>
            <w:r>
              <w:rPr>
                <w:color w:val="auto"/>
                <w:szCs w:val="21"/>
              </w:rPr>
              <w:t>/</w:t>
            </w:r>
          </w:p>
        </w:tc>
        <w:tc>
          <w:tcPr>
            <w:tcW w:w="1455" w:type="dxa"/>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1.2659</w:t>
            </w:r>
          </w:p>
        </w:tc>
        <w:tc>
          <w:tcPr>
            <w:tcW w:w="1305" w:type="dxa"/>
            <w:vAlign w:val="center"/>
          </w:tcPr>
          <w:p>
            <w:pPr>
              <w:jc w:val="center"/>
              <w:rPr>
                <w:rFonts w:hint="default" w:ascii="Times New Roman" w:hAnsi="Times New Roman" w:eastAsia="宋体" w:cs="Times New Roman"/>
                <w:snapToGrid w:val="0"/>
                <w:color w:val="auto"/>
                <w:kern w:val="21"/>
                <w:sz w:val="21"/>
                <w:szCs w:val="21"/>
                <w:lang w:val="en-US" w:eastAsia="zh-CN"/>
              </w:rPr>
            </w:pPr>
            <w:r>
              <w:rPr>
                <w:color w:val="auto"/>
                <w:szCs w:val="21"/>
              </w:rPr>
              <w:t>/</w:t>
            </w:r>
          </w:p>
        </w:tc>
        <w:tc>
          <w:tcPr>
            <w:tcW w:w="1410" w:type="dxa"/>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1.2659</w:t>
            </w:r>
          </w:p>
        </w:tc>
        <w:tc>
          <w:tcPr>
            <w:tcW w:w="1383" w:type="dxa"/>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cs="Times New Roman"/>
                <w:color w:val="auto"/>
                <w:sz w:val="21"/>
                <w:szCs w:val="21"/>
                <w:highlight w:val="none"/>
                <w:lang w:val="en-US" w:eastAsia="zh-CN"/>
              </w:rPr>
              <w:t>+</w:t>
            </w:r>
            <w:r>
              <w:rPr>
                <w:rFonts w:hint="eastAsia" w:ascii="Times New Roman" w:hAnsi="Times New Roman" w:eastAsia="宋体" w:cs="Times New Roman"/>
                <w:snapToGrid w:val="0"/>
                <w:color w:val="auto"/>
                <w:kern w:val="21"/>
                <w:sz w:val="21"/>
                <w:szCs w:val="21"/>
                <w:lang w:val="en-US" w:eastAsia="zh-CN"/>
              </w:rPr>
              <w:t>1.2659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Merge w:val="continue"/>
            <w:vAlign w:val="center"/>
          </w:tcPr>
          <w:p>
            <w:pPr>
              <w:pStyle w:val="57"/>
              <w:spacing w:line="240" w:lineRule="auto"/>
              <w:rPr>
                <w:rFonts w:hint="eastAsia" w:ascii="黑体" w:hAnsi="黑体" w:eastAsia="黑体" w:cs="黑体"/>
                <w:snapToGrid w:val="0"/>
                <w:color w:val="auto"/>
                <w:kern w:val="21"/>
                <w:sz w:val="21"/>
                <w:szCs w:val="21"/>
                <w:lang w:val="en-US" w:eastAsia="zh-CN"/>
              </w:rPr>
            </w:pPr>
          </w:p>
        </w:tc>
        <w:tc>
          <w:tcPr>
            <w:tcW w:w="2844" w:type="dxa"/>
            <w:vAlign w:val="center"/>
          </w:tcPr>
          <w:p>
            <w:pPr>
              <w:adjustRightInd w:val="0"/>
              <w:snapToGrid w:val="0"/>
              <w:jc w:val="center"/>
              <w:rPr>
                <w:rFonts w:hint="eastAsia" w:cs="Times New Roman"/>
                <w:color w:val="auto"/>
                <w:szCs w:val="21"/>
                <w:lang w:val="en-US" w:eastAsia="zh-CN"/>
              </w:rPr>
            </w:pPr>
            <w:r>
              <w:rPr>
                <w:rFonts w:hint="eastAsia" w:cs="Times New Roman"/>
                <w:bCs/>
                <w:color w:val="auto"/>
                <w:kern w:val="2"/>
                <w:sz w:val="21"/>
                <w:szCs w:val="21"/>
                <w:highlight w:val="none"/>
                <w:lang w:val="en-US" w:eastAsia="zh-CN" w:bidi="ar-SA"/>
              </w:rPr>
              <w:t>氮氧化物</w:t>
            </w:r>
          </w:p>
        </w:tc>
        <w:tc>
          <w:tcPr>
            <w:tcW w:w="1537" w:type="dxa"/>
            <w:vAlign w:val="center"/>
          </w:tcPr>
          <w:p>
            <w:pPr>
              <w:adjustRightInd w:val="0"/>
              <w:snapToGrid w:val="0"/>
              <w:jc w:val="center"/>
              <w:rPr>
                <w:color w:val="auto"/>
                <w:szCs w:val="21"/>
              </w:rPr>
            </w:pPr>
            <w:r>
              <w:rPr>
                <w:rFonts w:hint="eastAsia" w:ascii="Times New Roman" w:hAnsi="Times New Roman" w:eastAsia="宋体" w:cs="Times New Roman"/>
                <w:snapToGrid w:val="0"/>
                <w:color w:val="auto"/>
                <w:kern w:val="21"/>
                <w:sz w:val="21"/>
                <w:szCs w:val="21"/>
                <w:lang w:val="en-US" w:eastAsia="zh-CN"/>
              </w:rPr>
              <w:t>1.9179</w:t>
            </w:r>
          </w:p>
        </w:tc>
        <w:tc>
          <w:tcPr>
            <w:tcW w:w="1200" w:type="dxa"/>
            <w:vAlign w:val="center"/>
          </w:tcPr>
          <w:p>
            <w:pPr>
              <w:jc w:val="center"/>
              <w:rPr>
                <w:color w:val="auto"/>
                <w:szCs w:val="21"/>
              </w:rPr>
            </w:pPr>
            <w:r>
              <w:rPr>
                <w:color w:val="auto"/>
                <w:szCs w:val="21"/>
              </w:rPr>
              <w:t>/</w:t>
            </w:r>
          </w:p>
        </w:tc>
        <w:tc>
          <w:tcPr>
            <w:tcW w:w="1500" w:type="dxa"/>
            <w:vAlign w:val="center"/>
          </w:tcPr>
          <w:p>
            <w:pPr>
              <w:jc w:val="center"/>
              <w:rPr>
                <w:color w:val="auto"/>
                <w:szCs w:val="21"/>
              </w:rPr>
            </w:pPr>
            <w:r>
              <w:rPr>
                <w:color w:val="auto"/>
                <w:szCs w:val="21"/>
              </w:rPr>
              <w:t>/</w:t>
            </w:r>
          </w:p>
        </w:tc>
        <w:tc>
          <w:tcPr>
            <w:tcW w:w="1455" w:type="dxa"/>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1.9179</w:t>
            </w:r>
          </w:p>
        </w:tc>
        <w:tc>
          <w:tcPr>
            <w:tcW w:w="1305" w:type="dxa"/>
            <w:vAlign w:val="center"/>
          </w:tcPr>
          <w:p>
            <w:pPr>
              <w:jc w:val="center"/>
              <w:rPr>
                <w:rFonts w:hint="default" w:ascii="Times New Roman" w:hAnsi="Times New Roman" w:eastAsia="宋体" w:cs="Times New Roman"/>
                <w:snapToGrid w:val="0"/>
                <w:color w:val="auto"/>
                <w:kern w:val="21"/>
                <w:sz w:val="21"/>
                <w:szCs w:val="21"/>
                <w:lang w:val="en-US" w:eastAsia="zh-CN"/>
              </w:rPr>
            </w:pPr>
            <w:r>
              <w:rPr>
                <w:color w:val="auto"/>
                <w:szCs w:val="21"/>
              </w:rPr>
              <w:t>/</w:t>
            </w:r>
          </w:p>
        </w:tc>
        <w:tc>
          <w:tcPr>
            <w:tcW w:w="1410" w:type="dxa"/>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1.9179</w:t>
            </w:r>
          </w:p>
        </w:tc>
        <w:tc>
          <w:tcPr>
            <w:tcW w:w="1383" w:type="dxa"/>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cs="Times New Roman"/>
                <w:color w:val="auto"/>
                <w:sz w:val="21"/>
                <w:szCs w:val="21"/>
                <w:highlight w:val="none"/>
                <w:lang w:val="en-US" w:eastAsia="zh-CN"/>
              </w:rPr>
              <w:t>+</w:t>
            </w:r>
            <w:r>
              <w:rPr>
                <w:rFonts w:hint="eastAsia" w:ascii="Times New Roman" w:hAnsi="Times New Roman" w:eastAsia="宋体" w:cs="Times New Roman"/>
                <w:snapToGrid w:val="0"/>
                <w:color w:val="auto"/>
                <w:kern w:val="21"/>
                <w:sz w:val="21"/>
                <w:szCs w:val="21"/>
                <w:lang w:val="en-US" w:eastAsia="zh-CN"/>
              </w:rPr>
              <w:t>1.9179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Merge w:val="continue"/>
            <w:vAlign w:val="center"/>
          </w:tcPr>
          <w:p>
            <w:pPr>
              <w:pStyle w:val="57"/>
              <w:spacing w:line="240" w:lineRule="auto"/>
              <w:rPr>
                <w:rFonts w:hint="eastAsia" w:ascii="黑体" w:hAnsi="黑体" w:eastAsia="黑体" w:cs="黑体"/>
                <w:snapToGrid w:val="0"/>
                <w:color w:val="auto"/>
                <w:kern w:val="21"/>
                <w:sz w:val="21"/>
                <w:szCs w:val="21"/>
                <w:lang w:val="en-US" w:eastAsia="zh-CN"/>
              </w:rPr>
            </w:pPr>
          </w:p>
        </w:tc>
        <w:tc>
          <w:tcPr>
            <w:tcW w:w="2844" w:type="dxa"/>
            <w:vAlign w:val="center"/>
          </w:tcPr>
          <w:p>
            <w:pPr>
              <w:adjustRightInd w:val="0"/>
              <w:snapToGrid w:val="0"/>
              <w:jc w:val="center"/>
              <w:rPr>
                <w:rFonts w:hint="eastAsia"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1537" w:type="dxa"/>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0.00088</w:t>
            </w:r>
          </w:p>
        </w:tc>
        <w:tc>
          <w:tcPr>
            <w:tcW w:w="1200" w:type="dxa"/>
            <w:vAlign w:val="center"/>
          </w:tcPr>
          <w:p>
            <w:pPr>
              <w:jc w:val="center"/>
              <w:rPr>
                <w:color w:val="auto"/>
                <w:szCs w:val="21"/>
              </w:rPr>
            </w:pPr>
            <w:r>
              <w:rPr>
                <w:color w:val="auto"/>
                <w:szCs w:val="21"/>
              </w:rPr>
              <w:t>/</w:t>
            </w:r>
          </w:p>
        </w:tc>
        <w:tc>
          <w:tcPr>
            <w:tcW w:w="1500" w:type="dxa"/>
            <w:vAlign w:val="center"/>
          </w:tcPr>
          <w:p>
            <w:pPr>
              <w:jc w:val="center"/>
              <w:rPr>
                <w:color w:val="auto"/>
                <w:szCs w:val="21"/>
              </w:rPr>
            </w:pPr>
            <w:r>
              <w:rPr>
                <w:color w:val="auto"/>
                <w:szCs w:val="21"/>
              </w:rPr>
              <w:t>/</w:t>
            </w:r>
          </w:p>
        </w:tc>
        <w:tc>
          <w:tcPr>
            <w:tcW w:w="1455" w:type="dxa"/>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0.00088</w:t>
            </w:r>
          </w:p>
        </w:tc>
        <w:tc>
          <w:tcPr>
            <w:tcW w:w="1305" w:type="dxa"/>
            <w:vAlign w:val="center"/>
          </w:tcPr>
          <w:p>
            <w:pPr>
              <w:jc w:val="center"/>
              <w:rPr>
                <w:color w:val="auto"/>
                <w:szCs w:val="21"/>
              </w:rPr>
            </w:pPr>
            <w:r>
              <w:rPr>
                <w:color w:val="auto"/>
                <w:szCs w:val="21"/>
              </w:rPr>
              <w:t>/</w:t>
            </w:r>
          </w:p>
        </w:tc>
        <w:tc>
          <w:tcPr>
            <w:tcW w:w="1410" w:type="dxa"/>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0.00088</w:t>
            </w:r>
          </w:p>
        </w:tc>
        <w:tc>
          <w:tcPr>
            <w:tcW w:w="1383" w:type="dxa"/>
            <w:vAlign w:val="center"/>
          </w:tcPr>
          <w:p>
            <w:pPr>
              <w:adjustRightInd w:val="0"/>
              <w:snapToGrid w:val="0"/>
              <w:jc w:val="center"/>
              <w:rPr>
                <w:rFonts w:hint="eastAsia" w:cs="Times New Roman"/>
                <w:color w:val="auto"/>
                <w:sz w:val="21"/>
                <w:szCs w:val="21"/>
                <w:highlight w:val="none"/>
                <w:lang w:val="en-US" w:eastAsia="zh-CN"/>
              </w:rPr>
            </w:pPr>
            <w:r>
              <w:rPr>
                <w:rFonts w:hint="eastAsia" w:ascii="Times New Roman" w:hAnsi="Times New Roman" w:eastAsia="宋体" w:cs="Times New Roman"/>
                <w:snapToGrid w:val="0"/>
                <w:color w:val="auto"/>
                <w:kern w:val="21"/>
                <w:sz w:val="21"/>
                <w:szCs w:val="21"/>
                <w:lang w:val="en-US" w:eastAsia="zh-CN"/>
              </w:rPr>
              <w:t>+0.00088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Merge w:val="continue"/>
            <w:vAlign w:val="center"/>
          </w:tcPr>
          <w:p>
            <w:pPr>
              <w:pStyle w:val="57"/>
              <w:spacing w:line="240" w:lineRule="auto"/>
              <w:rPr>
                <w:rFonts w:hint="eastAsia" w:ascii="黑体" w:hAnsi="黑体" w:eastAsia="黑体" w:cs="黑体"/>
                <w:snapToGrid w:val="0"/>
                <w:color w:val="auto"/>
                <w:kern w:val="21"/>
                <w:sz w:val="21"/>
                <w:szCs w:val="21"/>
                <w:lang w:val="en-US" w:eastAsia="zh-CN"/>
              </w:rPr>
            </w:pPr>
          </w:p>
        </w:tc>
        <w:tc>
          <w:tcPr>
            <w:tcW w:w="2844" w:type="dxa"/>
            <w:vAlign w:val="center"/>
          </w:tcPr>
          <w:p>
            <w:pPr>
              <w:adjustRightInd w:val="0"/>
              <w:snapToGrid w:val="0"/>
              <w:jc w:val="center"/>
              <w:rPr>
                <w:rFonts w:hint="eastAsia"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1537" w:type="dxa"/>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0.000034</w:t>
            </w:r>
          </w:p>
        </w:tc>
        <w:tc>
          <w:tcPr>
            <w:tcW w:w="1200" w:type="dxa"/>
            <w:vAlign w:val="center"/>
          </w:tcPr>
          <w:p>
            <w:pPr>
              <w:jc w:val="center"/>
              <w:rPr>
                <w:color w:val="auto"/>
                <w:szCs w:val="21"/>
              </w:rPr>
            </w:pPr>
            <w:r>
              <w:rPr>
                <w:color w:val="auto"/>
                <w:szCs w:val="21"/>
              </w:rPr>
              <w:t>/</w:t>
            </w:r>
          </w:p>
        </w:tc>
        <w:tc>
          <w:tcPr>
            <w:tcW w:w="1500" w:type="dxa"/>
            <w:vAlign w:val="center"/>
          </w:tcPr>
          <w:p>
            <w:pPr>
              <w:jc w:val="center"/>
              <w:rPr>
                <w:color w:val="auto"/>
                <w:szCs w:val="21"/>
              </w:rPr>
            </w:pPr>
            <w:r>
              <w:rPr>
                <w:color w:val="auto"/>
                <w:szCs w:val="21"/>
              </w:rPr>
              <w:t>/</w:t>
            </w:r>
          </w:p>
        </w:tc>
        <w:tc>
          <w:tcPr>
            <w:tcW w:w="1455" w:type="dxa"/>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0.000034</w:t>
            </w:r>
          </w:p>
        </w:tc>
        <w:tc>
          <w:tcPr>
            <w:tcW w:w="1305" w:type="dxa"/>
            <w:vAlign w:val="center"/>
          </w:tcPr>
          <w:p>
            <w:pPr>
              <w:jc w:val="center"/>
              <w:rPr>
                <w:color w:val="auto"/>
                <w:szCs w:val="21"/>
              </w:rPr>
            </w:pPr>
            <w:r>
              <w:rPr>
                <w:color w:val="auto"/>
                <w:szCs w:val="21"/>
              </w:rPr>
              <w:t>/</w:t>
            </w:r>
          </w:p>
        </w:tc>
        <w:tc>
          <w:tcPr>
            <w:tcW w:w="1410" w:type="dxa"/>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0.000034</w:t>
            </w:r>
          </w:p>
        </w:tc>
        <w:tc>
          <w:tcPr>
            <w:tcW w:w="1383" w:type="dxa"/>
            <w:vAlign w:val="center"/>
          </w:tcPr>
          <w:p>
            <w:pPr>
              <w:adjustRightInd w:val="0"/>
              <w:snapToGrid w:val="0"/>
              <w:jc w:val="center"/>
              <w:rPr>
                <w:rFonts w:hint="eastAsia" w:cs="Times New Roman"/>
                <w:color w:val="auto"/>
                <w:sz w:val="21"/>
                <w:szCs w:val="21"/>
                <w:highlight w:val="none"/>
                <w:lang w:val="en-US" w:eastAsia="zh-CN"/>
              </w:rPr>
            </w:pPr>
            <w:r>
              <w:rPr>
                <w:rFonts w:hint="eastAsia" w:ascii="Times New Roman" w:hAnsi="Times New Roman" w:eastAsia="宋体" w:cs="Times New Roman"/>
                <w:snapToGrid w:val="0"/>
                <w:color w:val="auto"/>
                <w:kern w:val="21"/>
                <w:sz w:val="21"/>
                <w:szCs w:val="21"/>
                <w:lang w:val="en-US" w:eastAsia="zh-CN"/>
              </w:rPr>
              <w:t>+0.000034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Merge w:val="restart"/>
            <w:vAlign w:val="center"/>
          </w:tcPr>
          <w:p>
            <w:pPr>
              <w:pStyle w:val="57"/>
              <w:keepNext w:val="0"/>
              <w:keepLines w:val="0"/>
              <w:pageBreakBefore w:val="0"/>
              <w:kinsoku/>
              <w:wordWrap/>
              <w:overflowPunct/>
              <w:topLinePunct w:val="0"/>
              <w:bidi w:val="0"/>
              <w:spacing w:beforeLines="0" w:afterLines="0" w:line="480" w:lineRule="exact"/>
              <w:rPr>
                <w:rFonts w:hint="eastAsia" w:ascii="黑体" w:hAnsi="黑体" w:eastAsia="黑体" w:cs="黑体"/>
                <w:snapToGrid w:val="0"/>
                <w:color w:val="auto"/>
                <w:kern w:val="21"/>
                <w:sz w:val="21"/>
                <w:szCs w:val="21"/>
                <w:lang w:val="en-US" w:eastAsia="zh-CN" w:bidi="ar-SA"/>
              </w:rPr>
            </w:pPr>
            <w:r>
              <w:rPr>
                <w:rFonts w:hint="eastAsia" w:ascii="黑体" w:hAnsi="黑体" w:eastAsia="黑体" w:cs="黑体"/>
                <w:snapToGrid w:val="0"/>
                <w:color w:val="auto"/>
                <w:kern w:val="21"/>
                <w:sz w:val="21"/>
                <w:szCs w:val="21"/>
              </w:rPr>
              <w:t>废水</w:t>
            </w:r>
          </w:p>
        </w:tc>
        <w:tc>
          <w:tcPr>
            <w:tcW w:w="2844" w:type="dxa"/>
            <w:vAlign w:val="center"/>
          </w:tcPr>
          <w:p>
            <w:pPr>
              <w:pStyle w:val="57"/>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ascii="Times New Roman"/>
                <w:color w:val="auto"/>
                <w:szCs w:val="21"/>
              </w:rPr>
              <w:t>废水总量（万</w:t>
            </w:r>
            <w:r>
              <w:rPr>
                <w:rFonts w:ascii="Times New Roman"/>
                <w:color w:val="auto"/>
                <w:spacing w:val="-20"/>
                <w:szCs w:val="21"/>
              </w:rPr>
              <w:t>m</w:t>
            </w:r>
            <w:r>
              <w:rPr>
                <w:rFonts w:ascii="Times New Roman"/>
                <w:color w:val="auto"/>
                <w:spacing w:val="-20"/>
                <w:szCs w:val="21"/>
                <w:vertAlign w:val="superscript"/>
              </w:rPr>
              <w:t>3</w:t>
            </w:r>
            <w:r>
              <w:rPr>
                <w:rFonts w:ascii="Times New Roman"/>
                <w:color w:val="auto"/>
                <w:spacing w:val="-20"/>
                <w:szCs w:val="21"/>
              </w:rPr>
              <w:t>/a</w:t>
            </w:r>
            <w:r>
              <w:rPr>
                <w:rFonts w:ascii="Times New Roman"/>
                <w:color w:val="auto"/>
                <w:szCs w:val="21"/>
              </w:rPr>
              <w:t>）</w:t>
            </w:r>
          </w:p>
        </w:tc>
        <w:tc>
          <w:tcPr>
            <w:tcW w:w="1537" w:type="dxa"/>
            <w:vAlign w:val="center"/>
          </w:tcPr>
          <w:p>
            <w:pPr>
              <w:tabs>
                <w:tab w:val="left" w:pos="272"/>
                <w:tab w:val="center" w:pos="802"/>
              </w:tabs>
              <w:adjustRightInd w:val="0"/>
              <w:snapToGrid w:val="0"/>
              <w:jc w:val="center"/>
              <w:rPr>
                <w:rFonts w:hint="default" w:ascii="Times New Roman" w:hAnsi="Times New Roman" w:cs="Times New Roman"/>
                <w:snapToGrid w:val="0"/>
                <w:color w:val="auto"/>
                <w:kern w:val="21"/>
                <w:sz w:val="21"/>
                <w:szCs w:val="21"/>
                <w:lang w:val="en-US" w:eastAsia="zh-CN"/>
              </w:rPr>
            </w:pPr>
            <w:r>
              <w:rPr>
                <w:rFonts w:hint="eastAsia" w:cs="Times New Roman"/>
                <w:color w:val="auto"/>
                <w:sz w:val="21"/>
                <w:szCs w:val="21"/>
                <w:highlight w:val="none"/>
                <w:lang w:val="en-US" w:eastAsia="zh-CN"/>
              </w:rPr>
              <w:t>0</w:t>
            </w:r>
          </w:p>
        </w:tc>
        <w:tc>
          <w:tcPr>
            <w:tcW w:w="1200" w:type="dxa"/>
            <w:vAlign w:val="center"/>
          </w:tcPr>
          <w:p>
            <w:pPr>
              <w:pStyle w:val="57"/>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500" w:type="dxa"/>
            <w:vAlign w:val="center"/>
          </w:tcPr>
          <w:p>
            <w:pPr>
              <w:pStyle w:val="57"/>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455" w:type="dxa"/>
            <w:vAlign w:val="center"/>
          </w:tcPr>
          <w:p>
            <w:pPr>
              <w:tabs>
                <w:tab w:val="left" w:pos="272"/>
                <w:tab w:val="center" w:pos="802"/>
              </w:tabs>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eastAsia" w:cs="Times New Roman"/>
                <w:color w:val="auto"/>
                <w:sz w:val="21"/>
                <w:szCs w:val="21"/>
                <w:highlight w:val="none"/>
                <w:lang w:val="en-US" w:eastAsia="zh-CN"/>
              </w:rPr>
              <w:t>0</w:t>
            </w:r>
          </w:p>
        </w:tc>
        <w:tc>
          <w:tcPr>
            <w:tcW w:w="130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rPr>
              <w:t>/</w:t>
            </w:r>
          </w:p>
        </w:tc>
        <w:tc>
          <w:tcPr>
            <w:tcW w:w="1410" w:type="dxa"/>
            <w:vAlign w:val="center"/>
          </w:tcPr>
          <w:p>
            <w:pPr>
              <w:tabs>
                <w:tab w:val="left" w:pos="272"/>
                <w:tab w:val="center" w:pos="802"/>
              </w:tabs>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w:t>
            </w:r>
          </w:p>
        </w:tc>
        <w:tc>
          <w:tcPr>
            <w:tcW w:w="1383" w:type="dxa"/>
            <w:vAlign w:val="center"/>
          </w:tcPr>
          <w:p>
            <w:pPr>
              <w:tabs>
                <w:tab w:val="left" w:pos="272"/>
                <w:tab w:val="center" w:pos="802"/>
              </w:tabs>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eastAsia" w:cs="Times New Roman"/>
                <w:color w:val="auto"/>
                <w:sz w:val="21"/>
                <w:szCs w:val="21"/>
                <w:highlight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Merge w:val="continue"/>
            <w:vAlign w:val="center"/>
          </w:tcPr>
          <w:p>
            <w:pPr>
              <w:pStyle w:val="57"/>
              <w:keepNext w:val="0"/>
              <w:keepLines w:val="0"/>
              <w:pageBreakBefore w:val="0"/>
              <w:kinsoku/>
              <w:wordWrap/>
              <w:overflowPunct/>
              <w:topLinePunct w:val="0"/>
              <w:bidi w:val="0"/>
              <w:spacing w:beforeLines="0" w:afterLines="0" w:line="480" w:lineRule="exact"/>
              <w:rPr>
                <w:rFonts w:hint="eastAsia" w:ascii="黑体" w:hAnsi="黑体" w:eastAsia="黑体" w:cs="黑体"/>
                <w:snapToGrid w:val="0"/>
                <w:color w:val="auto"/>
                <w:kern w:val="21"/>
                <w:sz w:val="21"/>
                <w:szCs w:val="21"/>
              </w:rPr>
            </w:pPr>
          </w:p>
        </w:tc>
        <w:tc>
          <w:tcPr>
            <w:tcW w:w="2844" w:type="dxa"/>
            <w:vAlign w:val="center"/>
          </w:tcPr>
          <w:p>
            <w:pPr>
              <w:pStyle w:val="57"/>
              <w:spacing w:beforeLines="0" w:afterLines="0" w:line="240" w:lineRule="auto"/>
              <w:rPr>
                <w:rFonts w:hint="default" w:ascii="Times New Roman" w:hAnsi="Times New Roman" w:cs="Times New Roman"/>
                <w:snapToGrid w:val="0"/>
                <w:color w:val="auto"/>
                <w:kern w:val="21"/>
                <w:sz w:val="21"/>
                <w:szCs w:val="21"/>
              </w:rPr>
            </w:pPr>
            <w:r>
              <w:rPr>
                <w:rFonts w:ascii="Times New Roman"/>
                <w:color w:val="auto"/>
                <w:szCs w:val="21"/>
              </w:rPr>
              <w:t>COD</w:t>
            </w:r>
          </w:p>
        </w:tc>
        <w:tc>
          <w:tcPr>
            <w:tcW w:w="1537" w:type="dxa"/>
            <w:vAlign w:val="center"/>
          </w:tcPr>
          <w:p>
            <w:pPr>
              <w:adjustRightInd w:val="0"/>
              <w:snapToGrid w:val="0"/>
              <w:jc w:val="center"/>
              <w:rPr>
                <w:color w:val="auto"/>
                <w:szCs w:val="21"/>
              </w:rPr>
            </w:pPr>
            <w:r>
              <w:rPr>
                <w:rFonts w:hint="eastAsia" w:cs="Times New Roman"/>
                <w:bCs/>
                <w:color w:val="auto"/>
                <w:kern w:val="2"/>
                <w:sz w:val="21"/>
                <w:szCs w:val="21"/>
                <w:highlight w:val="none"/>
                <w:lang w:val="en-US" w:eastAsia="zh-CN" w:bidi="ar-SA"/>
              </w:rPr>
              <w:t>0</w:t>
            </w:r>
          </w:p>
        </w:tc>
        <w:tc>
          <w:tcPr>
            <w:tcW w:w="1200" w:type="dxa"/>
            <w:vAlign w:val="center"/>
          </w:tcPr>
          <w:p>
            <w:pPr>
              <w:pStyle w:val="57"/>
              <w:keepNext w:val="0"/>
              <w:keepLines w:val="0"/>
              <w:pageBreakBefore w:val="0"/>
              <w:kinsoku/>
              <w:wordWrap/>
              <w:overflowPunct/>
              <w:topLinePunct w:val="0"/>
              <w:bidi w:val="0"/>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500" w:type="dxa"/>
            <w:vAlign w:val="center"/>
          </w:tcPr>
          <w:p>
            <w:pPr>
              <w:pStyle w:val="57"/>
              <w:keepNext w:val="0"/>
              <w:keepLines w:val="0"/>
              <w:pageBreakBefore w:val="0"/>
              <w:kinsoku/>
              <w:wordWrap/>
              <w:overflowPunct/>
              <w:topLinePunct w:val="0"/>
              <w:bidi w:val="0"/>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455" w:type="dxa"/>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cs="Times New Roman"/>
                <w:bCs/>
                <w:color w:val="auto"/>
                <w:kern w:val="2"/>
                <w:sz w:val="21"/>
                <w:szCs w:val="21"/>
                <w:highlight w:val="none"/>
                <w:lang w:val="en-US" w:eastAsia="zh-CN" w:bidi="ar-SA"/>
              </w:rPr>
              <w:t>0</w:t>
            </w:r>
          </w:p>
        </w:tc>
        <w:tc>
          <w:tcPr>
            <w:tcW w:w="1305"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color w:val="auto"/>
                <w:szCs w:val="21"/>
              </w:rPr>
              <w:t>/</w:t>
            </w:r>
          </w:p>
        </w:tc>
        <w:tc>
          <w:tcPr>
            <w:tcW w:w="1410" w:type="dxa"/>
            <w:vAlign w:val="center"/>
          </w:tcPr>
          <w:p>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0</w:t>
            </w:r>
          </w:p>
        </w:tc>
        <w:tc>
          <w:tcPr>
            <w:tcW w:w="1383" w:type="dxa"/>
            <w:vAlign w:val="center"/>
          </w:tcPr>
          <w:p>
            <w:pPr>
              <w:adjustRightInd w:val="0"/>
              <w:snapToGrid w:val="0"/>
              <w:jc w:val="center"/>
              <w:rPr>
                <w:rFonts w:hint="eastAsia" w:ascii="Times New Roman" w:hAnsi="Times New Roman" w:eastAsia="宋体" w:cs="Times New Roman"/>
                <w:snapToGrid w:val="0"/>
                <w:color w:val="auto"/>
                <w:kern w:val="21"/>
                <w:sz w:val="21"/>
                <w:szCs w:val="21"/>
                <w:lang w:val="en-US" w:eastAsia="zh-CN"/>
              </w:rPr>
            </w:pPr>
            <w:r>
              <w:rPr>
                <w:rFonts w:hint="eastAsia" w:cs="Times New Roman"/>
                <w:bCs/>
                <w:color w:val="auto"/>
                <w:kern w:val="2"/>
                <w:sz w:val="21"/>
                <w:szCs w:val="21"/>
                <w:highlight w:val="none"/>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Merge w:val="continue"/>
            <w:vAlign w:val="center"/>
          </w:tcPr>
          <w:p>
            <w:pPr>
              <w:pStyle w:val="57"/>
              <w:spacing w:line="240" w:lineRule="auto"/>
              <w:rPr>
                <w:rFonts w:hint="eastAsia" w:ascii="黑体" w:hAnsi="黑体" w:eastAsia="黑体" w:cs="黑体"/>
                <w:snapToGrid w:val="0"/>
                <w:color w:val="auto"/>
                <w:kern w:val="21"/>
                <w:sz w:val="21"/>
                <w:szCs w:val="21"/>
                <w:lang w:val="en-US" w:eastAsia="zh-CN"/>
              </w:rPr>
            </w:pPr>
          </w:p>
        </w:tc>
        <w:tc>
          <w:tcPr>
            <w:tcW w:w="2844" w:type="dxa"/>
            <w:vAlign w:val="center"/>
          </w:tcPr>
          <w:p>
            <w:pPr>
              <w:pStyle w:val="57"/>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ascii="Times New Roman"/>
                <w:color w:val="auto"/>
                <w:szCs w:val="21"/>
              </w:rPr>
              <w:t>氨氮</w:t>
            </w:r>
          </w:p>
        </w:tc>
        <w:tc>
          <w:tcPr>
            <w:tcW w:w="1537" w:type="dxa"/>
            <w:vAlign w:val="center"/>
          </w:tcPr>
          <w:p>
            <w:pPr>
              <w:adjustRightInd w:val="0"/>
              <w:snapToGrid w:val="0"/>
              <w:jc w:val="center"/>
              <w:rPr>
                <w:rFonts w:hint="default" w:ascii="Times New Roman" w:hAnsi="Times New Roman" w:cs="Times New Roman"/>
                <w:snapToGrid w:val="0"/>
                <w:color w:val="auto"/>
                <w:kern w:val="21"/>
                <w:sz w:val="21"/>
                <w:szCs w:val="21"/>
                <w:lang w:val="en-US" w:eastAsia="zh-CN"/>
              </w:rPr>
            </w:pPr>
            <w:r>
              <w:rPr>
                <w:rFonts w:hint="eastAsia" w:cs="Times New Roman"/>
                <w:bCs/>
                <w:color w:val="auto"/>
                <w:kern w:val="2"/>
                <w:sz w:val="21"/>
                <w:szCs w:val="21"/>
                <w:highlight w:val="none"/>
                <w:lang w:val="en-US" w:eastAsia="zh-CN" w:bidi="ar-SA"/>
              </w:rPr>
              <w:t>0</w:t>
            </w:r>
          </w:p>
        </w:tc>
        <w:tc>
          <w:tcPr>
            <w:tcW w:w="1200" w:type="dxa"/>
            <w:vAlign w:val="center"/>
          </w:tcPr>
          <w:p>
            <w:pPr>
              <w:pStyle w:val="57"/>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500" w:type="dxa"/>
            <w:vAlign w:val="center"/>
          </w:tcPr>
          <w:p>
            <w:pPr>
              <w:pStyle w:val="57"/>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455" w:type="dxa"/>
            <w:vAlign w:val="center"/>
          </w:tcPr>
          <w:p>
            <w:pPr>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eastAsia" w:cs="Times New Roman"/>
                <w:bCs/>
                <w:color w:val="auto"/>
                <w:kern w:val="2"/>
                <w:sz w:val="21"/>
                <w:szCs w:val="21"/>
                <w:highlight w:val="none"/>
                <w:lang w:val="en-US" w:eastAsia="zh-CN" w:bidi="ar-SA"/>
              </w:rPr>
              <w:t>0</w:t>
            </w:r>
          </w:p>
        </w:tc>
        <w:tc>
          <w:tcPr>
            <w:tcW w:w="130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rPr>
              <w:t>/</w:t>
            </w:r>
          </w:p>
        </w:tc>
        <w:tc>
          <w:tcPr>
            <w:tcW w:w="1410" w:type="dxa"/>
            <w:vAlign w:val="center"/>
          </w:tcPr>
          <w:p>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0</w:t>
            </w:r>
          </w:p>
        </w:tc>
        <w:tc>
          <w:tcPr>
            <w:tcW w:w="1383" w:type="dxa"/>
            <w:vAlign w:val="center"/>
          </w:tcPr>
          <w:p>
            <w:pPr>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eastAsia" w:cs="Times New Roman"/>
                <w:bCs/>
                <w:color w:val="auto"/>
                <w:kern w:val="2"/>
                <w:sz w:val="21"/>
                <w:szCs w:val="21"/>
                <w:highlight w:val="none"/>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Align w:val="center"/>
          </w:tcPr>
          <w:p>
            <w:pPr>
              <w:pStyle w:val="57"/>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lang w:val="en-US" w:eastAsia="zh-CN"/>
              </w:rPr>
            </w:pPr>
            <w:r>
              <w:rPr>
                <w:rFonts w:hint="eastAsia" w:ascii="黑体" w:hAnsi="黑体" w:eastAsia="黑体" w:cs="黑体"/>
                <w:snapToGrid w:val="0"/>
                <w:color w:val="auto"/>
                <w:kern w:val="21"/>
                <w:sz w:val="21"/>
                <w:szCs w:val="21"/>
                <w:lang w:val="en-US" w:eastAsia="zh-CN"/>
              </w:rPr>
              <w:t>一般工业固体废物</w:t>
            </w:r>
          </w:p>
        </w:tc>
        <w:tc>
          <w:tcPr>
            <w:tcW w:w="2844" w:type="dxa"/>
            <w:vAlign w:val="center"/>
          </w:tcPr>
          <w:p>
            <w:pPr>
              <w:pStyle w:val="57"/>
              <w:spacing w:beforeLines="0" w:afterLines="0" w:line="240" w:lineRule="auto"/>
              <w:rPr>
                <w:rFonts w:hint="default" w:ascii="Times New Roman" w:eastAsia="宋体"/>
                <w:color w:val="auto"/>
                <w:szCs w:val="21"/>
                <w:lang w:val="en-US" w:eastAsia="zh-CN"/>
              </w:rPr>
            </w:pPr>
            <w:r>
              <w:rPr>
                <w:rFonts w:hint="eastAsia" w:ascii="Times New Roman"/>
                <w:color w:val="auto"/>
                <w:szCs w:val="21"/>
                <w:lang w:val="en-US" w:eastAsia="zh-CN"/>
              </w:rPr>
              <w:t>污水处理站污泥</w:t>
            </w:r>
          </w:p>
        </w:tc>
        <w:tc>
          <w:tcPr>
            <w:tcW w:w="1537" w:type="dxa"/>
            <w:vAlign w:val="center"/>
          </w:tcPr>
          <w:p>
            <w:pPr>
              <w:adjustRightInd w:val="0"/>
              <w:snapToGrid w:val="0"/>
              <w:jc w:val="center"/>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10</w:t>
            </w:r>
          </w:p>
        </w:tc>
        <w:tc>
          <w:tcPr>
            <w:tcW w:w="1200" w:type="dxa"/>
            <w:vAlign w:val="center"/>
          </w:tcPr>
          <w:p>
            <w:pPr>
              <w:pStyle w:val="57"/>
              <w:keepNext w:val="0"/>
              <w:keepLines w:val="0"/>
              <w:pageBreakBefore w:val="0"/>
              <w:kinsoku/>
              <w:wordWrap/>
              <w:overflowPunct/>
              <w:topLinePunct w:val="0"/>
              <w:bidi w:val="0"/>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500" w:type="dxa"/>
            <w:vAlign w:val="center"/>
          </w:tcPr>
          <w:p>
            <w:pPr>
              <w:pStyle w:val="57"/>
              <w:keepNext w:val="0"/>
              <w:keepLines w:val="0"/>
              <w:pageBreakBefore w:val="0"/>
              <w:kinsoku/>
              <w:wordWrap/>
              <w:overflowPunct/>
              <w:topLinePunct w:val="0"/>
              <w:bidi w:val="0"/>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455" w:type="dxa"/>
            <w:vAlign w:val="center"/>
          </w:tcPr>
          <w:p>
            <w:pPr>
              <w:adjustRightInd w:val="0"/>
              <w:snapToGrid w:val="0"/>
              <w:jc w:val="center"/>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10</w:t>
            </w:r>
          </w:p>
        </w:tc>
        <w:tc>
          <w:tcPr>
            <w:tcW w:w="1305" w:type="dxa"/>
            <w:vAlign w:val="center"/>
          </w:tcPr>
          <w:p>
            <w:pPr>
              <w:jc w:val="center"/>
              <w:rPr>
                <w:color w:val="auto"/>
                <w:szCs w:val="21"/>
              </w:rPr>
            </w:pPr>
            <w:r>
              <w:rPr>
                <w:color w:val="auto"/>
                <w:szCs w:val="21"/>
              </w:rPr>
              <w:t>/</w:t>
            </w:r>
          </w:p>
        </w:tc>
        <w:tc>
          <w:tcPr>
            <w:tcW w:w="1410" w:type="dxa"/>
            <w:vAlign w:val="center"/>
          </w:tcPr>
          <w:p>
            <w:pPr>
              <w:adjustRightInd w:val="0"/>
              <w:snapToGrid w:val="0"/>
              <w:jc w:val="center"/>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10</w:t>
            </w:r>
          </w:p>
        </w:tc>
        <w:tc>
          <w:tcPr>
            <w:tcW w:w="1383" w:type="dxa"/>
            <w:vAlign w:val="center"/>
          </w:tcPr>
          <w:p>
            <w:pPr>
              <w:adjustRightInd w:val="0"/>
              <w:snapToGrid w:val="0"/>
              <w:jc w:val="center"/>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Merge w:val="restart"/>
            <w:vAlign w:val="center"/>
          </w:tcPr>
          <w:p>
            <w:pPr>
              <w:pStyle w:val="57"/>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lang w:val="en-US" w:eastAsia="zh-CN"/>
              </w:rPr>
            </w:pPr>
            <w:r>
              <w:rPr>
                <w:rFonts w:hint="eastAsia" w:ascii="黑体" w:hAnsi="黑体" w:eastAsia="黑体" w:cs="黑体"/>
                <w:snapToGrid w:val="0"/>
                <w:color w:val="auto"/>
                <w:kern w:val="21"/>
                <w:sz w:val="21"/>
                <w:szCs w:val="21"/>
              </w:rPr>
              <w:t>危险废物</w:t>
            </w:r>
          </w:p>
        </w:tc>
        <w:tc>
          <w:tcPr>
            <w:tcW w:w="2844"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NewRomanPSMT" w:hAnsi="TimesNewRomanPSMT" w:eastAsia="宋体" w:cs="TimesNewRomanPSMT"/>
                <w:b w:val="0"/>
                <w:bCs w:val="0"/>
                <w:i w:val="0"/>
                <w:iCs w:val="0"/>
                <w:color w:val="auto"/>
                <w:sz w:val="22"/>
                <w:szCs w:val="22"/>
                <w:lang w:val="en-US" w:eastAsia="zh-CN"/>
              </w:rPr>
              <w:t>清罐含油残渣251-001-08</w:t>
            </w:r>
          </w:p>
        </w:tc>
        <w:tc>
          <w:tcPr>
            <w:tcW w:w="1537"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color w:val="auto"/>
                <w:szCs w:val="21"/>
              </w:rPr>
            </w:pPr>
            <w:r>
              <w:rPr>
                <w:rFonts w:hint="eastAsia" w:ascii="TimesNewRomanPSMT" w:hAnsi="TimesNewRomanPSMT" w:eastAsia="宋体" w:cs="TimesNewRomanPSMT"/>
                <w:b w:val="0"/>
                <w:bCs w:val="0"/>
                <w:i w:val="0"/>
                <w:iCs w:val="0"/>
                <w:color w:val="auto"/>
                <w:sz w:val="22"/>
                <w:szCs w:val="22"/>
                <w:lang w:val="en-US" w:eastAsia="zh-CN"/>
              </w:rPr>
              <w:t>6t/3a</w:t>
            </w:r>
          </w:p>
        </w:tc>
        <w:tc>
          <w:tcPr>
            <w:tcW w:w="1200" w:type="dxa"/>
            <w:vAlign w:val="center"/>
          </w:tcPr>
          <w:p>
            <w:pPr>
              <w:jc w:val="center"/>
              <w:rPr>
                <w:color w:val="auto"/>
                <w:szCs w:val="21"/>
              </w:rPr>
            </w:pPr>
            <w:r>
              <w:rPr>
                <w:color w:val="auto"/>
                <w:szCs w:val="21"/>
              </w:rPr>
              <w:t>/</w:t>
            </w:r>
          </w:p>
        </w:tc>
        <w:tc>
          <w:tcPr>
            <w:tcW w:w="1500" w:type="dxa"/>
            <w:vAlign w:val="center"/>
          </w:tcPr>
          <w:p>
            <w:pPr>
              <w:jc w:val="center"/>
              <w:rPr>
                <w:color w:val="auto"/>
                <w:szCs w:val="21"/>
              </w:rPr>
            </w:pPr>
            <w:r>
              <w:rPr>
                <w:color w:val="auto"/>
                <w:szCs w:val="21"/>
              </w:rPr>
              <w:t>/</w:t>
            </w:r>
          </w:p>
        </w:tc>
        <w:tc>
          <w:tcPr>
            <w:tcW w:w="1455"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cs="Times New Roman"/>
                <w:color w:val="auto"/>
                <w:sz w:val="21"/>
                <w:szCs w:val="21"/>
                <w:lang w:val="en-US" w:eastAsia="zh-CN"/>
              </w:rPr>
            </w:pPr>
            <w:r>
              <w:rPr>
                <w:rFonts w:hint="eastAsia" w:ascii="TimesNewRomanPSMT" w:hAnsi="TimesNewRomanPSMT" w:eastAsia="宋体" w:cs="TimesNewRomanPSMT"/>
                <w:b w:val="0"/>
                <w:bCs w:val="0"/>
                <w:i w:val="0"/>
                <w:iCs w:val="0"/>
                <w:color w:val="auto"/>
                <w:sz w:val="22"/>
                <w:szCs w:val="22"/>
                <w:lang w:val="en-US" w:eastAsia="zh-CN"/>
              </w:rPr>
              <w:t>6t/3a</w:t>
            </w:r>
          </w:p>
        </w:tc>
        <w:tc>
          <w:tcPr>
            <w:tcW w:w="1305" w:type="dxa"/>
            <w:vAlign w:val="center"/>
          </w:tcPr>
          <w:p>
            <w:pPr>
              <w:jc w:val="center"/>
              <w:textAlignment w:val="baseline"/>
              <w:rPr>
                <w:color w:val="auto"/>
                <w:szCs w:val="21"/>
              </w:rPr>
            </w:pPr>
            <w:r>
              <w:rPr>
                <w:color w:val="auto"/>
                <w:szCs w:val="21"/>
              </w:rPr>
              <w:t>/</w:t>
            </w:r>
          </w:p>
        </w:tc>
        <w:tc>
          <w:tcPr>
            <w:tcW w:w="1410"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cs="Times New Roman"/>
                <w:color w:val="auto"/>
                <w:sz w:val="21"/>
                <w:szCs w:val="21"/>
                <w:lang w:val="en-US" w:eastAsia="zh-CN"/>
              </w:rPr>
            </w:pPr>
            <w:r>
              <w:rPr>
                <w:rFonts w:hint="eastAsia" w:ascii="TimesNewRomanPSMT" w:hAnsi="TimesNewRomanPSMT" w:eastAsia="宋体" w:cs="TimesNewRomanPSMT"/>
                <w:b w:val="0"/>
                <w:bCs w:val="0"/>
                <w:i w:val="0"/>
                <w:iCs w:val="0"/>
                <w:color w:val="auto"/>
                <w:sz w:val="22"/>
                <w:szCs w:val="22"/>
                <w:lang w:val="en-US" w:eastAsia="zh-CN"/>
              </w:rPr>
              <w:t>6t/3a</w:t>
            </w:r>
          </w:p>
        </w:tc>
        <w:tc>
          <w:tcPr>
            <w:tcW w:w="1383"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cs="Times New Roman"/>
                <w:color w:val="auto"/>
                <w:sz w:val="21"/>
                <w:szCs w:val="21"/>
                <w:lang w:val="en-US" w:eastAsia="zh-CN"/>
              </w:rPr>
            </w:pPr>
            <w:r>
              <w:rPr>
                <w:rFonts w:hint="eastAsia" w:ascii="TimesNewRomanPSMT" w:hAnsi="TimesNewRomanPSMT" w:eastAsia="宋体" w:cs="TimesNewRomanPSMT"/>
                <w:b w:val="0"/>
                <w:bCs w:val="0"/>
                <w:i w:val="0"/>
                <w:iCs w:val="0"/>
                <w:color w:val="auto"/>
                <w:sz w:val="22"/>
                <w:szCs w:val="22"/>
                <w:lang w:val="en-US" w:eastAsia="zh-CN"/>
              </w:rPr>
              <w:t>+6t/3a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Merge w:val="continue"/>
            <w:vAlign w:val="center"/>
          </w:tcPr>
          <w:p>
            <w:pPr>
              <w:pStyle w:val="57"/>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rPr>
            </w:pPr>
          </w:p>
        </w:tc>
        <w:tc>
          <w:tcPr>
            <w:tcW w:w="2844"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NewRomanPSMT" w:hAnsi="TimesNewRomanPSMT" w:cs="TimesNewRomanPSMT"/>
                <w:b w:val="0"/>
                <w:bCs w:val="0"/>
                <w:i w:val="0"/>
                <w:iCs w:val="0"/>
                <w:color w:val="auto"/>
                <w:sz w:val="22"/>
                <w:szCs w:val="22"/>
                <w:lang w:val="en-US" w:eastAsia="zh-CN"/>
              </w:rPr>
              <w:t>废导热油</w:t>
            </w:r>
            <w:r>
              <w:rPr>
                <w:rFonts w:hint="eastAsia" w:ascii="TimesNewRomanPSMT" w:hAnsi="TimesNewRomanPSMT" w:eastAsia="宋体" w:cs="TimesNewRomanPSMT"/>
                <w:b w:val="0"/>
                <w:bCs w:val="0"/>
                <w:i w:val="0"/>
                <w:iCs w:val="0"/>
                <w:color w:val="auto"/>
                <w:sz w:val="22"/>
                <w:szCs w:val="22"/>
                <w:lang w:val="en-US" w:eastAsia="zh-CN"/>
              </w:rPr>
              <w:t>900-249-08</w:t>
            </w:r>
          </w:p>
        </w:tc>
        <w:tc>
          <w:tcPr>
            <w:tcW w:w="1537"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color w:val="auto"/>
                <w:szCs w:val="21"/>
              </w:rPr>
            </w:pPr>
            <w:r>
              <w:rPr>
                <w:rFonts w:hint="eastAsia" w:ascii="TimesNewRomanPSMT" w:hAnsi="TimesNewRomanPSMT" w:eastAsia="宋体" w:cs="TimesNewRomanPSMT"/>
                <w:b w:val="0"/>
                <w:bCs w:val="0"/>
                <w:i w:val="0"/>
                <w:iCs w:val="0"/>
                <w:color w:val="auto"/>
                <w:sz w:val="22"/>
                <w:szCs w:val="22"/>
                <w:lang w:val="en-US" w:eastAsia="zh-CN"/>
              </w:rPr>
              <w:t>50t/5a</w:t>
            </w:r>
          </w:p>
        </w:tc>
        <w:tc>
          <w:tcPr>
            <w:tcW w:w="1200" w:type="dxa"/>
            <w:vAlign w:val="center"/>
          </w:tcPr>
          <w:p>
            <w:pPr>
              <w:jc w:val="center"/>
              <w:rPr>
                <w:color w:val="auto"/>
                <w:szCs w:val="21"/>
              </w:rPr>
            </w:pPr>
            <w:r>
              <w:rPr>
                <w:color w:val="auto"/>
                <w:szCs w:val="21"/>
              </w:rPr>
              <w:t>/</w:t>
            </w:r>
          </w:p>
        </w:tc>
        <w:tc>
          <w:tcPr>
            <w:tcW w:w="1500" w:type="dxa"/>
            <w:vAlign w:val="center"/>
          </w:tcPr>
          <w:p>
            <w:pPr>
              <w:jc w:val="center"/>
              <w:rPr>
                <w:color w:val="auto"/>
                <w:szCs w:val="21"/>
              </w:rPr>
            </w:pPr>
            <w:r>
              <w:rPr>
                <w:color w:val="auto"/>
                <w:szCs w:val="21"/>
              </w:rPr>
              <w:t>/</w:t>
            </w:r>
          </w:p>
        </w:tc>
        <w:tc>
          <w:tcPr>
            <w:tcW w:w="1455"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cs="Times New Roman"/>
                <w:color w:val="auto"/>
                <w:sz w:val="21"/>
                <w:szCs w:val="21"/>
                <w:lang w:val="en-US" w:eastAsia="zh-CN"/>
              </w:rPr>
            </w:pPr>
            <w:r>
              <w:rPr>
                <w:rFonts w:hint="eastAsia" w:ascii="TimesNewRomanPSMT" w:hAnsi="TimesNewRomanPSMT" w:eastAsia="宋体" w:cs="TimesNewRomanPSMT"/>
                <w:b w:val="0"/>
                <w:bCs w:val="0"/>
                <w:i w:val="0"/>
                <w:iCs w:val="0"/>
                <w:color w:val="auto"/>
                <w:sz w:val="22"/>
                <w:szCs w:val="22"/>
                <w:lang w:val="en-US" w:eastAsia="zh-CN"/>
              </w:rPr>
              <w:t>50t/5a</w:t>
            </w:r>
          </w:p>
        </w:tc>
        <w:tc>
          <w:tcPr>
            <w:tcW w:w="1305" w:type="dxa"/>
            <w:vAlign w:val="center"/>
          </w:tcPr>
          <w:p>
            <w:pPr>
              <w:jc w:val="center"/>
              <w:textAlignment w:val="baseline"/>
              <w:rPr>
                <w:color w:val="auto"/>
                <w:szCs w:val="21"/>
              </w:rPr>
            </w:pPr>
            <w:r>
              <w:rPr>
                <w:color w:val="auto"/>
                <w:szCs w:val="21"/>
              </w:rPr>
              <w:t>/</w:t>
            </w:r>
          </w:p>
        </w:tc>
        <w:tc>
          <w:tcPr>
            <w:tcW w:w="1410"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cs="Times New Roman"/>
                <w:color w:val="auto"/>
                <w:sz w:val="21"/>
                <w:szCs w:val="21"/>
                <w:lang w:val="en-US" w:eastAsia="zh-CN"/>
              </w:rPr>
            </w:pPr>
            <w:r>
              <w:rPr>
                <w:rFonts w:hint="eastAsia" w:ascii="TimesNewRomanPSMT" w:hAnsi="TimesNewRomanPSMT" w:eastAsia="宋体" w:cs="TimesNewRomanPSMT"/>
                <w:b w:val="0"/>
                <w:bCs w:val="0"/>
                <w:i w:val="0"/>
                <w:iCs w:val="0"/>
                <w:color w:val="auto"/>
                <w:sz w:val="22"/>
                <w:szCs w:val="22"/>
                <w:lang w:val="en-US" w:eastAsia="zh-CN"/>
              </w:rPr>
              <w:t>50t/5a</w:t>
            </w:r>
          </w:p>
        </w:tc>
        <w:tc>
          <w:tcPr>
            <w:tcW w:w="1383"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cs="Times New Roman"/>
                <w:color w:val="auto"/>
                <w:sz w:val="21"/>
                <w:szCs w:val="21"/>
                <w:lang w:val="en-US" w:eastAsia="zh-CN"/>
              </w:rPr>
            </w:pPr>
            <w:r>
              <w:rPr>
                <w:rFonts w:hint="eastAsia" w:ascii="TimesNewRomanPSMT" w:hAnsi="TimesNewRomanPSMT" w:eastAsia="宋体" w:cs="TimesNewRomanPSMT"/>
                <w:b w:val="0"/>
                <w:bCs w:val="0"/>
                <w:i w:val="0"/>
                <w:iCs w:val="0"/>
                <w:color w:val="auto"/>
                <w:sz w:val="22"/>
                <w:szCs w:val="22"/>
                <w:lang w:val="en-US" w:eastAsia="zh-CN"/>
              </w:rPr>
              <w:t>+50t/5a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Merge w:val="continue"/>
            <w:vAlign w:val="center"/>
          </w:tcPr>
          <w:p>
            <w:pPr>
              <w:pStyle w:val="57"/>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rPr>
            </w:pPr>
          </w:p>
        </w:tc>
        <w:tc>
          <w:tcPr>
            <w:tcW w:w="2844"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污水处理站污油900-210-0</w:t>
            </w:r>
          </w:p>
        </w:tc>
        <w:tc>
          <w:tcPr>
            <w:tcW w:w="1537"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11.36</w:t>
            </w:r>
          </w:p>
        </w:tc>
        <w:tc>
          <w:tcPr>
            <w:tcW w:w="1200" w:type="dxa"/>
            <w:vAlign w:val="center"/>
          </w:tcPr>
          <w:p>
            <w:pPr>
              <w:jc w:val="center"/>
              <w:rPr>
                <w:rFonts w:ascii="Times New Roman" w:hAnsi="Times New Roman" w:eastAsia="宋体" w:cs="Times New Roman"/>
                <w:color w:val="auto"/>
                <w:kern w:val="2"/>
                <w:sz w:val="21"/>
                <w:szCs w:val="21"/>
                <w:lang w:val="en-US" w:eastAsia="zh-CN" w:bidi="ar-SA"/>
              </w:rPr>
            </w:pPr>
            <w:r>
              <w:rPr>
                <w:color w:val="auto"/>
                <w:szCs w:val="21"/>
              </w:rPr>
              <w:t>/</w:t>
            </w:r>
          </w:p>
        </w:tc>
        <w:tc>
          <w:tcPr>
            <w:tcW w:w="1500" w:type="dxa"/>
            <w:vAlign w:val="center"/>
          </w:tcPr>
          <w:p>
            <w:pPr>
              <w:jc w:val="center"/>
              <w:rPr>
                <w:rFonts w:ascii="Times New Roman" w:hAnsi="Times New Roman" w:eastAsia="宋体" w:cs="Times New Roman"/>
                <w:color w:val="auto"/>
                <w:kern w:val="2"/>
                <w:sz w:val="21"/>
                <w:szCs w:val="21"/>
                <w:lang w:val="en-US" w:eastAsia="zh-CN" w:bidi="ar-SA"/>
              </w:rPr>
            </w:pPr>
            <w:r>
              <w:rPr>
                <w:color w:val="auto"/>
                <w:szCs w:val="21"/>
              </w:rPr>
              <w:t>/</w:t>
            </w:r>
          </w:p>
        </w:tc>
        <w:tc>
          <w:tcPr>
            <w:tcW w:w="1455"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11.36</w:t>
            </w:r>
          </w:p>
        </w:tc>
        <w:tc>
          <w:tcPr>
            <w:tcW w:w="1305" w:type="dxa"/>
            <w:vAlign w:val="center"/>
          </w:tcPr>
          <w:p>
            <w:pPr>
              <w:jc w:val="center"/>
              <w:textAlignment w:val="baseline"/>
              <w:rPr>
                <w:color w:val="auto"/>
                <w:szCs w:val="21"/>
              </w:rPr>
            </w:pPr>
            <w:r>
              <w:rPr>
                <w:color w:val="auto"/>
                <w:szCs w:val="21"/>
              </w:rPr>
              <w:t>/</w:t>
            </w:r>
          </w:p>
        </w:tc>
        <w:tc>
          <w:tcPr>
            <w:tcW w:w="1410"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eastAsia="宋体" w:cs="TimesNewRomanPSMT"/>
                <w:b w:val="0"/>
                <w:bCs w:val="0"/>
                <w:i w:val="0"/>
                <w:iCs w:val="0"/>
                <w:color w:val="auto"/>
                <w:sz w:val="22"/>
                <w:szCs w:val="22"/>
                <w:lang w:val="en-US" w:eastAsia="zh-CN"/>
              </w:rPr>
              <w:t>11.36</w:t>
            </w:r>
          </w:p>
        </w:tc>
        <w:tc>
          <w:tcPr>
            <w:tcW w:w="1383"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宋体" w:cs="TimesNewRomanPSMT"/>
                <w:b w:val="0"/>
                <w:bCs w:val="0"/>
                <w:i w:val="0"/>
                <w:iCs w:val="0"/>
                <w:color w:val="auto"/>
                <w:sz w:val="22"/>
                <w:szCs w:val="22"/>
                <w:lang w:val="en-US" w:eastAsia="zh-CN"/>
              </w:rPr>
            </w:pPr>
            <w:r>
              <w:rPr>
                <w:rFonts w:hint="eastAsia" w:ascii="TimesNewRomanPSMT" w:hAnsi="TimesNewRomanPSMT" w:cs="TimesNewRomanPSMT"/>
                <w:b w:val="0"/>
                <w:bCs w:val="0"/>
                <w:i w:val="0"/>
                <w:iCs w:val="0"/>
                <w:color w:val="auto"/>
                <w:sz w:val="22"/>
                <w:szCs w:val="22"/>
                <w:lang w:val="en-US" w:eastAsia="zh-CN"/>
              </w:rPr>
              <w:t>+</w:t>
            </w:r>
            <w:r>
              <w:rPr>
                <w:rFonts w:hint="eastAsia" w:ascii="TimesNewRomanPSMT" w:hAnsi="TimesNewRomanPSMT" w:eastAsia="宋体" w:cs="TimesNewRomanPSMT"/>
                <w:b w:val="0"/>
                <w:bCs w:val="0"/>
                <w:i w:val="0"/>
                <w:iCs w:val="0"/>
                <w:color w:val="auto"/>
                <w:sz w:val="22"/>
                <w:szCs w:val="22"/>
                <w:lang w:val="en-US" w:eastAsia="zh-CN"/>
              </w:rPr>
              <w:t>11.36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54" w:type="dxa"/>
            <w:vAlign w:val="center"/>
          </w:tcPr>
          <w:p>
            <w:pPr>
              <w:pStyle w:val="57"/>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lang w:val="en-US" w:eastAsia="zh-CN"/>
              </w:rPr>
            </w:pPr>
            <w:r>
              <w:rPr>
                <w:rFonts w:hint="eastAsia" w:ascii="黑体" w:hAnsi="黑体" w:eastAsia="黑体" w:cs="黑体"/>
                <w:snapToGrid w:val="0"/>
                <w:color w:val="auto"/>
                <w:kern w:val="21"/>
                <w:sz w:val="21"/>
                <w:szCs w:val="21"/>
              </w:rPr>
              <w:t>生活垃圾</w:t>
            </w:r>
          </w:p>
        </w:tc>
        <w:tc>
          <w:tcPr>
            <w:tcW w:w="2844"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生活垃圾</w:t>
            </w:r>
            <w:r>
              <w:rPr>
                <w:rFonts w:hint="default" w:ascii="TimesNewRomanPSMT" w:hAnsi="TimesNewRomanPSMT" w:eastAsia="宋体" w:cs="TimesNewRomanPSMT"/>
                <w:b w:val="0"/>
                <w:bCs w:val="0"/>
                <w:i w:val="0"/>
                <w:iCs w:val="0"/>
                <w:color w:val="auto"/>
                <w:sz w:val="22"/>
                <w:szCs w:val="22"/>
                <w:lang w:val="en-US" w:eastAsia="zh-CN"/>
              </w:rPr>
              <w:t>900-039-49</w:t>
            </w:r>
          </w:p>
        </w:tc>
        <w:tc>
          <w:tcPr>
            <w:tcW w:w="1537" w:type="dxa"/>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highlight w:val="none"/>
                <w:lang w:val="en-US" w:eastAsia="zh-CN" w:bidi="ar-SA"/>
              </w:rPr>
              <w:t>16.65</w:t>
            </w:r>
          </w:p>
        </w:tc>
        <w:tc>
          <w:tcPr>
            <w:tcW w:w="1200" w:type="dxa"/>
            <w:vAlign w:val="center"/>
          </w:tcPr>
          <w:p>
            <w:pPr>
              <w:jc w:val="center"/>
              <w:rPr>
                <w:rFonts w:hint="default" w:ascii="Times New Roman" w:hAnsi="Times New Roman" w:eastAsia="宋体" w:cs="Times New Roman"/>
                <w:snapToGrid w:val="0"/>
                <w:color w:val="auto"/>
                <w:kern w:val="21"/>
                <w:sz w:val="21"/>
                <w:szCs w:val="21"/>
                <w:lang w:val="en-US" w:eastAsia="zh-CN" w:bidi="ar-SA"/>
              </w:rPr>
            </w:pPr>
            <w:r>
              <w:rPr>
                <w:color w:val="auto"/>
                <w:szCs w:val="21"/>
              </w:rPr>
              <w:t>/</w:t>
            </w:r>
          </w:p>
        </w:tc>
        <w:tc>
          <w:tcPr>
            <w:tcW w:w="1500" w:type="dxa"/>
            <w:vAlign w:val="center"/>
          </w:tcPr>
          <w:p>
            <w:pPr>
              <w:jc w:val="center"/>
              <w:rPr>
                <w:rFonts w:hint="default" w:ascii="Times New Roman" w:hAnsi="Times New Roman" w:eastAsia="宋体" w:cs="Times New Roman"/>
                <w:snapToGrid w:val="0"/>
                <w:color w:val="auto"/>
                <w:kern w:val="21"/>
                <w:sz w:val="21"/>
                <w:szCs w:val="21"/>
                <w:lang w:val="en-US" w:eastAsia="zh-CN" w:bidi="ar-SA"/>
              </w:rPr>
            </w:pPr>
            <w:r>
              <w:rPr>
                <w:color w:val="auto"/>
                <w:szCs w:val="21"/>
              </w:rPr>
              <w:t>/</w:t>
            </w:r>
          </w:p>
        </w:tc>
        <w:tc>
          <w:tcPr>
            <w:tcW w:w="1455"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highlight w:val="none"/>
                <w:lang w:val="en-US" w:eastAsia="zh-CN" w:bidi="ar-SA"/>
              </w:rPr>
              <w:t>16.65</w:t>
            </w:r>
          </w:p>
        </w:tc>
        <w:tc>
          <w:tcPr>
            <w:tcW w:w="1305" w:type="dxa"/>
            <w:vAlign w:val="center"/>
          </w:tcPr>
          <w:p>
            <w:pPr>
              <w:jc w:val="center"/>
              <w:textAlignment w:val="baseline"/>
              <w:rPr>
                <w:rFonts w:hint="default" w:ascii="Times New Roman" w:hAnsi="Times New Roman" w:eastAsia="宋体" w:cs="Times New Roman"/>
                <w:snapToGrid w:val="0"/>
                <w:color w:val="auto"/>
                <w:kern w:val="21"/>
                <w:sz w:val="21"/>
                <w:szCs w:val="21"/>
                <w:lang w:val="en-US" w:eastAsia="zh-CN" w:bidi="ar-SA"/>
              </w:rPr>
            </w:pPr>
            <w:r>
              <w:rPr>
                <w:color w:val="auto"/>
                <w:szCs w:val="21"/>
              </w:rPr>
              <w:t>/</w:t>
            </w:r>
          </w:p>
        </w:tc>
        <w:tc>
          <w:tcPr>
            <w:tcW w:w="1410"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highlight w:val="none"/>
                <w:lang w:val="en-US" w:eastAsia="zh-CN" w:bidi="ar-SA"/>
              </w:rPr>
              <w:t>16.65</w:t>
            </w:r>
          </w:p>
        </w:tc>
        <w:tc>
          <w:tcPr>
            <w:tcW w:w="1383" w:type="dxa"/>
            <w:vAlign w:val="center"/>
          </w:tcPr>
          <w:p>
            <w:pPr>
              <w:jc w:val="center"/>
              <w:textAlignment w:val="baseline"/>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highlight w:val="none"/>
                <w:lang w:val="en-US" w:eastAsia="zh-CN"/>
              </w:rPr>
              <w:t>+</w:t>
            </w:r>
            <w:r>
              <w:rPr>
                <w:rFonts w:hint="eastAsia" w:cs="Times New Roman"/>
                <w:color w:val="auto"/>
                <w:kern w:val="2"/>
                <w:sz w:val="21"/>
                <w:szCs w:val="21"/>
                <w:highlight w:val="none"/>
                <w:lang w:val="en-US" w:eastAsia="zh-CN" w:bidi="ar-SA"/>
              </w:rPr>
              <w:t>16.65</w:t>
            </w:r>
          </w:p>
        </w:tc>
      </w:tr>
    </w:tbl>
    <w:p>
      <w:pPr>
        <w:pStyle w:val="57"/>
        <w:keepNext w:val="0"/>
        <w:keepLines w:val="0"/>
        <w:pageBreakBefore w:val="0"/>
        <w:widowControl w:val="0"/>
        <w:kinsoku/>
        <w:wordWrap/>
        <w:overflowPunct/>
        <w:topLinePunct w:val="0"/>
        <w:autoSpaceDE/>
        <w:autoSpaceDN/>
        <w:bidi w:val="0"/>
        <w:adjustRightInd w:val="0"/>
        <w:snapToGrid w:val="0"/>
        <w:spacing w:beforeLines="0" w:afterLines="0" w:line="360" w:lineRule="auto"/>
        <w:jc w:val="left"/>
        <w:textAlignment w:val="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注：（1）单位：t/a。</w:t>
      </w:r>
    </w:p>
    <w:p>
      <w:pPr>
        <w:pStyle w:val="57"/>
        <w:keepNext w:val="0"/>
        <w:keepLines w:val="0"/>
        <w:pageBreakBefore w:val="0"/>
        <w:widowControl w:val="0"/>
        <w:kinsoku/>
        <w:wordWrap/>
        <w:overflowPunct/>
        <w:topLinePunct w:val="0"/>
        <w:autoSpaceDE/>
        <w:autoSpaceDN/>
        <w:bidi w:val="0"/>
        <w:adjustRightInd w:val="0"/>
        <w:snapToGrid w:val="0"/>
        <w:spacing w:beforeLines="0" w:afterLines="0" w:line="360" w:lineRule="auto"/>
        <w:jc w:val="left"/>
        <w:textAlignment w:val="auto"/>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16"/>
          <w:kern w:val="21"/>
          <w:szCs w:val="21"/>
        </w:rPr>
        <w:t>（2）</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3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③</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4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④</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5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⑤</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7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⑦</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p>
    <w:p>
      <w:pPr>
        <w:rPr>
          <w:rFonts w:hint="default" w:ascii="Times New Roman" w:hAnsi="Times New Roman" w:cs="Times New Roman"/>
          <w:snapToGrid w:val="0"/>
          <w:color w:val="auto"/>
          <w:spacing w:val="-6"/>
          <w:kern w:val="21"/>
          <w:szCs w:val="21"/>
        </w:rPr>
        <w:sectPr>
          <w:footerReference r:id="rId4"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9"/>
        <w:rPr>
          <w:rFonts w:hint="default" w:ascii="Times New Roman" w:hAnsi="Times New Roman" w:eastAsia="黑体" w:cs="Times New Roman"/>
          <w:b w:val="0"/>
          <w:bCs/>
          <w:color w:val="auto"/>
          <w:szCs w:val="24"/>
        </w:rPr>
      </w:pPr>
      <w:r>
        <w:rPr>
          <w:rFonts w:hint="default" w:ascii="Times New Roman" w:hAnsi="Times New Roman" w:eastAsia="黑体" w:cs="Times New Roman"/>
          <w:b w:val="0"/>
          <w:bCs/>
          <w:color w:val="auto"/>
          <w:szCs w:val="24"/>
        </w:rPr>
        <w:t>附件1：委托书</w:t>
      </w:r>
    </w:p>
    <w:p>
      <w:pPr>
        <w:tabs>
          <w:tab w:val="left" w:pos="1589"/>
          <w:tab w:val="center" w:pos="4213"/>
        </w:tabs>
        <w:adjustRightInd w:val="0"/>
        <w:spacing w:line="800" w:lineRule="exact"/>
        <w:ind w:firstLine="3092" w:firstLineChars="700"/>
        <w:jc w:val="left"/>
        <w:textAlignment w:val="baseline"/>
        <w:rPr>
          <w:rFonts w:hint="default" w:ascii="Times New Roman" w:hAnsi="Times New Roman" w:cs="Times New Roman"/>
          <w:b/>
          <w:color w:val="auto"/>
          <w:kern w:val="0"/>
          <w:sz w:val="44"/>
          <w:szCs w:val="44"/>
        </w:rPr>
      </w:pPr>
    </w:p>
    <w:p>
      <w:pPr>
        <w:tabs>
          <w:tab w:val="left" w:pos="1589"/>
          <w:tab w:val="center" w:pos="4213"/>
        </w:tabs>
        <w:adjustRightInd w:val="0"/>
        <w:spacing w:line="800" w:lineRule="exact"/>
        <w:ind w:firstLine="3092" w:firstLineChars="700"/>
        <w:jc w:val="left"/>
        <w:textAlignment w:val="baseline"/>
        <w:rPr>
          <w:rFonts w:hint="default" w:ascii="Times New Roman" w:hAnsi="Times New Roman" w:cs="Times New Roman"/>
          <w:b/>
          <w:color w:val="auto"/>
          <w:kern w:val="0"/>
          <w:sz w:val="44"/>
          <w:szCs w:val="44"/>
        </w:rPr>
      </w:pPr>
      <w:r>
        <w:rPr>
          <w:rFonts w:hint="default" w:ascii="Times New Roman" w:hAnsi="Times New Roman" w:cs="Times New Roman"/>
          <w:b/>
          <w:color w:val="auto"/>
          <w:kern w:val="0"/>
          <w:sz w:val="44"/>
          <w:szCs w:val="44"/>
        </w:rPr>
        <w:t>委  托  书</w:t>
      </w:r>
    </w:p>
    <w:p>
      <w:pPr>
        <w:adjustRightInd w:val="0"/>
        <w:spacing w:line="800" w:lineRule="exact"/>
        <w:textAlignment w:val="baseline"/>
        <w:rPr>
          <w:rFonts w:hint="default" w:ascii="Times New Roman" w:hAnsi="Times New Roman" w:cs="Times New Roman"/>
          <w:color w:val="auto"/>
          <w:kern w:val="0"/>
          <w:sz w:val="32"/>
          <w:szCs w:val="32"/>
        </w:rPr>
      </w:pPr>
    </w:p>
    <w:p>
      <w:pPr>
        <w:adjustRightInd w:val="0"/>
        <w:spacing w:line="800" w:lineRule="exact"/>
        <w:textAlignment w:val="baseline"/>
        <w:rPr>
          <w:rFonts w:hint="default" w:ascii="Times New Roman" w:hAnsi="Times New Roman" w:cs="Times New Roman"/>
          <w:b/>
          <w:color w:val="auto"/>
          <w:sz w:val="32"/>
          <w:szCs w:val="32"/>
        </w:rPr>
      </w:pPr>
      <w:r>
        <w:rPr>
          <w:rFonts w:hint="default" w:ascii="Times New Roman" w:hAnsi="Times New Roman" w:cs="Times New Roman"/>
          <w:b/>
          <w:color w:val="auto"/>
          <w:sz w:val="32"/>
          <w:szCs w:val="32"/>
          <w:highlight w:val="none"/>
          <w:lang w:val="en-US" w:eastAsia="zh-CN"/>
        </w:rPr>
        <w:t>山东量石生态环境工程</w:t>
      </w:r>
      <w:r>
        <w:rPr>
          <w:rFonts w:hint="default" w:ascii="Times New Roman" w:hAnsi="Times New Roman" w:cs="Times New Roman"/>
          <w:b/>
          <w:color w:val="auto"/>
          <w:sz w:val="32"/>
          <w:szCs w:val="32"/>
          <w:highlight w:val="none"/>
        </w:rPr>
        <w:t>有限公司</w:t>
      </w:r>
      <w:r>
        <w:rPr>
          <w:rFonts w:hint="default" w:ascii="Times New Roman" w:hAnsi="Times New Roman" w:cs="Times New Roman"/>
          <w:b/>
          <w:color w:val="auto"/>
          <w:sz w:val="32"/>
          <w:szCs w:val="32"/>
        </w:rPr>
        <w:t>：</w:t>
      </w:r>
    </w:p>
    <w:p>
      <w:pPr>
        <w:spacing w:line="800" w:lineRule="exact"/>
        <w:ind w:right="164" w:rightChars="78" w:firstLine="643" w:firstLineChars="200"/>
        <w:rPr>
          <w:rFonts w:hint="default" w:ascii="Times New Roman" w:hAnsi="Times New Roman" w:cs="Times New Roman"/>
          <w:b/>
          <w:color w:val="auto"/>
          <w:sz w:val="32"/>
          <w:szCs w:val="32"/>
        </w:rPr>
      </w:pPr>
      <w:r>
        <w:rPr>
          <w:rFonts w:hint="default" w:ascii="Times New Roman" w:hAnsi="Times New Roman" w:cs="Times New Roman"/>
          <w:b/>
          <w:color w:val="auto"/>
          <w:sz w:val="32"/>
          <w:szCs w:val="32"/>
        </w:rPr>
        <w:t>根据国家《建设项目环境保护管理条例》和当地环保部门的要求，</w:t>
      </w:r>
      <w:r>
        <w:rPr>
          <w:rFonts w:hint="eastAsia" w:cs="Times New Roman"/>
          <w:b/>
          <w:color w:val="auto"/>
          <w:sz w:val="32"/>
          <w:szCs w:val="32"/>
          <w:u w:val="single"/>
          <w:lang w:val="en-US" w:eastAsia="zh-CN"/>
        </w:rPr>
        <w:t xml:space="preserve">淄博宝发顺仓储有限公司仓储项目 </w:t>
      </w:r>
      <w:r>
        <w:rPr>
          <w:rFonts w:hint="default" w:ascii="Times New Roman" w:hAnsi="Times New Roman" w:cs="Times New Roman"/>
          <w:b/>
          <w:color w:val="auto"/>
          <w:sz w:val="32"/>
          <w:szCs w:val="32"/>
        </w:rPr>
        <w:t>需执行环境影响评价制度，今委托贵公司承担该项目环境影响报告表的编制工作。</w:t>
      </w:r>
    </w:p>
    <w:p>
      <w:pPr>
        <w:adjustRightInd w:val="0"/>
        <w:spacing w:line="580" w:lineRule="exact"/>
        <w:ind w:firstLine="600" w:firstLineChars="200"/>
        <w:textAlignment w:val="baseline"/>
        <w:rPr>
          <w:rFonts w:hint="default" w:ascii="Times New Roman" w:hAnsi="Times New Roman" w:cs="Times New Roman"/>
          <w:color w:val="auto"/>
          <w:kern w:val="0"/>
          <w:sz w:val="30"/>
          <w:szCs w:val="20"/>
        </w:rPr>
      </w:pPr>
      <w:r>
        <w:rPr>
          <w:rFonts w:hint="default" w:ascii="Times New Roman" w:hAnsi="Times New Roman" w:cs="Times New Roman"/>
          <w:color w:val="auto"/>
          <w:kern w:val="0"/>
          <w:sz w:val="30"/>
          <w:szCs w:val="20"/>
        </w:rPr>
        <w:t xml:space="preserve"> </w:t>
      </w:r>
    </w:p>
    <w:p>
      <w:pPr>
        <w:adjustRightInd w:val="0"/>
        <w:spacing w:line="800" w:lineRule="exact"/>
        <w:textAlignment w:val="baseline"/>
        <w:rPr>
          <w:rFonts w:hint="default" w:ascii="Times New Roman" w:hAnsi="Times New Roman" w:cs="Times New Roman"/>
          <w:color w:val="auto"/>
          <w:kern w:val="0"/>
          <w:sz w:val="32"/>
          <w:szCs w:val="32"/>
        </w:rPr>
      </w:pPr>
    </w:p>
    <w:p>
      <w:pPr>
        <w:adjustRightInd w:val="0"/>
        <w:spacing w:line="800" w:lineRule="exact"/>
        <w:textAlignment w:val="baseline"/>
        <w:rPr>
          <w:rFonts w:hint="default" w:ascii="Times New Roman" w:hAnsi="Times New Roman" w:cs="Times New Roman"/>
          <w:color w:val="auto"/>
          <w:kern w:val="0"/>
          <w:sz w:val="32"/>
          <w:szCs w:val="32"/>
        </w:rPr>
      </w:pPr>
    </w:p>
    <w:p>
      <w:pPr>
        <w:adjustRightInd w:val="0"/>
        <w:spacing w:line="800" w:lineRule="exact"/>
        <w:textAlignment w:val="baseline"/>
        <w:rPr>
          <w:rFonts w:hint="default" w:ascii="Times New Roman" w:hAnsi="Times New Roman" w:cs="Times New Roman"/>
          <w:color w:val="auto"/>
          <w:kern w:val="0"/>
          <w:sz w:val="32"/>
          <w:szCs w:val="32"/>
        </w:rPr>
      </w:pPr>
    </w:p>
    <w:p>
      <w:pPr>
        <w:pStyle w:val="2"/>
        <w:rPr>
          <w:rFonts w:hint="default" w:ascii="Times New Roman" w:hAnsi="Times New Roman" w:cs="Times New Roman"/>
          <w:color w:val="auto"/>
          <w:kern w:val="0"/>
          <w:sz w:val="32"/>
          <w:szCs w:val="32"/>
        </w:rPr>
      </w:pPr>
    </w:p>
    <w:p>
      <w:pPr>
        <w:pStyle w:val="2"/>
        <w:rPr>
          <w:rFonts w:hint="default" w:ascii="Times New Roman" w:hAnsi="Times New Roman" w:cs="Times New Roman"/>
          <w:color w:val="auto"/>
          <w:kern w:val="0"/>
          <w:sz w:val="32"/>
          <w:szCs w:val="32"/>
        </w:rPr>
      </w:pPr>
    </w:p>
    <w:p>
      <w:pPr>
        <w:pStyle w:val="8"/>
        <w:rPr>
          <w:rFonts w:hint="default" w:ascii="Times New Roman" w:hAnsi="Times New Roman" w:cs="Times New Roman"/>
          <w:color w:val="auto"/>
          <w:kern w:val="0"/>
          <w:sz w:val="32"/>
          <w:szCs w:val="32"/>
        </w:rPr>
      </w:pPr>
    </w:p>
    <w:p>
      <w:pPr>
        <w:pStyle w:val="9"/>
        <w:rPr>
          <w:rFonts w:hint="default"/>
          <w:color w:val="auto"/>
        </w:rPr>
      </w:pPr>
    </w:p>
    <w:p>
      <w:pPr>
        <w:spacing w:line="800" w:lineRule="exact"/>
        <w:ind w:right="164" w:rightChars="78" w:firstLine="640" w:firstLineChars="200"/>
        <w:jc w:val="right"/>
        <w:rPr>
          <w:rFonts w:hint="eastAsia" w:ascii="Times New Roman" w:hAnsi="Times New Roman" w:eastAsia="宋体" w:cs="Times New Roman"/>
          <w:b/>
          <w:color w:val="auto"/>
          <w:sz w:val="32"/>
          <w:szCs w:val="32"/>
          <w:lang w:eastAsia="zh-CN"/>
        </w:rPr>
      </w:pPr>
      <w:r>
        <w:rPr>
          <w:rFonts w:hint="default" w:ascii="Times New Roman" w:hAnsi="Times New Roman" w:cs="Times New Roman"/>
          <w:color w:val="auto"/>
          <w:kern w:val="0"/>
          <w:sz w:val="32"/>
          <w:szCs w:val="32"/>
        </w:rPr>
        <w:t xml:space="preserve">         </w:t>
      </w:r>
      <w:r>
        <w:rPr>
          <w:rFonts w:hint="default" w:ascii="Times New Roman" w:hAnsi="Times New Roman" w:cs="Times New Roman"/>
          <w:b/>
          <w:color w:val="auto"/>
          <w:sz w:val="32"/>
          <w:szCs w:val="32"/>
        </w:rPr>
        <w:t>委托方：</w:t>
      </w:r>
      <w:r>
        <w:rPr>
          <w:rFonts w:hint="eastAsia" w:cs="Times New Roman"/>
          <w:b/>
          <w:color w:val="auto"/>
          <w:sz w:val="32"/>
          <w:szCs w:val="32"/>
          <w:lang w:eastAsia="zh-CN"/>
        </w:rPr>
        <w:t>淄博宝发顺仓储有限公司</w:t>
      </w:r>
    </w:p>
    <w:p>
      <w:pPr>
        <w:spacing w:line="800" w:lineRule="exact"/>
        <w:ind w:right="164" w:rightChars="78" w:firstLine="643" w:firstLineChars="200"/>
        <w:jc w:val="right"/>
        <w:rPr>
          <w:rFonts w:hint="default" w:ascii="Times New Roman" w:hAnsi="Times New Roman" w:cs="Times New Roman"/>
          <w:b/>
          <w:color w:val="auto"/>
          <w:sz w:val="32"/>
          <w:szCs w:val="32"/>
        </w:rPr>
      </w:pPr>
      <w:r>
        <w:rPr>
          <w:rFonts w:hint="default" w:ascii="Times New Roman" w:hAnsi="Times New Roman" w:cs="Times New Roman"/>
          <w:b/>
          <w:color w:val="auto"/>
          <w:sz w:val="32"/>
          <w:szCs w:val="32"/>
        </w:rPr>
        <w:t>委托时间：</w:t>
      </w:r>
      <w:r>
        <w:rPr>
          <w:rFonts w:hint="default" w:ascii="Times New Roman" w:hAnsi="Times New Roman" w:cs="Times New Roman"/>
          <w:b/>
          <w:color w:val="auto"/>
          <w:sz w:val="32"/>
          <w:szCs w:val="32"/>
          <w:lang w:val="en-US" w:eastAsia="zh-CN"/>
        </w:rPr>
        <w:t>202</w:t>
      </w:r>
      <w:r>
        <w:rPr>
          <w:rFonts w:hint="eastAsia" w:cs="Times New Roman"/>
          <w:b/>
          <w:color w:val="auto"/>
          <w:sz w:val="32"/>
          <w:szCs w:val="32"/>
          <w:lang w:val="en-US" w:eastAsia="zh-CN"/>
        </w:rPr>
        <w:t>3</w:t>
      </w:r>
      <w:r>
        <w:rPr>
          <w:rFonts w:hint="default" w:ascii="Times New Roman" w:hAnsi="Times New Roman" w:cs="Times New Roman"/>
          <w:b/>
          <w:color w:val="auto"/>
          <w:sz w:val="32"/>
          <w:szCs w:val="32"/>
        </w:rPr>
        <w:t>年</w:t>
      </w:r>
      <w:r>
        <w:rPr>
          <w:rFonts w:hint="eastAsia" w:cs="Times New Roman"/>
          <w:b/>
          <w:color w:val="auto"/>
          <w:sz w:val="32"/>
          <w:szCs w:val="32"/>
          <w:lang w:val="en-US" w:eastAsia="zh-CN"/>
        </w:rPr>
        <w:t>1</w:t>
      </w:r>
      <w:r>
        <w:rPr>
          <w:rFonts w:hint="default" w:ascii="Times New Roman" w:hAnsi="Times New Roman" w:cs="Times New Roman"/>
          <w:b/>
          <w:color w:val="auto"/>
          <w:sz w:val="32"/>
          <w:szCs w:val="32"/>
        </w:rPr>
        <w:t>月</w:t>
      </w:r>
      <w:r>
        <w:rPr>
          <w:rFonts w:hint="eastAsia" w:cs="Times New Roman"/>
          <w:b/>
          <w:color w:val="auto"/>
          <w:sz w:val="32"/>
          <w:szCs w:val="32"/>
          <w:lang w:val="en-US" w:eastAsia="zh-CN"/>
        </w:rPr>
        <w:t>11</w:t>
      </w:r>
      <w:r>
        <w:rPr>
          <w:rFonts w:hint="default" w:ascii="Times New Roman" w:hAnsi="Times New Roman" w:cs="Times New Roman"/>
          <w:b/>
          <w:color w:val="auto"/>
          <w:sz w:val="32"/>
          <w:szCs w:val="32"/>
        </w:rPr>
        <w:t>日</w:t>
      </w:r>
    </w:p>
    <w:p>
      <w:pPr>
        <w:adjustRightInd w:val="0"/>
        <w:snapToGrid w:val="0"/>
        <w:spacing w:line="360" w:lineRule="auto"/>
        <w:jc w:val="center"/>
        <w:rPr>
          <w:rFonts w:hint="default" w:ascii="Times New Roman" w:hAnsi="Times New Roman" w:cs="Times New Roman"/>
          <w:color w:val="auto"/>
          <w:sz w:val="32"/>
          <w:szCs w:val="28"/>
        </w:rPr>
      </w:pPr>
    </w:p>
    <w:p>
      <w:pPr>
        <w:pStyle w:val="9"/>
        <w:rPr>
          <w:rFonts w:hint="default" w:ascii="Times New Roman" w:hAnsi="Times New Roman" w:eastAsia="黑体" w:cs="Times New Roman"/>
          <w:b w:val="0"/>
          <w:bCs/>
          <w:color w:val="auto"/>
          <w:szCs w:val="24"/>
        </w:rPr>
      </w:pPr>
      <w:r>
        <w:rPr>
          <w:rFonts w:hint="default" w:ascii="Times New Roman" w:hAnsi="Times New Roman" w:eastAsia="黑体" w:cs="Times New Roman"/>
          <w:b w:val="0"/>
          <w:bCs/>
          <w:color w:val="auto"/>
          <w:szCs w:val="24"/>
        </w:rPr>
        <w:t>附件2：关于资料提供和环评内容的确认承诺函</w:t>
      </w:r>
    </w:p>
    <w:p>
      <w:pPr>
        <w:pStyle w:val="9"/>
        <w:rPr>
          <w:rFonts w:hint="default" w:ascii="Times New Roman" w:hAnsi="Times New Roman" w:cs="Times New Roman"/>
          <w:color w:val="auto"/>
        </w:rPr>
      </w:pPr>
    </w:p>
    <w:p>
      <w:pPr>
        <w:pStyle w:val="9"/>
        <w:rPr>
          <w:rFonts w:hint="default" w:ascii="Times New Roman" w:hAnsi="Times New Roman" w:cs="Times New Roman"/>
          <w:color w:val="auto"/>
        </w:rPr>
      </w:pPr>
    </w:p>
    <w:p>
      <w:pPr>
        <w:pStyle w:val="9"/>
        <w:rPr>
          <w:rFonts w:hint="default" w:ascii="Times New Roman" w:hAnsi="Times New Roman" w:cs="Times New Roman"/>
          <w:color w:val="auto"/>
        </w:rPr>
      </w:pPr>
    </w:p>
    <w:p>
      <w:pPr>
        <w:tabs>
          <w:tab w:val="left" w:pos="1589"/>
          <w:tab w:val="center" w:pos="4213"/>
        </w:tabs>
        <w:adjustRightInd w:val="0"/>
        <w:spacing w:line="800" w:lineRule="exact"/>
        <w:jc w:val="center"/>
        <w:textAlignment w:val="baseline"/>
        <w:rPr>
          <w:rFonts w:hint="default" w:ascii="Times New Roman" w:hAnsi="Times New Roman" w:cs="Times New Roman"/>
          <w:b/>
          <w:color w:val="auto"/>
          <w:kern w:val="0"/>
          <w:sz w:val="44"/>
          <w:szCs w:val="44"/>
        </w:rPr>
      </w:pPr>
      <w:r>
        <w:rPr>
          <w:rFonts w:hint="default" w:ascii="Times New Roman" w:hAnsi="Times New Roman" w:cs="Times New Roman"/>
          <w:b/>
          <w:color w:val="auto"/>
          <w:kern w:val="0"/>
          <w:sz w:val="44"/>
          <w:szCs w:val="44"/>
        </w:rPr>
        <w:t>关于资料提供和环评内容的确认承诺函</w:t>
      </w:r>
    </w:p>
    <w:p>
      <w:pPr>
        <w:adjustRightInd w:val="0"/>
        <w:snapToGrid w:val="0"/>
        <w:spacing w:line="360" w:lineRule="auto"/>
        <w:rPr>
          <w:rFonts w:hint="default" w:ascii="Times New Roman" w:hAnsi="Times New Roman" w:cs="Times New Roman"/>
          <w:color w:val="auto"/>
          <w:sz w:val="24"/>
          <w:szCs w:val="22"/>
        </w:rPr>
      </w:pPr>
    </w:p>
    <w:p>
      <w:pPr>
        <w:adjustRightInd w:val="0"/>
        <w:snapToGrid w:val="0"/>
        <w:spacing w:line="360" w:lineRule="auto"/>
        <w:rPr>
          <w:rFonts w:hint="default" w:ascii="Times New Roman" w:hAnsi="Times New Roman" w:cs="Times New Roman"/>
          <w:color w:val="auto"/>
          <w:sz w:val="28"/>
        </w:rPr>
      </w:pPr>
      <w:r>
        <w:rPr>
          <w:rFonts w:hint="default" w:ascii="Times New Roman" w:hAnsi="Times New Roman" w:cs="Times New Roman"/>
          <w:color w:val="auto"/>
          <w:sz w:val="28"/>
          <w:lang w:val="en-US" w:eastAsia="zh-CN"/>
        </w:rPr>
        <w:t>山东量石生态环境工程</w:t>
      </w:r>
      <w:r>
        <w:rPr>
          <w:rFonts w:hint="default" w:ascii="Times New Roman" w:hAnsi="Times New Roman" w:cs="Times New Roman"/>
          <w:color w:val="auto"/>
          <w:sz w:val="28"/>
        </w:rPr>
        <w:t>有限公司：</w:t>
      </w:r>
    </w:p>
    <w:p>
      <w:pPr>
        <w:adjustRightInd w:val="0"/>
        <w:snapToGrid w:val="0"/>
        <w:spacing w:line="360" w:lineRule="auto"/>
        <w:ind w:firstLine="560" w:firstLineChars="200"/>
        <w:rPr>
          <w:rFonts w:hint="default" w:ascii="Times New Roman" w:hAnsi="Times New Roman" w:cs="Times New Roman"/>
          <w:color w:val="auto"/>
          <w:sz w:val="28"/>
        </w:rPr>
      </w:pPr>
      <w:r>
        <w:rPr>
          <w:rFonts w:hint="default" w:ascii="Times New Roman" w:hAnsi="Times New Roman" w:cs="Times New Roman"/>
          <w:color w:val="auto"/>
          <w:sz w:val="28"/>
        </w:rPr>
        <w:t>依据双方签订的《</w:t>
      </w:r>
      <w:r>
        <w:rPr>
          <w:rFonts w:hint="eastAsia" w:cs="Times New Roman"/>
          <w:color w:val="auto"/>
          <w:sz w:val="28"/>
          <w:lang w:val="en-US" w:eastAsia="zh-CN"/>
        </w:rPr>
        <w:t>淄博宝发顺仓储有限公司仓储项目</w:t>
      </w:r>
      <w:r>
        <w:rPr>
          <w:rFonts w:hint="default" w:ascii="Times New Roman" w:hAnsi="Times New Roman" w:cs="Times New Roman"/>
          <w:color w:val="auto"/>
          <w:sz w:val="28"/>
        </w:rPr>
        <w:t>环境影响评价技术服务合同书》约定，我单位承诺提供给贵单位的材料均为真实、合法的。</w:t>
      </w:r>
    </w:p>
    <w:p>
      <w:pPr>
        <w:adjustRightInd w:val="0"/>
        <w:snapToGrid w:val="0"/>
        <w:spacing w:line="360" w:lineRule="auto"/>
        <w:ind w:firstLine="560" w:firstLineChars="200"/>
        <w:rPr>
          <w:rFonts w:hint="default" w:ascii="Times New Roman" w:hAnsi="Times New Roman" w:cs="Times New Roman"/>
          <w:color w:val="auto"/>
          <w:sz w:val="28"/>
        </w:rPr>
      </w:pPr>
      <w:r>
        <w:rPr>
          <w:rFonts w:hint="default" w:ascii="Times New Roman" w:hAnsi="Times New Roman" w:cs="Times New Roman"/>
          <w:color w:val="auto"/>
          <w:sz w:val="28"/>
        </w:rPr>
        <w:t>由贵单位编制的《</w:t>
      </w:r>
      <w:r>
        <w:rPr>
          <w:rFonts w:hint="eastAsia" w:cs="Times New Roman"/>
          <w:color w:val="auto"/>
          <w:sz w:val="28"/>
          <w:lang w:val="en-US" w:eastAsia="zh-CN"/>
        </w:rPr>
        <w:t>淄博宝发顺仓储有限公司仓储项目</w:t>
      </w:r>
      <w:r>
        <w:rPr>
          <w:rFonts w:hint="default" w:ascii="Times New Roman" w:hAnsi="Times New Roman" w:cs="Times New Roman"/>
          <w:color w:val="auto"/>
          <w:sz w:val="28"/>
        </w:rPr>
        <w:t>环境影响报告表》已收悉，经对报告内容认真核对，我单位确认相关技术资料及支撑性文件均为我方提供，环评内容符合本项目合同规定的要求，可以上报主管部门审查。由于我方提供资料的真实性、合法性引起的法律责任，由我方承担。</w:t>
      </w:r>
    </w:p>
    <w:p>
      <w:pPr>
        <w:adjustRightInd w:val="0"/>
        <w:snapToGrid w:val="0"/>
        <w:spacing w:line="360" w:lineRule="auto"/>
        <w:ind w:firstLine="560" w:firstLineChars="200"/>
        <w:rPr>
          <w:rFonts w:hint="default" w:ascii="Times New Roman" w:hAnsi="Times New Roman" w:cs="Times New Roman"/>
          <w:color w:val="auto"/>
          <w:sz w:val="28"/>
        </w:rPr>
      </w:pPr>
      <w:r>
        <w:rPr>
          <w:rFonts w:hint="default" w:ascii="Times New Roman" w:hAnsi="Times New Roman" w:cs="Times New Roman"/>
          <w:color w:val="auto"/>
          <w:sz w:val="28"/>
        </w:rPr>
        <w:t>特此承诺！</w:t>
      </w:r>
    </w:p>
    <w:p>
      <w:pPr>
        <w:adjustRightInd w:val="0"/>
        <w:snapToGrid w:val="0"/>
        <w:spacing w:line="360" w:lineRule="auto"/>
        <w:rPr>
          <w:rFonts w:hint="default" w:ascii="Times New Roman" w:hAnsi="Times New Roman" w:cs="Times New Roman"/>
          <w:color w:val="auto"/>
          <w:sz w:val="28"/>
        </w:rPr>
      </w:pPr>
    </w:p>
    <w:p>
      <w:pPr>
        <w:wordWrap w:val="0"/>
        <w:adjustRightInd w:val="0"/>
        <w:snapToGrid w:val="0"/>
        <w:spacing w:line="360" w:lineRule="auto"/>
        <w:ind w:right="1120"/>
        <w:rPr>
          <w:rFonts w:hint="default" w:ascii="Times New Roman" w:hAnsi="Times New Roman" w:cs="Times New Roman"/>
          <w:color w:val="auto"/>
          <w:sz w:val="28"/>
        </w:rPr>
      </w:pPr>
    </w:p>
    <w:p>
      <w:pPr>
        <w:wordWrap w:val="0"/>
        <w:adjustRightInd w:val="0"/>
        <w:snapToGrid w:val="0"/>
        <w:spacing w:line="360" w:lineRule="auto"/>
        <w:jc w:val="right"/>
        <w:rPr>
          <w:rFonts w:hint="default" w:ascii="Times New Roman" w:hAnsi="Times New Roman" w:cs="Times New Roman"/>
          <w:color w:val="auto"/>
          <w:sz w:val="28"/>
        </w:rPr>
      </w:pPr>
    </w:p>
    <w:p>
      <w:pPr>
        <w:pStyle w:val="2"/>
        <w:wordWrap/>
        <w:rPr>
          <w:rFonts w:hint="default"/>
          <w:color w:val="auto"/>
        </w:rPr>
      </w:pPr>
    </w:p>
    <w:p>
      <w:pPr>
        <w:adjustRightInd w:val="0"/>
        <w:snapToGrid w:val="0"/>
        <w:spacing w:line="360" w:lineRule="auto"/>
        <w:jc w:val="right"/>
        <w:rPr>
          <w:rFonts w:hint="default" w:ascii="Times New Roman" w:hAnsi="Times New Roman" w:cs="Times New Roman"/>
          <w:color w:val="auto"/>
          <w:sz w:val="28"/>
        </w:rPr>
      </w:pPr>
      <w:r>
        <w:rPr>
          <w:rFonts w:hint="default" w:ascii="Times New Roman" w:hAnsi="Times New Roman" w:cs="Times New Roman"/>
          <w:color w:val="auto"/>
          <w:sz w:val="28"/>
        </w:rPr>
        <w:t>建设单位（公章）</w:t>
      </w:r>
    </w:p>
    <w:p>
      <w:pPr>
        <w:adjustRightInd w:val="0"/>
        <w:snapToGrid w:val="0"/>
        <w:spacing w:line="360" w:lineRule="auto"/>
        <w:jc w:val="right"/>
        <w:rPr>
          <w:rFonts w:hint="default" w:ascii="Times New Roman" w:hAnsi="Times New Roman" w:cs="Times New Roman"/>
          <w:color w:val="auto"/>
          <w:sz w:val="28"/>
        </w:rPr>
      </w:pPr>
    </w:p>
    <w:p>
      <w:pPr>
        <w:pStyle w:val="77"/>
        <w:keepNext w:val="0"/>
        <w:keepLines w:val="0"/>
        <w:pageBreakBefore w:val="0"/>
        <w:kinsoku/>
        <w:wordWrap/>
        <w:overflowPunct/>
        <w:topLinePunct w:val="0"/>
        <w:bidi w:val="0"/>
        <w:spacing w:line="480" w:lineRule="exact"/>
        <w:ind w:firstLine="480"/>
        <w:jc w:val="right"/>
        <w:rPr>
          <w:rFonts w:hint="default" w:ascii="Times New Roman" w:hAnsi="Times New Roman" w:cs="Times New Roman"/>
          <w:color w:val="auto"/>
          <w:szCs w:val="22"/>
        </w:rPr>
      </w:pPr>
      <w:r>
        <w:rPr>
          <w:rFonts w:hint="default" w:ascii="Times New Roman" w:hAnsi="Times New Roman" w:cs="Times New Roman"/>
          <w:color w:val="auto"/>
          <w:sz w:val="28"/>
        </w:rPr>
        <w:t>202</w:t>
      </w:r>
      <w:r>
        <w:rPr>
          <w:rFonts w:hint="eastAsia" w:cs="Times New Roman"/>
          <w:color w:val="auto"/>
          <w:sz w:val="28"/>
          <w:lang w:val="en-US" w:eastAsia="zh-CN"/>
        </w:rPr>
        <w:t>3</w:t>
      </w:r>
      <w:r>
        <w:rPr>
          <w:rFonts w:hint="default" w:ascii="Times New Roman" w:hAnsi="Times New Roman" w:cs="Times New Roman"/>
          <w:color w:val="auto"/>
          <w:sz w:val="28"/>
        </w:rPr>
        <w:t>年</w:t>
      </w:r>
      <w:r>
        <w:rPr>
          <w:rFonts w:hint="eastAsia" w:cs="Times New Roman"/>
          <w:color w:val="auto"/>
          <w:sz w:val="28"/>
          <w:lang w:val="en-US" w:eastAsia="zh-CN"/>
        </w:rPr>
        <w:t>2</w:t>
      </w:r>
      <w:r>
        <w:rPr>
          <w:rFonts w:hint="default" w:ascii="Times New Roman" w:hAnsi="Times New Roman" w:cs="Times New Roman"/>
          <w:color w:val="auto"/>
          <w:sz w:val="28"/>
        </w:rPr>
        <w:t>月</w:t>
      </w:r>
      <w:r>
        <w:rPr>
          <w:rFonts w:hint="eastAsia" w:cs="Times New Roman"/>
          <w:color w:val="auto"/>
          <w:sz w:val="28"/>
          <w:lang w:val="en-US" w:eastAsia="zh-CN"/>
        </w:rPr>
        <w:t>5</w:t>
      </w:r>
      <w:r>
        <w:rPr>
          <w:rFonts w:hint="default" w:ascii="Times New Roman" w:hAnsi="Times New Roman" w:cs="Times New Roman"/>
          <w:color w:val="auto"/>
          <w:sz w:val="28"/>
        </w:rPr>
        <w:t>日</w:t>
      </w:r>
    </w:p>
    <w:p>
      <w:pPr>
        <w:pStyle w:val="77"/>
        <w:keepNext w:val="0"/>
        <w:keepLines w:val="0"/>
        <w:pageBreakBefore w:val="0"/>
        <w:kinsoku/>
        <w:wordWrap/>
        <w:overflowPunct/>
        <w:topLinePunct w:val="0"/>
        <w:bidi w:val="0"/>
        <w:spacing w:line="480" w:lineRule="exact"/>
        <w:ind w:firstLine="480"/>
        <w:rPr>
          <w:rFonts w:hint="default" w:ascii="Times New Roman" w:hAnsi="Times New Roman" w:cs="Times New Roman"/>
          <w:color w:val="auto"/>
          <w:szCs w:val="22"/>
        </w:rPr>
      </w:pPr>
    </w:p>
    <w:p>
      <w:pPr>
        <w:pStyle w:val="77"/>
        <w:keepNext w:val="0"/>
        <w:keepLines w:val="0"/>
        <w:pageBreakBefore w:val="0"/>
        <w:kinsoku/>
        <w:wordWrap/>
        <w:overflowPunct/>
        <w:topLinePunct w:val="0"/>
        <w:bidi w:val="0"/>
        <w:spacing w:line="480" w:lineRule="exact"/>
        <w:ind w:firstLine="480"/>
        <w:rPr>
          <w:rFonts w:hint="default" w:ascii="Times New Roman" w:hAnsi="Times New Roman" w:cs="Times New Roman"/>
          <w:color w:val="auto"/>
          <w:szCs w:val="22"/>
        </w:rPr>
      </w:pPr>
    </w:p>
    <w:p>
      <w:pPr>
        <w:pStyle w:val="77"/>
        <w:keepNext w:val="0"/>
        <w:keepLines w:val="0"/>
        <w:pageBreakBefore w:val="0"/>
        <w:kinsoku/>
        <w:wordWrap/>
        <w:overflowPunct/>
        <w:topLinePunct w:val="0"/>
        <w:bidi w:val="0"/>
        <w:spacing w:line="480" w:lineRule="exact"/>
        <w:ind w:firstLine="480"/>
        <w:rPr>
          <w:rFonts w:hint="default" w:ascii="Times New Roman" w:hAnsi="Times New Roman" w:cs="Times New Roman"/>
          <w:color w:val="auto"/>
          <w:szCs w:val="22"/>
        </w:rPr>
      </w:pPr>
    </w:p>
    <w:p>
      <w:pPr>
        <w:pStyle w:val="77"/>
        <w:keepNext w:val="0"/>
        <w:keepLines w:val="0"/>
        <w:pageBreakBefore w:val="0"/>
        <w:kinsoku/>
        <w:wordWrap/>
        <w:overflowPunct/>
        <w:topLinePunct w:val="0"/>
        <w:bidi w:val="0"/>
        <w:spacing w:line="480" w:lineRule="exact"/>
        <w:ind w:firstLine="480"/>
        <w:rPr>
          <w:rFonts w:hint="default" w:ascii="Times New Roman" w:hAnsi="Times New Roman" w:cs="Times New Roman"/>
          <w:color w:val="auto"/>
          <w:szCs w:val="22"/>
        </w:rPr>
      </w:pPr>
    </w:p>
    <w:p>
      <w:pPr>
        <w:pStyle w:val="77"/>
        <w:keepNext w:val="0"/>
        <w:keepLines w:val="0"/>
        <w:pageBreakBefore w:val="0"/>
        <w:kinsoku/>
        <w:wordWrap/>
        <w:overflowPunct/>
        <w:topLinePunct w:val="0"/>
        <w:bidi w:val="0"/>
        <w:spacing w:line="480" w:lineRule="exact"/>
        <w:ind w:firstLine="480"/>
        <w:rPr>
          <w:rFonts w:hint="default" w:ascii="Times New Roman" w:hAnsi="Times New Roman" w:cs="Times New Roman"/>
          <w:color w:val="auto"/>
          <w:szCs w:val="22"/>
        </w:rPr>
      </w:pPr>
    </w:p>
    <w:p>
      <w:pPr>
        <w:pStyle w:val="9"/>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rPr>
        <w:t>附件</w:t>
      </w:r>
      <w:r>
        <w:rPr>
          <w:rFonts w:hint="default" w:ascii="Times New Roman" w:hAnsi="Times New Roman" w:eastAsia="黑体" w:cs="Times New Roman"/>
          <w:b w:val="0"/>
          <w:bCs/>
          <w:color w:val="auto"/>
          <w:szCs w:val="24"/>
          <w:lang w:val="en-US" w:eastAsia="zh-CN"/>
        </w:rPr>
        <w:t>3</w:t>
      </w:r>
      <w:r>
        <w:rPr>
          <w:rFonts w:hint="default" w:ascii="Times New Roman" w:hAnsi="Times New Roman" w:eastAsia="黑体" w:cs="Times New Roman"/>
          <w:b w:val="0"/>
          <w:bCs/>
          <w:color w:val="auto"/>
          <w:szCs w:val="24"/>
        </w:rPr>
        <w:t>：</w:t>
      </w:r>
      <w:r>
        <w:rPr>
          <w:rFonts w:hint="default" w:ascii="Times New Roman" w:hAnsi="Times New Roman" w:eastAsia="黑体" w:cs="Times New Roman"/>
          <w:b w:val="0"/>
          <w:bCs/>
          <w:color w:val="auto"/>
          <w:szCs w:val="24"/>
          <w:lang w:eastAsia="zh-CN"/>
        </w:rPr>
        <w:t>企业营业执照</w:t>
      </w:r>
    </w:p>
    <w:p>
      <w:pPr>
        <w:adjustRightInd w:val="0"/>
        <w:snapToGrid w:val="0"/>
        <w:spacing w:line="360" w:lineRule="auto"/>
        <w:jc w:val="center"/>
        <w:rPr>
          <w:rFonts w:hint="default" w:ascii="Times New Roman" w:hAnsi="Times New Roman" w:eastAsia="宋体" w:cs="Times New Roman"/>
          <w:color w:val="auto"/>
          <w:sz w:val="28"/>
          <w:lang w:eastAsia="zh-CN"/>
        </w:rPr>
      </w:pPr>
      <w:r>
        <w:rPr>
          <w:rFonts w:hint="default" w:ascii="Times New Roman" w:hAnsi="Times New Roman" w:eastAsia="宋体" w:cs="Times New Roman"/>
          <w:color w:val="auto"/>
          <w:sz w:val="28"/>
          <w:lang w:eastAsia="zh-CN"/>
        </w:rPr>
        <w:drawing>
          <wp:inline distT="0" distB="0" distL="114300" distR="114300">
            <wp:extent cx="8122920" cy="5492750"/>
            <wp:effectExtent l="0" t="0" r="12700" b="11430"/>
            <wp:docPr id="82" name="图片 82" descr="微信图片_20230131092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微信图片_20230131092640"/>
                    <pic:cNvPicPr>
                      <a:picLocks noChangeAspect="1"/>
                    </pic:cNvPicPr>
                  </pic:nvPicPr>
                  <pic:blipFill>
                    <a:blip r:embed="rId24"/>
                    <a:srcRect l="4089" t="7714" r="623" b="6401"/>
                    <a:stretch>
                      <a:fillRect/>
                    </a:stretch>
                  </pic:blipFill>
                  <pic:spPr>
                    <a:xfrm rot="5400000">
                      <a:off x="0" y="0"/>
                      <a:ext cx="8122920" cy="5492750"/>
                    </a:xfrm>
                    <a:prstGeom prst="rect">
                      <a:avLst/>
                    </a:prstGeom>
                  </pic:spPr>
                </pic:pic>
              </a:graphicData>
            </a:graphic>
          </wp:inline>
        </w:drawing>
      </w:r>
    </w:p>
    <w:p>
      <w:pPr>
        <w:pStyle w:val="9"/>
        <w:rPr>
          <w:rFonts w:hint="eastAsia"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t>附件4：项目备案证明</w:t>
      </w:r>
    </w:p>
    <w:p>
      <w:pPr>
        <w:pStyle w:val="9"/>
        <w:rPr>
          <w:rFonts w:hint="eastAsia" w:ascii="Times New Roman" w:hAnsi="Times New Roman" w:eastAsia="宋体" w:cs="Times New Roman"/>
          <w:snapToGrid w:val="0"/>
          <w:color w:val="auto"/>
          <w:spacing w:val="-6"/>
          <w:kern w:val="21"/>
          <w:szCs w:val="21"/>
          <w:lang w:eastAsia="zh-CN"/>
        </w:rPr>
      </w:pPr>
      <w:r>
        <w:rPr>
          <w:rFonts w:hint="eastAsia" w:ascii="Times New Roman" w:hAnsi="Times New Roman" w:eastAsia="宋体" w:cs="Times New Roman"/>
          <w:snapToGrid w:val="0"/>
          <w:color w:val="auto"/>
          <w:spacing w:val="-6"/>
          <w:kern w:val="21"/>
          <w:szCs w:val="21"/>
          <w:lang w:eastAsia="zh-CN"/>
        </w:rPr>
        <w:drawing>
          <wp:inline distT="0" distB="0" distL="114300" distR="114300">
            <wp:extent cx="5608320" cy="7825105"/>
            <wp:effectExtent l="0" t="0" r="11430" b="4445"/>
            <wp:docPr id="83" name="图片 83" descr="微信图片_2023011308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微信图片_20230113083610"/>
                    <pic:cNvPicPr>
                      <a:picLocks noChangeAspect="1"/>
                    </pic:cNvPicPr>
                  </pic:nvPicPr>
                  <pic:blipFill>
                    <a:blip r:embed="rId25"/>
                    <a:stretch>
                      <a:fillRect/>
                    </a:stretch>
                  </pic:blipFill>
                  <pic:spPr>
                    <a:xfrm>
                      <a:off x="0" y="0"/>
                      <a:ext cx="5608320" cy="7825105"/>
                    </a:xfrm>
                    <a:prstGeom prst="rect">
                      <a:avLst/>
                    </a:prstGeom>
                  </pic:spPr>
                </pic:pic>
              </a:graphicData>
            </a:graphic>
          </wp:inline>
        </w:drawing>
      </w:r>
    </w:p>
    <w:p>
      <w:pPr>
        <w:pStyle w:val="9"/>
        <w:rPr>
          <w:rFonts w:hint="default" w:ascii="Times New Roman" w:hAnsi="Times New Roman" w:eastAsia="黑体" w:cs="Times New Roman"/>
          <w:b w:val="0"/>
          <w:bCs/>
          <w:color w:val="auto"/>
          <w:szCs w:val="24"/>
          <w:lang w:eastAsia="zh-CN"/>
        </w:rPr>
      </w:pPr>
    </w:p>
    <w:p>
      <w:pPr>
        <w:pStyle w:val="9"/>
        <w:rPr>
          <w:rFonts w:hint="default" w:ascii="Times New Roman" w:hAnsi="Times New Roman" w:eastAsia="黑体" w:cs="Times New Roman"/>
          <w:b w:val="0"/>
          <w:bCs/>
          <w:color w:val="auto"/>
          <w:szCs w:val="24"/>
          <w:lang w:eastAsia="zh-CN"/>
        </w:rPr>
      </w:pPr>
    </w:p>
    <w:p>
      <w:pPr>
        <w:pStyle w:val="9"/>
        <w:rPr>
          <w:rFonts w:hint="eastAsia" w:ascii="Times New Roman" w:hAnsi="Times New Roman" w:eastAsia="黑体" w:cs="Times New Roman"/>
          <w:b w:val="0"/>
          <w:bCs/>
          <w:color w:val="auto"/>
          <w:szCs w:val="24"/>
          <w:lang w:val="en-US" w:eastAsia="zh-CN"/>
        </w:rPr>
      </w:pPr>
      <w:r>
        <w:rPr>
          <w:rFonts w:hint="eastAsia" w:ascii="Times New Roman" w:hAnsi="Times New Roman" w:eastAsia="黑体" w:cs="Times New Roman"/>
          <w:b w:val="0"/>
          <w:bCs/>
          <w:color w:val="auto"/>
          <w:szCs w:val="24"/>
          <w:lang w:val="en-US" w:eastAsia="zh-CN"/>
        </w:rPr>
        <w:t>附件5：监测报告</w:t>
      </w:r>
    </w:p>
    <w:p>
      <w:pPr>
        <w:pStyle w:val="9"/>
        <w:rPr>
          <w:rFonts w:hint="eastAsia" w:ascii="Times New Roman" w:hAnsi="Times New Roman" w:eastAsia="黑体" w:cs="Times New Roman"/>
          <w:b w:val="0"/>
          <w:bCs/>
          <w:color w:val="auto"/>
          <w:szCs w:val="24"/>
          <w:lang w:val="en-US" w:eastAsia="zh-CN"/>
        </w:rPr>
      </w:pPr>
      <w:r>
        <w:rPr>
          <w:rFonts w:hint="eastAsia" w:ascii="Times New Roman" w:hAnsi="Times New Roman" w:eastAsia="黑体" w:cs="Times New Roman"/>
          <w:b w:val="0"/>
          <w:bCs/>
          <w:color w:val="auto"/>
          <w:szCs w:val="24"/>
          <w:lang w:val="en-US" w:eastAsia="zh-CN"/>
        </w:rPr>
        <w:drawing>
          <wp:inline distT="0" distB="0" distL="114300" distR="114300">
            <wp:extent cx="5615305" cy="7942580"/>
            <wp:effectExtent l="0" t="0" r="4445" b="1270"/>
            <wp:docPr id="22" name="图片 22" descr="S55C-6e2302091735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S55C-6e23020917350_0001"/>
                    <pic:cNvPicPr>
                      <a:picLocks noChangeAspect="1"/>
                    </pic:cNvPicPr>
                  </pic:nvPicPr>
                  <pic:blipFill>
                    <a:blip r:embed="rId26"/>
                    <a:stretch>
                      <a:fillRect/>
                    </a:stretch>
                  </pic:blipFill>
                  <pic:spPr>
                    <a:xfrm>
                      <a:off x="0" y="0"/>
                      <a:ext cx="5615305" cy="7942580"/>
                    </a:xfrm>
                    <a:prstGeom prst="rect">
                      <a:avLst/>
                    </a:prstGeom>
                  </pic:spPr>
                </pic:pic>
              </a:graphicData>
            </a:graphic>
          </wp:inline>
        </w:drawing>
      </w:r>
    </w:p>
    <w:p>
      <w:pPr>
        <w:rPr>
          <w:rFonts w:hint="eastAsia"/>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3"/>
        <w:ind w:left="0" w:leftChars="0" w:firstLine="0" w:firstLineChars="0"/>
        <w:rPr>
          <w:rFonts w:hint="eastAsia"/>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color w:val="auto"/>
          <w:lang w:val="en-US" w:eastAsia="zh-CN"/>
        </w:rPr>
        <w:drawing>
          <wp:inline distT="0" distB="0" distL="114300" distR="114300">
            <wp:extent cx="5615305" cy="7942580"/>
            <wp:effectExtent l="0" t="0" r="4445" b="1270"/>
            <wp:docPr id="23" name="图片 23" descr="S55C-6e23020917350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S55C-6e23020917350_0002"/>
                    <pic:cNvPicPr>
                      <a:picLocks noChangeAspect="1"/>
                    </pic:cNvPicPr>
                  </pic:nvPicPr>
                  <pic:blipFill>
                    <a:blip r:embed="rId27"/>
                    <a:stretch>
                      <a:fillRect/>
                    </a:stretch>
                  </pic:blipFill>
                  <pic:spPr>
                    <a:xfrm>
                      <a:off x="0" y="0"/>
                      <a:ext cx="5615305" cy="7942580"/>
                    </a:xfrm>
                    <a:prstGeom prst="rect">
                      <a:avLst/>
                    </a:prstGeom>
                  </pic:spPr>
                </pic:pic>
              </a:graphicData>
            </a:graphic>
          </wp:inline>
        </w:drawing>
      </w:r>
    </w:p>
    <w:p>
      <w:pPr>
        <w:rPr>
          <w:rFonts w:hint="eastAsia"/>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color w:val="auto"/>
          <w:lang w:val="en-US" w:eastAsia="zh-CN"/>
        </w:rPr>
        <w:drawing>
          <wp:inline distT="0" distB="0" distL="114300" distR="114300">
            <wp:extent cx="5615305" cy="7942580"/>
            <wp:effectExtent l="0" t="0" r="4445" b="1270"/>
            <wp:docPr id="24" name="图片 24" descr="S55C-6e23020917350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S55C-6e23020917350_0003"/>
                    <pic:cNvPicPr>
                      <a:picLocks noChangeAspect="1"/>
                    </pic:cNvPicPr>
                  </pic:nvPicPr>
                  <pic:blipFill>
                    <a:blip r:embed="rId28"/>
                    <a:stretch>
                      <a:fillRect/>
                    </a:stretch>
                  </pic:blipFill>
                  <pic:spPr>
                    <a:xfrm>
                      <a:off x="0" y="0"/>
                      <a:ext cx="5615305" cy="7942580"/>
                    </a:xfrm>
                    <a:prstGeom prst="rect">
                      <a:avLst/>
                    </a:prstGeom>
                  </pic:spPr>
                </pic:pic>
              </a:graphicData>
            </a:graphic>
          </wp:inline>
        </w:drawing>
      </w:r>
      <w:r>
        <w:rPr>
          <w:rFonts w:hint="eastAsia"/>
          <w:color w:val="auto"/>
          <w:lang w:val="en-US" w:eastAsia="zh-CN"/>
        </w:rPr>
        <w:drawing>
          <wp:inline distT="0" distB="0" distL="114300" distR="114300">
            <wp:extent cx="5615305" cy="7942580"/>
            <wp:effectExtent l="0" t="0" r="4445" b="1270"/>
            <wp:docPr id="25" name="图片 25" descr="S55C-6e23020917350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S55C-6e23020917350_0004"/>
                    <pic:cNvPicPr>
                      <a:picLocks noChangeAspect="1"/>
                    </pic:cNvPicPr>
                  </pic:nvPicPr>
                  <pic:blipFill>
                    <a:blip r:embed="rId29"/>
                    <a:stretch>
                      <a:fillRect/>
                    </a:stretch>
                  </pic:blipFill>
                  <pic:spPr>
                    <a:xfrm>
                      <a:off x="0" y="0"/>
                      <a:ext cx="5615305" cy="7942580"/>
                    </a:xfrm>
                    <a:prstGeom prst="rect">
                      <a:avLst/>
                    </a:prstGeom>
                  </pic:spPr>
                </pic:pic>
              </a:graphicData>
            </a:graphic>
          </wp:inline>
        </w:drawing>
      </w:r>
      <w:r>
        <w:rPr>
          <w:rFonts w:hint="eastAsia"/>
          <w:color w:val="auto"/>
          <w:lang w:val="en-US" w:eastAsia="zh-CN"/>
        </w:rPr>
        <w:drawing>
          <wp:inline distT="0" distB="0" distL="114300" distR="114300">
            <wp:extent cx="5615305" cy="7942580"/>
            <wp:effectExtent l="0" t="0" r="4445" b="1270"/>
            <wp:docPr id="26" name="图片 26" descr="S55C-6e23020917350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S55C-6e23020917350_0005"/>
                    <pic:cNvPicPr>
                      <a:picLocks noChangeAspect="1"/>
                    </pic:cNvPicPr>
                  </pic:nvPicPr>
                  <pic:blipFill>
                    <a:blip r:embed="rId30"/>
                    <a:stretch>
                      <a:fillRect/>
                    </a:stretch>
                  </pic:blipFill>
                  <pic:spPr>
                    <a:xfrm>
                      <a:off x="0" y="0"/>
                      <a:ext cx="5615305" cy="7942580"/>
                    </a:xfrm>
                    <a:prstGeom prst="rect">
                      <a:avLst/>
                    </a:prstGeom>
                  </pic:spPr>
                </pic:pic>
              </a:graphicData>
            </a:graphic>
          </wp:inline>
        </w:drawing>
      </w:r>
      <w:r>
        <w:rPr>
          <w:rFonts w:hint="eastAsia"/>
          <w:color w:val="auto"/>
          <w:lang w:val="en-US" w:eastAsia="zh-CN"/>
        </w:rPr>
        <w:drawing>
          <wp:inline distT="0" distB="0" distL="114300" distR="114300">
            <wp:extent cx="5615305" cy="7942580"/>
            <wp:effectExtent l="0" t="0" r="4445" b="1270"/>
            <wp:docPr id="31" name="图片 31" descr="S55C-6e23020917350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S55C-6e23020917350_0006"/>
                    <pic:cNvPicPr>
                      <a:picLocks noChangeAspect="1"/>
                    </pic:cNvPicPr>
                  </pic:nvPicPr>
                  <pic:blipFill>
                    <a:blip r:embed="rId31"/>
                    <a:stretch>
                      <a:fillRect/>
                    </a:stretch>
                  </pic:blipFill>
                  <pic:spPr>
                    <a:xfrm>
                      <a:off x="0" y="0"/>
                      <a:ext cx="5615305" cy="7942580"/>
                    </a:xfrm>
                    <a:prstGeom prst="rect">
                      <a:avLst/>
                    </a:prstGeom>
                  </pic:spPr>
                </pic:pic>
              </a:graphicData>
            </a:graphic>
          </wp:inline>
        </w:drawing>
      </w:r>
      <w:r>
        <w:rPr>
          <w:rFonts w:hint="eastAsia"/>
          <w:color w:val="auto"/>
          <w:lang w:val="en-US" w:eastAsia="zh-CN"/>
        </w:rPr>
        <w:drawing>
          <wp:inline distT="0" distB="0" distL="114300" distR="114300">
            <wp:extent cx="5615305" cy="7942580"/>
            <wp:effectExtent l="0" t="0" r="4445" b="1270"/>
            <wp:docPr id="32" name="图片 32" descr="S55C-6e23020917350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S55C-6e23020917350_0007"/>
                    <pic:cNvPicPr>
                      <a:picLocks noChangeAspect="1"/>
                    </pic:cNvPicPr>
                  </pic:nvPicPr>
                  <pic:blipFill>
                    <a:blip r:embed="rId32"/>
                    <a:stretch>
                      <a:fillRect/>
                    </a:stretch>
                  </pic:blipFill>
                  <pic:spPr>
                    <a:xfrm>
                      <a:off x="0" y="0"/>
                      <a:ext cx="5615305" cy="7942580"/>
                    </a:xfrm>
                    <a:prstGeom prst="rect">
                      <a:avLst/>
                    </a:prstGeom>
                  </pic:spPr>
                </pic:pic>
              </a:graphicData>
            </a:graphic>
          </wp:inline>
        </w:drawing>
      </w:r>
      <w:r>
        <w:rPr>
          <w:rFonts w:hint="eastAsia"/>
          <w:color w:val="auto"/>
          <w:lang w:val="en-US" w:eastAsia="zh-CN"/>
        </w:rPr>
        <w:drawing>
          <wp:inline distT="0" distB="0" distL="114300" distR="114300">
            <wp:extent cx="5615305" cy="7942580"/>
            <wp:effectExtent l="0" t="0" r="4445" b="1270"/>
            <wp:docPr id="33" name="图片 33" descr="S55C-6e23020917350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S55C-6e23020917350_0008"/>
                    <pic:cNvPicPr>
                      <a:picLocks noChangeAspect="1"/>
                    </pic:cNvPicPr>
                  </pic:nvPicPr>
                  <pic:blipFill>
                    <a:blip r:embed="rId33"/>
                    <a:stretch>
                      <a:fillRect/>
                    </a:stretch>
                  </pic:blipFill>
                  <pic:spPr>
                    <a:xfrm>
                      <a:off x="0" y="0"/>
                      <a:ext cx="5615305" cy="7942580"/>
                    </a:xfrm>
                    <a:prstGeom prst="rect">
                      <a:avLst/>
                    </a:prstGeom>
                  </pic:spPr>
                </pic:pic>
              </a:graphicData>
            </a:graphic>
          </wp:inline>
        </w:drawing>
      </w:r>
      <w:r>
        <w:rPr>
          <w:rFonts w:hint="eastAsia"/>
          <w:color w:val="auto"/>
          <w:lang w:val="en-US" w:eastAsia="zh-CN"/>
        </w:rPr>
        <w:drawing>
          <wp:inline distT="0" distB="0" distL="114300" distR="114300">
            <wp:extent cx="5615305" cy="7942580"/>
            <wp:effectExtent l="0" t="0" r="4445" b="1270"/>
            <wp:docPr id="34" name="图片 34" descr="S55C-6e23020917350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S55C-6e23020917350_0009"/>
                    <pic:cNvPicPr>
                      <a:picLocks noChangeAspect="1"/>
                    </pic:cNvPicPr>
                  </pic:nvPicPr>
                  <pic:blipFill>
                    <a:blip r:embed="rId34"/>
                    <a:stretch>
                      <a:fillRect/>
                    </a:stretch>
                  </pic:blipFill>
                  <pic:spPr>
                    <a:xfrm>
                      <a:off x="0" y="0"/>
                      <a:ext cx="5615305" cy="7942580"/>
                    </a:xfrm>
                    <a:prstGeom prst="rect">
                      <a:avLst/>
                    </a:prstGeom>
                  </pic:spPr>
                </pic:pic>
              </a:graphicData>
            </a:graphic>
          </wp:inline>
        </w:drawing>
      </w:r>
      <w:r>
        <w:rPr>
          <w:rFonts w:hint="eastAsia"/>
          <w:color w:val="auto"/>
          <w:lang w:val="en-US" w:eastAsia="zh-CN"/>
        </w:rPr>
        <w:drawing>
          <wp:inline distT="0" distB="0" distL="114300" distR="114300">
            <wp:extent cx="5615305" cy="7942580"/>
            <wp:effectExtent l="0" t="0" r="4445" b="1270"/>
            <wp:docPr id="35" name="图片 35" descr="S55C-6e23020917350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S55C-6e23020917350_0010"/>
                    <pic:cNvPicPr>
                      <a:picLocks noChangeAspect="1"/>
                    </pic:cNvPicPr>
                  </pic:nvPicPr>
                  <pic:blipFill>
                    <a:blip r:embed="rId35"/>
                    <a:stretch>
                      <a:fillRect/>
                    </a:stretch>
                  </pic:blipFill>
                  <pic:spPr>
                    <a:xfrm>
                      <a:off x="0" y="0"/>
                      <a:ext cx="5615305" cy="7942580"/>
                    </a:xfrm>
                    <a:prstGeom prst="rect">
                      <a:avLst/>
                    </a:prstGeom>
                  </pic:spPr>
                </pic:pic>
              </a:graphicData>
            </a:graphic>
          </wp:inline>
        </w:drawing>
      </w:r>
      <w:r>
        <w:rPr>
          <w:rFonts w:hint="eastAsia"/>
          <w:color w:val="auto"/>
          <w:lang w:val="en-US" w:eastAsia="zh-CN"/>
        </w:rPr>
        <w:drawing>
          <wp:inline distT="0" distB="0" distL="114300" distR="114300">
            <wp:extent cx="5615305" cy="7942580"/>
            <wp:effectExtent l="0" t="0" r="4445" b="1270"/>
            <wp:docPr id="36" name="图片 36" descr="S55C-6e23020917350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S55C-6e23020917350_0011"/>
                    <pic:cNvPicPr>
                      <a:picLocks noChangeAspect="1"/>
                    </pic:cNvPicPr>
                  </pic:nvPicPr>
                  <pic:blipFill>
                    <a:blip r:embed="rId36"/>
                    <a:stretch>
                      <a:fillRect/>
                    </a:stretch>
                  </pic:blipFill>
                  <pic:spPr>
                    <a:xfrm>
                      <a:off x="0" y="0"/>
                      <a:ext cx="5615305" cy="7942580"/>
                    </a:xfrm>
                    <a:prstGeom prst="rect">
                      <a:avLst/>
                    </a:prstGeom>
                  </pic:spPr>
                </pic:pic>
              </a:graphicData>
            </a:graphic>
          </wp:inline>
        </w:drawing>
      </w:r>
      <w:r>
        <w:rPr>
          <w:rFonts w:hint="eastAsia"/>
          <w:color w:val="auto"/>
          <w:lang w:val="en-US" w:eastAsia="zh-CN"/>
        </w:rPr>
        <w:drawing>
          <wp:inline distT="0" distB="0" distL="114300" distR="114300">
            <wp:extent cx="5615305" cy="7942580"/>
            <wp:effectExtent l="0" t="0" r="4445" b="1270"/>
            <wp:docPr id="38" name="图片 38" descr="S55C-6e23020917350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S55C-6e23020917350_0012"/>
                    <pic:cNvPicPr>
                      <a:picLocks noChangeAspect="1"/>
                    </pic:cNvPicPr>
                  </pic:nvPicPr>
                  <pic:blipFill>
                    <a:blip r:embed="rId37"/>
                    <a:stretch>
                      <a:fillRect/>
                    </a:stretch>
                  </pic:blipFill>
                  <pic:spPr>
                    <a:xfrm>
                      <a:off x="0" y="0"/>
                      <a:ext cx="5615305" cy="7942580"/>
                    </a:xfrm>
                    <a:prstGeom prst="rect">
                      <a:avLst/>
                    </a:prstGeom>
                  </pic:spPr>
                </pic:pic>
              </a:graphicData>
            </a:graphic>
          </wp:inline>
        </w:drawing>
      </w:r>
      <w:r>
        <w:rPr>
          <w:rFonts w:hint="eastAsia"/>
          <w:color w:val="auto"/>
          <w:lang w:val="en-US" w:eastAsia="zh-CN"/>
        </w:rPr>
        <w:drawing>
          <wp:inline distT="0" distB="0" distL="114300" distR="114300">
            <wp:extent cx="5615305" cy="7942580"/>
            <wp:effectExtent l="0" t="0" r="4445" b="1270"/>
            <wp:docPr id="39" name="图片 39" descr="S55C-6e23020917350_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S55C-6e23020917350_0013"/>
                    <pic:cNvPicPr>
                      <a:picLocks noChangeAspect="1"/>
                    </pic:cNvPicPr>
                  </pic:nvPicPr>
                  <pic:blipFill>
                    <a:blip r:embed="rId38"/>
                    <a:stretch>
                      <a:fillRect/>
                    </a:stretch>
                  </pic:blipFill>
                  <pic:spPr>
                    <a:xfrm>
                      <a:off x="0" y="0"/>
                      <a:ext cx="5615305" cy="7942580"/>
                    </a:xfrm>
                    <a:prstGeom prst="rect">
                      <a:avLst/>
                    </a:prstGeom>
                  </pic:spPr>
                </pic:pic>
              </a:graphicData>
            </a:graphic>
          </wp:inline>
        </w:drawing>
      </w:r>
      <w:r>
        <w:rPr>
          <w:rFonts w:hint="eastAsia"/>
          <w:color w:val="auto"/>
          <w:lang w:val="en-US" w:eastAsia="zh-CN"/>
        </w:rPr>
        <w:drawing>
          <wp:inline distT="0" distB="0" distL="114300" distR="114300">
            <wp:extent cx="5615305" cy="7942580"/>
            <wp:effectExtent l="0" t="0" r="4445" b="1270"/>
            <wp:docPr id="40" name="图片 40" descr="S55C-6e23020917350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S55C-6e23020917350_0014"/>
                    <pic:cNvPicPr>
                      <a:picLocks noChangeAspect="1"/>
                    </pic:cNvPicPr>
                  </pic:nvPicPr>
                  <pic:blipFill>
                    <a:blip r:embed="rId39"/>
                    <a:stretch>
                      <a:fillRect/>
                    </a:stretch>
                  </pic:blipFill>
                  <pic:spPr>
                    <a:xfrm>
                      <a:off x="0" y="0"/>
                      <a:ext cx="5615305" cy="7942580"/>
                    </a:xfrm>
                    <a:prstGeom prst="rect">
                      <a:avLst/>
                    </a:prstGeom>
                  </pic:spPr>
                </pic:pic>
              </a:graphicData>
            </a:graphic>
          </wp:inline>
        </w:drawing>
      </w:r>
    </w:p>
    <w:p>
      <w:pPr>
        <w:pStyle w:val="9"/>
        <w:rPr>
          <w:rFonts w:hint="default" w:ascii="Times New Roman" w:hAnsi="Times New Roman" w:eastAsia="黑体" w:cs="Times New Roman"/>
          <w:b w:val="0"/>
          <w:bCs/>
          <w:color w:val="auto"/>
          <w:szCs w:val="24"/>
          <w:lang w:val="en-US" w:eastAsia="zh-CN"/>
        </w:rPr>
      </w:pPr>
      <w:r>
        <w:rPr>
          <w:rFonts w:hint="eastAsia" w:ascii="Times New Roman" w:hAnsi="Times New Roman" w:eastAsia="黑体" w:cs="Times New Roman"/>
          <w:b w:val="0"/>
          <w:bCs/>
          <w:color w:val="auto"/>
          <w:szCs w:val="24"/>
          <w:lang w:val="en-US" w:eastAsia="zh-CN"/>
        </w:rPr>
        <w:t>附件6：寨里镇蓼花河工业集聚区批复文件</w:t>
      </w:r>
    </w:p>
    <w:p>
      <w:pPr>
        <w:pStyle w:val="9"/>
        <w:rPr>
          <w:rFonts w:hint="eastAsia" w:ascii="Times New Roman" w:hAnsi="Times New Roman" w:eastAsia="黑体" w:cs="Times New Roman"/>
          <w:b w:val="0"/>
          <w:bCs/>
          <w:color w:val="auto"/>
          <w:szCs w:val="24"/>
          <w:lang w:val="en-US" w:eastAsia="zh-CN"/>
        </w:rPr>
      </w:pPr>
      <w:r>
        <w:rPr>
          <w:rFonts w:hint="eastAsia" w:ascii="Times New Roman" w:hAnsi="Times New Roman" w:eastAsia="黑体" w:cs="Times New Roman"/>
          <w:b w:val="0"/>
          <w:bCs/>
          <w:color w:val="auto"/>
          <w:szCs w:val="24"/>
          <w:lang w:val="en-US" w:eastAsia="zh-CN"/>
        </w:rPr>
        <w:drawing>
          <wp:inline distT="0" distB="0" distL="114300" distR="114300">
            <wp:extent cx="5527040" cy="8168005"/>
            <wp:effectExtent l="0" t="0" r="16510" b="4445"/>
            <wp:docPr id="41" name="图片 41" descr="b9629d5b9f6e8f6d66b504820e0a3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b9629d5b9f6e8f6d66b504820e0a35e"/>
                    <pic:cNvPicPr>
                      <a:picLocks noChangeAspect="1"/>
                    </pic:cNvPicPr>
                  </pic:nvPicPr>
                  <pic:blipFill>
                    <a:blip r:embed="rId40"/>
                    <a:srcRect t="16877"/>
                    <a:stretch>
                      <a:fillRect/>
                    </a:stretch>
                  </pic:blipFill>
                  <pic:spPr>
                    <a:xfrm>
                      <a:off x="0" y="0"/>
                      <a:ext cx="5527040" cy="8168005"/>
                    </a:xfrm>
                    <a:prstGeom prst="rect">
                      <a:avLst/>
                    </a:prstGeom>
                  </pic:spPr>
                </pic:pic>
              </a:graphicData>
            </a:graphic>
          </wp:inline>
        </w:drawing>
      </w:r>
    </w:p>
    <w:p>
      <w:pPr>
        <w:pStyle w:val="9"/>
        <w:rPr>
          <w:rFonts w:hint="eastAsia" w:ascii="Times New Roman" w:hAnsi="Times New Roman" w:eastAsia="黑体" w:cs="Times New Roman"/>
          <w:b w:val="0"/>
          <w:bCs/>
          <w:color w:val="auto"/>
          <w:szCs w:val="24"/>
          <w:lang w:val="en-US" w:eastAsia="zh-CN"/>
        </w:rPr>
      </w:pPr>
      <w:r>
        <w:rPr>
          <w:rFonts w:hint="eastAsia" w:ascii="Times New Roman" w:hAnsi="Times New Roman" w:eastAsia="黑体" w:cs="Times New Roman"/>
          <w:b w:val="0"/>
          <w:bCs/>
          <w:color w:val="auto"/>
          <w:szCs w:val="24"/>
          <w:lang w:val="en-US" w:eastAsia="zh-CN"/>
        </w:rPr>
        <w:t>附件7：厂区租赁合同</w:t>
      </w:r>
    </w:p>
    <w:p>
      <w:pPr>
        <w:pStyle w:val="11"/>
        <w:ind w:left="0" w:leftChars="0" w:firstLine="0" w:firstLineChars="0"/>
        <w:rPr>
          <w:rFonts w:hint="default"/>
          <w:color w:val="auto"/>
          <w:lang w:val="en-US" w:eastAsia="zh-CN"/>
        </w:rPr>
      </w:pPr>
      <w:r>
        <w:rPr>
          <w:rFonts w:hint="eastAsia"/>
          <w:color w:val="auto"/>
          <w:lang w:val="en-US" w:eastAsia="zh-CN"/>
        </w:rPr>
        <w:drawing>
          <wp:inline distT="0" distB="0" distL="114300" distR="114300">
            <wp:extent cx="5614670" cy="8117840"/>
            <wp:effectExtent l="0" t="0" r="5080" b="16510"/>
            <wp:docPr id="15" name="图片 15" descr="0d84b3c45204fbd4aabd24925d920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d84b3c45204fbd4aabd24925d920e7"/>
                    <pic:cNvPicPr>
                      <a:picLocks noChangeAspect="1"/>
                    </pic:cNvPicPr>
                  </pic:nvPicPr>
                  <pic:blipFill>
                    <a:blip r:embed="rId41"/>
                    <a:stretch>
                      <a:fillRect/>
                    </a:stretch>
                  </pic:blipFill>
                  <pic:spPr>
                    <a:xfrm>
                      <a:off x="0" y="0"/>
                      <a:ext cx="5614670" cy="8117840"/>
                    </a:xfrm>
                    <a:prstGeom prst="rect">
                      <a:avLst/>
                    </a:prstGeom>
                  </pic:spPr>
                </pic:pic>
              </a:graphicData>
            </a:graphic>
          </wp:inline>
        </w:drawing>
      </w:r>
    </w:p>
    <w:p>
      <w:pPr>
        <w:rPr>
          <w:rFonts w:hint="default"/>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9"/>
        <w:rPr>
          <w:rFonts w:hint="eastAsia"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t>附件</w:t>
      </w:r>
      <w:r>
        <w:rPr>
          <w:rFonts w:hint="eastAsia" w:ascii="Times New Roman" w:hAnsi="Times New Roman" w:eastAsia="黑体" w:cs="Times New Roman"/>
          <w:b w:val="0"/>
          <w:bCs/>
          <w:color w:val="auto"/>
          <w:szCs w:val="24"/>
          <w:lang w:val="en-US" w:eastAsia="zh-CN"/>
        </w:rPr>
        <w:t>8</w:t>
      </w:r>
      <w:r>
        <w:rPr>
          <w:rFonts w:hint="default" w:ascii="Times New Roman" w:hAnsi="Times New Roman" w:eastAsia="黑体" w:cs="Times New Roman"/>
          <w:b w:val="0"/>
          <w:bCs/>
          <w:color w:val="auto"/>
          <w:szCs w:val="24"/>
          <w:lang w:eastAsia="zh-CN"/>
        </w:rPr>
        <w:t>：</w:t>
      </w:r>
      <w:r>
        <w:rPr>
          <w:rFonts w:hint="eastAsia" w:ascii="Times New Roman" w:hAnsi="Times New Roman" w:eastAsia="黑体" w:cs="Times New Roman"/>
          <w:b w:val="0"/>
          <w:bCs/>
          <w:color w:val="auto"/>
          <w:szCs w:val="24"/>
          <w:lang w:eastAsia="zh-CN"/>
        </w:rPr>
        <w:t>工程师现场踏勘照片</w:t>
      </w:r>
    </w:p>
    <w:p>
      <w:pPr>
        <w:pStyle w:val="11"/>
        <w:ind w:left="0" w:leftChars="0" w:firstLine="0" w:firstLineChars="0"/>
        <w:jc w:val="center"/>
        <w:rPr>
          <w:rFonts w:hint="default"/>
          <w:color w:val="auto"/>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eastAsia="zh-CN"/>
        </w:rPr>
        <w:drawing>
          <wp:inline distT="0" distB="0" distL="114300" distR="114300">
            <wp:extent cx="6991985" cy="5246370"/>
            <wp:effectExtent l="0" t="0" r="18415" b="11430"/>
            <wp:docPr id="84" name="图片 84" descr="d79d54d8d3da07b54f537e3e55894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d79d54d8d3da07b54f537e3e558946a"/>
                    <pic:cNvPicPr>
                      <a:picLocks noChangeAspect="1"/>
                    </pic:cNvPicPr>
                  </pic:nvPicPr>
                  <pic:blipFill>
                    <a:blip r:embed="rId42"/>
                    <a:stretch>
                      <a:fillRect/>
                    </a:stretch>
                  </pic:blipFill>
                  <pic:spPr>
                    <a:xfrm>
                      <a:off x="0" y="0"/>
                      <a:ext cx="6991985" cy="5246370"/>
                    </a:xfrm>
                    <a:prstGeom prst="rect">
                      <a:avLst/>
                    </a:prstGeom>
                  </pic:spPr>
                </pic:pic>
              </a:graphicData>
            </a:graphic>
          </wp:inline>
        </w:drawing>
      </w:r>
    </w:p>
    <w:p>
      <w:pPr>
        <w:pStyle w:val="9"/>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t>附图1：</w:t>
      </w:r>
      <w:r>
        <w:rPr>
          <w:rFonts w:hint="default" w:ascii="Times New Roman" w:hAnsi="Times New Roman" w:eastAsia="黑体" w:cs="Times New Roman"/>
          <w:b w:val="0"/>
          <w:bCs/>
          <w:color w:val="auto"/>
          <w:szCs w:val="24"/>
          <w:lang w:val="en-US" w:eastAsia="zh-CN"/>
        </w:rPr>
        <w:t>项目地理位置图</w:t>
      </w:r>
      <w:r>
        <w:rPr>
          <w:rFonts w:hint="eastAsia" w:ascii="Times New Roman" w:hAnsi="Times New Roman" w:eastAsia="黑体" w:cs="Times New Roman"/>
          <w:b w:val="0"/>
          <w:bCs/>
          <w:color w:val="auto"/>
          <w:szCs w:val="24"/>
          <w:lang w:val="en-US" w:eastAsia="zh-CN"/>
        </w:rPr>
        <w:t xml:space="preserve"> </w:t>
      </w:r>
      <w:r>
        <w:rPr>
          <w:rFonts w:hint="default" w:ascii="Times New Roman" w:hAnsi="Times New Roman" w:eastAsia="黑体" w:cs="Times New Roman"/>
          <w:b w:val="0"/>
          <w:bCs/>
          <w:color w:val="auto"/>
          <w:szCs w:val="24"/>
          <w:lang w:val="en-US" w:eastAsia="zh-CN"/>
        </w:rPr>
        <w:t>比例尺1：</w:t>
      </w:r>
      <w:r>
        <w:rPr>
          <w:rFonts w:hint="eastAsia" w:ascii="Times New Roman" w:hAnsi="Times New Roman" w:eastAsia="黑体" w:cs="Times New Roman"/>
          <w:b w:val="0"/>
          <w:bCs/>
          <w:color w:val="auto"/>
          <w:szCs w:val="24"/>
          <w:lang w:val="en-US" w:eastAsia="zh-CN"/>
        </w:rPr>
        <w:t>50000</w:t>
      </w:r>
    </w:p>
    <w:p>
      <w:pPr>
        <w:rPr>
          <w:rFonts w:hint="eastAsia" w:ascii="Times New Roman" w:hAnsi="Times New Roman" w:eastAsia="宋体" w:cs="Times New Roman"/>
          <w:color w:val="auto"/>
          <w:lang w:eastAsia="zh-CN"/>
        </w:rPr>
      </w:pPr>
      <w:r>
        <w:rPr>
          <w:rFonts w:hint="eastAsia" w:ascii="Times New Roman" w:hAnsi="Times New Roman" w:eastAsia="宋体" w:cs="Times New Roman"/>
          <w:b/>
          <w:bCs/>
          <w:color w:val="auto"/>
          <w:sz w:val="24"/>
          <w:szCs w:val="22"/>
          <w:lang w:eastAsia="zh-CN"/>
        </w:rPr>
        <w:drawing>
          <wp:anchor distT="0" distB="0" distL="114300" distR="114300" simplePos="0" relativeHeight="251672576" behindDoc="0" locked="0" layoutInCell="1" allowOverlap="1">
            <wp:simplePos x="0" y="0"/>
            <wp:positionH relativeFrom="column">
              <wp:posOffset>7630795</wp:posOffset>
            </wp:positionH>
            <wp:positionV relativeFrom="paragraph">
              <wp:posOffset>11430</wp:posOffset>
            </wp:positionV>
            <wp:extent cx="941705" cy="895985"/>
            <wp:effectExtent l="0" t="0" r="10795" b="18415"/>
            <wp:wrapNone/>
            <wp:docPr id="89" name="图片 89" descr="742366eac10c8d5f7027e2afea000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742366eac10c8d5f7027e2afea0001f"/>
                    <pic:cNvPicPr>
                      <a:picLocks noChangeAspect="1"/>
                    </pic:cNvPicPr>
                  </pic:nvPicPr>
                  <pic:blipFill>
                    <a:blip r:embed="rId43"/>
                    <a:stretch>
                      <a:fillRect/>
                    </a:stretch>
                  </pic:blipFill>
                  <pic:spPr>
                    <a:xfrm>
                      <a:off x="0" y="0"/>
                      <a:ext cx="941705" cy="895985"/>
                    </a:xfrm>
                    <a:prstGeom prst="rect">
                      <a:avLst/>
                    </a:prstGeom>
                  </pic:spPr>
                </pic:pic>
              </a:graphicData>
            </a:graphic>
          </wp:anchor>
        </w:drawing>
      </w:r>
      <w:r>
        <w:rPr>
          <w:color w:val="auto"/>
        </w:rPr>
        <mc:AlternateContent>
          <mc:Choice Requires="wps">
            <w:drawing>
              <wp:anchor distT="0" distB="0" distL="114300" distR="114300" simplePos="0" relativeHeight="251665408" behindDoc="0" locked="0" layoutInCell="1" allowOverlap="1">
                <wp:simplePos x="0" y="0"/>
                <wp:positionH relativeFrom="column">
                  <wp:posOffset>4538345</wp:posOffset>
                </wp:positionH>
                <wp:positionV relativeFrom="paragraph">
                  <wp:posOffset>1765935</wp:posOffset>
                </wp:positionV>
                <wp:extent cx="981075" cy="371475"/>
                <wp:effectExtent l="332740" t="4445" r="19685" b="538480"/>
                <wp:wrapNone/>
                <wp:docPr id="42" name="矩形标注 42"/>
                <wp:cNvGraphicFramePr/>
                <a:graphic xmlns:a="http://schemas.openxmlformats.org/drawingml/2006/main">
                  <a:graphicData uri="http://schemas.microsoft.com/office/word/2010/wordprocessingShape">
                    <wps:wsp>
                      <wps:cNvSpPr/>
                      <wps:spPr>
                        <a:xfrm>
                          <a:off x="0" y="0"/>
                          <a:ext cx="981075" cy="371475"/>
                        </a:xfrm>
                        <a:prstGeom prst="wedgeRectCallout">
                          <a:avLst>
                            <a:gd name="adj1" fmla="val -80938"/>
                            <a:gd name="adj2" fmla="val 186923"/>
                          </a:avLst>
                        </a:prstGeom>
                        <a:solidFill>
                          <a:schemeClr val="bg1">
                            <a:lumMod val="95000"/>
                          </a:schemeClr>
                        </a:solidFill>
                        <a:ln w="9525" cap="flat" cmpd="sng">
                          <a:solidFill>
                            <a:srgbClr val="000000"/>
                          </a:solidFill>
                          <a:prstDash val="solid"/>
                          <a:miter/>
                          <a:headEnd type="none" w="med" len="med"/>
                          <a:tailEnd type="none" w="med" len="med"/>
                        </a:ln>
                      </wps:spPr>
                      <wps:txbx>
                        <w:txbxContent>
                          <w:p>
                            <w:pPr>
                              <w:jc w:val="center"/>
                              <w:rPr>
                                <w:rFonts w:hint="eastAsia"/>
                                <w:b/>
                                <w:bCs/>
                                <w:sz w:val="24"/>
                                <w:szCs w:val="24"/>
                              </w:rPr>
                            </w:pPr>
                            <w:r>
                              <w:rPr>
                                <w:rFonts w:hint="eastAsia"/>
                                <w:b/>
                                <w:bCs/>
                                <w:sz w:val="24"/>
                                <w:szCs w:val="24"/>
                              </w:rPr>
                              <w:t>项目</w:t>
                            </w:r>
                            <w:r>
                              <w:rPr>
                                <w:b/>
                                <w:bCs/>
                                <w:sz w:val="24"/>
                                <w:szCs w:val="24"/>
                              </w:rPr>
                              <w:t>位置</w:t>
                            </w:r>
                          </w:p>
                        </w:txbxContent>
                      </wps:txbx>
                      <wps:bodyPr upright="1"/>
                    </wps:wsp>
                  </a:graphicData>
                </a:graphic>
              </wp:anchor>
            </w:drawing>
          </mc:Choice>
          <mc:Fallback>
            <w:pict>
              <v:shape id="_x0000_s1026" o:spid="_x0000_s1026" o:spt="61" type="#_x0000_t61" style="position:absolute;left:0pt;margin-left:357.35pt;margin-top:139.05pt;height:29.25pt;width:77.25pt;z-index:251665408;mso-width-relative:page;mso-height-relative:page;" fillcolor="#F2F2F2 [3052]" filled="t" stroked="t" coordsize="21600,21600" o:gfxdata="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uV6Ng2gAAAAsBAAAP&#10;AAAAAAAAAAEAIAAAACIAAABkcnMvZG93bnJldi54bWxQSwECFAAUAAAACACHTuJAKdl/UE8CAACx&#10;BAAADgAAAAAAAAABACAAAAApAQAAZHJzL2Uyb0RvYy54bWxQSwUGAAAAAAYABgBZAQAA6gUAAAAA&#10;" adj="-6683,51175">
                <v:fill on="t" focussize="0,0"/>
                <v:stroke color="#000000" joinstyle="miter"/>
                <v:imagedata o:title=""/>
                <o:lock v:ext="edit" aspectratio="f"/>
                <v:textbox>
                  <w:txbxContent>
                    <w:p>
                      <w:pPr>
                        <w:jc w:val="center"/>
                        <w:rPr>
                          <w:rFonts w:hint="eastAsia"/>
                          <w:b/>
                          <w:bCs/>
                          <w:sz w:val="24"/>
                          <w:szCs w:val="24"/>
                        </w:rPr>
                      </w:pPr>
                      <w:r>
                        <w:rPr>
                          <w:rFonts w:hint="eastAsia"/>
                          <w:b/>
                          <w:bCs/>
                          <w:sz w:val="24"/>
                          <w:szCs w:val="24"/>
                        </w:rPr>
                        <w:t>项目</w:t>
                      </w:r>
                      <w:r>
                        <w:rPr>
                          <w:b/>
                          <w:bCs/>
                          <w:sz w:val="24"/>
                          <w:szCs w:val="24"/>
                        </w:rPr>
                        <w:t>位置</w:t>
                      </w:r>
                    </w:p>
                  </w:txbxContent>
                </v:textbox>
              </v:shape>
            </w:pict>
          </mc:Fallback>
        </mc:AlternateContent>
      </w:r>
      <w:r>
        <w:rPr>
          <w:rFonts w:hint="eastAsia" w:ascii="Times New Roman" w:hAnsi="Times New Roman" w:eastAsia="宋体" w:cs="Times New Roman"/>
          <w:color w:val="auto"/>
          <w:lang w:eastAsia="zh-CN"/>
        </w:rPr>
        <w:drawing>
          <wp:inline distT="0" distB="0" distL="114300" distR="114300">
            <wp:extent cx="8597900" cy="4932680"/>
            <wp:effectExtent l="0" t="0" r="12700" b="1270"/>
            <wp:docPr id="86" name="图片 86" descr="微信截图_2023020209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微信截图_20230202092141"/>
                    <pic:cNvPicPr>
                      <a:picLocks noChangeAspect="1"/>
                    </pic:cNvPicPr>
                  </pic:nvPicPr>
                  <pic:blipFill>
                    <a:blip r:embed="rId44"/>
                    <a:srcRect l="8538" r="2012" b="3306"/>
                    <a:stretch>
                      <a:fillRect/>
                    </a:stretch>
                  </pic:blipFill>
                  <pic:spPr>
                    <a:xfrm>
                      <a:off x="0" y="0"/>
                      <a:ext cx="8597900" cy="4932680"/>
                    </a:xfrm>
                    <a:prstGeom prst="rect">
                      <a:avLst/>
                    </a:prstGeom>
                  </pic:spPr>
                </pic:pic>
              </a:graphicData>
            </a:graphic>
          </wp:inline>
        </w:drawing>
      </w:r>
    </w:p>
    <w:p>
      <w:pPr>
        <w:pStyle w:val="13"/>
        <w:ind w:left="0" w:leftChars="0" w:firstLine="0" w:firstLineChars="0"/>
        <w:jc w:val="center"/>
        <w:rPr>
          <w:rFonts w:hint="default" w:ascii="Times New Roman" w:hAnsi="Times New Roman" w:cs="Times New Roman"/>
          <w:b/>
          <w:bCs/>
          <w:color w:val="auto"/>
          <w:sz w:val="24"/>
          <w:szCs w:val="24"/>
          <w:highlight w:val="none"/>
        </w:rPr>
      </w:pPr>
    </w:p>
    <w:p>
      <w:pPr>
        <w:rPr>
          <w:rFonts w:hint="default" w:ascii="Times New Roman" w:hAnsi="Times New Roman" w:cs="Times New Roman"/>
          <w:b/>
          <w:bCs/>
          <w:color w:val="auto"/>
          <w:sz w:val="24"/>
          <w:szCs w:val="22"/>
          <w14:textOutline w14:w="19050" w14:cmpd="sng">
            <w14:solidFill>
              <w14:schemeClr w14:val="tx1">
                <w14:alpha w14:val="0"/>
              </w14:schemeClr>
            </w14:solidFill>
            <w14:prstDash w14:val="solid"/>
            <w14:round/>
          </w14:textOutline>
        </w:rPr>
        <w:sectPr>
          <w:type w:val="continuous"/>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adjustRightInd w:val="0"/>
        <w:snapToGrid w:val="0"/>
        <w:rPr>
          <w:rFonts w:hint="eastAsia" w:ascii="Times New Roman" w:hAnsi="Times New Roman" w:eastAsia="宋体" w:cs="Times New Roman"/>
          <w:b/>
          <w:bCs/>
          <w:color w:val="auto"/>
          <w:sz w:val="24"/>
          <w:szCs w:val="22"/>
          <w:lang w:eastAsia="zh-CN"/>
        </w:rPr>
        <w:sectPr>
          <w:type w:val="continuous"/>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9"/>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t>附图</w:t>
      </w:r>
      <w:r>
        <w:rPr>
          <w:rFonts w:hint="eastAsia" w:ascii="Times New Roman" w:hAnsi="Times New Roman" w:eastAsia="黑体" w:cs="Times New Roman"/>
          <w:b w:val="0"/>
          <w:bCs/>
          <w:color w:val="auto"/>
          <w:szCs w:val="24"/>
          <w:lang w:val="en-US" w:eastAsia="zh-CN"/>
        </w:rPr>
        <w:t>2：</w:t>
      </w:r>
      <w:r>
        <w:rPr>
          <w:rFonts w:hint="default" w:ascii="Times New Roman" w:hAnsi="Times New Roman" w:eastAsia="黑体" w:cs="Times New Roman"/>
          <w:b w:val="0"/>
          <w:bCs/>
          <w:color w:val="auto"/>
          <w:szCs w:val="24"/>
          <w:lang w:eastAsia="zh-CN"/>
        </w:rPr>
        <w:t>项目保护目标分布图</w:t>
      </w:r>
      <w:r>
        <w:rPr>
          <w:rFonts w:hint="eastAsia" w:ascii="Times New Roman" w:hAnsi="Times New Roman" w:eastAsia="黑体" w:cs="Times New Roman"/>
          <w:b w:val="0"/>
          <w:bCs/>
          <w:color w:val="auto"/>
          <w:szCs w:val="24"/>
          <w:lang w:val="en-US" w:eastAsia="zh-CN"/>
        </w:rPr>
        <w:t xml:space="preserve"> </w:t>
      </w:r>
      <w:r>
        <w:rPr>
          <w:rFonts w:hint="default" w:ascii="Times New Roman" w:hAnsi="Times New Roman" w:eastAsia="黑体" w:cs="Times New Roman"/>
          <w:b w:val="0"/>
          <w:bCs/>
          <w:color w:val="auto"/>
          <w:szCs w:val="24"/>
          <w:lang w:val="en-US" w:eastAsia="zh-CN"/>
        </w:rPr>
        <w:t>比例尺1：</w:t>
      </w:r>
      <w:r>
        <w:rPr>
          <w:rFonts w:hint="eastAsia" w:ascii="Times New Roman" w:hAnsi="Times New Roman" w:eastAsia="黑体" w:cs="Times New Roman"/>
          <w:b w:val="0"/>
          <w:bCs/>
          <w:color w:val="auto"/>
          <w:szCs w:val="24"/>
          <w:lang w:val="en-US" w:eastAsia="zh-CN"/>
        </w:rPr>
        <w:t>50000</w:t>
      </w:r>
    </w:p>
    <w:p>
      <w:pPr>
        <w:adjustRightInd w:val="0"/>
        <w:snapToGrid w:val="0"/>
        <w:rPr>
          <w:rFonts w:hint="eastAsia" w:ascii="Times New Roman" w:hAnsi="Times New Roman" w:eastAsia="宋体" w:cs="Times New Roman"/>
          <w:b/>
          <w:bCs/>
          <w:color w:val="auto"/>
          <w:sz w:val="24"/>
          <w:szCs w:val="22"/>
          <w:lang w:val="en-US" w:eastAsia="zh-CN"/>
        </w:rPr>
      </w:pPr>
      <w:r>
        <w:rPr>
          <w:color w:val="auto"/>
        </w:rPr>
        <mc:AlternateContent>
          <mc:Choice Requires="wps">
            <w:drawing>
              <wp:anchor distT="0" distB="0" distL="114300" distR="114300" simplePos="0" relativeHeight="251667456" behindDoc="0" locked="0" layoutInCell="1" allowOverlap="1">
                <wp:simplePos x="0" y="0"/>
                <wp:positionH relativeFrom="column">
                  <wp:posOffset>762000</wp:posOffset>
                </wp:positionH>
                <wp:positionV relativeFrom="paragraph">
                  <wp:posOffset>465455</wp:posOffset>
                </wp:positionV>
                <wp:extent cx="1428115" cy="281305"/>
                <wp:effectExtent l="5080" t="4445" r="14605" b="381000"/>
                <wp:wrapNone/>
                <wp:docPr id="52" name="矩形标注 52"/>
                <wp:cNvGraphicFramePr/>
                <a:graphic xmlns:a="http://schemas.openxmlformats.org/drawingml/2006/main">
                  <a:graphicData uri="http://schemas.microsoft.com/office/word/2010/wordprocessingShape">
                    <wps:wsp>
                      <wps:cNvSpPr/>
                      <wps:spPr>
                        <a:xfrm>
                          <a:off x="0" y="0"/>
                          <a:ext cx="1428115" cy="281305"/>
                        </a:xfrm>
                        <a:prstGeom prst="wedgeRectCallout">
                          <a:avLst>
                            <a:gd name="adj1" fmla="val 39284"/>
                            <a:gd name="adj2" fmla="val 178668"/>
                          </a:avLst>
                        </a:prstGeom>
                        <a:solidFill>
                          <a:srgbClr val="FFFFFF">
                            <a:alpha val="70000"/>
                          </a:srgbClr>
                        </a:solidFill>
                        <a:ln w="3175" cap="flat" cmpd="sng">
                          <a:solidFill>
                            <a:srgbClr val="FFFF00"/>
                          </a:solidFill>
                          <a:prstDash val="solid"/>
                          <a:miter/>
                          <a:headEnd type="none" w="med" len="med"/>
                          <a:tailEnd type="none" w="med" len="med"/>
                        </a:ln>
                      </wps:spPr>
                      <wps:txbx>
                        <w:txbxContent>
                          <w:p>
                            <w:pPr>
                              <w:rPr>
                                <w:color w:val="000000"/>
                              </w:rPr>
                            </w:pPr>
                            <w:r>
                              <w:rPr>
                                <w:rFonts w:hint="eastAsia"/>
                                <w:color w:val="000000"/>
                              </w:rPr>
                              <w:t>厂界外</w:t>
                            </w:r>
                            <w:r>
                              <w:rPr>
                                <w:rFonts w:hint="eastAsia"/>
                                <w:color w:val="000000"/>
                                <w:lang w:val="en-US" w:eastAsia="zh-CN"/>
                              </w:rPr>
                              <w:t>50</w:t>
                            </w:r>
                            <w:r>
                              <w:rPr>
                                <w:rFonts w:hint="eastAsia"/>
                                <w:color w:val="000000"/>
                              </w:rPr>
                              <w:t>00m范围</w:t>
                            </w:r>
                          </w:p>
                        </w:txbxContent>
                      </wps:txbx>
                      <wps:bodyPr upright="1"/>
                    </wps:wsp>
                  </a:graphicData>
                </a:graphic>
              </wp:anchor>
            </w:drawing>
          </mc:Choice>
          <mc:Fallback>
            <w:pict>
              <v:shape id="_x0000_s1026" o:spid="_x0000_s1026" o:spt="61" type="#_x0000_t61" style="position:absolute;left:0pt;margin-left:60pt;margin-top:36.65pt;height:22.15pt;width:112.45pt;z-index:251667456;mso-width-relative:page;mso-height-relative:page;" fillcolor="#FFFFFF" filled="t" stroked="t" coordsize="21600,21600" o:gfxdata="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qAhFNgAAAAKAQAADwAAAAAAAAABACAA&#10;AAAiAAAAZHJzL2Rvd25yZXYueG1sUEsBAhQAFAAAAAgAh07iQFuSccFGAgAAsAQAAA4AAAAAAAAA&#10;AQAgAAAAJwEAAGRycy9lMm9Eb2MueG1sUEsFBgAAAAAGAAYAWQEAAN8FAAAAAA==&#10;" adj="19285,49392">
                <v:fill on="t" opacity="45875f" focussize="0,0"/>
                <v:stroke weight="0.25pt" color="#FFFF00" joinstyle="miter"/>
                <v:imagedata o:title=""/>
                <o:lock v:ext="edit" aspectratio="f"/>
                <v:textbox>
                  <w:txbxContent>
                    <w:p>
                      <w:pPr>
                        <w:rPr>
                          <w:color w:val="000000"/>
                        </w:rPr>
                      </w:pPr>
                      <w:r>
                        <w:rPr>
                          <w:rFonts w:hint="eastAsia"/>
                          <w:color w:val="000000"/>
                        </w:rPr>
                        <w:t>厂界外</w:t>
                      </w:r>
                      <w:r>
                        <w:rPr>
                          <w:rFonts w:hint="eastAsia"/>
                          <w:color w:val="000000"/>
                          <w:lang w:val="en-US" w:eastAsia="zh-CN"/>
                        </w:rPr>
                        <w:t>50</w:t>
                      </w:r>
                      <w:r>
                        <w:rPr>
                          <w:rFonts w:hint="eastAsia"/>
                          <w:color w:val="000000"/>
                        </w:rPr>
                        <w:t>00m范围</w:t>
                      </w:r>
                    </w:p>
                  </w:txbxContent>
                </v:textbox>
              </v:shape>
            </w:pict>
          </mc:Fallback>
        </mc:AlternateContent>
      </w: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3484245</wp:posOffset>
                </wp:positionH>
                <wp:positionV relativeFrom="paragraph">
                  <wp:posOffset>2437765</wp:posOffset>
                </wp:positionV>
                <wp:extent cx="904875" cy="33274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904875"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4"/>
                                <w:szCs w:val="32"/>
                                <w:lang w:eastAsia="zh-CN"/>
                              </w:rPr>
                            </w:pPr>
                            <w:r>
                              <w:rPr>
                                <w:rFonts w:hint="eastAsia"/>
                                <w:b/>
                                <w:bCs/>
                                <w:color w:val="FF0000"/>
                                <w:sz w:val="24"/>
                                <w:szCs w:val="32"/>
                                <w:lang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35pt;margin-top:191.95pt;height:26.2pt;width:71.25pt;z-index:251666432;mso-width-relative:page;mso-height-relative:page;" filled="f" stroked="f" coordsize="21600,21600" o:gfxdata="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BNjS53QAAAAsBAAAPAAAAAAAAAAEAIAAAACIA&#10;AABkcnMvZG93bnJldi54bWxQSwECFAAUAAAACACHTuJARrqnKj0CAABnBAAADgAAAAAAAAABACAA&#10;AAAsAQAAZHJzL2Uyb0RvYy54bWxQSwUGAAAAAAYABgBZAQAA2wUAAAAA&#10;">
                <v:fill on="f" focussize="0,0"/>
                <v:stroke on="f" weight="0.5pt"/>
                <v:imagedata o:title=""/>
                <o:lock v:ext="edit" aspectratio="f"/>
                <v:textbox>
                  <w:txbxContent>
                    <w:p>
                      <w:pPr>
                        <w:rPr>
                          <w:rFonts w:hint="eastAsia" w:eastAsia="宋体"/>
                          <w:b/>
                          <w:bCs/>
                          <w:color w:val="FF0000"/>
                          <w:sz w:val="24"/>
                          <w:szCs w:val="32"/>
                          <w:lang w:eastAsia="zh-CN"/>
                        </w:rPr>
                      </w:pPr>
                      <w:r>
                        <w:rPr>
                          <w:rFonts w:hint="eastAsia"/>
                          <w:b/>
                          <w:bCs/>
                          <w:color w:val="FF0000"/>
                          <w:sz w:val="24"/>
                          <w:szCs w:val="32"/>
                          <w:lang w:eastAsia="zh-CN"/>
                        </w:rPr>
                        <w:t>项目位置</w:t>
                      </w:r>
                    </w:p>
                  </w:txbxContent>
                </v:textbox>
              </v:shape>
            </w:pict>
          </mc:Fallback>
        </mc:AlternateContent>
      </w:r>
      <w:r>
        <w:rPr>
          <w:rFonts w:hint="eastAsia" w:ascii="Times New Roman" w:hAnsi="Times New Roman" w:eastAsia="宋体" w:cs="Times New Roman"/>
          <w:b/>
          <w:bCs/>
          <w:color w:val="auto"/>
          <w:sz w:val="24"/>
          <w:szCs w:val="22"/>
          <w:lang w:eastAsia="zh-CN"/>
        </w:rPr>
        <w:drawing>
          <wp:anchor distT="0" distB="0" distL="114300" distR="114300" simplePos="0" relativeHeight="251677696" behindDoc="0" locked="0" layoutInCell="1" allowOverlap="1">
            <wp:simplePos x="0" y="0"/>
            <wp:positionH relativeFrom="column">
              <wp:posOffset>7630795</wp:posOffset>
            </wp:positionH>
            <wp:positionV relativeFrom="paragraph">
              <wp:posOffset>11430</wp:posOffset>
            </wp:positionV>
            <wp:extent cx="941705" cy="895985"/>
            <wp:effectExtent l="0" t="0" r="10795" b="18415"/>
            <wp:wrapNone/>
            <wp:docPr id="14" name="图片 14" descr="742366eac10c8d5f7027e2afea000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742366eac10c8d5f7027e2afea0001f"/>
                    <pic:cNvPicPr>
                      <a:picLocks noChangeAspect="1"/>
                    </pic:cNvPicPr>
                  </pic:nvPicPr>
                  <pic:blipFill>
                    <a:blip r:embed="rId43"/>
                    <a:stretch>
                      <a:fillRect/>
                    </a:stretch>
                  </pic:blipFill>
                  <pic:spPr>
                    <a:xfrm>
                      <a:off x="0" y="0"/>
                      <a:ext cx="941705" cy="895985"/>
                    </a:xfrm>
                    <a:prstGeom prst="rect">
                      <a:avLst/>
                    </a:prstGeom>
                  </pic:spPr>
                </pic:pic>
              </a:graphicData>
            </a:graphic>
          </wp:anchor>
        </w:drawing>
      </w:r>
      <w:r>
        <w:rPr>
          <w:rFonts w:hint="eastAsia" w:ascii="Times New Roman" w:hAnsi="Times New Roman" w:eastAsia="宋体" w:cs="Times New Roman"/>
          <w:b/>
          <w:bCs/>
          <w:color w:val="auto"/>
          <w:sz w:val="24"/>
          <w:szCs w:val="22"/>
          <w:lang w:val="en-US" w:eastAsia="zh-CN"/>
        </w:rPr>
        <w:drawing>
          <wp:inline distT="0" distB="0" distL="114300" distR="114300">
            <wp:extent cx="8597265" cy="5141595"/>
            <wp:effectExtent l="0" t="0" r="13335" b="1905"/>
            <wp:docPr id="13" name="图片 13" descr="油库周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油库周边"/>
                    <pic:cNvPicPr>
                      <a:picLocks noChangeAspect="1"/>
                    </pic:cNvPicPr>
                  </pic:nvPicPr>
                  <pic:blipFill>
                    <a:blip r:embed="rId45"/>
                    <a:srcRect l="15165" r="9554" b="2658"/>
                    <a:stretch>
                      <a:fillRect/>
                    </a:stretch>
                  </pic:blipFill>
                  <pic:spPr>
                    <a:xfrm>
                      <a:off x="0" y="0"/>
                      <a:ext cx="8597265" cy="5141595"/>
                    </a:xfrm>
                    <a:prstGeom prst="rect">
                      <a:avLst/>
                    </a:prstGeom>
                  </pic:spPr>
                </pic:pic>
              </a:graphicData>
            </a:graphic>
          </wp:inline>
        </w:drawing>
      </w:r>
    </w:p>
    <w:p>
      <w:pPr>
        <w:adjustRightInd w:val="0"/>
        <w:snapToGrid w:val="0"/>
        <w:ind w:left="0" w:leftChars="0" w:right="0" w:rightChars="0" w:firstLine="0" w:firstLineChars="0"/>
        <w:jc w:val="center"/>
        <w:rPr>
          <w:rFonts w:hint="default" w:ascii="Times New Roman" w:hAnsi="Times New Roman" w:cs="Times New Roman"/>
          <w:b/>
          <w:bCs/>
          <w:color w:val="auto"/>
          <w:sz w:val="24"/>
          <w:szCs w:val="22"/>
        </w:rPr>
      </w:pPr>
    </w:p>
    <w:p>
      <w:pPr>
        <w:pStyle w:val="11"/>
        <w:ind w:left="0" w:leftChars="0" w:firstLine="0" w:firstLineChars="0"/>
        <w:rPr>
          <w:rFonts w:hint="default"/>
          <w:color w:val="auto"/>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9"/>
        <w:rPr>
          <w:rFonts w:hint="eastAsia" w:ascii="Times New Roman" w:eastAsia="黑体" w:cs="Times New Roman"/>
          <w:bCs/>
          <w:color w:val="auto"/>
          <w:lang w:eastAsia="zh-CN"/>
        </w:rPr>
      </w:pPr>
      <w:r>
        <w:rPr>
          <w:rFonts w:ascii="Times New Roman" w:eastAsia="黑体" w:cs="Times New Roman"/>
          <w:bCs/>
          <w:color w:val="auto"/>
        </w:rPr>
        <w:t>附图</w:t>
      </w:r>
      <w:r>
        <w:rPr>
          <w:rFonts w:hint="eastAsia" w:ascii="Times New Roman" w:eastAsia="黑体" w:cs="Times New Roman"/>
          <w:bCs/>
          <w:color w:val="auto"/>
          <w:lang w:val="en-US" w:eastAsia="zh-CN"/>
        </w:rPr>
        <w:t>3</w:t>
      </w:r>
      <w:r>
        <w:rPr>
          <w:rFonts w:ascii="Times New Roman" w:eastAsia="黑体" w:cs="Times New Roman"/>
          <w:bCs/>
          <w:color w:val="auto"/>
        </w:rPr>
        <w:t>：淄博市</w:t>
      </w:r>
      <w:r>
        <w:rPr>
          <w:rFonts w:hint="eastAsia" w:ascii="Times New Roman" w:eastAsia="黑体" w:cs="Times New Roman"/>
          <w:bCs/>
          <w:color w:val="auto"/>
          <w:lang w:eastAsia="zh-CN"/>
        </w:rPr>
        <w:t>饮用水水源地分布图</w:t>
      </w:r>
    </w:p>
    <w:p>
      <w:pPr>
        <w:pStyle w:val="9"/>
        <w:rPr>
          <w:rFonts w:ascii="Times New Roman" w:cs="Times New Roman"/>
          <w:color w:val="auto"/>
        </w:rPr>
      </w:pPr>
      <w:r>
        <w:rPr>
          <w:color w:val="auto"/>
        </w:rPr>
        <mc:AlternateContent>
          <mc:Choice Requires="wps">
            <w:drawing>
              <wp:anchor distT="0" distB="0" distL="114300" distR="114300" simplePos="0" relativeHeight="251669504" behindDoc="0" locked="0" layoutInCell="1" allowOverlap="1">
                <wp:simplePos x="0" y="0"/>
                <wp:positionH relativeFrom="column">
                  <wp:posOffset>3982720</wp:posOffset>
                </wp:positionH>
                <wp:positionV relativeFrom="paragraph">
                  <wp:posOffset>3061335</wp:posOffset>
                </wp:positionV>
                <wp:extent cx="810260" cy="241300"/>
                <wp:effectExtent l="614045" t="4445" r="4445" b="592455"/>
                <wp:wrapNone/>
                <wp:docPr id="16" name="矩形标注 16"/>
                <wp:cNvGraphicFramePr/>
                <a:graphic xmlns:a="http://schemas.openxmlformats.org/drawingml/2006/main">
                  <a:graphicData uri="http://schemas.microsoft.com/office/word/2010/wordprocessingShape">
                    <wps:wsp>
                      <wps:cNvSpPr/>
                      <wps:spPr>
                        <a:xfrm>
                          <a:off x="0" y="0"/>
                          <a:ext cx="810260" cy="241300"/>
                        </a:xfrm>
                        <a:prstGeom prst="wedgeRectCallout">
                          <a:avLst>
                            <a:gd name="adj1" fmla="val -121704"/>
                            <a:gd name="adj2" fmla="val 281579"/>
                          </a:avLst>
                        </a:prstGeom>
                        <a:solidFill>
                          <a:srgbClr val="FFFFFF"/>
                        </a:solidFill>
                        <a:ln w="3175" cap="flat" cmpd="sng">
                          <a:solidFill>
                            <a:srgbClr val="000000"/>
                          </a:solidFill>
                          <a:prstDash val="solid"/>
                          <a:miter/>
                          <a:headEnd type="none" w="med" len="med"/>
                          <a:tailEnd type="none" w="med" len="med"/>
                        </a:ln>
                      </wps:spPr>
                      <wps:txbx>
                        <w:txbxContent>
                          <w:p>
                            <w:pPr>
                              <w:spacing w:before="95" w:beforeLines="30" w:line="240" w:lineRule="exact"/>
                              <w:jc w:val="center"/>
                              <w:rPr>
                                <w:rFonts w:hint="eastAsia"/>
                                <w:color w:val="000000"/>
                              </w:rPr>
                            </w:pPr>
                            <w:r>
                              <w:rPr>
                                <w:rFonts w:hint="eastAsia"/>
                                <w:color w:val="000000"/>
                              </w:rPr>
                              <w:t>项目位置</w:t>
                            </w:r>
                          </w:p>
                        </w:txbxContent>
                      </wps:txbx>
                      <wps:bodyPr lIns="91440" tIns="0" rIns="91440" bIns="0" upright="1"/>
                    </wps:wsp>
                  </a:graphicData>
                </a:graphic>
              </wp:anchor>
            </w:drawing>
          </mc:Choice>
          <mc:Fallback>
            <w:pict>
              <v:shape id="_x0000_s1026" o:spid="_x0000_s1026" o:spt="61" type="#_x0000_t61" style="position:absolute;left:0pt;margin-left:313.6pt;margin-top:241.05pt;height:19pt;width:63.8pt;z-index:251669504;mso-width-relative:page;mso-height-relative:page;" fillcolor="#FFFFFF" filled="t" stroked="t" coordsize="21600,21600" o:gfxdata="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BUGbINkAAAALAQAADwAA&#10;AAAAAAABACAAAAAiAAAAZHJzL2Rvd25yZXYueG1sUEsBAhQAFAAAAAgAh07iQNkWuGpOAgAAvAQA&#10;AA4AAAAAAAAAAQAgAAAAKAEAAGRycy9lMm9Eb2MueG1sUEsFBgAAAAAGAAYAWQEAAOgFAAAAAA==&#10;" adj="-15488,71621">
                <v:fill on="t" focussize="0,0"/>
                <v:stroke weight="0.25pt" color="#000000" joinstyle="miter"/>
                <v:imagedata o:title=""/>
                <o:lock v:ext="edit" aspectratio="f"/>
                <v:textbox inset="2.54mm,0mm,2.54mm,0mm">
                  <w:txbxContent>
                    <w:p>
                      <w:pPr>
                        <w:spacing w:before="95" w:beforeLines="30" w:line="240" w:lineRule="exact"/>
                        <w:jc w:val="center"/>
                        <w:rPr>
                          <w:rFonts w:hint="eastAsia"/>
                          <w:color w:val="000000"/>
                        </w:rPr>
                      </w:pPr>
                      <w:r>
                        <w:rPr>
                          <w:rFonts w:hint="eastAsia"/>
                          <w:color w:val="000000"/>
                        </w:rPr>
                        <w:t>项目位置</w:t>
                      </w:r>
                    </w:p>
                  </w:txbxContent>
                </v:textbox>
              </v:shape>
            </w:pict>
          </mc:Fallback>
        </mc:AlternateContent>
      </w:r>
      <w:r>
        <w:rPr>
          <w:color w:val="auto"/>
        </w:rPr>
        <mc:AlternateContent>
          <mc:Choice Requires="wps">
            <w:drawing>
              <wp:anchor distT="0" distB="0" distL="114300" distR="114300" simplePos="0" relativeHeight="251670528" behindDoc="0" locked="0" layoutInCell="1" allowOverlap="1">
                <wp:simplePos x="0" y="0"/>
                <wp:positionH relativeFrom="column">
                  <wp:posOffset>3354705</wp:posOffset>
                </wp:positionH>
                <wp:positionV relativeFrom="paragraph">
                  <wp:posOffset>3839210</wp:posOffset>
                </wp:positionV>
                <wp:extent cx="75565" cy="75565"/>
                <wp:effectExtent l="4445" t="4445" r="15240" b="15240"/>
                <wp:wrapNone/>
                <wp:docPr id="19" name="矩形 19"/>
                <wp:cNvGraphicFramePr/>
                <a:graphic xmlns:a="http://schemas.openxmlformats.org/drawingml/2006/main">
                  <a:graphicData uri="http://schemas.microsoft.com/office/word/2010/wordprocessingShape">
                    <wps:wsp>
                      <wps:cNvSpPr/>
                      <wps:spPr>
                        <a:xfrm>
                          <a:off x="0" y="0"/>
                          <a:ext cx="75565" cy="75565"/>
                        </a:xfrm>
                        <a:prstGeom prst="rect">
                          <a:avLst/>
                        </a:prstGeom>
                        <a:solidFill>
                          <a:srgbClr val="000000"/>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rect id="_x0000_s1026" o:spid="_x0000_s1026" o:spt="1" style="position:absolute;left:0pt;margin-left:264.15pt;margin-top:302.3pt;height:5.95pt;width:5.95pt;z-index:251670528;mso-width-relative:page;mso-height-relative:page;" fillcolor="#000000" filled="t" stroked="t" coordsize="21600,21600" o:gfxdata="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VsmZDZAAAACwEAAA8AAAAAAAAAAQAgAAAAIgAAAGRycy9kb3ducmV2Lnht&#10;bFBLAQIUABQAAAAIAIdO4kD2P1d8+AEAACgEAAAOAAAAAAAAAAEAIAAAACgBAABkcnMvZTJvRG9j&#10;LnhtbFBLBQYAAAAABgAGAFkBAACSBQAAAAA=&#10;">
                <v:fill on="t" focussize="0,0"/>
                <v:stroke color="#000000" joinstyle="miter"/>
                <v:imagedata o:title=""/>
                <o:lock v:ext="edit" aspectratio="f"/>
                <v:textbox>
                  <w:txbxContent>
                    <w:p/>
                  </w:txbxContent>
                </v:textbox>
              </v:rect>
            </w:pict>
          </mc:Fallback>
        </mc:AlternateContent>
      </w:r>
      <w:r>
        <w:rPr>
          <w:rFonts w:hint="eastAsia" w:ascii="Times New Roman" w:hAnsi="Times New Roman" w:eastAsia="宋体" w:cs="Times New Roman"/>
          <w:b/>
          <w:bCs/>
          <w:color w:val="auto"/>
          <w:sz w:val="24"/>
          <w:szCs w:val="22"/>
          <w:lang w:eastAsia="zh-CN"/>
        </w:rPr>
        <w:drawing>
          <wp:anchor distT="0" distB="0" distL="114300" distR="114300" simplePos="0" relativeHeight="251673600" behindDoc="0" locked="0" layoutInCell="1" allowOverlap="1">
            <wp:simplePos x="0" y="0"/>
            <wp:positionH relativeFrom="column">
              <wp:posOffset>33020</wp:posOffset>
            </wp:positionH>
            <wp:positionV relativeFrom="paragraph">
              <wp:posOffset>34925</wp:posOffset>
            </wp:positionV>
            <wp:extent cx="941705" cy="895985"/>
            <wp:effectExtent l="0" t="0" r="10795" b="18415"/>
            <wp:wrapNone/>
            <wp:docPr id="90" name="图片 90" descr="742366eac10c8d5f7027e2afea000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742366eac10c8d5f7027e2afea0001f"/>
                    <pic:cNvPicPr>
                      <a:picLocks noChangeAspect="1"/>
                    </pic:cNvPicPr>
                  </pic:nvPicPr>
                  <pic:blipFill>
                    <a:blip r:embed="rId43"/>
                    <a:stretch>
                      <a:fillRect/>
                    </a:stretch>
                  </pic:blipFill>
                  <pic:spPr>
                    <a:xfrm>
                      <a:off x="0" y="0"/>
                      <a:ext cx="941705" cy="895985"/>
                    </a:xfrm>
                    <a:prstGeom prst="rect">
                      <a:avLst/>
                    </a:prstGeom>
                  </pic:spPr>
                </pic:pic>
              </a:graphicData>
            </a:graphic>
          </wp:anchor>
        </w:drawing>
      </w:r>
      <w:r>
        <w:rPr>
          <w:color w:val="auto"/>
          <w:sz w:val="24"/>
        </w:rPr>
        <mc:AlternateContent>
          <mc:Choice Requires="wps">
            <w:drawing>
              <wp:anchor distT="0" distB="0" distL="114300" distR="114300" simplePos="0" relativeHeight="251671552" behindDoc="0" locked="0" layoutInCell="1" allowOverlap="1">
                <wp:simplePos x="0" y="0"/>
                <wp:positionH relativeFrom="column">
                  <wp:posOffset>2783205</wp:posOffset>
                </wp:positionH>
                <wp:positionV relativeFrom="paragraph">
                  <wp:posOffset>80645</wp:posOffset>
                </wp:positionV>
                <wp:extent cx="2362200" cy="428625"/>
                <wp:effectExtent l="0" t="0" r="0" b="9525"/>
                <wp:wrapNone/>
                <wp:docPr id="20" name="矩形 20"/>
                <wp:cNvGraphicFramePr/>
                <a:graphic xmlns:a="http://schemas.openxmlformats.org/drawingml/2006/main">
                  <a:graphicData uri="http://schemas.microsoft.com/office/word/2010/wordprocessingShape">
                    <wps:wsp>
                      <wps:cNvSpPr/>
                      <wps:spPr>
                        <a:xfrm>
                          <a:off x="0" y="0"/>
                          <a:ext cx="2362200" cy="428625"/>
                        </a:xfrm>
                        <a:prstGeom prst="rect">
                          <a:avLst/>
                        </a:prstGeom>
                        <a:solidFill>
                          <a:srgbClr val="FFFFFF"/>
                        </a:solidFill>
                        <a:ln>
                          <a:noFill/>
                        </a:ln>
                      </wps:spPr>
                      <wps:txbx>
                        <w:txbxContent>
                          <w:p>
                            <w:pPr>
                              <w:rPr>
                                <w:rFonts w:hint="eastAsia"/>
                                <w:sz w:val="28"/>
                                <w:szCs w:val="36"/>
                                <w:lang w:eastAsia="zh-CN"/>
                              </w:rPr>
                            </w:pPr>
                            <w:r>
                              <w:rPr>
                                <w:rFonts w:ascii="Times New Roman" w:eastAsia="黑体" w:cs="Times New Roman"/>
                                <w:bCs/>
                                <w:color w:val="auto"/>
                                <w:sz w:val="28"/>
                                <w:szCs w:val="36"/>
                              </w:rPr>
                              <w:t>淄博市</w:t>
                            </w:r>
                            <w:r>
                              <w:rPr>
                                <w:rFonts w:hint="eastAsia" w:ascii="Times New Roman" w:eastAsia="黑体" w:cs="Times New Roman"/>
                                <w:bCs/>
                                <w:color w:val="auto"/>
                                <w:sz w:val="28"/>
                                <w:szCs w:val="36"/>
                                <w:lang w:eastAsia="zh-CN"/>
                              </w:rPr>
                              <w:t>饮用水水源地分布图</w:t>
                            </w:r>
                          </w:p>
                        </w:txbxContent>
                      </wps:txbx>
                      <wps:bodyPr upright="1"/>
                    </wps:wsp>
                  </a:graphicData>
                </a:graphic>
              </wp:anchor>
            </w:drawing>
          </mc:Choice>
          <mc:Fallback>
            <w:pict>
              <v:rect id="_x0000_s1026" o:spid="_x0000_s1026" o:spt="1" style="position:absolute;left:0pt;margin-left:219.15pt;margin-top:6.35pt;height:33.75pt;width:186pt;z-index:251671552;mso-width-relative:page;mso-height-relative:page;" fillcolor="#FFFFFF" filled="t" stroked="f" coordsize="21600,21600" o:gfxdata="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tmRdYAAAAJAQAADwAAAAAAAAABACAAAAAiAAAAZHJzL2Rvd25yZXYueG1sUEsBAhQAFAAAAAgA&#10;h07iQImBq/G1AQAAbAMAAA4AAAAAAAAAAQAgAAAAJQEAAGRycy9lMm9Eb2MueG1sUEsFBgAAAAAG&#10;AAYAWQEAAEwFAAAAAA==&#10;">
                <v:fill on="t" focussize="0,0"/>
                <v:stroke on="f"/>
                <v:imagedata o:title=""/>
                <o:lock v:ext="edit" aspectratio="f"/>
                <v:textbox>
                  <w:txbxContent>
                    <w:p>
                      <w:pPr>
                        <w:rPr>
                          <w:rFonts w:hint="eastAsia"/>
                          <w:sz w:val="28"/>
                          <w:szCs w:val="36"/>
                          <w:lang w:eastAsia="zh-CN"/>
                        </w:rPr>
                      </w:pPr>
                      <w:r>
                        <w:rPr>
                          <w:rFonts w:ascii="Times New Roman" w:eastAsia="黑体" w:cs="Times New Roman"/>
                          <w:bCs/>
                          <w:color w:val="auto"/>
                          <w:sz w:val="28"/>
                          <w:szCs w:val="36"/>
                        </w:rPr>
                        <w:t>淄博市</w:t>
                      </w:r>
                      <w:r>
                        <w:rPr>
                          <w:rFonts w:hint="eastAsia" w:ascii="Times New Roman" w:eastAsia="黑体" w:cs="Times New Roman"/>
                          <w:bCs/>
                          <w:color w:val="auto"/>
                          <w:sz w:val="28"/>
                          <w:szCs w:val="36"/>
                          <w:lang w:eastAsia="zh-CN"/>
                        </w:rPr>
                        <w:t>饮用水水源地分布图</w:t>
                      </w:r>
                    </w:p>
                  </w:txbxContent>
                </v:textbox>
              </v:rect>
            </w:pict>
          </mc:Fallback>
        </mc:AlternateContent>
      </w:r>
      <w:r>
        <w:rPr>
          <w:rFonts w:ascii="Times New Roman" w:cs="Times New Roman"/>
          <w:color w:val="auto"/>
        </w:rPr>
        <w:drawing>
          <wp:inline distT="0" distB="0" distL="114300" distR="114300">
            <wp:extent cx="7857490" cy="5568315"/>
            <wp:effectExtent l="9525" t="9525" r="22860" b="19685"/>
            <wp:docPr id="21" name="图片 3" descr="F:\猴子果果（山东）食品科技有限公司-猴子果果（山东）食品科技有限公司高端鲜榨果汁生产基地建设项目\1654824229(1).jpg1654824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descr="F:\猴子果果（山东）食品科技有限公司-猴子果果（山东）食品科技有限公司高端鲜榨果汁生产基地建设项目\1654824229(1).jpg1654824229(1)"/>
                    <pic:cNvPicPr>
                      <a:picLocks noChangeAspect="1"/>
                    </pic:cNvPicPr>
                  </pic:nvPicPr>
                  <pic:blipFill>
                    <a:blip r:embed="rId46"/>
                    <a:stretch>
                      <a:fillRect/>
                    </a:stretch>
                  </pic:blipFill>
                  <pic:spPr>
                    <a:xfrm rot="5400000">
                      <a:off x="0" y="0"/>
                      <a:ext cx="7857490" cy="5568315"/>
                    </a:xfrm>
                    <a:prstGeom prst="rect">
                      <a:avLst/>
                    </a:prstGeom>
                    <a:noFill/>
                    <a:ln w="3175" cap="flat" cmpd="sng">
                      <a:solidFill>
                        <a:srgbClr val="000000"/>
                      </a:solidFill>
                      <a:prstDash val="solid"/>
                      <a:round/>
                      <a:headEnd type="none" w="med" len="med"/>
                      <a:tailEnd type="none" w="med" len="med"/>
                    </a:ln>
                  </pic:spPr>
                </pic:pic>
              </a:graphicData>
            </a:graphic>
          </wp:inline>
        </w:drawing>
      </w:r>
    </w:p>
    <w:p>
      <w:pPr>
        <w:pStyle w:val="9"/>
        <w:rPr>
          <w:rFonts w:hint="default" w:ascii="Times New Roman" w:hAnsi="Times New Roman" w:eastAsia="黑体" w:cs="Times New Roman"/>
          <w:b w:val="0"/>
          <w:bCs/>
          <w:color w:val="auto"/>
          <w:szCs w:val="24"/>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9"/>
        <w:rPr>
          <w:rFonts w:hint="default"/>
          <w:color w:val="auto"/>
          <w:lang w:eastAsia="zh-CN"/>
        </w:rPr>
      </w:pPr>
      <w:r>
        <w:rPr>
          <w:rFonts w:hint="eastAsia" w:ascii="Times New Roman" w:hAnsi="Times New Roman" w:eastAsia="宋体" w:cs="Times New Roman"/>
          <w:b/>
          <w:bCs/>
          <w:color w:val="auto"/>
          <w:sz w:val="24"/>
          <w:szCs w:val="22"/>
          <w:lang w:eastAsia="zh-CN"/>
        </w:rPr>
        <w:drawing>
          <wp:anchor distT="0" distB="0" distL="114300" distR="114300" simplePos="0" relativeHeight="251678720" behindDoc="1" locked="0" layoutInCell="1" allowOverlap="1">
            <wp:simplePos x="0" y="0"/>
            <wp:positionH relativeFrom="column">
              <wp:posOffset>2037080</wp:posOffset>
            </wp:positionH>
            <wp:positionV relativeFrom="paragraph">
              <wp:posOffset>-527685</wp:posOffset>
            </wp:positionV>
            <wp:extent cx="8606155" cy="10363200"/>
            <wp:effectExtent l="0" t="0" r="0" b="4445"/>
            <wp:wrapNone/>
            <wp:docPr id="47" name="图片 47" descr="总平及周边0218_t3(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总平及周边0218_t3(1)_1"/>
                    <pic:cNvPicPr>
                      <a:picLocks noChangeAspect="1"/>
                    </pic:cNvPicPr>
                  </pic:nvPicPr>
                  <pic:blipFill>
                    <a:blip r:embed="rId47"/>
                    <a:srcRect l="14026" t="11547" r="8785" b="22767"/>
                    <a:stretch>
                      <a:fillRect/>
                    </a:stretch>
                  </pic:blipFill>
                  <pic:spPr>
                    <a:xfrm rot="16200000">
                      <a:off x="0" y="0"/>
                      <a:ext cx="8606155" cy="10363200"/>
                    </a:xfrm>
                    <a:prstGeom prst="rect">
                      <a:avLst/>
                    </a:prstGeom>
                  </pic:spPr>
                </pic:pic>
              </a:graphicData>
            </a:graphic>
          </wp:anchor>
        </w:drawing>
      </w:r>
      <w:r>
        <w:rPr>
          <w:rFonts w:hint="default" w:ascii="Times New Roman" w:hAnsi="Times New Roman" w:eastAsia="黑体" w:cs="Times New Roman"/>
          <w:b w:val="0"/>
          <w:bCs/>
          <w:color w:val="auto"/>
          <w:szCs w:val="24"/>
          <w:lang w:eastAsia="zh-CN"/>
        </w:rPr>
        <w:t>附图</w:t>
      </w:r>
      <w:r>
        <w:rPr>
          <w:rFonts w:hint="eastAsia" w:ascii="Times New Roman" w:hAnsi="Times New Roman" w:eastAsia="黑体" w:cs="Times New Roman"/>
          <w:b w:val="0"/>
          <w:bCs/>
          <w:color w:val="auto"/>
          <w:szCs w:val="24"/>
          <w:lang w:val="en-US" w:eastAsia="zh-CN"/>
        </w:rPr>
        <w:t>4：</w:t>
      </w:r>
      <w:r>
        <w:rPr>
          <w:rFonts w:hint="default" w:ascii="Times New Roman" w:hAnsi="Times New Roman" w:eastAsia="黑体" w:cs="Times New Roman"/>
          <w:b w:val="0"/>
          <w:bCs/>
          <w:color w:val="auto"/>
          <w:szCs w:val="24"/>
          <w:lang w:val="en-US" w:eastAsia="zh-CN"/>
        </w:rPr>
        <w:t>项目厂区平面布置图</w:t>
      </w:r>
      <w:r>
        <w:rPr>
          <w:rFonts w:hint="eastAsia" w:ascii="Times New Roman" w:hAnsi="Times New Roman" w:eastAsia="黑体" w:cs="Times New Roman"/>
          <w:b w:val="0"/>
          <w:bCs/>
          <w:color w:val="auto"/>
          <w:szCs w:val="24"/>
          <w:lang w:val="en-US" w:eastAsia="zh-CN"/>
        </w:rPr>
        <w:t>（1:2000）</w:t>
      </w:r>
    </w:p>
    <w:p>
      <w:pPr>
        <w:rPr>
          <w:rFonts w:hint="default"/>
          <w:color w:val="auto"/>
          <w:lang w:eastAsia="zh-CN"/>
        </w:rPr>
      </w:pPr>
    </w:p>
    <w:p>
      <w:pPr>
        <w:pStyle w:val="13"/>
        <w:jc w:val="center"/>
        <w:rPr>
          <w:rFonts w:hint="default"/>
          <w:color w:val="auto"/>
          <w:lang w:eastAsia="zh-CN"/>
        </w:rPr>
        <w:sectPr>
          <w:pgSz w:w="23811" w:h="16838"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
          <w:bCs/>
          <w:color w:val="auto"/>
          <w:sz w:val="24"/>
          <w:szCs w:val="22"/>
          <w:lang w:eastAsia="zh-CN"/>
        </w:rPr>
        <w:drawing>
          <wp:anchor distT="0" distB="0" distL="114300" distR="114300" simplePos="0" relativeHeight="251676672" behindDoc="0" locked="0" layoutInCell="1" allowOverlap="1">
            <wp:simplePos x="0" y="0"/>
            <wp:positionH relativeFrom="column">
              <wp:posOffset>10416540</wp:posOffset>
            </wp:positionH>
            <wp:positionV relativeFrom="paragraph">
              <wp:posOffset>57785</wp:posOffset>
            </wp:positionV>
            <wp:extent cx="941705" cy="895985"/>
            <wp:effectExtent l="0" t="0" r="10795" b="18415"/>
            <wp:wrapNone/>
            <wp:docPr id="11" name="图片 11" descr="742366eac10c8d5f7027e2afea000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742366eac10c8d5f7027e2afea0001f"/>
                    <pic:cNvPicPr>
                      <a:picLocks noChangeAspect="1"/>
                    </pic:cNvPicPr>
                  </pic:nvPicPr>
                  <pic:blipFill>
                    <a:blip r:embed="rId43"/>
                    <a:stretch>
                      <a:fillRect/>
                    </a:stretch>
                  </pic:blipFill>
                  <pic:spPr>
                    <a:xfrm>
                      <a:off x="0" y="0"/>
                      <a:ext cx="941705" cy="895985"/>
                    </a:xfrm>
                    <a:prstGeom prst="rect">
                      <a:avLst/>
                    </a:prstGeom>
                  </pic:spPr>
                </pic:pic>
              </a:graphicData>
            </a:graphic>
          </wp:anchor>
        </w:drawing>
      </w:r>
    </w:p>
    <w:p>
      <w:pPr>
        <w:pStyle w:val="9"/>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t>附图</w:t>
      </w:r>
      <w:r>
        <w:rPr>
          <w:rFonts w:hint="eastAsia" w:ascii="Times New Roman" w:hAnsi="Times New Roman" w:eastAsia="黑体" w:cs="Times New Roman"/>
          <w:b w:val="0"/>
          <w:bCs/>
          <w:color w:val="auto"/>
          <w:szCs w:val="24"/>
          <w:lang w:val="en-US" w:eastAsia="zh-CN"/>
        </w:rPr>
        <w:t>5</w:t>
      </w:r>
      <w:r>
        <w:rPr>
          <w:rFonts w:hint="default" w:ascii="Times New Roman" w:hAnsi="Times New Roman" w:eastAsia="黑体" w:cs="Times New Roman"/>
          <w:b w:val="0"/>
          <w:bCs/>
          <w:color w:val="auto"/>
          <w:szCs w:val="24"/>
          <w:lang w:val="en-US" w:eastAsia="zh-CN"/>
        </w:rPr>
        <w:t>：</w:t>
      </w:r>
      <w:r>
        <w:rPr>
          <w:rFonts w:hint="default" w:ascii="Times New Roman" w:hAnsi="Times New Roman" w:eastAsia="黑体" w:cs="Times New Roman"/>
          <w:b w:val="0"/>
          <w:bCs/>
          <w:color w:val="auto"/>
          <w:szCs w:val="24"/>
          <w:lang w:eastAsia="zh-CN"/>
        </w:rPr>
        <w:t>淄博市省级生态保护红线图</w:t>
      </w:r>
    </w:p>
    <w:p>
      <w:pPr>
        <w:pStyle w:val="77"/>
        <w:ind w:firstLine="0" w:firstLineChars="0"/>
        <w:rPr>
          <w:rFonts w:hint="default" w:ascii="Times New Roman" w:hAnsi="Times New Roman" w:eastAsia="黑体" w:cs="Times New Roman"/>
          <w:color w:val="auto"/>
        </w:rPr>
      </w:pPr>
      <w:r>
        <w:rPr>
          <w:rFonts w:hint="default" w:ascii="Times New Roman" w:hAnsi="Times New Roman" w:cs="Times New Roman"/>
          <w:color w:val="auto"/>
          <w:sz w:val="24"/>
        </w:rPr>
        <w:drawing>
          <wp:anchor distT="0" distB="0" distL="114300" distR="114300" simplePos="0" relativeHeight="251661312" behindDoc="1" locked="0" layoutInCell="1" allowOverlap="1">
            <wp:simplePos x="0" y="0"/>
            <wp:positionH relativeFrom="column">
              <wp:posOffset>-35560</wp:posOffset>
            </wp:positionH>
            <wp:positionV relativeFrom="paragraph">
              <wp:posOffset>93980</wp:posOffset>
            </wp:positionV>
            <wp:extent cx="5636260" cy="8001000"/>
            <wp:effectExtent l="0" t="0" r="2540" b="0"/>
            <wp:wrapNone/>
            <wp:docPr id="27" name="图片 161" descr="5de2066f6d4fe7ffc0c6091a2e2e85b"/>
            <wp:cNvGraphicFramePr/>
            <a:graphic xmlns:a="http://schemas.openxmlformats.org/drawingml/2006/main">
              <a:graphicData uri="http://schemas.openxmlformats.org/drawingml/2006/picture">
                <pic:pic xmlns:pic="http://schemas.openxmlformats.org/drawingml/2006/picture">
                  <pic:nvPicPr>
                    <pic:cNvPr id="27" name="图片 161" descr="5de2066f6d4fe7ffc0c6091a2e2e85b"/>
                    <pic:cNvPicPr/>
                  </pic:nvPicPr>
                  <pic:blipFill>
                    <a:blip r:embed="rId48"/>
                    <a:stretch>
                      <a:fillRect/>
                    </a:stretch>
                  </pic:blipFill>
                  <pic:spPr>
                    <a:xfrm>
                      <a:off x="0" y="0"/>
                      <a:ext cx="5636260" cy="8001000"/>
                    </a:xfrm>
                    <a:prstGeom prst="rect">
                      <a:avLst/>
                    </a:prstGeom>
                    <a:noFill/>
                    <a:ln>
                      <a:noFill/>
                    </a:ln>
                  </pic:spPr>
                </pic:pic>
              </a:graphicData>
            </a:graphic>
          </wp:anchor>
        </w:drawing>
      </w: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r>
        <w:rPr>
          <w:rFonts w:hint="default" w:ascii="Times New Roman" w:hAnsi="Times New Roman" w:cs="Times New Roman"/>
          <w:b/>
          <w:color w:val="auto"/>
          <w:sz w:val="24"/>
          <w:szCs w:val="24"/>
        </w:rPr>
        <mc:AlternateContent>
          <mc:Choice Requires="wps">
            <w:drawing>
              <wp:anchor distT="0" distB="0" distL="114300" distR="114300" simplePos="0" relativeHeight="251662336" behindDoc="0" locked="0" layoutInCell="1" allowOverlap="1">
                <wp:simplePos x="0" y="0"/>
                <wp:positionH relativeFrom="column">
                  <wp:posOffset>3089275</wp:posOffset>
                </wp:positionH>
                <wp:positionV relativeFrom="paragraph">
                  <wp:posOffset>31115</wp:posOffset>
                </wp:positionV>
                <wp:extent cx="1082675" cy="297180"/>
                <wp:effectExtent l="253365" t="4445" r="16510" b="403225"/>
                <wp:wrapNone/>
                <wp:docPr id="28" name="矩形标注 28"/>
                <wp:cNvGraphicFramePr/>
                <a:graphic xmlns:a="http://schemas.openxmlformats.org/drawingml/2006/main">
                  <a:graphicData uri="http://schemas.microsoft.com/office/word/2010/wordprocessingShape">
                    <wps:wsp>
                      <wps:cNvSpPr/>
                      <wps:spPr>
                        <a:xfrm>
                          <a:off x="0" y="0"/>
                          <a:ext cx="1082675" cy="297180"/>
                        </a:xfrm>
                        <a:prstGeom prst="wedgeRectCallout">
                          <a:avLst>
                            <a:gd name="adj1" fmla="val -70527"/>
                            <a:gd name="adj2" fmla="val 172435"/>
                          </a:avLst>
                        </a:prstGeom>
                        <a:solidFill>
                          <a:srgbClr val="C0C0C0">
                            <a:alpha val="60001"/>
                          </a:srgbClr>
                        </a:solidFill>
                        <a:ln w="9525" cap="flat" cmpd="sng">
                          <a:solidFill>
                            <a:srgbClr val="0000CC"/>
                          </a:solidFill>
                          <a:prstDash val="solid"/>
                          <a:miter/>
                          <a:headEnd type="none" w="med" len="med"/>
                          <a:tailEnd type="none" w="med" len="med"/>
                        </a:ln>
                      </wps:spPr>
                      <wps:txbx>
                        <w:txbxContent>
                          <w:p>
                            <w:pPr>
                              <w:jc w:val="center"/>
                              <w:rPr>
                                <w:rFonts w:ascii="Calibri" w:hAnsi="Calibri" w:eastAsia="宋体" w:cs="Times New Roman"/>
                                <w:b/>
                                <w:color w:val="0000CC"/>
                              </w:rPr>
                            </w:pPr>
                            <w:r>
                              <w:rPr>
                                <w:rFonts w:hint="eastAsia" w:ascii="Calibri" w:hAnsi="Calibri" w:eastAsia="宋体" w:cs="Times New Roman"/>
                                <w:b/>
                                <w:color w:val="0000CC"/>
                              </w:rPr>
                              <w:t>项目位置</w:t>
                            </w:r>
                          </w:p>
                        </w:txbxContent>
                      </wps:txbx>
                      <wps:bodyPr upright="1"/>
                    </wps:wsp>
                  </a:graphicData>
                </a:graphic>
              </wp:anchor>
            </w:drawing>
          </mc:Choice>
          <mc:Fallback>
            <w:pict>
              <v:shape id="_x0000_s1026" o:spid="_x0000_s1026" o:spt="61" type="#_x0000_t61" style="position:absolute;left:0pt;margin-left:243.25pt;margin-top:2.45pt;height:23.4pt;width:85.25pt;z-index:251662336;mso-width-relative:page;mso-height-relative:page;" fillcolor="#C0C0C0" filled="t" stroked="t" coordsize="21600,21600" o:gfxdata="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FRsEq2AAAAAgBAAAPAAAA&#10;AAAAAAEAIAAAACIAAABkcnMvZG93bnJldi54bWxQSwECFAAUAAAACACHTuJAwZvZLk4CAACxBAAA&#10;DgAAAAAAAAABACAAAAAnAQAAZHJzL2Uyb0RvYy54bWxQSwUGAAAAAAYABgBZAQAA5wUAAAAA&#10;" adj="-4434,48046">
                <v:fill on="t" opacity="39322f" focussize="0,0"/>
                <v:stroke color="#0000CC" joinstyle="miter"/>
                <v:imagedata o:title=""/>
                <o:lock v:ext="edit" aspectratio="f"/>
                <v:textbox>
                  <w:txbxContent>
                    <w:p>
                      <w:pPr>
                        <w:jc w:val="center"/>
                        <w:rPr>
                          <w:rFonts w:ascii="Calibri" w:hAnsi="Calibri" w:eastAsia="宋体" w:cs="Times New Roman"/>
                          <w:b/>
                          <w:color w:val="0000CC"/>
                        </w:rPr>
                      </w:pPr>
                      <w:r>
                        <w:rPr>
                          <w:rFonts w:hint="eastAsia" w:ascii="Calibri" w:hAnsi="Calibri" w:eastAsia="宋体" w:cs="Times New Roman"/>
                          <w:b/>
                          <w:color w:val="0000CC"/>
                        </w:rPr>
                        <w:t>项目位置</w:t>
                      </w:r>
                    </w:p>
                  </w:txbxContent>
                </v:textbox>
              </v:shape>
            </w:pict>
          </mc:Fallback>
        </mc:AlternateContent>
      </w: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2786380</wp:posOffset>
                </wp:positionH>
                <wp:positionV relativeFrom="paragraph">
                  <wp:posOffset>26035</wp:posOffset>
                </wp:positionV>
                <wp:extent cx="76200" cy="76200"/>
                <wp:effectExtent l="0" t="0" r="0" b="0"/>
                <wp:wrapNone/>
                <wp:docPr id="54" name="椭圆 54"/>
                <wp:cNvGraphicFramePr/>
                <a:graphic xmlns:a="http://schemas.openxmlformats.org/drawingml/2006/main">
                  <a:graphicData uri="http://schemas.microsoft.com/office/word/2010/wordprocessingShape">
                    <wps:wsp>
                      <wps:cNvSpPr/>
                      <wps:spPr>
                        <a:xfrm flipH="1" flipV="1">
                          <a:off x="0" y="0"/>
                          <a:ext cx="76200" cy="76200"/>
                        </a:xfrm>
                        <a:prstGeom prst="ellips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 y;margin-left:219.4pt;margin-top:2.05pt;height:6pt;width:6pt;z-index:251668480;v-text-anchor:middle;mso-width-relative:page;mso-height-relative:page;" fillcolor="#92D050" filled="t" stroked="f" coordsize="21600,21600" o:gfxdata="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ayxqk1wAAAAgBAAAPAAAAAAAAAAEAIAAAACIAAABkcnMvZG93bnJldi54&#10;bWxQSwECFAAUAAAACACHTuJAiHgxAW0CAADVBAAADgAAAAAAAAABACAAAAAmAQAAZHJzL2Uyb0Rv&#10;Yy54bWxQSwUGAAAAAAYABgBZAQAABQYAAAAA&#10;">
                <v:fill on="t" focussize="0,0"/>
                <v:stroke on="f" weight="2pt"/>
                <v:imagedata o:title=""/>
                <o:lock v:ext="edit" aspectratio="f"/>
                <v:textbox>
                  <w:txbxContent>
                    <w:p>
                      <w:pPr>
                        <w:jc w:val="center"/>
                      </w:pPr>
                    </w:p>
                  </w:txbxContent>
                </v:textbox>
              </v:shape>
            </w:pict>
          </mc:Fallback>
        </mc:AlternateContent>
      </w:r>
    </w:p>
    <w:p>
      <w:pPr>
        <w:pStyle w:val="77"/>
        <w:ind w:firstLine="0" w:firstLineChars="0"/>
        <w:rPr>
          <w:rFonts w:hint="default" w:ascii="Times New Roman" w:hAnsi="Times New Roman" w:eastAsia="黑体" w:cs="Times New Roman"/>
          <w:color w:val="auto"/>
        </w:rPr>
      </w:pPr>
    </w:p>
    <w:p>
      <w:pPr>
        <w:pStyle w:val="77"/>
        <w:ind w:firstLine="0" w:firstLineChars="0"/>
        <w:rPr>
          <w:rFonts w:hint="eastAsia" w:ascii="Times New Roman" w:hAnsi="Times New Roman" w:eastAsia="黑体" w:cs="Times New Roman"/>
          <w:color w:val="auto"/>
          <w:lang w:eastAsia="zh-CN"/>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eastAsia" w:ascii="Times New Roman" w:hAnsi="Times New Roman" w:eastAsia="黑体" w:cs="Times New Roman"/>
          <w:color w:val="auto"/>
          <w:lang w:eastAsia="zh-CN"/>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eastAsia" w:ascii="Times New Roman" w:hAnsi="Times New Roman" w:eastAsia="黑体" w:cs="Times New Roman"/>
          <w:color w:val="auto"/>
          <w:lang w:eastAsia="zh-CN"/>
        </w:rPr>
      </w:pPr>
    </w:p>
    <w:p>
      <w:pPr>
        <w:pStyle w:val="77"/>
        <w:ind w:firstLine="0" w:firstLineChars="0"/>
        <w:rPr>
          <w:rFonts w:hint="default" w:ascii="Times New Roman" w:hAnsi="Times New Roman" w:eastAsia="黑体" w:cs="Times New Roman"/>
          <w:color w:val="auto"/>
        </w:rPr>
      </w:pPr>
    </w:p>
    <w:p>
      <w:pPr>
        <w:pStyle w:val="77"/>
        <w:ind w:firstLine="0" w:firstLineChars="0"/>
        <w:rPr>
          <w:rFonts w:hint="default" w:ascii="Times New Roman" w:hAnsi="Times New Roman" w:eastAsia="黑体" w:cs="Times New Roman"/>
          <w:color w:val="auto"/>
        </w:rPr>
      </w:pPr>
    </w:p>
    <w:p>
      <w:pPr>
        <w:pStyle w:val="77"/>
        <w:spacing w:line="240" w:lineRule="auto"/>
        <w:ind w:firstLine="0" w:firstLineChars="0"/>
        <w:rPr>
          <w:rFonts w:hint="default" w:ascii="Times New Roman" w:hAnsi="Times New Roman" w:eastAsia="黑体" w:cs="Times New Roman"/>
          <w:color w:val="auto"/>
        </w:rPr>
      </w:pPr>
    </w:p>
    <w:p>
      <w:pPr>
        <w:pStyle w:val="9"/>
        <w:rPr>
          <w:rFonts w:hint="default" w:ascii="Times New Roman" w:hAnsi="Times New Roman" w:eastAsia="黑体" w:cs="Times New Roman"/>
          <w:b w:val="0"/>
          <w:bCs/>
          <w:color w:val="auto"/>
          <w:szCs w:val="24"/>
          <w:lang w:eastAsia="zh-CN"/>
        </w:rPr>
      </w:pPr>
    </w:p>
    <w:p>
      <w:pPr>
        <w:pStyle w:val="9"/>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t>附图</w:t>
      </w:r>
      <w:r>
        <w:rPr>
          <w:rFonts w:hint="eastAsia" w:ascii="Times New Roman" w:hAnsi="Times New Roman" w:eastAsia="黑体" w:cs="Times New Roman"/>
          <w:b w:val="0"/>
          <w:bCs/>
          <w:color w:val="auto"/>
          <w:szCs w:val="24"/>
          <w:lang w:val="en-US" w:eastAsia="zh-CN"/>
        </w:rPr>
        <w:t>6</w:t>
      </w:r>
      <w:r>
        <w:rPr>
          <w:rFonts w:hint="default" w:ascii="Times New Roman" w:hAnsi="Times New Roman" w:eastAsia="黑体" w:cs="Times New Roman"/>
          <w:b w:val="0"/>
          <w:bCs/>
          <w:color w:val="auto"/>
          <w:szCs w:val="24"/>
          <w:lang w:val="en-US" w:eastAsia="zh-CN"/>
        </w:rPr>
        <w:t>：淄博市环境管控单元图</w:t>
      </w:r>
    </w:p>
    <w:p>
      <w:pPr>
        <w:pStyle w:val="13"/>
        <w:ind w:left="0" w:leftChars="0" w:right="0" w:rightChars="0" w:firstLine="0" w:firstLineChars="0"/>
        <w:jc w:val="center"/>
        <w:rPr>
          <w:rFonts w:hint="eastAsia" w:ascii="Times New Roman" w:hAnsi="Times New Roman" w:eastAsia="宋体" w:cs="Times New Roman"/>
          <w:b/>
          <w:bCs/>
          <w:color w:val="auto"/>
          <w:sz w:val="24"/>
          <w:szCs w:val="28"/>
          <w:lang w:eastAsia="zh-CN"/>
        </w:rPr>
      </w:pPr>
      <w:r>
        <w:rPr>
          <w:rFonts w:hint="default" w:ascii="Times New Roman" w:hAnsi="Times New Roman" w:eastAsia="宋体"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3879850</wp:posOffset>
                </wp:positionH>
                <wp:positionV relativeFrom="paragraph">
                  <wp:posOffset>3324225</wp:posOffset>
                </wp:positionV>
                <wp:extent cx="810260" cy="241300"/>
                <wp:effectExtent l="288925" t="4445" r="5715" b="440055"/>
                <wp:wrapNone/>
                <wp:docPr id="62" name="矩形标注 62"/>
                <wp:cNvGraphicFramePr/>
                <a:graphic xmlns:a="http://schemas.openxmlformats.org/drawingml/2006/main">
                  <a:graphicData uri="http://schemas.microsoft.com/office/word/2010/wordprocessingShape">
                    <wps:wsp>
                      <wps:cNvSpPr/>
                      <wps:spPr>
                        <a:xfrm>
                          <a:off x="0" y="0"/>
                          <a:ext cx="810260" cy="241300"/>
                        </a:xfrm>
                        <a:prstGeom prst="wedgeRectCallout">
                          <a:avLst>
                            <a:gd name="adj1" fmla="val -81974"/>
                            <a:gd name="adj2" fmla="val 214473"/>
                          </a:avLst>
                        </a:prstGeom>
                        <a:solidFill>
                          <a:srgbClr val="FFFFFF"/>
                        </a:solidFill>
                        <a:ln w="3175" cap="flat" cmpd="sng">
                          <a:solidFill>
                            <a:srgbClr val="0B05F9"/>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before="0" w:beforeLines="30" w:line="240" w:lineRule="exact"/>
                              <w:jc w:val="center"/>
                              <w:textAlignment w:val="auto"/>
                              <w:rPr>
                                <w:rFonts w:hint="eastAsia" w:eastAsia="宋体"/>
                                <w:b/>
                                <w:bCs/>
                                <w:color w:val="0B05F9"/>
                                <w:lang w:eastAsia="zh-CN"/>
                              </w:rPr>
                            </w:pPr>
                            <w:r>
                              <w:rPr>
                                <w:rFonts w:hint="eastAsia"/>
                                <w:b/>
                                <w:bCs/>
                                <w:color w:val="0B05F9"/>
                                <w:lang w:eastAsia="zh-CN"/>
                              </w:rPr>
                              <w:t>项目位置</w:t>
                            </w:r>
                          </w:p>
                        </w:txbxContent>
                      </wps:txbx>
                      <wps:bodyPr lIns="91440" tIns="0" rIns="91440" bIns="0" upright="1"/>
                    </wps:wsp>
                  </a:graphicData>
                </a:graphic>
              </wp:anchor>
            </w:drawing>
          </mc:Choice>
          <mc:Fallback>
            <w:pict>
              <v:shape id="_x0000_s1026" o:spid="_x0000_s1026" o:spt="61" type="#_x0000_t61" style="position:absolute;left:0pt;margin-left:305.5pt;margin-top:261.75pt;height:19pt;width:63.8pt;z-index:251663360;mso-width-relative:page;mso-height-relative:page;" fillcolor="#FFFFFF" filled="t" stroked="t" coordsize="21600,21600" o:gfxdata="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ZIcZ5tkAAAALAQAA&#10;DwAAAAAAAAABACAAAAAiAAAAZHJzL2Rvd25yZXYueG1sUEsBAhQAFAAAAAgAh07iQJpzmKpRAgAA&#10;uwQAAA4AAAAAAAAAAQAgAAAAKAEAAGRycy9lMm9Eb2MueG1sUEsFBgAAAAAGAAYAWQEAAOsFAAAA&#10;AA==&#10;" adj="-6906,57126">
                <v:fill on="t" focussize="0,0"/>
                <v:stroke weight="0.25pt" color="#0B05F9" joinstyle="miter"/>
                <v:imagedata o:title=""/>
                <o:lock v:ext="edit" aspectratio="f"/>
                <v:textbox inset="2.54mm,0mm,2.54mm,0mm">
                  <w:txbxContent>
                    <w:p>
                      <w:pPr>
                        <w:keepNext w:val="0"/>
                        <w:keepLines w:val="0"/>
                        <w:pageBreakBefore w:val="0"/>
                        <w:widowControl w:val="0"/>
                        <w:kinsoku/>
                        <w:wordWrap/>
                        <w:overflowPunct/>
                        <w:topLinePunct w:val="0"/>
                        <w:autoSpaceDE/>
                        <w:autoSpaceDN/>
                        <w:bidi w:val="0"/>
                        <w:adjustRightInd/>
                        <w:snapToGrid/>
                        <w:spacing w:before="0" w:beforeLines="30" w:line="240" w:lineRule="exact"/>
                        <w:jc w:val="center"/>
                        <w:textAlignment w:val="auto"/>
                        <w:rPr>
                          <w:rFonts w:hint="eastAsia" w:eastAsia="宋体"/>
                          <w:b/>
                          <w:bCs/>
                          <w:color w:val="0B05F9"/>
                          <w:lang w:eastAsia="zh-CN"/>
                        </w:rPr>
                      </w:pPr>
                      <w:r>
                        <w:rPr>
                          <w:rFonts w:hint="eastAsia"/>
                          <w:b/>
                          <w:bCs/>
                          <w:color w:val="0B05F9"/>
                          <w:lang w:eastAsia="zh-CN"/>
                        </w:rPr>
                        <w:t>项目位置</w:t>
                      </w:r>
                    </w:p>
                  </w:txbxContent>
                </v:textbox>
              </v:shape>
            </w:pict>
          </mc:Fallback>
        </mc:AlternateContent>
      </w:r>
      <w:r>
        <w:rPr>
          <w:rFonts w:hint="default" w:ascii="Times New Roman" w:hAnsi="Times New Roman" w:eastAsia="宋体" w:cs="Times New Roman"/>
          <w:color w:val="auto"/>
          <w:sz w:val="24"/>
        </w:rPr>
        <mc:AlternateContent>
          <mc:Choice Requires="wps">
            <w:drawing>
              <wp:anchor distT="0" distB="0" distL="114300" distR="114300" simplePos="0" relativeHeight="251664384" behindDoc="0" locked="0" layoutInCell="1" allowOverlap="1">
                <wp:simplePos x="0" y="0"/>
                <wp:positionH relativeFrom="column">
                  <wp:posOffset>3545205</wp:posOffset>
                </wp:positionH>
                <wp:positionV relativeFrom="paragraph">
                  <wp:posOffset>3962400</wp:posOffset>
                </wp:positionV>
                <wp:extent cx="75565" cy="75565"/>
                <wp:effectExtent l="4445" t="4445" r="15240" b="15240"/>
                <wp:wrapNone/>
                <wp:docPr id="61" name="矩形 61"/>
                <wp:cNvGraphicFramePr/>
                <a:graphic xmlns:a="http://schemas.openxmlformats.org/drawingml/2006/main">
                  <a:graphicData uri="http://schemas.microsoft.com/office/word/2010/wordprocessingShape">
                    <wps:wsp>
                      <wps:cNvSpPr/>
                      <wps:spPr>
                        <a:xfrm>
                          <a:off x="0" y="0"/>
                          <a:ext cx="75565" cy="75565"/>
                        </a:xfrm>
                        <a:prstGeom prst="rect">
                          <a:avLst/>
                        </a:prstGeom>
                        <a:solidFill>
                          <a:srgbClr val="0B05F9">
                            <a:alpha val="23000"/>
                          </a:srgbClr>
                        </a:solidFill>
                        <a:ln w="3175">
                          <a:solidFill>
                            <a:srgbClr val="0B05F9"/>
                          </a:solidFill>
                        </a:ln>
                      </wps:spPr>
                      <wps:txbx>
                        <w:txbxContent>
                          <w:p>
                            <w:pPr>
                              <w:jc w:val="center"/>
                            </w:pPr>
                          </w:p>
                        </w:txbxContent>
                      </wps:txbx>
                      <wps:bodyPr upright="1"/>
                    </wps:wsp>
                  </a:graphicData>
                </a:graphic>
              </wp:anchor>
            </w:drawing>
          </mc:Choice>
          <mc:Fallback>
            <w:pict>
              <v:rect id="_x0000_s1026" o:spid="_x0000_s1026" o:spt="1" style="position:absolute;left:0pt;margin-left:279.15pt;margin-top:312pt;height:5.95pt;width:5.95pt;z-index:251664384;mso-width-relative:page;mso-height-relative:page;" fillcolor="#0B05F9" filled="t" stroked="t" coordsize="21600,21600" o:gfxdata="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Kx5Fs7YAAAACwEAAA8AAAAAAAAAAQAgAAAA&#10;IgAAAGRycy9kb3ducmV2LnhtbFBLAQIUABQAAAAIAIdO4kCFDrY80gEAALwDAAAOAAAAAAAAAAEA&#10;IAAAACcBAABkcnMvZTJvRG9jLnhtbFBLBQYAAAAABgAGAFkBAABrBQAAAAA=&#10;">
                <v:fill on="t" opacity="15073f" focussize="0,0"/>
                <v:stroke weight="0.25pt" color="#0B05F9" joinstyle="round"/>
                <v:imagedata o:title=""/>
                <o:lock v:ext="edit" aspectratio="f"/>
                <v:textbox>
                  <w:txbxContent>
                    <w:p>
                      <w:pPr>
                        <w:jc w:val="center"/>
                      </w:pPr>
                    </w:p>
                  </w:txbxContent>
                </v:textbox>
              </v:rect>
            </w:pict>
          </mc:Fallback>
        </mc:AlternateContent>
      </w:r>
      <w:r>
        <w:rPr>
          <w:rFonts w:hint="default" w:ascii="Times New Roman" w:hAnsi="Times New Roman" w:eastAsia="宋体" w:cs="Times New Roman"/>
          <w:color w:val="auto"/>
        </w:rPr>
        <w:drawing>
          <wp:inline distT="0" distB="0" distL="114300" distR="114300">
            <wp:extent cx="5456555" cy="7931785"/>
            <wp:effectExtent l="9525" t="9525" r="20320" b="21590"/>
            <wp:docPr id="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pic:cNvPicPr>
                      <a:picLocks noChangeAspect="1"/>
                    </pic:cNvPicPr>
                  </pic:nvPicPr>
                  <pic:blipFill>
                    <a:blip r:embed="rId49"/>
                    <a:srcRect l="20206" t="22485" r="20134" b="16190"/>
                    <a:stretch>
                      <a:fillRect/>
                    </a:stretch>
                  </pic:blipFill>
                  <pic:spPr>
                    <a:xfrm>
                      <a:off x="0" y="0"/>
                      <a:ext cx="5456555" cy="7931785"/>
                    </a:xfrm>
                    <a:prstGeom prst="rect">
                      <a:avLst/>
                    </a:prstGeom>
                    <a:noFill/>
                    <a:ln w="3175" cap="flat" cmpd="sng">
                      <a:solidFill>
                        <a:srgbClr val="000000"/>
                      </a:solidFill>
                      <a:prstDash val="solid"/>
                      <a:miter/>
                      <a:headEnd type="none" w="med" len="med"/>
                      <a:tailEnd type="none" w="med" len="med"/>
                    </a:ln>
                  </pic:spPr>
                </pic:pic>
              </a:graphicData>
            </a:graphic>
          </wp:inline>
        </w:drawing>
      </w:r>
    </w:p>
    <w:p>
      <w:pPr>
        <w:ind w:left="0" w:leftChars="0" w:right="0" w:rightChars="0" w:firstLine="0" w:firstLineChars="0"/>
        <w:jc w:val="center"/>
        <w:rPr>
          <w:rFonts w:hint="default"/>
          <w:color w:val="auto"/>
          <w:sz w:val="24"/>
          <w:szCs w:val="28"/>
        </w:rPr>
      </w:pPr>
    </w:p>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D3A4D67D-2D22-4ED9-A811-2C67959B7848}"/>
  </w:font>
  <w:font w:name="黑体">
    <w:panose1 w:val="02010609060101010101"/>
    <w:charset w:val="86"/>
    <w:family w:val="auto"/>
    <w:pitch w:val="default"/>
    <w:sig w:usb0="800002BF" w:usb1="38CF7CFA" w:usb2="00000016" w:usb3="00000000" w:csb0="00040001" w:csb1="00000000"/>
    <w:embedRegular r:id="rId2" w:fontKey="{4E930255-6A42-4D2E-B8A6-391D4BC2BB96}"/>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embedRegular r:id="rId3" w:fontKey="{FA70FDB3-0174-40C8-A0E4-145410AF16D3}"/>
  </w:font>
  <w:font w:name="微软雅黑">
    <w:panose1 w:val="020B0503020204020204"/>
    <w:charset w:val="86"/>
    <w:family w:val="swiss"/>
    <w:pitch w:val="default"/>
    <w:sig w:usb0="80000287" w:usb1="280F3C52" w:usb2="00000016" w:usb3="00000000" w:csb0="0004001F" w:csb1="00000000"/>
    <w:embedRegular r:id="rId4" w:fontKey="{7A9E8201-E61F-4DBF-8A14-44B98290845E}"/>
  </w:font>
  <w:font w:name="Cambria">
    <w:panose1 w:val="02040503050406030204"/>
    <w:charset w:val="00"/>
    <w:family w:val="roman"/>
    <w:pitch w:val="default"/>
    <w:sig w:usb0="E00002FF" w:usb1="400004FF" w:usb2="00000000" w:usb3="00000000" w:csb0="2000019F" w:csb1="00000000"/>
  </w:font>
  <w:font w:name="华文中宋">
    <w:panose1 w:val="02010600040101010101"/>
    <w:charset w:val="86"/>
    <w:family w:val="auto"/>
    <w:pitch w:val="default"/>
    <w:sig w:usb0="00000287" w:usb1="080F0000" w:usb2="00000000" w:usb3="00000000" w:csb0="0004009F" w:csb1="DFD70000"/>
  </w:font>
  <w:font w:name="Droid Sans">
    <w:altName w:val="Arial Unicode MS"/>
    <w:panose1 w:val="00000000000000000000"/>
    <w:charset w:val="00"/>
    <w:family w:val="auto"/>
    <w:pitch w:val="default"/>
    <w:sig w:usb0="00000000" w:usb1="00000000" w:usb2="00000000" w:usb3="00000000" w:csb0="00040001" w:csb1="00000000"/>
  </w:font>
  <w:font w:name="仿宋_GB2312">
    <w:panose1 w:val="02010609030101010101"/>
    <w:charset w:val="86"/>
    <w:family w:val="modern"/>
    <w:pitch w:val="default"/>
    <w:sig w:usb0="00000001" w:usb1="080E0000" w:usb2="00000000" w:usb3="00000000" w:csb0="00040000" w:csb1="00000000"/>
    <w:embedRegular r:id="rId5" w:fontKey="{772DFB72-DF34-4C81-8950-79389F748BAA}"/>
  </w:font>
  <w:font w:name="TimesNewRomanPSMT">
    <w:altName w:val="Times New Roman"/>
    <w:panose1 w:val="00000000000000000000"/>
    <w:charset w:val="00"/>
    <w:family w:val="auto"/>
    <w:pitch w:val="default"/>
    <w:sig w:usb0="00000000" w:usb1="00000000" w:usb2="00000000" w:usb3="00000000" w:csb0="00000000" w:csb1="00000000"/>
    <w:embedRegular r:id="rId6" w:fontKey="{5290ADEC-E7E5-4499-8F5C-FEE9CC856149}"/>
  </w:font>
  <w:font w:name="楷体_GB2312">
    <w:altName w:val="楷体"/>
    <w:panose1 w:val="02010609030101010101"/>
    <w:charset w:val="86"/>
    <w:family w:val="modern"/>
    <w:pitch w:val="default"/>
    <w:sig w:usb0="00000000" w:usb1="00000000" w:usb2="00000000" w:usb3="00000000" w:csb0="00040000" w:csb1="00000000"/>
  </w:font>
  <w:font w:name="Wingdings 2">
    <w:panose1 w:val="05020102010507070707"/>
    <w:charset w:val="00"/>
    <w:family w:val="auto"/>
    <w:pitch w:val="default"/>
    <w:sig w:usb0="00000000" w:usb1="00000000" w:usb2="00000000" w:usb3="00000000" w:csb0="80000000" w:csb1="00000000"/>
    <w:embedRegular r:id="rId7" w:fontKey="{FA207FBB-1710-4597-ABAC-7B9F6CDF0B66}"/>
  </w:font>
  <w:font w:name="方正小标宋_GBK">
    <w:altName w:val="Arial Unicode MS"/>
    <w:panose1 w:val="02000000000000000000"/>
    <w:charset w:val="86"/>
    <w:family w:val="script"/>
    <w:pitch w:val="default"/>
    <w:sig w:usb0="00000000" w:usb1="00000000" w:usb2="00082016" w:usb3="00000000" w:csb0="00040001" w:csb1="00000000"/>
    <w:embedRegular r:id="rId8" w:fontKey="{3210411E-D483-40B2-B3CF-013E707B762D}"/>
  </w:font>
  <w:font w:name="Tahoma">
    <w:panose1 w:val="020B0604030504040204"/>
    <w:charset w:val="00"/>
    <w:family w:val="auto"/>
    <w:pitch w:val="default"/>
    <w:sig w:usb0="E1002EFF" w:usb1="C000605B" w:usb2="00000029" w:usb3="00000000" w:csb0="200101FF" w:csb1="20280000"/>
  </w:font>
  <w:font w:name="Arial Unicode MS">
    <w:panose1 w:val="020B0604020202020204"/>
    <w:charset w:val="86"/>
    <w:family w:val="auto"/>
    <w:pitch w:val="default"/>
    <w:sig w:usb0="FFFFFFFF" w:usb1="E9FFFFFF" w:usb2="0000003F" w:usb3="00000000" w:csb0="603F01FF" w:csb1="FFFF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pPr>
                          <w:r>
                            <w:fldChar w:fldCharType="begin"/>
                          </w:r>
                          <w:r>
                            <w:instrText xml:space="preserve"> PAGE  \* MERGEFORMAT </w:instrText>
                          </w:r>
                          <w:r>
                            <w:fldChar w:fldCharType="separate"/>
                          </w:r>
                          <w:r>
                            <w:t>41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41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IwMzliMDc5NGUxYTgzMGMzYWZkNTAwMmQ0ODgwYjIifQ=="/>
  </w:docVars>
  <w:rsids>
    <w:rsidRoot w:val="00172A27"/>
    <w:rsid w:val="004A36D0"/>
    <w:rsid w:val="00514906"/>
    <w:rsid w:val="005574FC"/>
    <w:rsid w:val="00593FEB"/>
    <w:rsid w:val="00870E21"/>
    <w:rsid w:val="00A83175"/>
    <w:rsid w:val="00AE2AF6"/>
    <w:rsid w:val="00C515D3"/>
    <w:rsid w:val="00CE394C"/>
    <w:rsid w:val="012D66CB"/>
    <w:rsid w:val="019845BA"/>
    <w:rsid w:val="01D134FA"/>
    <w:rsid w:val="01EC3529"/>
    <w:rsid w:val="01F13CA4"/>
    <w:rsid w:val="02054F52"/>
    <w:rsid w:val="02366B46"/>
    <w:rsid w:val="024B41DB"/>
    <w:rsid w:val="02680D36"/>
    <w:rsid w:val="02760148"/>
    <w:rsid w:val="029021E1"/>
    <w:rsid w:val="02B53794"/>
    <w:rsid w:val="02C44BAF"/>
    <w:rsid w:val="03101E00"/>
    <w:rsid w:val="03193B80"/>
    <w:rsid w:val="034F2928"/>
    <w:rsid w:val="03506B02"/>
    <w:rsid w:val="03652B66"/>
    <w:rsid w:val="03661C22"/>
    <w:rsid w:val="037403C6"/>
    <w:rsid w:val="038E5033"/>
    <w:rsid w:val="0394449C"/>
    <w:rsid w:val="03A75E2F"/>
    <w:rsid w:val="03AF3D24"/>
    <w:rsid w:val="03DA5143"/>
    <w:rsid w:val="04034FEC"/>
    <w:rsid w:val="04400D47"/>
    <w:rsid w:val="04490FEE"/>
    <w:rsid w:val="046F3C5D"/>
    <w:rsid w:val="047B1138"/>
    <w:rsid w:val="04A27145"/>
    <w:rsid w:val="04A356BF"/>
    <w:rsid w:val="04CD7FA9"/>
    <w:rsid w:val="04FF10E4"/>
    <w:rsid w:val="0508631A"/>
    <w:rsid w:val="05183DF9"/>
    <w:rsid w:val="051D3146"/>
    <w:rsid w:val="05224B3C"/>
    <w:rsid w:val="053C0C8A"/>
    <w:rsid w:val="058F55C8"/>
    <w:rsid w:val="05A43768"/>
    <w:rsid w:val="05E54A6A"/>
    <w:rsid w:val="06B86A37"/>
    <w:rsid w:val="06D53A65"/>
    <w:rsid w:val="073D5351"/>
    <w:rsid w:val="07413EDA"/>
    <w:rsid w:val="074C0F09"/>
    <w:rsid w:val="07FB4AC8"/>
    <w:rsid w:val="08141AFD"/>
    <w:rsid w:val="08821B3A"/>
    <w:rsid w:val="08963F22"/>
    <w:rsid w:val="08BB280E"/>
    <w:rsid w:val="08C87A30"/>
    <w:rsid w:val="08E83D84"/>
    <w:rsid w:val="08ED0C46"/>
    <w:rsid w:val="08F20468"/>
    <w:rsid w:val="093E1EC7"/>
    <w:rsid w:val="09465D51"/>
    <w:rsid w:val="0979198D"/>
    <w:rsid w:val="09824B2B"/>
    <w:rsid w:val="098743F5"/>
    <w:rsid w:val="09BF3274"/>
    <w:rsid w:val="09D077AE"/>
    <w:rsid w:val="0A2F4FF9"/>
    <w:rsid w:val="0A980B2F"/>
    <w:rsid w:val="0AA352D5"/>
    <w:rsid w:val="0AA57020"/>
    <w:rsid w:val="0AC86679"/>
    <w:rsid w:val="0ADD4CBE"/>
    <w:rsid w:val="0B073AE9"/>
    <w:rsid w:val="0B3A5C6C"/>
    <w:rsid w:val="0B824123"/>
    <w:rsid w:val="0BA3477E"/>
    <w:rsid w:val="0BB060BF"/>
    <w:rsid w:val="0BD14D7A"/>
    <w:rsid w:val="0BDB08FB"/>
    <w:rsid w:val="0BE0355E"/>
    <w:rsid w:val="0BE04A65"/>
    <w:rsid w:val="0BF812D0"/>
    <w:rsid w:val="0C3152C1"/>
    <w:rsid w:val="0C3E178C"/>
    <w:rsid w:val="0C450443"/>
    <w:rsid w:val="0C4C3EA9"/>
    <w:rsid w:val="0C675D17"/>
    <w:rsid w:val="0C9117DB"/>
    <w:rsid w:val="0C9D329D"/>
    <w:rsid w:val="0CF30333"/>
    <w:rsid w:val="0CFC04CD"/>
    <w:rsid w:val="0D24765F"/>
    <w:rsid w:val="0D5B2844"/>
    <w:rsid w:val="0D827951"/>
    <w:rsid w:val="0D8C6C01"/>
    <w:rsid w:val="0DCC2041"/>
    <w:rsid w:val="0DE42C25"/>
    <w:rsid w:val="0DEE5FF2"/>
    <w:rsid w:val="0DF15FB5"/>
    <w:rsid w:val="0E042561"/>
    <w:rsid w:val="0E0D5554"/>
    <w:rsid w:val="0E1E3623"/>
    <w:rsid w:val="0E3C1B7A"/>
    <w:rsid w:val="0E6A4F94"/>
    <w:rsid w:val="0EAB697C"/>
    <w:rsid w:val="0EB375DA"/>
    <w:rsid w:val="0EE775CF"/>
    <w:rsid w:val="0F0C5B71"/>
    <w:rsid w:val="0F2721A6"/>
    <w:rsid w:val="0F3764EA"/>
    <w:rsid w:val="0F413494"/>
    <w:rsid w:val="0F5E3520"/>
    <w:rsid w:val="0F8007FA"/>
    <w:rsid w:val="0F9F3B9F"/>
    <w:rsid w:val="0FA316B2"/>
    <w:rsid w:val="0FCE1079"/>
    <w:rsid w:val="100131FC"/>
    <w:rsid w:val="100178F4"/>
    <w:rsid w:val="10211A5B"/>
    <w:rsid w:val="102A4475"/>
    <w:rsid w:val="10482DAC"/>
    <w:rsid w:val="107F2C6C"/>
    <w:rsid w:val="10853B45"/>
    <w:rsid w:val="109027DC"/>
    <w:rsid w:val="10B508EB"/>
    <w:rsid w:val="10C20BDE"/>
    <w:rsid w:val="10E06B2B"/>
    <w:rsid w:val="112032EE"/>
    <w:rsid w:val="112147AF"/>
    <w:rsid w:val="11431B65"/>
    <w:rsid w:val="115455AE"/>
    <w:rsid w:val="118539B9"/>
    <w:rsid w:val="1189012F"/>
    <w:rsid w:val="118B7389"/>
    <w:rsid w:val="11950EB8"/>
    <w:rsid w:val="11D6529E"/>
    <w:rsid w:val="11D86190"/>
    <w:rsid w:val="11DB0DF9"/>
    <w:rsid w:val="11DC490B"/>
    <w:rsid w:val="12314F94"/>
    <w:rsid w:val="12767ED2"/>
    <w:rsid w:val="129E11D6"/>
    <w:rsid w:val="12BD0B8B"/>
    <w:rsid w:val="12C50FFA"/>
    <w:rsid w:val="12D21321"/>
    <w:rsid w:val="12DE30C1"/>
    <w:rsid w:val="12F13FA9"/>
    <w:rsid w:val="12F7169D"/>
    <w:rsid w:val="135F14C8"/>
    <w:rsid w:val="13620456"/>
    <w:rsid w:val="13733860"/>
    <w:rsid w:val="13AB64D7"/>
    <w:rsid w:val="13B410F4"/>
    <w:rsid w:val="13B77B7B"/>
    <w:rsid w:val="13C34FF6"/>
    <w:rsid w:val="140275A9"/>
    <w:rsid w:val="14175F84"/>
    <w:rsid w:val="14954190"/>
    <w:rsid w:val="149D00E3"/>
    <w:rsid w:val="14C62EB6"/>
    <w:rsid w:val="14E225E7"/>
    <w:rsid w:val="15104004"/>
    <w:rsid w:val="15674EC2"/>
    <w:rsid w:val="158C052A"/>
    <w:rsid w:val="15E213DA"/>
    <w:rsid w:val="164E644B"/>
    <w:rsid w:val="169C2839"/>
    <w:rsid w:val="16BF3325"/>
    <w:rsid w:val="16EE010E"/>
    <w:rsid w:val="171C78A7"/>
    <w:rsid w:val="178F452C"/>
    <w:rsid w:val="1790617D"/>
    <w:rsid w:val="179C211A"/>
    <w:rsid w:val="17A87140"/>
    <w:rsid w:val="17C53DE0"/>
    <w:rsid w:val="18024905"/>
    <w:rsid w:val="18493D26"/>
    <w:rsid w:val="18683D73"/>
    <w:rsid w:val="19166D7C"/>
    <w:rsid w:val="19643C34"/>
    <w:rsid w:val="19934E2C"/>
    <w:rsid w:val="19BD2C22"/>
    <w:rsid w:val="19DD25E4"/>
    <w:rsid w:val="19E716B5"/>
    <w:rsid w:val="19FB6F0E"/>
    <w:rsid w:val="1A3A6B5E"/>
    <w:rsid w:val="1A4A40AC"/>
    <w:rsid w:val="1A4A739A"/>
    <w:rsid w:val="1A59736E"/>
    <w:rsid w:val="1A6C4519"/>
    <w:rsid w:val="1A752234"/>
    <w:rsid w:val="1A7846A7"/>
    <w:rsid w:val="1ABF0A78"/>
    <w:rsid w:val="1AEA2F0D"/>
    <w:rsid w:val="1B425D25"/>
    <w:rsid w:val="1B4C22E0"/>
    <w:rsid w:val="1B567A9A"/>
    <w:rsid w:val="1B5B7B27"/>
    <w:rsid w:val="1B6527F0"/>
    <w:rsid w:val="1B666609"/>
    <w:rsid w:val="1B895D6F"/>
    <w:rsid w:val="1BA5102E"/>
    <w:rsid w:val="1BC07B22"/>
    <w:rsid w:val="1BDA70BA"/>
    <w:rsid w:val="1BDB5817"/>
    <w:rsid w:val="1BEE12BF"/>
    <w:rsid w:val="1C0634AE"/>
    <w:rsid w:val="1C064C9C"/>
    <w:rsid w:val="1C1D2249"/>
    <w:rsid w:val="1C3414D5"/>
    <w:rsid w:val="1C3651F5"/>
    <w:rsid w:val="1C3B21FD"/>
    <w:rsid w:val="1C5B3C94"/>
    <w:rsid w:val="1C5E5533"/>
    <w:rsid w:val="1C725CD6"/>
    <w:rsid w:val="1C8B457A"/>
    <w:rsid w:val="1CB908BD"/>
    <w:rsid w:val="1CEE339F"/>
    <w:rsid w:val="1CF22740"/>
    <w:rsid w:val="1D183933"/>
    <w:rsid w:val="1D28001A"/>
    <w:rsid w:val="1D2C75CD"/>
    <w:rsid w:val="1D4504FA"/>
    <w:rsid w:val="1D504EC1"/>
    <w:rsid w:val="1D7C2A4E"/>
    <w:rsid w:val="1D8F65F3"/>
    <w:rsid w:val="1D9E7805"/>
    <w:rsid w:val="1DA51B52"/>
    <w:rsid w:val="1DB768B3"/>
    <w:rsid w:val="1DB81192"/>
    <w:rsid w:val="1DB94814"/>
    <w:rsid w:val="1DEF6B59"/>
    <w:rsid w:val="1E2629CA"/>
    <w:rsid w:val="1E3A6C7C"/>
    <w:rsid w:val="1E3E3073"/>
    <w:rsid w:val="1E833B62"/>
    <w:rsid w:val="1EA41923"/>
    <w:rsid w:val="1EA6414F"/>
    <w:rsid w:val="1EC17608"/>
    <w:rsid w:val="1EF45E2A"/>
    <w:rsid w:val="1EFC6B55"/>
    <w:rsid w:val="1F816000"/>
    <w:rsid w:val="1FA367D0"/>
    <w:rsid w:val="20303590"/>
    <w:rsid w:val="20924AF0"/>
    <w:rsid w:val="20C70BAE"/>
    <w:rsid w:val="20EC66CB"/>
    <w:rsid w:val="210622E9"/>
    <w:rsid w:val="21244F9D"/>
    <w:rsid w:val="2181419D"/>
    <w:rsid w:val="219043E0"/>
    <w:rsid w:val="21AD213D"/>
    <w:rsid w:val="21B04341"/>
    <w:rsid w:val="21B54808"/>
    <w:rsid w:val="21B54AA2"/>
    <w:rsid w:val="21DB7182"/>
    <w:rsid w:val="21F817B2"/>
    <w:rsid w:val="22392A3C"/>
    <w:rsid w:val="226F4767"/>
    <w:rsid w:val="22711EAC"/>
    <w:rsid w:val="22990821"/>
    <w:rsid w:val="229C4C96"/>
    <w:rsid w:val="22D3405E"/>
    <w:rsid w:val="22D35DE5"/>
    <w:rsid w:val="22E604D8"/>
    <w:rsid w:val="23406321"/>
    <w:rsid w:val="2366189C"/>
    <w:rsid w:val="237C2E6E"/>
    <w:rsid w:val="238241FC"/>
    <w:rsid w:val="238A0FD7"/>
    <w:rsid w:val="23F67805"/>
    <w:rsid w:val="24001890"/>
    <w:rsid w:val="241B165D"/>
    <w:rsid w:val="243A5EC8"/>
    <w:rsid w:val="24656A71"/>
    <w:rsid w:val="24732C46"/>
    <w:rsid w:val="249577B8"/>
    <w:rsid w:val="24D112FF"/>
    <w:rsid w:val="24F47528"/>
    <w:rsid w:val="24FE7F65"/>
    <w:rsid w:val="25090920"/>
    <w:rsid w:val="252829A9"/>
    <w:rsid w:val="25460966"/>
    <w:rsid w:val="25645D1B"/>
    <w:rsid w:val="258A5937"/>
    <w:rsid w:val="259859CB"/>
    <w:rsid w:val="25DE1BBE"/>
    <w:rsid w:val="2619168C"/>
    <w:rsid w:val="263C5AF0"/>
    <w:rsid w:val="264D1EE9"/>
    <w:rsid w:val="265411BB"/>
    <w:rsid w:val="26850EAA"/>
    <w:rsid w:val="26D92385"/>
    <w:rsid w:val="26E753F8"/>
    <w:rsid w:val="270F0B10"/>
    <w:rsid w:val="272270B4"/>
    <w:rsid w:val="27404151"/>
    <w:rsid w:val="27440400"/>
    <w:rsid w:val="27624930"/>
    <w:rsid w:val="278060D3"/>
    <w:rsid w:val="27846761"/>
    <w:rsid w:val="27DF0670"/>
    <w:rsid w:val="27FD13EC"/>
    <w:rsid w:val="27FD21C7"/>
    <w:rsid w:val="2818725C"/>
    <w:rsid w:val="281D4C13"/>
    <w:rsid w:val="286A7A1B"/>
    <w:rsid w:val="287143C7"/>
    <w:rsid w:val="288D24DF"/>
    <w:rsid w:val="289203A0"/>
    <w:rsid w:val="289A61F4"/>
    <w:rsid w:val="28BC4779"/>
    <w:rsid w:val="28FE292A"/>
    <w:rsid w:val="29161845"/>
    <w:rsid w:val="29181EFE"/>
    <w:rsid w:val="29227588"/>
    <w:rsid w:val="29327625"/>
    <w:rsid w:val="2935280A"/>
    <w:rsid w:val="293E2926"/>
    <w:rsid w:val="293F4142"/>
    <w:rsid w:val="299659B1"/>
    <w:rsid w:val="29A77222"/>
    <w:rsid w:val="29CE74E7"/>
    <w:rsid w:val="29FA3294"/>
    <w:rsid w:val="29FF7CB5"/>
    <w:rsid w:val="2A223F34"/>
    <w:rsid w:val="2A2B01FE"/>
    <w:rsid w:val="2A9031E9"/>
    <w:rsid w:val="2AA3393E"/>
    <w:rsid w:val="2AA57C36"/>
    <w:rsid w:val="2AD433F0"/>
    <w:rsid w:val="2AE92F98"/>
    <w:rsid w:val="2AFD087E"/>
    <w:rsid w:val="2B0379D1"/>
    <w:rsid w:val="2B0B40FC"/>
    <w:rsid w:val="2B132E66"/>
    <w:rsid w:val="2B496695"/>
    <w:rsid w:val="2B5248B4"/>
    <w:rsid w:val="2B561C23"/>
    <w:rsid w:val="2B575F56"/>
    <w:rsid w:val="2B7D3C27"/>
    <w:rsid w:val="2BAC0333"/>
    <w:rsid w:val="2BD11360"/>
    <w:rsid w:val="2BD16D57"/>
    <w:rsid w:val="2BF46D33"/>
    <w:rsid w:val="2C3979F2"/>
    <w:rsid w:val="2C5524AE"/>
    <w:rsid w:val="2C555B0F"/>
    <w:rsid w:val="2C6774C7"/>
    <w:rsid w:val="2C76645A"/>
    <w:rsid w:val="2CA06709"/>
    <w:rsid w:val="2CB25B52"/>
    <w:rsid w:val="2CBC2E47"/>
    <w:rsid w:val="2CCE68D0"/>
    <w:rsid w:val="2CDF6213"/>
    <w:rsid w:val="2CE028C6"/>
    <w:rsid w:val="2CEB503C"/>
    <w:rsid w:val="2CEE645F"/>
    <w:rsid w:val="2D4E7253"/>
    <w:rsid w:val="2D5E652F"/>
    <w:rsid w:val="2DA8308F"/>
    <w:rsid w:val="2DC64695"/>
    <w:rsid w:val="2DC82C2F"/>
    <w:rsid w:val="2DFC1A32"/>
    <w:rsid w:val="2E7772F5"/>
    <w:rsid w:val="2EA471C7"/>
    <w:rsid w:val="2ECF6C02"/>
    <w:rsid w:val="2EDE197E"/>
    <w:rsid w:val="2EF72FCA"/>
    <w:rsid w:val="2EF936E6"/>
    <w:rsid w:val="2F705522"/>
    <w:rsid w:val="2F7F33F5"/>
    <w:rsid w:val="2FC7536F"/>
    <w:rsid w:val="2FEA699E"/>
    <w:rsid w:val="3003632A"/>
    <w:rsid w:val="303B7C0D"/>
    <w:rsid w:val="3073471C"/>
    <w:rsid w:val="30990987"/>
    <w:rsid w:val="30D722EA"/>
    <w:rsid w:val="30FE765B"/>
    <w:rsid w:val="312A57AE"/>
    <w:rsid w:val="3149635F"/>
    <w:rsid w:val="314E76BD"/>
    <w:rsid w:val="31667108"/>
    <w:rsid w:val="316A0647"/>
    <w:rsid w:val="31855A09"/>
    <w:rsid w:val="31875187"/>
    <w:rsid w:val="31E27622"/>
    <w:rsid w:val="31FF6AC7"/>
    <w:rsid w:val="320126B3"/>
    <w:rsid w:val="32110036"/>
    <w:rsid w:val="32271FD7"/>
    <w:rsid w:val="326F0847"/>
    <w:rsid w:val="329557A1"/>
    <w:rsid w:val="32A01FA9"/>
    <w:rsid w:val="32BE08C1"/>
    <w:rsid w:val="32BF1F69"/>
    <w:rsid w:val="32C97E26"/>
    <w:rsid w:val="32E31613"/>
    <w:rsid w:val="33067454"/>
    <w:rsid w:val="33694ACF"/>
    <w:rsid w:val="338A5133"/>
    <w:rsid w:val="33946A76"/>
    <w:rsid w:val="339D001E"/>
    <w:rsid w:val="33A34F2A"/>
    <w:rsid w:val="33B003A1"/>
    <w:rsid w:val="33D255E8"/>
    <w:rsid w:val="33F11E6B"/>
    <w:rsid w:val="33F7086C"/>
    <w:rsid w:val="33FC1053"/>
    <w:rsid w:val="340934A8"/>
    <w:rsid w:val="341407FC"/>
    <w:rsid w:val="34312AC4"/>
    <w:rsid w:val="347C78D6"/>
    <w:rsid w:val="349C15C1"/>
    <w:rsid w:val="34D81ECE"/>
    <w:rsid w:val="350C28E2"/>
    <w:rsid w:val="35161627"/>
    <w:rsid w:val="355767D3"/>
    <w:rsid w:val="35952862"/>
    <w:rsid w:val="35977693"/>
    <w:rsid w:val="359F464C"/>
    <w:rsid w:val="35A72CFB"/>
    <w:rsid w:val="35C47CAD"/>
    <w:rsid w:val="35C92943"/>
    <w:rsid w:val="35F71D19"/>
    <w:rsid w:val="35F72739"/>
    <w:rsid w:val="36010FB1"/>
    <w:rsid w:val="36015455"/>
    <w:rsid w:val="36257DF1"/>
    <w:rsid w:val="368340BC"/>
    <w:rsid w:val="36AD2CB7"/>
    <w:rsid w:val="36C75FC6"/>
    <w:rsid w:val="36D06C73"/>
    <w:rsid w:val="37287D62"/>
    <w:rsid w:val="37390DD8"/>
    <w:rsid w:val="373C5B22"/>
    <w:rsid w:val="3741044D"/>
    <w:rsid w:val="377C6631"/>
    <w:rsid w:val="37CB7957"/>
    <w:rsid w:val="37E8067A"/>
    <w:rsid w:val="37F347D2"/>
    <w:rsid w:val="38354EB1"/>
    <w:rsid w:val="383F5FAE"/>
    <w:rsid w:val="384C5110"/>
    <w:rsid w:val="388249E2"/>
    <w:rsid w:val="389432C1"/>
    <w:rsid w:val="389A1CBA"/>
    <w:rsid w:val="38A70902"/>
    <w:rsid w:val="38CA61C2"/>
    <w:rsid w:val="38CD12A8"/>
    <w:rsid w:val="390062F9"/>
    <w:rsid w:val="39051213"/>
    <w:rsid w:val="391A4B97"/>
    <w:rsid w:val="394A77B5"/>
    <w:rsid w:val="394D73E9"/>
    <w:rsid w:val="39900A3C"/>
    <w:rsid w:val="399B4518"/>
    <w:rsid w:val="39BC3B6C"/>
    <w:rsid w:val="3A156792"/>
    <w:rsid w:val="3A254A77"/>
    <w:rsid w:val="3A2B07E7"/>
    <w:rsid w:val="3A2F522C"/>
    <w:rsid w:val="3A7028F0"/>
    <w:rsid w:val="3AA813D4"/>
    <w:rsid w:val="3ABC7DE5"/>
    <w:rsid w:val="3AF10759"/>
    <w:rsid w:val="3AF46C72"/>
    <w:rsid w:val="3B26653E"/>
    <w:rsid w:val="3B5419D9"/>
    <w:rsid w:val="3B826A16"/>
    <w:rsid w:val="3B8F05C7"/>
    <w:rsid w:val="3BB545D4"/>
    <w:rsid w:val="3BBF61B5"/>
    <w:rsid w:val="3BC83757"/>
    <w:rsid w:val="3BD03D2A"/>
    <w:rsid w:val="3BED6372"/>
    <w:rsid w:val="3C145EE2"/>
    <w:rsid w:val="3C1F0887"/>
    <w:rsid w:val="3C4B2A92"/>
    <w:rsid w:val="3C4B742A"/>
    <w:rsid w:val="3C5373D8"/>
    <w:rsid w:val="3C760FC8"/>
    <w:rsid w:val="3CA803D8"/>
    <w:rsid w:val="3CB152C1"/>
    <w:rsid w:val="3CE358B4"/>
    <w:rsid w:val="3CF817AB"/>
    <w:rsid w:val="3D255ECD"/>
    <w:rsid w:val="3D344332"/>
    <w:rsid w:val="3D7B5AED"/>
    <w:rsid w:val="3DA91C94"/>
    <w:rsid w:val="3DE00D8A"/>
    <w:rsid w:val="3DF83061"/>
    <w:rsid w:val="3DF83223"/>
    <w:rsid w:val="3DFA23D2"/>
    <w:rsid w:val="3E051BDD"/>
    <w:rsid w:val="3E2322B1"/>
    <w:rsid w:val="3E42441A"/>
    <w:rsid w:val="3E52684D"/>
    <w:rsid w:val="3E5F5796"/>
    <w:rsid w:val="3E861193"/>
    <w:rsid w:val="3EAD29B5"/>
    <w:rsid w:val="3EE17F22"/>
    <w:rsid w:val="3EFD7788"/>
    <w:rsid w:val="3F307EA9"/>
    <w:rsid w:val="3F35159C"/>
    <w:rsid w:val="3F623E71"/>
    <w:rsid w:val="3F793E0B"/>
    <w:rsid w:val="3FCF12DC"/>
    <w:rsid w:val="3FE9639F"/>
    <w:rsid w:val="402A7AD7"/>
    <w:rsid w:val="40726C59"/>
    <w:rsid w:val="4090709A"/>
    <w:rsid w:val="40C83EF0"/>
    <w:rsid w:val="40FB0BE9"/>
    <w:rsid w:val="41323E12"/>
    <w:rsid w:val="41340E39"/>
    <w:rsid w:val="415B4202"/>
    <w:rsid w:val="417F7EC6"/>
    <w:rsid w:val="41CD1A9D"/>
    <w:rsid w:val="41E64E5D"/>
    <w:rsid w:val="41E7611C"/>
    <w:rsid w:val="42602C2D"/>
    <w:rsid w:val="42CA27F1"/>
    <w:rsid w:val="430A3B9B"/>
    <w:rsid w:val="430D014D"/>
    <w:rsid w:val="43696887"/>
    <w:rsid w:val="436D6E7B"/>
    <w:rsid w:val="437D25BE"/>
    <w:rsid w:val="43AF56F7"/>
    <w:rsid w:val="43E30CD8"/>
    <w:rsid w:val="43E50164"/>
    <w:rsid w:val="43FB3496"/>
    <w:rsid w:val="44054362"/>
    <w:rsid w:val="441A4FFE"/>
    <w:rsid w:val="441A605F"/>
    <w:rsid w:val="44530EEC"/>
    <w:rsid w:val="44953938"/>
    <w:rsid w:val="44A91473"/>
    <w:rsid w:val="44AC031E"/>
    <w:rsid w:val="44B84998"/>
    <w:rsid w:val="45010FCD"/>
    <w:rsid w:val="452F415C"/>
    <w:rsid w:val="453068F2"/>
    <w:rsid w:val="453242B7"/>
    <w:rsid w:val="457E2BBE"/>
    <w:rsid w:val="458E2338"/>
    <w:rsid w:val="459D6CA0"/>
    <w:rsid w:val="45CC19E5"/>
    <w:rsid w:val="45E976EA"/>
    <w:rsid w:val="4602476B"/>
    <w:rsid w:val="462D592B"/>
    <w:rsid w:val="46475B29"/>
    <w:rsid w:val="469516A0"/>
    <w:rsid w:val="46A74412"/>
    <w:rsid w:val="46BF48A1"/>
    <w:rsid w:val="46DA12E2"/>
    <w:rsid w:val="46DA1AD6"/>
    <w:rsid w:val="46EE3897"/>
    <w:rsid w:val="47471A35"/>
    <w:rsid w:val="47766AC2"/>
    <w:rsid w:val="47994094"/>
    <w:rsid w:val="47A021F4"/>
    <w:rsid w:val="47B229FD"/>
    <w:rsid w:val="47EF66F2"/>
    <w:rsid w:val="483156FD"/>
    <w:rsid w:val="484A185B"/>
    <w:rsid w:val="48696541"/>
    <w:rsid w:val="48923B5E"/>
    <w:rsid w:val="48960CF3"/>
    <w:rsid w:val="48AC7367"/>
    <w:rsid w:val="48D434F8"/>
    <w:rsid w:val="48F52CCC"/>
    <w:rsid w:val="49120F38"/>
    <w:rsid w:val="49233B9E"/>
    <w:rsid w:val="49600246"/>
    <w:rsid w:val="497272AB"/>
    <w:rsid w:val="49933ECA"/>
    <w:rsid w:val="49AD34D2"/>
    <w:rsid w:val="49CD3E5F"/>
    <w:rsid w:val="49D11C72"/>
    <w:rsid w:val="4A066756"/>
    <w:rsid w:val="4A2A5A2A"/>
    <w:rsid w:val="4A413C1A"/>
    <w:rsid w:val="4A691422"/>
    <w:rsid w:val="4B35377F"/>
    <w:rsid w:val="4B47166E"/>
    <w:rsid w:val="4B7B6750"/>
    <w:rsid w:val="4BA81EBF"/>
    <w:rsid w:val="4BAD48C4"/>
    <w:rsid w:val="4BB41562"/>
    <w:rsid w:val="4BB67EB6"/>
    <w:rsid w:val="4C3C102F"/>
    <w:rsid w:val="4C406E16"/>
    <w:rsid w:val="4C575977"/>
    <w:rsid w:val="4CB328D3"/>
    <w:rsid w:val="4D370C8E"/>
    <w:rsid w:val="4D764FBA"/>
    <w:rsid w:val="4D9B2F46"/>
    <w:rsid w:val="4DA946BE"/>
    <w:rsid w:val="4DC62DB4"/>
    <w:rsid w:val="4DE54F3A"/>
    <w:rsid w:val="4DF0398D"/>
    <w:rsid w:val="4E0B3C14"/>
    <w:rsid w:val="4EB25ACD"/>
    <w:rsid w:val="4EB36ED0"/>
    <w:rsid w:val="4EB62E28"/>
    <w:rsid w:val="4EF00512"/>
    <w:rsid w:val="4F081808"/>
    <w:rsid w:val="4F0B761D"/>
    <w:rsid w:val="4F101BCB"/>
    <w:rsid w:val="4F7074A7"/>
    <w:rsid w:val="4FA338BA"/>
    <w:rsid w:val="4FBE685D"/>
    <w:rsid w:val="4FBF3A02"/>
    <w:rsid w:val="503C073F"/>
    <w:rsid w:val="50550EE8"/>
    <w:rsid w:val="505972D3"/>
    <w:rsid w:val="50666188"/>
    <w:rsid w:val="50D45326"/>
    <w:rsid w:val="50ED449B"/>
    <w:rsid w:val="50FE22AD"/>
    <w:rsid w:val="513A3DE7"/>
    <w:rsid w:val="513F5357"/>
    <w:rsid w:val="5142766A"/>
    <w:rsid w:val="514A7858"/>
    <w:rsid w:val="5156612E"/>
    <w:rsid w:val="51843BD1"/>
    <w:rsid w:val="51A13350"/>
    <w:rsid w:val="51DE61DA"/>
    <w:rsid w:val="51FD4826"/>
    <w:rsid w:val="520914C1"/>
    <w:rsid w:val="523C0AE2"/>
    <w:rsid w:val="52D061B4"/>
    <w:rsid w:val="52EA219E"/>
    <w:rsid w:val="52F9421E"/>
    <w:rsid w:val="5305612D"/>
    <w:rsid w:val="530E6B0D"/>
    <w:rsid w:val="5334627A"/>
    <w:rsid w:val="536573AB"/>
    <w:rsid w:val="53A729AB"/>
    <w:rsid w:val="53ED169D"/>
    <w:rsid w:val="540369E0"/>
    <w:rsid w:val="542D2E97"/>
    <w:rsid w:val="544D16D5"/>
    <w:rsid w:val="5475533D"/>
    <w:rsid w:val="547F45B0"/>
    <w:rsid w:val="54B75917"/>
    <w:rsid w:val="54F94081"/>
    <w:rsid w:val="55276BFF"/>
    <w:rsid w:val="5557457C"/>
    <w:rsid w:val="55597E34"/>
    <w:rsid w:val="55941D90"/>
    <w:rsid w:val="55A93A79"/>
    <w:rsid w:val="55AE3083"/>
    <w:rsid w:val="55CE0C26"/>
    <w:rsid w:val="560167C0"/>
    <w:rsid w:val="56527C84"/>
    <w:rsid w:val="56567CFB"/>
    <w:rsid w:val="566860B0"/>
    <w:rsid w:val="56B04601"/>
    <w:rsid w:val="56BF17AD"/>
    <w:rsid w:val="56E60023"/>
    <w:rsid w:val="57125D1B"/>
    <w:rsid w:val="57357475"/>
    <w:rsid w:val="57633422"/>
    <w:rsid w:val="576C269A"/>
    <w:rsid w:val="576D604E"/>
    <w:rsid w:val="578735B4"/>
    <w:rsid w:val="57D8796C"/>
    <w:rsid w:val="57F92310"/>
    <w:rsid w:val="580651AF"/>
    <w:rsid w:val="58151C4B"/>
    <w:rsid w:val="58445BC1"/>
    <w:rsid w:val="58890962"/>
    <w:rsid w:val="58892456"/>
    <w:rsid w:val="58921048"/>
    <w:rsid w:val="58B04C30"/>
    <w:rsid w:val="58BB469D"/>
    <w:rsid w:val="58DC13F9"/>
    <w:rsid w:val="58E704D4"/>
    <w:rsid w:val="59095B08"/>
    <w:rsid w:val="594537B7"/>
    <w:rsid w:val="59596784"/>
    <w:rsid w:val="59B22F5B"/>
    <w:rsid w:val="59E842DE"/>
    <w:rsid w:val="59E85D2A"/>
    <w:rsid w:val="5A0709DC"/>
    <w:rsid w:val="5A0F6E4A"/>
    <w:rsid w:val="5A1A20A2"/>
    <w:rsid w:val="5A1C360D"/>
    <w:rsid w:val="5A303026"/>
    <w:rsid w:val="5A371E64"/>
    <w:rsid w:val="5A9D7D32"/>
    <w:rsid w:val="5AB269B8"/>
    <w:rsid w:val="5ADD543E"/>
    <w:rsid w:val="5AF25CEE"/>
    <w:rsid w:val="5B057497"/>
    <w:rsid w:val="5B133E9E"/>
    <w:rsid w:val="5B277026"/>
    <w:rsid w:val="5B687483"/>
    <w:rsid w:val="5B830AD9"/>
    <w:rsid w:val="5B872717"/>
    <w:rsid w:val="5BB03726"/>
    <w:rsid w:val="5BDD4C18"/>
    <w:rsid w:val="5BFD600F"/>
    <w:rsid w:val="5C0553C6"/>
    <w:rsid w:val="5C143B44"/>
    <w:rsid w:val="5C1E6AB9"/>
    <w:rsid w:val="5C42385F"/>
    <w:rsid w:val="5C482F7E"/>
    <w:rsid w:val="5C537574"/>
    <w:rsid w:val="5C62014C"/>
    <w:rsid w:val="5C6618DB"/>
    <w:rsid w:val="5C66712D"/>
    <w:rsid w:val="5C71038F"/>
    <w:rsid w:val="5CA57046"/>
    <w:rsid w:val="5CD56B70"/>
    <w:rsid w:val="5CD63821"/>
    <w:rsid w:val="5CFB4E3E"/>
    <w:rsid w:val="5D107BA8"/>
    <w:rsid w:val="5D152EB2"/>
    <w:rsid w:val="5D355DD7"/>
    <w:rsid w:val="5D4457D0"/>
    <w:rsid w:val="5D683023"/>
    <w:rsid w:val="5DBE006C"/>
    <w:rsid w:val="5DC26312"/>
    <w:rsid w:val="5DD21301"/>
    <w:rsid w:val="5DD40593"/>
    <w:rsid w:val="5DDB01B6"/>
    <w:rsid w:val="5DDE5650"/>
    <w:rsid w:val="5DEA7660"/>
    <w:rsid w:val="5E195C3E"/>
    <w:rsid w:val="5E467CD2"/>
    <w:rsid w:val="5EA85A46"/>
    <w:rsid w:val="5EB77F96"/>
    <w:rsid w:val="5EBA0A05"/>
    <w:rsid w:val="5EDB5F05"/>
    <w:rsid w:val="5F465A1F"/>
    <w:rsid w:val="5F466FF6"/>
    <w:rsid w:val="5F572C12"/>
    <w:rsid w:val="5F5A0C98"/>
    <w:rsid w:val="5F5D11D0"/>
    <w:rsid w:val="5FAE2855"/>
    <w:rsid w:val="5FB54EB9"/>
    <w:rsid w:val="5FEB2A92"/>
    <w:rsid w:val="602F489C"/>
    <w:rsid w:val="603F4AA9"/>
    <w:rsid w:val="607B6C05"/>
    <w:rsid w:val="60A426B5"/>
    <w:rsid w:val="60E4388B"/>
    <w:rsid w:val="612059EB"/>
    <w:rsid w:val="613C5F9F"/>
    <w:rsid w:val="61497BEA"/>
    <w:rsid w:val="616B22EB"/>
    <w:rsid w:val="617128AD"/>
    <w:rsid w:val="617D15BF"/>
    <w:rsid w:val="61853675"/>
    <w:rsid w:val="618941F8"/>
    <w:rsid w:val="61A8403E"/>
    <w:rsid w:val="61C654DA"/>
    <w:rsid w:val="620121B5"/>
    <w:rsid w:val="62290541"/>
    <w:rsid w:val="62527693"/>
    <w:rsid w:val="627925A9"/>
    <w:rsid w:val="628863F8"/>
    <w:rsid w:val="62AE40EB"/>
    <w:rsid w:val="62DE241C"/>
    <w:rsid w:val="62E96D00"/>
    <w:rsid w:val="63036FC7"/>
    <w:rsid w:val="630943D0"/>
    <w:rsid w:val="63393001"/>
    <w:rsid w:val="633C6D8E"/>
    <w:rsid w:val="634341A6"/>
    <w:rsid w:val="634467FD"/>
    <w:rsid w:val="637B0A13"/>
    <w:rsid w:val="63BA6C0F"/>
    <w:rsid w:val="63DF3819"/>
    <w:rsid w:val="63E31B72"/>
    <w:rsid w:val="63E60EAA"/>
    <w:rsid w:val="64666D61"/>
    <w:rsid w:val="64850656"/>
    <w:rsid w:val="648745D0"/>
    <w:rsid w:val="648B56C6"/>
    <w:rsid w:val="64A07DA6"/>
    <w:rsid w:val="64A14F38"/>
    <w:rsid w:val="64B133C7"/>
    <w:rsid w:val="65110D0A"/>
    <w:rsid w:val="652B71FA"/>
    <w:rsid w:val="65490E76"/>
    <w:rsid w:val="654A79CF"/>
    <w:rsid w:val="657928BD"/>
    <w:rsid w:val="65892520"/>
    <w:rsid w:val="65981ACF"/>
    <w:rsid w:val="65A744D3"/>
    <w:rsid w:val="65B63A0C"/>
    <w:rsid w:val="65CC4888"/>
    <w:rsid w:val="65D43E42"/>
    <w:rsid w:val="65DD689F"/>
    <w:rsid w:val="65E75AA3"/>
    <w:rsid w:val="660B71AC"/>
    <w:rsid w:val="66152DF0"/>
    <w:rsid w:val="66214462"/>
    <w:rsid w:val="662A59C6"/>
    <w:rsid w:val="66737CAE"/>
    <w:rsid w:val="667F49AA"/>
    <w:rsid w:val="668E32D6"/>
    <w:rsid w:val="66BB6DD6"/>
    <w:rsid w:val="66DA3DBD"/>
    <w:rsid w:val="66E75E1D"/>
    <w:rsid w:val="670467CE"/>
    <w:rsid w:val="67110945"/>
    <w:rsid w:val="672616B4"/>
    <w:rsid w:val="673F0FF4"/>
    <w:rsid w:val="674E11C2"/>
    <w:rsid w:val="675029CF"/>
    <w:rsid w:val="67531F6D"/>
    <w:rsid w:val="675645BF"/>
    <w:rsid w:val="67675E37"/>
    <w:rsid w:val="676C6322"/>
    <w:rsid w:val="67785D75"/>
    <w:rsid w:val="67851AB7"/>
    <w:rsid w:val="67892FC8"/>
    <w:rsid w:val="67E53C68"/>
    <w:rsid w:val="67E71A76"/>
    <w:rsid w:val="68130E4C"/>
    <w:rsid w:val="68191260"/>
    <w:rsid w:val="683254FD"/>
    <w:rsid w:val="68336E40"/>
    <w:rsid w:val="684E5A28"/>
    <w:rsid w:val="68540EE4"/>
    <w:rsid w:val="685E5C6B"/>
    <w:rsid w:val="68D40C7A"/>
    <w:rsid w:val="690C1867"/>
    <w:rsid w:val="6925511D"/>
    <w:rsid w:val="6940014C"/>
    <w:rsid w:val="69B1614B"/>
    <w:rsid w:val="69F11A05"/>
    <w:rsid w:val="6A025EBD"/>
    <w:rsid w:val="6A0B4985"/>
    <w:rsid w:val="6A576B99"/>
    <w:rsid w:val="6A931A4E"/>
    <w:rsid w:val="6ABE56A6"/>
    <w:rsid w:val="6ABE633F"/>
    <w:rsid w:val="6B0C24AB"/>
    <w:rsid w:val="6B3A0413"/>
    <w:rsid w:val="6B631A75"/>
    <w:rsid w:val="6B697717"/>
    <w:rsid w:val="6B7E5284"/>
    <w:rsid w:val="6B9A093C"/>
    <w:rsid w:val="6BA05574"/>
    <w:rsid w:val="6BAF3F6A"/>
    <w:rsid w:val="6BCF3EB4"/>
    <w:rsid w:val="6BD61B87"/>
    <w:rsid w:val="6BDE70FB"/>
    <w:rsid w:val="6BE305CC"/>
    <w:rsid w:val="6C031CF9"/>
    <w:rsid w:val="6C11018A"/>
    <w:rsid w:val="6C7C513D"/>
    <w:rsid w:val="6C806161"/>
    <w:rsid w:val="6C81118A"/>
    <w:rsid w:val="6C8571E6"/>
    <w:rsid w:val="6CF65344"/>
    <w:rsid w:val="6CF92406"/>
    <w:rsid w:val="6D2676E6"/>
    <w:rsid w:val="6D2E1E50"/>
    <w:rsid w:val="6D3F5C6B"/>
    <w:rsid w:val="6D485A18"/>
    <w:rsid w:val="6D7970A3"/>
    <w:rsid w:val="6D8E6651"/>
    <w:rsid w:val="6DCE1ED5"/>
    <w:rsid w:val="6DF53594"/>
    <w:rsid w:val="6DF873C3"/>
    <w:rsid w:val="6DFD70A6"/>
    <w:rsid w:val="6E5A7866"/>
    <w:rsid w:val="6E602011"/>
    <w:rsid w:val="6E854222"/>
    <w:rsid w:val="6EB10849"/>
    <w:rsid w:val="6EC95E08"/>
    <w:rsid w:val="6F013322"/>
    <w:rsid w:val="6F280D81"/>
    <w:rsid w:val="6F2C5464"/>
    <w:rsid w:val="6F6B0C02"/>
    <w:rsid w:val="6FBB1BF5"/>
    <w:rsid w:val="6FDD600F"/>
    <w:rsid w:val="6FE56C99"/>
    <w:rsid w:val="6FEC70F3"/>
    <w:rsid w:val="6FED3D79"/>
    <w:rsid w:val="6FF84BF7"/>
    <w:rsid w:val="6FFA3160"/>
    <w:rsid w:val="700A0487"/>
    <w:rsid w:val="700C6158"/>
    <w:rsid w:val="708F0DE0"/>
    <w:rsid w:val="70A47E1C"/>
    <w:rsid w:val="70E21201"/>
    <w:rsid w:val="70F863D6"/>
    <w:rsid w:val="710617A6"/>
    <w:rsid w:val="71225906"/>
    <w:rsid w:val="71BB0521"/>
    <w:rsid w:val="71CC2E67"/>
    <w:rsid w:val="71CD7300"/>
    <w:rsid w:val="71D82AFD"/>
    <w:rsid w:val="71EF1954"/>
    <w:rsid w:val="726816D1"/>
    <w:rsid w:val="727D63E6"/>
    <w:rsid w:val="728958CB"/>
    <w:rsid w:val="728E472F"/>
    <w:rsid w:val="729B7ABC"/>
    <w:rsid w:val="72C420E8"/>
    <w:rsid w:val="732E4011"/>
    <w:rsid w:val="735B04CE"/>
    <w:rsid w:val="735B2636"/>
    <w:rsid w:val="735F732E"/>
    <w:rsid w:val="73981A6A"/>
    <w:rsid w:val="73993D95"/>
    <w:rsid w:val="73ED48DE"/>
    <w:rsid w:val="73FB3986"/>
    <w:rsid w:val="743106D8"/>
    <w:rsid w:val="743326A2"/>
    <w:rsid w:val="74432F34"/>
    <w:rsid w:val="749C362B"/>
    <w:rsid w:val="74CD08FF"/>
    <w:rsid w:val="74CF4BF0"/>
    <w:rsid w:val="74F57D17"/>
    <w:rsid w:val="7531703D"/>
    <w:rsid w:val="755416E7"/>
    <w:rsid w:val="759233F8"/>
    <w:rsid w:val="75AB0156"/>
    <w:rsid w:val="75C8174D"/>
    <w:rsid w:val="75DD479F"/>
    <w:rsid w:val="75EA550C"/>
    <w:rsid w:val="760466F8"/>
    <w:rsid w:val="76270F4E"/>
    <w:rsid w:val="763C15B6"/>
    <w:rsid w:val="763F13E4"/>
    <w:rsid w:val="766B0E8B"/>
    <w:rsid w:val="7671125F"/>
    <w:rsid w:val="77073175"/>
    <w:rsid w:val="771A7379"/>
    <w:rsid w:val="77395A5D"/>
    <w:rsid w:val="77471FC0"/>
    <w:rsid w:val="77541524"/>
    <w:rsid w:val="77751095"/>
    <w:rsid w:val="77A33BC2"/>
    <w:rsid w:val="77AF64E3"/>
    <w:rsid w:val="780664B4"/>
    <w:rsid w:val="781A0A9A"/>
    <w:rsid w:val="78463A9E"/>
    <w:rsid w:val="78574485"/>
    <w:rsid w:val="7864233E"/>
    <w:rsid w:val="786E4CF1"/>
    <w:rsid w:val="78B56424"/>
    <w:rsid w:val="78D37FAF"/>
    <w:rsid w:val="78D62FDE"/>
    <w:rsid w:val="791F6FEE"/>
    <w:rsid w:val="795854EB"/>
    <w:rsid w:val="798F24A1"/>
    <w:rsid w:val="799B434A"/>
    <w:rsid w:val="79C618C2"/>
    <w:rsid w:val="79D044EF"/>
    <w:rsid w:val="79EB11CB"/>
    <w:rsid w:val="7A341A8C"/>
    <w:rsid w:val="7A4A2C13"/>
    <w:rsid w:val="7A4C7C6A"/>
    <w:rsid w:val="7A6830BE"/>
    <w:rsid w:val="7A684727"/>
    <w:rsid w:val="7A7669EB"/>
    <w:rsid w:val="7A9509D7"/>
    <w:rsid w:val="7AD05B58"/>
    <w:rsid w:val="7AE13E1F"/>
    <w:rsid w:val="7AE74F4D"/>
    <w:rsid w:val="7AF75A8B"/>
    <w:rsid w:val="7B914A09"/>
    <w:rsid w:val="7B947887"/>
    <w:rsid w:val="7BAA3368"/>
    <w:rsid w:val="7BE7325F"/>
    <w:rsid w:val="7BFE79D6"/>
    <w:rsid w:val="7C275E12"/>
    <w:rsid w:val="7C370036"/>
    <w:rsid w:val="7C740932"/>
    <w:rsid w:val="7C771287"/>
    <w:rsid w:val="7C99506C"/>
    <w:rsid w:val="7CB02BDB"/>
    <w:rsid w:val="7CBA29C8"/>
    <w:rsid w:val="7D133070"/>
    <w:rsid w:val="7D2B0B03"/>
    <w:rsid w:val="7D2F06FE"/>
    <w:rsid w:val="7D2F44E8"/>
    <w:rsid w:val="7D4E412B"/>
    <w:rsid w:val="7D50060B"/>
    <w:rsid w:val="7D645554"/>
    <w:rsid w:val="7D6B6AB1"/>
    <w:rsid w:val="7D756C75"/>
    <w:rsid w:val="7D8A03D1"/>
    <w:rsid w:val="7D9A5540"/>
    <w:rsid w:val="7DB303AF"/>
    <w:rsid w:val="7DC10D1E"/>
    <w:rsid w:val="7DDF0202"/>
    <w:rsid w:val="7DF04C5D"/>
    <w:rsid w:val="7DFA0184"/>
    <w:rsid w:val="7E4C4F67"/>
    <w:rsid w:val="7E726F38"/>
    <w:rsid w:val="7E9C227B"/>
    <w:rsid w:val="7F1460E7"/>
    <w:rsid w:val="7F497E2A"/>
    <w:rsid w:val="7F625F08"/>
    <w:rsid w:val="7FA57EA8"/>
    <w:rsid w:val="7FC6504F"/>
    <w:rsid w:val="7FCC523C"/>
    <w:rsid w:val="7FE72465"/>
    <w:rsid w:val="7FE87E1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iPriority="99"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99"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99"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uiPriority w:val="0"/>
    <w:pPr>
      <w:keepNext/>
      <w:spacing w:line="600" w:lineRule="exact"/>
      <w:ind w:firstLine="0" w:firstLineChars="0"/>
      <w:jc w:val="left"/>
      <w:outlineLvl w:val="1"/>
    </w:pPr>
    <w:rPr>
      <w:b/>
      <w:sz w:val="28"/>
    </w:rPr>
  </w:style>
  <w:style w:type="paragraph" w:styleId="5">
    <w:name w:val="heading 3"/>
    <w:basedOn w:val="1"/>
    <w:next w:val="1"/>
    <w:link w:val="40"/>
    <w:qFormat/>
    <w:uiPriority w:val="0"/>
    <w:pPr>
      <w:keepNext/>
      <w:keepLines/>
      <w:spacing w:before="260" w:after="260" w:line="416" w:lineRule="auto"/>
      <w:outlineLvl w:val="2"/>
    </w:pPr>
    <w:rPr>
      <w:b/>
      <w:bCs/>
      <w:sz w:val="32"/>
      <w:szCs w:val="32"/>
    </w:rPr>
  </w:style>
  <w:style w:type="character" w:default="1" w:styleId="28">
    <w:name w:val="Default Paragraph Font"/>
    <w:qFormat/>
    <w:uiPriority w:val="0"/>
  </w:style>
  <w:style w:type="table" w:default="1" w:styleId="26">
    <w:name w:val="Normal Table"/>
    <w:qFormat/>
    <w:uiPriority w:val="0"/>
    <w:tblPr>
      <w:tblCellMar>
        <w:top w:w="0" w:type="dxa"/>
        <w:left w:w="108" w:type="dxa"/>
        <w:bottom w:w="0" w:type="dxa"/>
        <w:right w:w="108" w:type="dxa"/>
      </w:tblCellMar>
    </w:tblPr>
  </w:style>
  <w:style w:type="paragraph" w:styleId="2">
    <w:name w:val="Normal Indent"/>
    <w:basedOn w:val="1"/>
    <w:link w:val="41"/>
    <w:qFormat/>
    <w:uiPriority w:val="0"/>
    <w:pPr>
      <w:widowControl/>
      <w:adjustRightInd w:val="0"/>
      <w:snapToGrid w:val="0"/>
      <w:spacing w:before="100" w:beforeAutospacing="1" w:after="200"/>
      <w:ind w:firstLine="420" w:firstLineChars="200"/>
      <w:jc w:val="left"/>
    </w:pPr>
    <w:rPr>
      <w:rFonts w:eastAsia="微软雅黑"/>
      <w:kern w:val="0"/>
      <w:sz w:val="22"/>
      <w:szCs w:val="22"/>
    </w:rPr>
  </w:style>
  <w:style w:type="paragraph" w:styleId="6">
    <w:name w:val="toa heading"/>
    <w:basedOn w:val="1"/>
    <w:next w:val="1"/>
    <w:unhideWhenUsed/>
    <w:qFormat/>
    <w:uiPriority w:val="99"/>
    <w:pPr>
      <w:spacing w:before="120"/>
    </w:pPr>
    <w:rPr>
      <w:rFonts w:ascii="Arial" w:hAnsi="Arial"/>
      <w:sz w:val="24"/>
    </w:rPr>
  </w:style>
  <w:style w:type="paragraph" w:styleId="7">
    <w:name w:val="annotation text"/>
    <w:basedOn w:val="1"/>
    <w:link w:val="42"/>
    <w:qFormat/>
    <w:uiPriority w:val="0"/>
    <w:pPr>
      <w:jc w:val="left"/>
    </w:pPr>
    <w:rPr>
      <w:kern w:val="0"/>
      <w:sz w:val="24"/>
      <w:szCs w:val="20"/>
    </w:rPr>
  </w:style>
  <w:style w:type="paragraph" w:styleId="8">
    <w:name w:val="Body Text"/>
    <w:basedOn w:val="1"/>
    <w:next w:val="9"/>
    <w:link w:val="43"/>
    <w:qFormat/>
    <w:uiPriority w:val="0"/>
    <w:pPr>
      <w:widowControl/>
      <w:snapToGrid w:val="0"/>
      <w:spacing w:before="60" w:after="160" w:line="259" w:lineRule="auto"/>
      <w:ind w:right="113"/>
    </w:pPr>
    <w:rPr>
      <w:kern w:val="0"/>
      <w:sz w:val="18"/>
      <w:szCs w:val="20"/>
    </w:rPr>
  </w:style>
  <w:style w:type="paragraph" w:customStyle="1" w:styleId="9">
    <w:name w:val="Default"/>
    <w:basedOn w:val="10"/>
    <w:next w:val="11"/>
    <w:qFormat/>
    <w:uiPriority w:val="0"/>
    <w:pPr>
      <w:widowControl w:val="0"/>
      <w:autoSpaceDE w:val="0"/>
      <w:autoSpaceDN w:val="0"/>
      <w:adjustRightInd w:val="0"/>
    </w:pPr>
    <w:rPr>
      <w:rFonts w:hint="eastAsia" w:ascii="宋体" w:hAnsi="宋体" w:eastAsia="宋体" w:cs="Times New Roman"/>
      <w:color w:val="000000"/>
      <w:sz w:val="24"/>
      <w:szCs w:val="22"/>
      <w:lang w:val="en-US" w:eastAsia="zh-CN" w:bidi="ar-SA"/>
    </w:rPr>
  </w:style>
  <w:style w:type="paragraph" w:customStyle="1" w:styleId="10">
    <w:name w:val="纯文本1"/>
    <w:basedOn w:val="1"/>
    <w:qFormat/>
    <w:uiPriority w:val="0"/>
    <w:pPr>
      <w:adjustRightInd w:val="0"/>
    </w:pPr>
    <w:rPr>
      <w:rFonts w:ascii="宋体" w:hAnsi="Courier New"/>
      <w:szCs w:val="20"/>
    </w:rPr>
  </w:style>
  <w:style w:type="paragraph" w:customStyle="1" w:styleId="11">
    <w:name w:val="样式35"/>
    <w:basedOn w:val="1"/>
    <w:next w:val="1"/>
    <w:qFormat/>
    <w:uiPriority w:val="0"/>
    <w:pPr>
      <w:spacing w:line="312" w:lineRule="auto"/>
      <w:ind w:firstLine="567"/>
    </w:pPr>
    <w:rPr>
      <w:rFonts w:ascii="宋体"/>
      <w:sz w:val="28"/>
    </w:rPr>
  </w:style>
  <w:style w:type="paragraph" w:styleId="12">
    <w:name w:val="Body Text Indent"/>
    <w:basedOn w:val="1"/>
    <w:next w:val="13"/>
    <w:link w:val="44"/>
    <w:qFormat/>
    <w:uiPriority w:val="0"/>
    <w:pPr>
      <w:spacing w:after="120"/>
      <w:ind w:left="420" w:leftChars="200"/>
    </w:pPr>
    <w:rPr>
      <w:kern w:val="0"/>
      <w:sz w:val="24"/>
      <w:szCs w:val="20"/>
    </w:rPr>
  </w:style>
  <w:style w:type="paragraph" w:styleId="13">
    <w:name w:val="Body Text First Indent 2"/>
    <w:basedOn w:val="12"/>
    <w:next w:val="1"/>
    <w:link w:val="53"/>
    <w:qFormat/>
    <w:uiPriority w:val="99"/>
    <w:pPr>
      <w:ind w:firstLine="420" w:firstLineChars="200"/>
    </w:pPr>
    <w:rPr>
      <w:rFonts w:ascii="Calibri" w:hAnsi="Calibri"/>
      <w:kern w:val="2"/>
      <w:sz w:val="21"/>
      <w:szCs w:val="22"/>
    </w:rPr>
  </w:style>
  <w:style w:type="paragraph" w:styleId="14">
    <w:name w:val="Plain Text"/>
    <w:basedOn w:val="1"/>
    <w:link w:val="45"/>
    <w:qFormat/>
    <w:uiPriority w:val="99"/>
    <w:pPr>
      <w:adjustRightInd w:val="0"/>
      <w:snapToGrid w:val="0"/>
      <w:spacing w:line="360" w:lineRule="auto"/>
    </w:pPr>
    <w:rPr>
      <w:rFonts w:ascii="宋体" w:hAnsi="Courier New" w:cs="Times New Roman"/>
      <w:szCs w:val="21"/>
    </w:rPr>
  </w:style>
  <w:style w:type="paragraph" w:styleId="15">
    <w:name w:val="Date"/>
    <w:basedOn w:val="1"/>
    <w:next w:val="1"/>
    <w:link w:val="46"/>
    <w:qFormat/>
    <w:uiPriority w:val="0"/>
    <w:pPr>
      <w:ind w:left="100" w:leftChars="2500"/>
    </w:pPr>
    <w:rPr>
      <w:kern w:val="0"/>
      <w:sz w:val="24"/>
      <w:szCs w:val="20"/>
    </w:rPr>
  </w:style>
  <w:style w:type="paragraph" w:styleId="16">
    <w:name w:val="Body Text Indent 2"/>
    <w:basedOn w:val="1"/>
    <w:qFormat/>
    <w:uiPriority w:val="0"/>
    <w:pPr>
      <w:spacing w:before="240" w:line="360" w:lineRule="auto"/>
      <w:ind w:firstLine="560" w:firstLineChars="200"/>
    </w:pPr>
    <w:rPr>
      <w:sz w:val="28"/>
    </w:rPr>
  </w:style>
  <w:style w:type="paragraph" w:styleId="17">
    <w:name w:val="Balloon Text"/>
    <w:basedOn w:val="1"/>
    <w:link w:val="47"/>
    <w:qFormat/>
    <w:uiPriority w:val="0"/>
    <w:rPr>
      <w:kern w:val="0"/>
      <w:sz w:val="18"/>
      <w:szCs w:val="20"/>
    </w:rPr>
  </w:style>
  <w:style w:type="paragraph" w:styleId="18">
    <w:name w:val="footer"/>
    <w:basedOn w:val="1"/>
    <w:link w:val="48"/>
    <w:qFormat/>
    <w:uiPriority w:val="99"/>
    <w:pPr>
      <w:tabs>
        <w:tab w:val="center" w:pos="4153"/>
        <w:tab w:val="right" w:pos="8306"/>
      </w:tabs>
      <w:snapToGrid w:val="0"/>
      <w:jc w:val="left"/>
    </w:pPr>
    <w:rPr>
      <w:kern w:val="0"/>
      <w:sz w:val="18"/>
      <w:szCs w:val="20"/>
    </w:rPr>
  </w:style>
  <w:style w:type="paragraph" w:styleId="19">
    <w:name w:val="header"/>
    <w:basedOn w:val="1"/>
    <w:link w:val="49"/>
    <w:qFormat/>
    <w:uiPriority w:val="0"/>
    <w:pPr>
      <w:pBdr>
        <w:bottom w:val="single" w:color="auto" w:sz="6" w:space="1"/>
      </w:pBdr>
      <w:tabs>
        <w:tab w:val="center" w:pos="4153"/>
        <w:tab w:val="right" w:pos="8306"/>
      </w:tabs>
      <w:snapToGrid w:val="0"/>
      <w:jc w:val="center"/>
    </w:pPr>
    <w:rPr>
      <w:kern w:val="0"/>
      <w:sz w:val="18"/>
      <w:szCs w:val="20"/>
    </w:rPr>
  </w:style>
  <w:style w:type="paragraph" w:styleId="20">
    <w:name w:val="Body Text Indent 3"/>
    <w:basedOn w:val="1"/>
    <w:qFormat/>
    <w:uiPriority w:val="0"/>
    <w:pPr>
      <w:ind w:firstLine="480"/>
    </w:pPr>
    <w:rPr>
      <w:sz w:val="24"/>
      <w:szCs w:val="20"/>
    </w:rPr>
  </w:style>
  <w:style w:type="paragraph" w:styleId="21">
    <w:name w:val="Body Text 2"/>
    <w:basedOn w:val="1"/>
    <w:qFormat/>
    <w:uiPriority w:val="0"/>
    <w:pPr>
      <w:spacing w:line="400" w:lineRule="exact"/>
    </w:pPr>
    <w:rPr>
      <w:b/>
      <w:bCs/>
      <w:sz w:val="28"/>
    </w:rPr>
  </w:style>
  <w:style w:type="paragraph" w:styleId="22">
    <w:name w:val="Normal (Web)"/>
    <w:basedOn w:val="1"/>
    <w:link w:val="50"/>
    <w:qFormat/>
    <w:uiPriority w:val="0"/>
    <w:pPr>
      <w:widowControl/>
      <w:spacing w:before="100" w:beforeAutospacing="1" w:after="100" w:afterAutospacing="1"/>
      <w:jc w:val="left"/>
    </w:pPr>
    <w:rPr>
      <w:rFonts w:ascii="宋体" w:hAnsi="宋体"/>
      <w:kern w:val="0"/>
      <w:sz w:val="24"/>
      <w:szCs w:val="20"/>
    </w:rPr>
  </w:style>
  <w:style w:type="paragraph" w:styleId="23">
    <w:name w:val="Title"/>
    <w:basedOn w:val="1"/>
    <w:next w:val="1"/>
    <w:link w:val="51"/>
    <w:qFormat/>
    <w:uiPriority w:val="99"/>
    <w:pPr>
      <w:spacing w:before="240" w:after="60"/>
      <w:jc w:val="center"/>
      <w:outlineLvl w:val="0"/>
    </w:pPr>
    <w:rPr>
      <w:rFonts w:ascii="Cambria" w:hAnsi="Cambria"/>
      <w:b/>
      <w:bCs/>
      <w:sz w:val="32"/>
      <w:szCs w:val="32"/>
    </w:rPr>
  </w:style>
  <w:style w:type="paragraph" w:styleId="24">
    <w:name w:val="annotation subject"/>
    <w:basedOn w:val="7"/>
    <w:next w:val="7"/>
    <w:link w:val="52"/>
    <w:qFormat/>
    <w:uiPriority w:val="0"/>
    <w:rPr>
      <w:b/>
      <w:kern w:val="2"/>
    </w:rPr>
  </w:style>
  <w:style w:type="paragraph" w:styleId="25">
    <w:name w:val="Body Text First Indent"/>
    <w:basedOn w:val="8"/>
    <w:qFormat/>
    <w:uiPriority w:val="0"/>
    <w:pPr>
      <w:adjustRightInd w:val="0"/>
      <w:snapToGrid w:val="0"/>
      <w:spacing w:line="500" w:lineRule="exact"/>
      <w:ind w:firstLine="480"/>
    </w:pPr>
    <w:rPr>
      <w:szCs w:val="18"/>
    </w:rPr>
  </w:style>
  <w:style w:type="table" w:styleId="27">
    <w:name w:val="Table Grid"/>
    <w:basedOn w:val="26"/>
    <w:qFormat/>
    <w:uiPriority w:val="99"/>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qFormat/>
    <w:uiPriority w:val="0"/>
    <w:rPr>
      <w:b/>
    </w:rPr>
  </w:style>
  <w:style w:type="character" w:styleId="30">
    <w:name w:val="page number"/>
    <w:qFormat/>
    <w:uiPriority w:val="0"/>
  </w:style>
  <w:style w:type="character" w:styleId="31">
    <w:name w:val="FollowedHyperlink"/>
    <w:basedOn w:val="28"/>
    <w:qFormat/>
    <w:uiPriority w:val="0"/>
    <w:rPr>
      <w:color w:val="800080"/>
      <w:u w:val="none"/>
    </w:rPr>
  </w:style>
  <w:style w:type="character" w:styleId="32">
    <w:name w:val="Emphasis"/>
    <w:basedOn w:val="28"/>
    <w:qFormat/>
    <w:uiPriority w:val="0"/>
  </w:style>
  <w:style w:type="character" w:styleId="33">
    <w:name w:val="Hyperlink"/>
    <w:qFormat/>
    <w:uiPriority w:val="99"/>
    <w:rPr>
      <w:color w:val="0000FF"/>
      <w:u w:val="single"/>
    </w:rPr>
  </w:style>
  <w:style w:type="character" w:styleId="34">
    <w:name w:val="annotation reference"/>
    <w:qFormat/>
    <w:uiPriority w:val="0"/>
    <w:rPr>
      <w:sz w:val="21"/>
    </w:rPr>
  </w:style>
  <w:style w:type="paragraph" w:customStyle="1" w:styleId="35">
    <w:name w:val="样式 正文文本缩进 + 行距: 1.5 倍行距"/>
    <w:basedOn w:val="36"/>
    <w:next w:val="1"/>
    <w:qFormat/>
    <w:uiPriority w:val="0"/>
    <w:pPr>
      <w:spacing w:after="120" w:line="360" w:lineRule="auto"/>
      <w:ind w:left="90" w:leftChars="32" w:firstLine="560" w:firstLineChars="200"/>
    </w:pPr>
    <w:rPr>
      <w:rFonts w:cs="宋体"/>
      <w:sz w:val="24"/>
    </w:rPr>
  </w:style>
  <w:style w:type="paragraph" w:customStyle="1" w:styleId="36">
    <w:name w:val="Body Text Indent"/>
    <w:basedOn w:val="1"/>
    <w:next w:val="35"/>
    <w:qFormat/>
    <w:uiPriority w:val="0"/>
    <w:pPr>
      <w:spacing w:after="120" w:afterLines="0"/>
      <w:ind w:left="420" w:leftChars="200"/>
    </w:pPr>
    <w:rPr>
      <w:rFonts w:ascii="Times New Roman" w:hAnsi="Times New Roman" w:eastAsia="宋体"/>
      <w:sz w:val="24"/>
    </w:rPr>
  </w:style>
  <w:style w:type="paragraph" w:customStyle="1" w:styleId="37">
    <w:name w:val="正文文本缩进1"/>
    <w:basedOn w:val="1"/>
    <w:next w:val="35"/>
    <w:qFormat/>
    <w:uiPriority w:val="0"/>
    <w:pPr>
      <w:spacing w:after="120"/>
      <w:ind w:left="420" w:leftChars="200"/>
    </w:pPr>
    <w:rPr>
      <w:sz w:val="24"/>
    </w:rPr>
  </w:style>
  <w:style w:type="paragraph" w:customStyle="1" w:styleId="38">
    <w:name w:val="Body Text Indent2"/>
    <w:basedOn w:val="1"/>
    <w:next w:val="35"/>
    <w:qFormat/>
    <w:uiPriority w:val="0"/>
    <w:pPr>
      <w:spacing w:after="120" w:afterLines="0"/>
      <w:ind w:left="420" w:leftChars="200"/>
    </w:pPr>
    <w:rPr>
      <w:rFonts w:ascii="Times New Roman" w:hAnsi="Times New Roman" w:eastAsia="宋体"/>
      <w:sz w:val="24"/>
    </w:rPr>
  </w:style>
  <w:style w:type="paragraph" w:customStyle="1" w:styleId="39">
    <w:name w:val="UserStyle_0"/>
    <w:qFormat/>
    <w:uiPriority w:val="0"/>
    <w:pPr>
      <w:spacing w:after="200" w:line="276" w:lineRule="auto"/>
      <w:textAlignment w:val="baseline"/>
    </w:pPr>
    <w:rPr>
      <w:rFonts w:ascii="华文中宋" w:hAnsi="Droid Sans" w:eastAsia="华文中宋" w:cs="Times New Roman"/>
      <w:color w:val="000000"/>
      <w:sz w:val="24"/>
      <w:szCs w:val="24"/>
      <w:lang w:val="en-US" w:eastAsia="zh-CN" w:bidi="ar-SA"/>
    </w:rPr>
  </w:style>
  <w:style w:type="character" w:customStyle="1" w:styleId="40">
    <w:name w:val="标题 3 Char"/>
    <w:link w:val="5"/>
    <w:qFormat/>
    <w:uiPriority w:val="0"/>
    <w:rPr>
      <w:b/>
      <w:bCs/>
      <w:kern w:val="2"/>
      <w:sz w:val="32"/>
      <w:szCs w:val="32"/>
    </w:rPr>
  </w:style>
  <w:style w:type="character" w:customStyle="1" w:styleId="41">
    <w:name w:val="正文缩进 Char"/>
    <w:link w:val="2"/>
    <w:qFormat/>
    <w:uiPriority w:val="0"/>
    <w:rPr>
      <w:rFonts w:eastAsia="微软雅黑"/>
      <w:sz w:val="22"/>
      <w:szCs w:val="22"/>
    </w:rPr>
  </w:style>
  <w:style w:type="character" w:customStyle="1" w:styleId="42">
    <w:name w:val="批注文字 Char"/>
    <w:link w:val="7"/>
    <w:qFormat/>
    <w:uiPriority w:val="0"/>
    <w:rPr>
      <w:rFonts w:ascii="Times New Roman" w:hAnsi="Times New Roman" w:eastAsia="宋体"/>
      <w:sz w:val="24"/>
    </w:rPr>
  </w:style>
  <w:style w:type="character" w:customStyle="1" w:styleId="43">
    <w:name w:val="正文文本 Char"/>
    <w:link w:val="8"/>
    <w:qFormat/>
    <w:uiPriority w:val="0"/>
    <w:rPr>
      <w:sz w:val="18"/>
    </w:rPr>
  </w:style>
  <w:style w:type="character" w:customStyle="1" w:styleId="44">
    <w:name w:val="正文文本缩进 Char"/>
    <w:link w:val="12"/>
    <w:qFormat/>
    <w:uiPriority w:val="0"/>
    <w:rPr>
      <w:rFonts w:ascii="Times New Roman" w:hAnsi="Times New Roman" w:eastAsia="宋体"/>
      <w:sz w:val="24"/>
    </w:rPr>
  </w:style>
  <w:style w:type="character" w:customStyle="1" w:styleId="45">
    <w:name w:val="纯文本 Char"/>
    <w:basedOn w:val="28"/>
    <w:link w:val="14"/>
    <w:qFormat/>
    <w:uiPriority w:val="99"/>
    <w:rPr>
      <w:rFonts w:ascii="宋体" w:hAnsi="Courier New"/>
      <w:kern w:val="2"/>
      <w:sz w:val="21"/>
      <w:szCs w:val="21"/>
    </w:rPr>
  </w:style>
  <w:style w:type="character" w:customStyle="1" w:styleId="46">
    <w:name w:val="日期 Char"/>
    <w:link w:val="15"/>
    <w:qFormat/>
    <w:uiPriority w:val="0"/>
    <w:rPr>
      <w:rFonts w:ascii="Times New Roman" w:hAnsi="Times New Roman" w:eastAsia="宋体"/>
      <w:sz w:val="24"/>
    </w:rPr>
  </w:style>
  <w:style w:type="character" w:customStyle="1" w:styleId="47">
    <w:name w:val="批注框文本 Char"/>
    <w:link w:val="17"/>
    <w:qFormat/>
    <w:uiPriority w:val="0"/>
    <w:rPr>
      <w:rFonts w:ascii="Times New Roman" w:hAnsi="Times New Roman" w:eastAsia="宋体"/>
      <w:sz w:val="18"/>
    </w:rPr>
  </w:style>
  <w:style w:type="character" w:customStyle="1" w:styleId="48">
    <w:name w:val="页脚 Char"/>
    <w:link w:val="18"/>
    <w:qFormat/>
    <w:uiPriority w:val="99"/>
    <w:rPr>
      <w:sz w:val="18"/>
    </w:rPr>
  </w:style>
  <w:style w:type="character" w:customStyle="1" w:styleId="49">
    <w:name w:val="页眉 Char"/>
    <w:link w:val="19"/>
    <w:qFormat/>
    <w:uiPriority w:val="0"/>
    <w:rPr>
      <w:sz w:val="18"/>
    </w:rPr>
  </w:style>
  <w:style w:type="character" w:customStyle="1" w:styleId="50">
    <w:name w:val="普通(网站) Char"/>
    <w:link w:val="22"/>
    <w:qFormat/>
    <w:uiPriority w:val="0"/>
    <w:rPr>
      <w:rFonts w:ascii="宋体" w:hAnsi="宋体" w:eastAsia="宋体"/>
      <w:sz w:val="24"/>
    </w:rPr>
  </w:style>
  <w:style w:type="character" w:customStyle="1" w:styleId="51">
    <w:name w:val="标题 Char"/>
    <w:link w:val="23"/>
    <w:qFormat/>
    <w:uiPriority w:val="99"/>
    <w:rPr>
      <w:rFonts w:ascii="Cambria" w:hAnsi="Cambria" w:cs="Times New Roman"/>
      <w:b/>
      <w:bCs/>
      <w:kern w:val="2"/>
      <w:sz w:val="32"/>
      <w:szCs w:val="32"/>
    </w:rPr>
  </w:style>
  <w:style w:type="character" w:customStyle="1" w:styleId="52">
    <w:name w:val="批注主题 Char"/>
    <w:link w:val="24"/>
    <w:qFormat/>
    <w:uiPriority w:val="0"/>
    <w:rPr>
      <w:rFonts w:ascii="Times New Roman" w:hAnsi="Times New Roman" w:eastAsia="宋体"/>
      <w:b/>
      <w:kern w:val="2"/>
      <w:sz w:val="24"/>
    </w:rPr>
  </w:style>
  <w:style w:type="character" w:customStyle="1" w:styleId="53">
    <w:name w:val="正文首行缩进 2 Char"/>
    <w:link w:val="13"/>
    <w:qFormat/>
    <w:uiPriority w:val="99"/>
    <w:rPr>
      <w:rFonts w:ascii="Calibri" w:hAnsi="Calibri" w:eastAsia="宋体" w:cs="Times New Roman"/>
      <w:kern w:val="2"/>
      <w:sz w:val="21"/>
      <w:szCs w:val="22"/>
    </w:rPr>
  </w:style>
  <w:style w:type="character" w:customStyle="1" w:styleId="54">
    <w:name w:val="批注文字 字符1"/>
    <w:qFormat/>
    <w:uiPriority w:val="0"/>
    <w:rPr>
      <w:rFonts w:ascii="Times New Roman" w:hAnsi="Times New Roman" w:eastAsia="宋体"/>
      <w:sz w:val="24"/>
    </w:rPr>
  </w:style>
  <w:style w:type="character" w:customStyle="1" w:styleId="55">
    <w:name w:val="日期 字符"/>
    <w:qFormat/>
    <w:uiPriority w:val="0"/>
    <w:rPr>
      <w:rFonts w:ascii="Times New Roman" w:hAnsi="Times New Roman" w:eastAsia="宋体"/>
      <w:sz w:val="24"/>
    </w:rPr>
  </w:style>
  <w:style w:type="character" w:customStyle="1" w:styleId="56">
    <w:name w:val="表格 Char"/>
    <w:link w:val="57"/>
    <w:qFormat/>
    <w:uiPriority w:val="0"/>
    <w:rPr>
      <w:rFonts w:ascii="宋体"/>
      <w:sz w:val="21"/>
    </w:rPr>
  </w:style>
  <w:style w:type="paragraph" w:customStyle="1" w:styleId="57">
    <w:name w:val="表格"/>
    <w:basedOn w:val="58"/>
    <w:next w:val="1"/>
    <w:link w:val="56"/>
    <w:qFormat/>
    <w:uiPriority w:val="0"/>
    <w:pPr>
      <w:adjustRightInd w:val="0"/>
      <w:snapToGrid w:val="0"/>
      <w:spacing w:beforeLines="10" w:afterLines="10" w:line="259" w:lineRule="auto"/>
      <w:jc w:val="center"/>
    </w:pPr>
    <w:rPr>
      <w:rFonts w:ascii="宋体"/>
      <w:kern w:val="0"/>
      <w:szCs w:val="20"/>
    </w:rPr>
  </w:style>
  <w:style w:type="paragraph" w:customStyle="1" w:styleId="58">
    <w:name w:val="表格使用文字"/>
    <w:basedOn w:val="1"/>
    <w:qFormat/>
    <w:uiPriority w:val="99"/>
    <w:pPr>
      <w:jc w:val="center"/>
    </w:pPr>
    <w:rPr>
      <w:color w:val="000000"/>
      <w:szCs w:val="21"/>
    </w:rPr>
  </w:style>
  <w:style w:type="character" w:customStyle="1" w:styleId="59">
    <w:name w:val="页脚 字符"/>
    <w:qFormat/>
    <w:uiPriority w:val="99"/>
  </w:style>
  <w:style w:type="character" w:customStyle="1" w:styleId="60">
    <w:name w:val="正文文本 字符1"/>
    <w:qFormat/>
    <w:uiPriority w:val="0"/>
    <w:rPr>
      <w:rFonts w:ascii="Times New Roman" w:hAnsi="Times New Roman" w:eastAsia="宋体"/>
      <w:sz w:val="24"/>
    </w:rPr>
  </w:style>
  <w:style w:type="paragraph" w:customStyle="1" w:styleId="61">
    <w:name w:val="正文2"/>
    <w:qFormat/>
    <w:uiPriority w:val="0"/>
    <w:pPr>
      <w:jc w:val="both"/>
    </w:pPr>
    <w:rPr>
      <w:rFonts w:ascii="Calibri" w:hAnsi="Calibri" w:eastAsia="宋体" w:cs="宋体"/>
      <w:kern w:val="2"/>
      <w:sz w:val="21"/>
      <w:szCs w:val="21"/>
      <w:lang w:val="en-US" w:eastAsia="zh-CN" w:bidi="ar-SA"/>
    </w:rPr>
  </w:style>
  <w:style w:type="paragraph" w:customStyle="1" w:styleId="62">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3">
    <w:name w:val="表格使用"/>
    <w:basedOn w:val="1"/>
    <w:qFormat/>
    <w:uiPriority w:val="0"/>
    <w:pPr>
      <w:snapToGrid w:val="0"/>
      <w:jc w:val="center"/>
    </w:pPr>
    <w:rPr>
      <w:szCs w:val="21"/>
    </w:rPr>
  </w:style>
  <w:style w:type="paragraph" w:customStyle="1" w:styleId="64">
    <w:name w:val="样式 首行缩进:  0.85 厘米 行距: 1.5 倍行距"/>
    <w:basedOn w:val="1"/>
    <w:qFormat/>
    <w:uiPriority w:val="0"/>
    <w:pPr>
      <w:ind w:left="-28" w:firstLine="561"/>
      <w:jc w:val="both"/>
    </w:pPr>
    <w:rPr>
      <w:bCs/>
      <w:szCs w:val="20"/>
    </w:rPr>
  </w:style>
  <w:style w:type="paragraph" w:customStyle="1" w:styleId="65">
    <w:name w:val="Normal_4e4381cc-63ea-4b2a-9640-499d7b45caf1"/>
    <w:qFormat/>
    <w:uiPriority w:val="0"/>
    <w:pPr>
      <w:jc w:val="both"/>
    </w:pPr>
    <w:rPr>
      <w:rFonts w:ascii="Times New Roman" w:hAnsi="Times New Roman" w:eastAsia="宋体" w:cs="Times New Roman"/>
      <w:kern w:val="2"/>
      <w:sz w:val="21"/>
      <w:szCs w:val="21"/>
      <w:lang w:val="en-US" w:eastAsia="zh-CN" w:bidi="ar-SA"/>
    </w:rPr>
  </w:style>
  <w:style w:type="paragraph" w:customStyle="1" w:styleId="66">
    <w:name w:val="正文5"/>
    <w:qFormat/>
    <w:uiPriority w:val="0"/>
    <w:pPr>
      <w:jc w:val="both"/>
    </w:pPr>
    <w:rPr>
      <w:rFonts w:ascii="Times New Roman" w:hAnsi="Times New Roman" w:eastAsia="宋体" w:cs="Times New Roman"/>
      <w:kern w:val="2"/>
      <w:sz w:val="21"/>
      <w:szCs w:val="21"/>
      <w:lang w:val="en-US" w:eastAsia="zh-CN" w:bidi="ar-SA"/>
    </w:rPr>
  </w:style>
  <w:style w:type="paragraph" w:customStyle="1" w:styleId="67">
    <w:name w:val="正文 首行缩进: 2 字符"/>
    <w:basedOn w:val="1"/>
    <w:qFormat/>
    <w:uiPriority w:val="0"/>
    <w:pPr>
      <w:adjustRightInd w:val="0"/>
      <w:snapToGrid w:val="0"/>
      <w:spacing w:line="500" w:lineRule="exact"/>
      <w:ind w:firstLine="200" w:firstLineChars="200"/>
      <w:jc w:val="left"/>
    </w:pPr>
    <w:rPr>
      <w:sz w:val="24"/>
    </w:rPr>
  </w:style>
  <w:style w:type="paragraph" w:customStyle="1" w:styleId="68">
    <w:name w:val="表 头"/>
    <w:basedOn w:val="1"/>
    <w:qFormat/>
    <w:uiPriority w:val="0"/>
    <w:pPr>
      <w:adjustRightInd w:val="0"/>
      <w:spacing w:before="50" w:beforeLines="50" w:after="50" w:afterLines="50"/>
      <w:jc w:val="center"/>
    </w:pPr>
    <w:rPr>
      <w:rFonts w:ascii="黑体" w:eastAsia="黑体"/>
      <w:kern w:val="0"/>
      <w:szCs w:val="21"/>
    </w:rPr>
  </w:style>
  <w:style w:type="paragraph" w:customStyle="1" w:styleId="69">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70">
    <w:name w:val="Table Paragraph"/>
    <w:basedOn w:val="1"/>
    <w:qFormat/>
    <w:uiPriority w:val="0"/>
    <w:rPr>
      <w:szCs w:val="21"/>
    </w:rPr>
  </w:style>
  <w:style w:type="paragraph" w:customStyle="1" w:styleId="71">
    <w:name w:val="帅哥的样式"/>
    <w:basedOn w:val="1"/>
    <w:qFormat/>
    <w:uiPriority w:val="0"/>
    <w:pPr>
      <w:spacing w:line="360" w:lineRule="auto"/>
      <w:ind w:firstLine="200" w:firstLineChars="200"/>
    </w:pPr>
    <w:rPr>
      <w:kern w:val="0"/>
      <w:sz w:val="24"/>
    </w:rPr>
  </w:style>
  <w:style w:type="paragraph" w:customStyle="1" w:styleId="72">
    <w:name w:val="表格字体"/>
    <w:basedOn w:val="1"/>
    <w:qFormat/>
    <w:uiPriority w:val="0"/>
    <w:pPr>
      <w:adjustRightInd w:val="0"/>
      <w:spacing w:line="300" w:lineRule="exact"/>
      <w:jc w:val="center"/>
    </w:pPr>
    <w:rPr>
      <w:color w:val="000000"/>
      <w:sz w:val="18"/>
      <w:szCs w:val="18"/>
    </w:rPr>
  </w:style>
  <w:style w:type="paragraph" w:customStyle="1" w:styleId="73">
    <w:name w:val="正文6"/>
    <w:basedOn w:val="1"/>
    <w:qFormat/>
    <w:uiPriority w:val="0"/>
    <w:pPr>
      <w:widowControl/>
    </w:pPr>
    <w:rPr>
      <w:szCs w:val="21"/>
    </w:rPr>
  </w:style>
  <w:style w:type="paragraph" w:customStyle="1" w:styleId="74">
    <w:name w:val="三级"/>
    <w:basedOn w:val="1"/>
    <w:qFormat/>
    <w:uiPriority w:val="0"/>
    <w:pPr>
      <w:adjustRightInd w:val="0"/>
      <w:snapToGrid w:val="0"/>
      <w:ind w:firstLine="0" w:firstLineChars="0"/>
      <w:jc w:val="left"/>
      <w:outlineLvl w:val="2"/>
    </w:pPr>
    <w:rPr>
      <w:b/>
      <w:kern w:val="0"/>
      <w:szCs w:val="24"/>
    </w:rPr>
  </w:style>
  <w:style w:type="paragraph" w:customStyle="1" w:styleId="75">
    <w:name w:val="正文3"/>
    <w:qFormat/>
    <w:uiPriority w:val="0"/>
    <w:pPr>
      <w:jc w:val="both"/>
    </w:pPr>
    <w:rPr>
      <w:rFonts w:ascii="Calibri" w:hAnsi="Calibri" w:eastAsia="宋体" w:cs="宋体"/>
      <w:kern w:val="2"/>
      <w:sz w:val="21"/>
      <w:szCs w:val="21"/>
      <w:lang w:val="en-US" w:eastAsia="zh-CN" w:bidi="ar-SA"/>
    </w:rPr>
  </w:style>
  <w:style w:type="paragraph" w:customStyle="1" w:styleId="76">
    <w:name w:val="标题-图表"/>
    <w:basedOn w:val="1"/>
    <w:qFormat/>
    <w:uiPriority w:val="0"/>
    <w:pPr>
      <w:spacing w:line="500" w:lineRule="exact"/>
      <w:jc w:val="center"/>
    </w:pPr>
    <w:rPr>
      <w:rFonts w:ascii="黑体" w:eastAsia="黑体"/>
      <w:sz w:val="24"/>
    </w:rPr>
  </w:style>
  <w:style w:type="paragraph" w:customStyle="1" w:styleId="77">
    <w:name w:val="正文 首行缩进:  2 字符"/>
    <w:basedOn w:val="1"/>
    <w:qFormat/>
    <w:uiPriority w:val="0"/>
    <w:pPr>
      <w:adjustRightInd w:val="0"/>
      <w:snapToGrid w:val="0"/>
      <w:spacing w:line="500" w:lineRule="exact"/>
      <w:ind w:firstLine="200" w:firstLineChars="200"/>
      <w:jc w:val="left"/>
    </w:pPr>
    <w:rPr>
      <w:rFonts w:cs="宋体"/>
      <w:sz w:val="24"/>
      <w:szCs w:val="20"/>
    </w:rPr>
  </w:style>
  <w:style w:type="paragraph" w:styleId="78">
    <w:name w:val="List Paragraph"/>
    <w:basedOn w:val="1"/>
    <w:qFormat/>
    <w:uiPriority w:val="34"/>
    <w:pPr>
      <w:ind w:firstLine="420" w:firstLineChars="200"/>
    </w:pPr>
  </w:style>
  <w:style w:type="paragraph" w:customStyle="1" w:styleId="79">
    <w:name w:val="聪表标题"/>
    <w:basedOn w:val="1"/>
    <w:qFormat/>
    <w:uiPriority w:val="0"/>
    <w:pPr>
      <w:spacing w:line="360" w:lineRule="auto"/>
      <w:jc w:val="center"/>
    </w:pPr>
    <w:rPr>
      <w:rFonts w:ascii="黑体" w:hAnsi="黑体" w:eastAsia="黑体"/>
      <w:sz w:val="24"/>
      <w:szCs w:val="24"/>
    </w:rPr>
  </w:style>
  <w:style w:type="paragraph" w:customStyle="1" w:styleId="80">
    <w:name w:val="表格内容"/>
    <w:basedOn w:val="1"/>
    <w:qFormat/>
    <w:uiPriority w:val="0"/>
    <w:pPr>
      <w:adjustRightInd w:val="0"/>
      <w:spacing w:line="240" w:lineRule="auto"/>
      <w:jc w:val="center"/>
      <w:textAlignment w:val="baseline"/>
    </w:pPr>
    <w:rPr>
      <w:sz w:val="21"/>
      <w:szCs w:val="21"/>
    </w:rPr>
  </w:style>
  <w:style w:type="paragraph" w:customStyle="1" w:styleId="81">
    <w:name w:val="表格样式"/>
    <w:basedOn w:val="1"/>
    <w:qFormat/>
    <w:uiPriority w:val="0"/>
    <w:pPr>
      <w:spacing w:line="360" w:lineRule="exact"/>
      <w:jc w:val="center"/>
    </w:pPr>
    <w:rPr>
      <w:color w:val="000000"/>
      <w:szCs w:val="21"/>
    </w:rPr>
  </w:style>
  <w:style w:type="character" w:customStyle="1" w:styleId="82">
    <w:name w:val="disabled"/>
    <w:basedOn w:val="28"/>
    <w:qFormat/>
    <w:uiPriority w:val="0"/>
    <w:rPr>
      <w:vanish/>
    </w:rPr>
  </w:style>
  <w:style w:type="character" w:customStyle="1" w:styleId="83">
    <w:name w:val="znspantitle"/>
    <w:basedOn w:val="28"/>
    <w:qFormat/>
    <w:uiPriority w:val="0"/>
    <w:rPr>
      <w:b/>
      <w:color w:val="333333"/>
    </w:rPr>
  </w:style>
  <w:style w:type="character" w:customStyle="1" w:styleId="84">
    <w:name w:val="font11"/>
    <w:basedOn w:val="28"/>
    <w:qFormat/>
    <w:uiPriority w:val="0"/>
    <w:rPr>
      <w:rFonts w:hint="default" w:ascii="Times New Roman" w:hAnsi="Times New Roman" w:cs="Times New Roman"/>
      <w:color w:val="000000"/>
      <w:sz w:val="21"/>
      <w:szCs w:val="21"/>
      <w:u w:val="none"/>
    </w:rPr>
  </w:style>
  <w:style w:type="paragraph" w:customStyle="1" w:styleId="85">
    <w:name w:val="正文1"/>
    <w:basedOn w:val="1"/>
    <w:next w:val="1"/>
    <w:qFormat/>
    <w:uiPriority w:val="0"/>
    <w:pPr>
      <w:adjustRightInd w:val="0"/>
      <w:snapToGrid w:val="0"/>
      <w:spacing w:line="500" w:lineRule="atLeast"/>
      <w:ind w:firstLine="567"/>
    </w:pPr>
    <w:rPr>
      <w:rFonts w:ascii="Calibri" w:hAnsi="Calibri"/>
      <w:kern w:val="0"/>
    </w:rPr>
  </w:style>
  <w:style w:type="paragraph" w:customStyle="1" w:styleId="86">
    <w:name w:val="表头"/>
    <w:basedOn w:val="1"/>
    <w:next w:val="1"/>
    <w:qFormat/>
    <w:uiPriority w:val="0"/>
    <w:pPr>
      <w:adjustRightInd w:val="0"/>
      <w:spacing w:before="80" w:beforeLines="0" w:after="80" w:afterLines="0"/>
      <w:jc w:val="center"/>
    </w:pPr>
    <w:rPr>
      <w:rFonts w:hint="eastAsia" w:ascii="仿宋_GB2312" w:eastAsia="仿宋_GB2312"/>
      <w:kern w:val="0"/>
      <w:sz w:val="24"/>
      <w:szCs w:val="20"/>
    </w:rPr>
  </w:style>
  <w:style w:type="paragraph" w:customStyle="1" w:styleId="87">
    <w:name w:val="正文001"/>
    <w:basedOn w:val="1"/>
    <w:qFormat/>
    <w:uiPriority w:val="0"/>
    <w:pPr>
      <w:spacing w:line="460" w:lineRule="exact"/>
      <w:ind w:firstLine="482"/>
    </w:pPr>
    <w:rPr>
      <w:rFonts w:ascii="Arial" w:hAnsi="Arial"/>
      <w:sz w:val="24"/>
    </w:rPr>
  </w:style>
  <w:style w:type="character" w:customStyle="1" w:styleId="88">
    <w:name w:val="font21"/>
    <w:basedOn w:val="28"/>
    <w:qFormat/>
    <w:uiPriority w:val="0"/>
    <w:rPr>
      <w:rFonts w:hint="default" w:ascii="Times New Roman" w:hAnsi="Times New Roman" w:cs="Times New Roman"/>
      <w:color w:val="000000"/>
      <w:sz w:val="18"/>
      <w:szCs w:val="18"/>
      <w:u w:val="none"/>
    </w:rPr>
  </w:style>
  <w:style w:type="paragraph" w:customStyle="1" w:styleId="89">
    <w:name w:val="样式 小四 行距: 固定值 25 磅"/>
    <w:basedOn w:val="1"/>
    <w:qFormat/>
    <w:uiPriority w:val="0"/>
    <w:pPr>
      <w:spacing w:line="500" w:lineRule="exact"/>
      <w:ind w:firstLine="480" w:firstLineChars="200"/>
    </w:pPr>
    <w:rPr>
      <w:rFonts w:cs="宋体"/>
      <w:sz w:val="24"/>
      <w:szCs w:val="20"/>
    </w:rPr>
  </w:style>
  <w:style w:type="character" w:customStyle="1" w:styleId="90">
    <w:name w:val="fontstyle01"/>
    <w:basedOn w:val="28"/>
    <w:qFormat/>
    <w:uiPriority w:val="0"/>
    <w:rPr>
      <w:rFonts w:ascii="宋体" w:hAnsi="宋体" w:eastAsia="宋体" w:cs="宋体"/>
      <w:color w:val="000000"/>
      <w:sz w:val="22"/>
      <w:szCs w:val="22"/>
    </w:rPr>
  </w:style>
  <w:style w:type="paragraph" w:customStyle="1" w:styleId="91">
    <w:name w:val="表内容"/>
    <w:basedOn w:val="1"/>
    <w:next w:val="1"/>
    <w:qFormat/>
    <w:uiPriority w:val="0"/>
    <w:pPr>
      <w:spacing w:line="240" w:lineRule="auto"/>
      <w:ind w:firstLine="0" w:firstLineChars="0"/>
      <w:jc w:val="center"/>
    </w:pPr>
    <w:rPr>
      <w:snapToGrid/>
      <w:sz w:val="21"/>
      <w:szCs w:val="21"/>
    </w:rPr>
  </w:style>
  <w:style w:type="paragraph" w:customStyle="1" w:styleId="92">
    <w:name w:val="表格填充1"/>
    <w:basedOn w:val="14"/>
    <w:next w:val="1"/>
    <w:qFormat/>
    <w:uiPriority w:val="0"/>
    <w:pPr>
      <w:adjustRightInd w:val="0"/>
      <w:snapToGrid w:val="0"/>
      <w:spacing w:line="400" w:lineRule="exact"/>
      <w:jc w:val="center"/>
    </w:pPr>
    <w:rPr>
      <w:rFonts w:ascii="Calibri" w:hAnsi="Calibri"/>
      <w:snapToGrid w:val="0"/>
      <w:sz w:val="21"/>
      <w:szCs w:val="18"/>
    </w:rPr>
  </w:style>
  <w:style w:type="paragraph" w:customStyle="1" w:styleId="93">
    <w:name w:val="表格内容111"/>
    <w:basedOn w:val="1"/>
    <w:qFormat/>
    <w:uiPriority w:val="0"/>
    <w:pPr>
      <w:spacing w:line="312" w:lineRule="atLeast"/>
      <w:ind w:firstLine="0" w:firstLineChars="0"/>
      <w:jc w:val="center"/>
      <w:textAlignment w:val="center"/>
    </w:pPr>
    <w:rPr>
      <w:sz w:val="21"/>
      <w:szCs w:val="18"/>
    </w:rPr>
  </w:style>
  <w:style w:type="character" w:customStyle="1" w:styleId="94">
    <w:name w:val="fontstyle21"/>
    <w:basedOn w:val="28"/>
    <w:qFormat/>
    <w:uiPriority w:val="0"/>
    <w:rPr>
      <w:rFonts w:ascii="TimesNewRomanPSMT" w:hAnsi="TimesNewRomanPSMT" w:eastAsia="TimesNewRomanPSMT" w:cs="TimesNewRomanPSMT"/>
      <w:color w:val="000000"/>
      <w:sz w:val="24"/>
      <w:szCs w:val="24"/>
    </w:rPr>
  </w:style>
  <w:style w:type="character" w:customStyle="1" w:styleId="95">
    <w:name w:val="fontstyle31"/>
    <w:basedOn w:val="28"/>
    <w:qFormat/>
    <w:uiPriority w:val="0"/>
    <w:rPr>
      <w:rFonts w:ascii="TimesNewRomanPSMT" w:hAnsi="TimesNewRomanPSMT" w:eastAsia="TimesNewRomanPSMT" w:cs="TimesNewRomanPSMT"/>
      <w:color w:val="000000"/>
      <w:sz w:val="24"/>
      <w:szCs w:val="24"/>
    </w:rPr>
  </w:style>
  <w:style w:type="paragraph" w:customStyle="1" w:styleId="96">
    <w:name w:val="填表内容"/>
    <w:basedOn w:val="1"/>
    <w:qFormat/>
    <w:uiPriority w:val="0"/>
    <w:pPr>
      <w:adjustRightInd w:val="0"/>
      <w:spacing w:line="480" w:lineRule="exact"/>
      <w:ind w:firstLine="200" w:firstLineChars="200"/>
      <w:jc w:val="left"/>
      <w:textAlignment w:val="baseline"/>
    </w:pPr>
    <w:rPr>
      <w:rFonts w:ascii="楷体_GB2312" w:eastAsia="楷体_GB2312"/>
      <w:sz w:val="28"/>
      <w:szCs w:val="20"/>
    </w:rPr>
  </w:style>
  <w:style w:type="paragraph" w:customStyle="1" w:styleId="97">
    <w:name w:val="申请书正文"/>
    <w:basedOn w:val="14"/>
    <w:qFormat/>
    <w:uiPriority w:val="0"/>
    <w:pPr>
      <w:tabs>
        <w:tab w:val="left" w:pos="8640"/>
      </w:tabs>
      <w:spacing w:line="360" w:lineRule="auto"/>
      <w:ind w:firstLine="200" w:firstLineChars="200"/>
    </w:pPr>
    <w:rPr>
      <w:rFonts w:ascii="Times New Roman" w:hAnsi="Times New Roman" w:cs="宋体"/>
      <w:bCs/>
      <w:color w:val="000000"/>
      <w:sz w:val="24"/>
      <w:szCs w:val="32"/>
    </w:rPr>
  </w:style>
  <w:style w:type="character" w:customStyle="1" w:styleId="98">
    <w:name w:val="样式 小四"/>
    <w:qFormat/>
    <w:uiPriority w:val="99"/>
    <w:rPr>
      <w:sz w:val="24"/>
    </w:rPr>
  </w:style>
  <w:style w:type="character" w:customStyle="1" w:styleId="99">
    <w:name w:val="fontstyle11"/>
    <w:basedOn w:val="28"/>
    <w:qFormat/>
    <w:uiPriority w:val="0"/>
    <w:rPr>
      <w:rFonts w:ascii="TimesNewRomanPSMT" w:hAnsi="TimesNewRomanPSMT" w:eastAsia="TimesNewRomanPSMT" w:cs="TimesNewRomanPSMT"/>
      <w:color w:val="000000"/>
      <w:sz w:val="22"/>
      <w:szCs w:val="22"/>
    </w:rPr>
  </w:style>
  <w:style w:type="paragraph" w:customStyle="1" w:styleId="100">
    <w:name w:val="附图附表"/>
    <w:basedOn w:val="1"/>
    <w:qFormat/>
    <w:uiPriority w:val="0"/>
    <w:pPr>
      <w:widowControl/>
      <w:jc w:val="center"/>
    </w:pPr>
    <w:rPr>
      <w:b/>
      <w:sz w:val="24"/>
    </w:rPr>
  </w:style>
  <w:style w:type="paragraph" w:customStyle="1" w:styleId="101">
    <w:name w:val="环保表内字（五号）"/>
    <w:basedOn w:val="1"/>
    <w:qFormat/>
    <w:uiPriority w:val="0"/>
    <w:pPr>
      <w:adjustRightInd w:val="0"/>
      <w:snapToGrid w:val="0"/>
      <w:spacing w:line="360" w:lineRule="auto"/>
    </w:pPr>
    <w:rPr>
      <w:snapToGrid w:val="0"/>
      <w:kern w:val="0"/>
    </w:rPr>
  </w:style>
  <w:style w:type="paragraph" w:customStyle="1" w:styleId="102">
    <w:name w:val="xp正文"/>
    <w:basedOn w:val="1"/>
    <w:qFormat/>
    <w:uiPriority w:val="0"/>
    <w:pPr>
      <w:adjustRightInd w:val="0"/>
      <w:snapToGrid w:val="0"/>
      <w:spacing w:line="360" w:lineRule="auto"/>
      <w:ind w:firstLine="200" w:firstLineChars="200"/>
    </w:pPr>
    <w:rPr>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3.emf"/><Relationship Id="rId8" Type="http://schemas.openxmlformats.org/officeDocument/2006/relationships/oleObject" Target="embeddings/oleObject1.bin"/><Relationship Id="rId7" Type="http://schemas.openxmlformats.org/officeDocument/2006/relationships/image" Target="media/image2.png"/><Relationship Id="rId6" Type="http://schemas.openxmlformats.org/officeDocument/2006/relationships/image" Target="media/image1.png"/><Relationship Id="rId58" Type="http://schemas.openxmlformats.org/officeDocument/2006/relationships/fontTable" Target="fontTable.xml"/><Relationship Id="rId57" Type="http://schemas.openxmlformats.org/officeDocument/2006/relationships/customXml" Target="../customXml/item8.xml"/><Relationship Id="rId56" Type="http://schemas.openxmlformats.org/officeDocument/2006/relationships/customXml" Target="../customXml/item7.xml"/><Relationship Id="rId55" Type="http://schemas.openxmlformats.org/officeDocument/2006/relationships/customXml" Target="../customXml/item6.xml"/><Relationship Id="rId54" Type="http://schemas.openxmlformats.org/officeDocument/2006/relationships/customXml" Target="../customXml/item5.xml"/><Relationship Id="rId53" Type="http://schemas.openxmlformats.org/officeDocument/2006/relationships/customXml" Target="../customXml/item4.xml"/><Relationship Id="rId52" Type="http://schemas.openxmlformats.org/officeDocument/2006/relationships/customXml" Target="../customXml/item3.xml"/><Relationship Id="rId51" Type="http://schemas.openxmlformats.org/officeDocument/2006/relationships/customXml" Target="../customXml/item2.xml"/><Relationship Id="rId50" Type="http://schemas.openxmlformats.org/officeDocument/2006/relationships/customXml" Target="../customXml/item1.xml"/><Relationship Id="rId5" Type="http://schemas.openxmlformats.org/officeDocument/2006/relationships/theme" Target="theme/theme1.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png"/><Relationship Id="rId45" Type="http://schemas.openxmlformats.org/officeDocument/2006/relationships/image" Target="media/image37.jpe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footer" Target="footer2.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footer" Target="footer1.xml"/><Relationship Id="rId29" Type="http://schemas.openxmlformats.org/officeDocument/2006/relationships/image" Target="media/image21.jpe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emf"/><Relationship Id="rId14" Type="http://schemas.openxmlformats.org/officeDocument/2006/relationships/oleObject" Target="embeddings/oleObject3.bin"/><Relationship Id="rId13" Type="http://schemas.openxmlformats.org/officeDocument/2006/relationships/image" Target="media/image6.emf"/><Relationship Id="rId12" Type="http://schemas.openxmlformats.org/officeDocument/2006/relationships/oleObject" Target="embeddings/oleObject2.bin"/><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mcd:customData xmlns="http://www.wps.cn/android/officeDocument/2013/mofficeCustomData" xmlns:mcd="http://www.wps.cn/android/officeDocument/2013/mofficeCustomData" version="2">
  <mcd:comments/>
</mcd:customData>
</file>

<file path=customXml/item3.xml><?xml version="1.0" encoding="utf-8"?>
<mcd:customData xmlns="http://www.wps.cn/android/officeDocument/2013/mofficeCustomData" xmlns:mcd="http://www.wps.cn/android/officeDocument/2013/mofficeCustomData" version="2">
  <mcd:comments/>
</mcd:customData>
</file>

<file path=customXml/item4.xml><?xml version="1.0" encoding="utf-8"?>
<mcd:customData xmlns="http://www.wps.cn/android/officeDocument/2013/mofficeCustomData" xmlns:mcd="http://www.wps.cn/android/officeDocument/2013/mofficeCustomData" version="2">
  <mcd:comments/>
</mcd:customData>
</file>

<file path=customXml/item5.xml><?xml version="1.0" encoding="utf-8"?>
<mcd:customData xmlns="http://www.wps.cn/android/officeDocument/2013/mofficeCustomData" xmlns:mcd="http://www.wps.cn/android/officeDocument/2013/mofficeCustomData" version="2">
  <mcd:comments/>
</mcd:customData>
</file>

<file path=customXml/item6.xml><?xml version="1.0" encoding="utf-8"?>
<mcd:customData xmlns="http://www.wps.cn/android/officeDocument/2013/mofficeCustomData" xmlns:mcd="http://www.wps.cn/android/officeDocument/2013/mofficeCustomData" version="2">
  <mcd:comments/>
</mcd:customData>
</file>

<file path=customXml/item7.xml><?xml version="1.0" encoding="utf-8"?>
<mcd:customData xmlns="http://www.wps.cn/android/officeDocument/2013/mofficeCustomData" xmlns:mcd="http://www.wps.cn/android/officeDocument/2013/mofficeCustomData" version="2">
  <mcd:comments/>
</mcd:customData>
</file>

<file path=customXml/item8.xml><?xml version="1.0" encoding="utf-8"?>
<mcd:customData xmlns="http://www.wps.cn/android/officeDocument/2013/mofficeCustomData" xmlns:mcd="http://www.wps.cn/android/officeDocument/2013/mofficeCustomData" version="2">
  <mcd:comments/>
</mcd: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6bd249f-c173-4c07-b73f-37059cee3e1e}">
  <ds:schemaRefs/>
</ds:datastoreItem>
</file>

<file path=customXml/itemProps3.xml><?xml version="1.0" encoding="utf-8"?>
<ds:datastoreItem xmlns:ds="http://schemas.openxmlformats.org/officeDocument/2006/customXml" ds:itemID="{5a357b7f-65c2-464a-b380-9a3f416be16f}">
  <ds:schemaRefs/>
</ds:datastoreItem>
</file>

<file path=customXml/itemProps4.xml><?xml version="1.0" encoding="utf-8"?>
<ds:datastoreItem xmlns:ds="http://schemas.openxmlformats.org/officeDocument/2006/customXml" ds:itemID="{d3f50f57-d1c5-4409-ba09-5d38b6a9e889}">
  <ds:schemaRefs/>
</ds:datastoreItem>
</file>

<file path=customXml/itemProps5.xml><?xml version="1.0" encoding="utf-8"?>
<ds:datastoreItem xmlns:ds="http://schemas.openxmlformats.org/officeDocument/2006/customXml" ds:itemID="{8a550012-019b-4419-8157-2c9927f342cf}">
  <ds:schemaRefs/>
</ds:datastoreItem>
</file>

<file path=customXml/itemProps6.xml><?xml version="1.0" encoding="utf-8"?>
<ds:datastoreItem xmlns:ds="http://schemas.openxmlformats.org/officeDocument/2006/customXml" ds:itemID="{a95bad33-60e5-4f7f-afd0-72fcbc89fbe8}">
  <ds:schemaRefs/>
</ds:datastoreItem>
</file>

<file path=customXml/itemProps7.xml><?xml version="1.0" encoding="utf-8"?>
<ds:datastoreItem xmlns:ds="http://schemas.openxmlformats.org/officeDocument/2006/customXml" ds:itemID="{b5d593a1-1a6f-4810-a041-7b7bf1788bf4}">
  <ds:schemaRefs/>
</ds:datastoreItem>
</file>

<file path=customXml/itemProps8.xml><?xml version="1.0" encoding="utf-8"?>
<ds:datastoreItem xmlns:ds="http://schemas.openxmlformats.org/officeDocument/2006/customXml" ds:itemID="{b999a767-307a-4ebd-9428-d9d12fcf412b}">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120</Pages>
  <Words>58233</Words>
  <Characters>73466</Characters>
  <Paragraphs>2408</Paragraphs>
  <TotalTime>272</TotalTime>
  <ScaleCrop>false</ScaleCrop>
  <LinksUpToDate>false</LinksUpToDate>
  <CharactersWithSpaces>73666</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安</cp:lastModifiedBy>
  <cp:lastPrinted>2023-02-14T01:01:00Z</cp:lastPrinted>
  <dcterms:modified xsi:type="dcterms:W3CDTF">2023-02-21T06:09:01Z</dcterms:modified>
  <dc:title>附件2</dc:title>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960BB06CA6714161ADFE56C42E23D1E5</vt:lpwstr>
  </property>
  <property fmtid="{D5CDD505-2E9C-101B-9397-08002B2CF9AE}" pid="4" name="commondata">
    <vt:lpwstr>eyJoZGlkIjoiOWRjMmJmMDQ0NDE5Njk1NTIzYjE2NTFhN2E0MzllMzcifQ==</vt:lpwstr>
  </property>
</Properties>
</file>