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0"/>
        <w:spacing w:line="420" w:lineRule="exact"/>
        <w:jc w:val="center"/>
        <w:outlineLvl w:val="0"/>
        <w:rPr>
          <w:b/>
          <w:bCs/>
          <w:snapToGrid w:val="0"/>
          <w:sz w:val="30"/>
          <w:szCs w:val="30"/>
        </w:rPr>
      </w:pPr>
      <w:r>
        <w:rPr>
          <w:rFonts w:hint="eastAsia"/>
          <w:b/>
          <w:bCs/>
          <w:snapToGrid w:val="0"/>
          <w:sz w:val="30"/>
          <w:szCs w:val="30"/>
        </w:rPr>
        <w:t>一、建设项目基本情况</w:t>
      </w:r>
    </w:p>
    <w:tbl>
      <w:tblPr>
        <w:tblStyle w:val="85"/>
        <w:tblW w:w="92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38"/>
        <w:gridCol w:w="2794"/>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Borders>
              <w:top w:val="single" w:color="auto" w:sz="8" w:space="0"/>
            </w:tcBorders>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7645" w:type="dxa"/>
            <w:gridSpan w:val="3"/>
            <w:tcBorders>
              <w:top w:val="single" w:color="auto" w:sz="8" w:space="0"/>
            </w:tcBorders>
            <w:vAlign w:val="center"/>
          </w:tcPr>
          <w:p>
            <w:pPr>
              <w:adjustRightInd w:val="0"/>
              <w:snapToGrid w:val="0"/>
              <w:spacing w:line="420" w:lineRule="exact"/>
              <w:jc w:val="center"/>
              <w:rPr>
                <w:rFonts w:hint="eastAsia" w:ascii="Times New Roman" w:hAnsi="Times New Roman" w:eastAsia="宋体" w:cs="Times New Roman"/>
                <w:szCs w:val="21"/>
                <w:lang w:eastAsia="zh-CN"/>
              </w:rPr>
            </w:pPr>
            <w:r>
              <w:rPr>
                <w:rFonts w:hint="eastAsia" w:cs="Times New Roman"/>
                <w:szCs w:val="21"/>
                <w:lang w:eastAsia="zh-CN"/>
              </w:rPr>
              <w:t>淄博龙昊电源科技有限公司年产20万平方米涤纶排管及电源连接线技改搬迁项目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7645" w:type="dxa"/>
            <w:gridSpan w:val="3"/>
            <w:vAlign w:val="center"/>
          </w:tcPr>
          <w:p>
            <w:pPr>
              <w:adjustRightInd w:val="0"/>
              <w:snapToGrid w:val="0"/>
              <w:spacing w:line="420" w:lineRule="exact"/>
              <w:jc w:val="center"/>
              <w:rPr>
                <w:rFonts w:hint="eastAsia" w:ascii="Times New Roman" w:hAnsi="Times New Roman" w:eastAsia="宋体" w:cs="Times New Roman"/>
                <w:color w:val="auto"/>
                <w:szCs w:val="21"/>
                <w:lang w:eastAsia="zh-CN"/>
              </w:rPr>
            </w:pPr>
            <w:r>
              <w:rPr>
                <w:rFonts w:hint="eastAsia" w:cs="Times New Roman"/>
                <w:color w:val="auto"/>
                <w:szCs w:val="21"/>
                <w:highlight w:val="none"/>
                <w:lang w:eastAsia="zh-CN"/>
              </w:rPr>
              <w:t>2302-370302-89-02-813075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建设单位联系人</w:t>
            </w:r>
          </w:p>
        </w:tc>
        <w:tc>
          <w:tcPr>
            <w:tcW w:w="2794" w:type="dxa"/>
            <w:vAlign w:val="center"/>
          </w:tcPr>
          <w:p>
            <w:pPr>
              <w:adjustRightInd w:val="0"/>
              <w:snapToGrid w:val="0"/>
              <w:spacing w:line="420" w:lineRule="exact"/>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黄勇</w:t>
            </w:r>
          </w:p>
        </w:tc>
        <w:tc>
          <w:tcPr>
            <w:tcW w:w="2212" w:type="dxa"/>
            <w:vAlign w:val="center"/>
          </w:tcPr>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639" w:type="dxa"/>
            <w:vAlign w:val="center"/>
          </w:tcPr>
          <w:p>
            <w:pPr>
              <w:adjustRightInd w:val="0"/>
              <w:snapToGrid w:val="0"/>
              <w:spacing w:line="420" w:lineRule="exact"/>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13561617272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7645" w:type="dxa"/>
            <w:gridSpan w:val="3"/>
            <w:vAlign w:val="center"/>
          </w:tcPr>
          <w:p>
            <w:pPr>
              <w:adjustRightInd w:val="0"/>
              <w:snapToGrid w:val="0"/>
              <w:spacing w:line="420" w:lineRule="exact"/>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山东省淄博市</w:t>
            </w:r>
            <w:r>
              <w:rPr>
                <w:rFonts w:hint="eastAsia" w:cs="Times New Roman"/>
                <w:color w:val="auto"/>
                <w:szCs w:val="21"/>
                <w:lang w:eastAsia="zh-CN"/>
              </w:rPr>
              <w:t>淄川经济开发区钟楼社区鑫威路与金晶川路交叉路口北50米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地理坐标</w:t>
            </w:r>
          </w:p>
        </w:tc>
        <w:tc>
          <w:tcPr>
            <w:tcW w:w="7645" w:type="dxa"/>
            <w:gridSpan w:val="3"/>
            <w:vAlign w:val="center"/>
          </w:tcPr>
          <w:p>
            <w:pPr>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rPr>
              <w:t>（</w:t>
            </w:r>
            <w:bookmarkStart w:id="0" w:name="_Hlk71440774"/>
            <w:r>
              <w:rPr>
                <w:rFonts w:hint="default" w:ascii="Times New Roman" w:hAnsi="Times New Roman" w:cs="Times New Roman"/>
                <w:color w:val="auto"/>
                <w:szCs w:val="21"/>
                <w:highlight w:val="none"/>
                <w:u w:val="single"/>
              </w:rPr>
              <w:t>36</w:t>
            </w:r>
            <w:r>
              <w:rPr>
                <w:rFonts w:hint="default" w:ascii="Times New Roman" w:hAnsi="Times New Roman" w:cs="Times New Roman"/>
                <w:color w:val="auto"/>
                <w:szCs w:val="21"/>
                <w:highlight w:val="none"/>
              </w:rPr>
              <w:t>度</w:t>
            </w:r>
            <w:r>
              <w:rPr>
                <w:rFonts w:hint="default" w:ascii="Times New Roman" w:hAnsi="Times New Roman" w:cs="Times New Roman"/>
                <w:color w:val="auto"/>
                <w:szCs w:val="21"/>
                <w:highlight w:val="none"/>
                <w:u w:val="single"/>
              </w:rPr>
              <w:t>40</w:t>
            </w:r>
            <w:r>
              <w:rPr>
                <w:rFonts w:hint="default" w:ascii="Times New Roman" w:hAnsi="Times New Roman" w:cs="Times New Roman"/>
                <w:color w:val="auto"/>
                <w:szCs w:val="21"/>
                <w:highlight w:val="none"/>
              </w:rPr>
              <w:t>分</w:t>
            </w:r>
            <w:r>
              <w:rPr>
                <w:rFonts w:hint="eastAsia" w:cs="Times New Roman"/>
                <w:color w:val="auto"/>
                <w:szCs w:val="21"/>
                <w:highlight w:val="none"/>
                <w:u w:val="single"/>
                <w:lang w:val="en-US" w:eastAsia="zh-CN"/>
              </w:rPr>
              <w:t>7.647</w:t>
            </w:r>
            <w:r>
              <w:rPr>
                <w:rFonts w:hint="default" w:ascii="Times New Roman" w:hAnsi="Times New Roman" w:cs="Times New Roman"/>
                <w:color w:val="auto"/>
                <w:szCs w:val="21"/>
                <w:highlight w:val="none"/>
              </w:rPr>
              <w:t>秒，</w:t>
            </w:r>
            <w:r>
              <w:rPr>
                <w:rFonts w:hint="default" w:ascii="Times New Roman" w:hAnsi="Times New Roman" w:cs="Times New Roman"/>
                <w:color w:val="auto"/>
                <w:szCs w:val="21"/>
                <w:highlight w:val="none"/>
                <w:u w:val="single"/>
              </w:rPr>
              <w:t>117</w:t>
            </w:r>
            <w:r>
              <w:rPr>
                <w:rFonts w:hint="default" w:ascii="Times New Roman" w:hAnsi="Times New Roman" w:cs="Times New Roman"/>
                <w:color w:val="auto"/>
                <w:szCs w:val="21"/>
                <w:highlight w:val="none"/>
              </w:rPr>
              <w:t>度</w:t>
            </w:r>
            <w:r>
              <w:rPr>
                <w:rFonts w:hint="default" w:ascii="Times New Roman" w:hAnsi="Times New Roman" w:cs="Times New Roman"/>
                <w:color w:val="auto"/>
                <w:szCs w:val="21"/>
                <w:highlight w:val="none"/>
                <w:u w:val="single"/>
              </w:rPr>
              <w:t>5</w:t>
            </w:r>
            <w:r>
              <w:rPr>
                <w:rFonts w:hint="eastAsia" w:cs="Times New Roman"/>
                <w:color w:val="auto"/>
                <w:szCs w:val="21"/>
                <w:highlight w:val="none"/>
                <w:u w:val="single"/>
                <w:lang w:val="en-US" w:eastAsia="zh-CN"/>
              </w:rPr>
              <w:t>6</w:t>
            </w:r>
            <w:r>
              <w:rPr>
                <w:rFonts w:hint="default" w:ascii="Times New Roman" w:hAnsi="Times New Roman" w:cs="Times New Roman"/>
                <w:color w:val="auto"/>
                <w:szCs w:val="21"/>
                <w:highlight w:val="none"/>
              </w:rPr>
              <w:t>分</w:t>
            </w:r>
            <w:r>
              <w:rPr>
                <w:rFonts w:hint="eastAsia" w:cs="Times New Roman"/>
                <w:color w:val="auto"/>
                <w:szCs w:val="21"/>
                <w:highlight w:val="none"/>
                <w:u w:val="single"/>
                <w:lang w:val="en-US" w:eastAsia="zh-CN"/>
              </w:rPr>
              <w:t>18.561</w:t>
            </w:r>
            <w:r>
              <w:rPr>
                <w:rFonts w:hint="default" w:ascii="Times New Roman" w:hAnsi="Times New Roman" w:cs="Times New Roman"/>
                <w:color w:val="auto"/>
                <w:szCs w:val="21"/>
                <w:highlight w:val="none"/>
              </w:rPr>
              <w:t>秒</w:t>
            </w:r>
            <w:bookmarkEnd w:id="0"/>
            <w:r>
              <w:rPr>
                <w:rFonts w:hint="default" w:ascii="Times New Roman" w:hAnsi="Times New Roman" w:cs="Times New Roman"/>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国民经济</w:t>
            </w:r>
          </w:p>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行业类别</w:t>
            </w:r>
          </w:p>
        </w:tc>
        <w:tc>
          <w:tcPr>
            <w:tcW w:w="2794" w:type="dxa"/>
            <w:vAlign w:val="center"/>
          </w:tcPr>
          <w:p>
            <w:pPr>
              <w:pStyle w:val="2"/>
              <w:spacing w:line="240" w:lineRule="auto"/>
              <w:ind w:left="0" w:leftChars="0" w:firstLine="0" w:firstLineChars="0"/>
              <w:jc w:val="center"/>
              <w:rPr>
                <w:rFonts w:asciiTheme="majorEastAsia" w:hAnsiTheme="majorEastAsia" w:eastAsiaTheme="majorEastAsia" w:cstheme="majorEastAsia"/>
                <w:sz w:val="21"/>
                <w:szCs w:val="21"/>
              </w:rPr>
            </w:pPr>
            <w:r>
              <w:rPr>
                <w:rFonts w:hint="eastAsia"/>
                <w:sz w:val="21"/>
                <w:szCs w:val="21"/>
              </w:rPr>
              <w:t>C1789其他产业用纺织制成</w:t>
            </w:r>
            <w:r>
              <w:rPr>
                <w:rFonts w:hint="eastAsia" w:asciiTheme="majorEastAsia" w:hAnsiTheme="majorEastAsia" w:eastAsiaTheme="majorEastAsia" w:cstheme="majorEastAsia"/>
                <w:sz w:val="21"/>
                <w:szCs w:val="21"/>
              </w:rPr>
              <w:t>品制造</w:t>
            </w:r>
          </w:p>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eastAsiaTheme="majorEastAsia"/>
                <w:kern w:val="0"/>
                <w:sz w:val="21"/>
                <w:szCs w:val="21"/>
              </w:rPr>
              <w:t>C2929</w:t>
            </w:r>
            <w:r>
              <w:rPr>
                <w:rFonts w:hint="default" w:ascii="Times New Roman" w:hAnsi="Times New Roman" w:cs="Times New Roman" w:eastAsiaTheme="majorEastAsia"/>
                <w:color w:val="000000" w:themeColor="text1"/>
                <w:sz w:val="21"/>
                <w:szCs w:val="21"/>
                <w14:textFill>
                  <w14:solidFill>
                    <w14:schemeClr w14:val="tx1"/>
                  </w14:solidFill>
                </w14:textFill>
              </w:rPr>
              <w:t xml:space="preserve"> </w:t>
            </w:r>
            <w:r>
              <w:rPr>
                <w:rFonts w:hint="eastAsia" w:asciiTheme="majorEastAsia" w:hAnsiTheme="majorEastAsia" w:eastAsiaTheme="majorEastAsia" w:cstheme="majorEastAsia"/>
                <w:color w:val="000000" w:themeColor="text1"/>
                <w:sz w:val="21"/>
                <w:szCs w:val="21"/>
                <w14:textFill>
                  <w14:solidFill>
                    <w14:schemeClr w14:val="tx1"/>
                  </w14:solidFill>
                </w14:textFill>
              </w:rPr>
              <w:t>塑料零件及其他塑料制品制造</w:t>
            </w:r>
          </w:p>
        </w:tc>
        <w:tc>
          <w:tcPr>
            <w:tcW w:w="2212" w:type="dxa"/>
            <w:vAlign w:val="center"/>
          </w:tcPr>
          <w:p>
            <w:pPr>
              <w:adjustRightInd w:val="0"/>
              <w:snapToGrid w:val="0"/>
              <w:spacing w:line="420" w:lineRule="exact"/>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639" w:type="dxa"/>
            <w:vAlign w:val="center"/>
          </w:tcPr>
          <w:p>
            <w:pPr>
              <w:adjustRightInd w:val="0"/>
              <w:snapToGrid w:val="0"/>
              <w:spacing w:line="420" w:lineRule="exact"/>
              <w:jc w:val="center"/>
              <w:rPr>
                <w:rFonts w:hint="eastAsia" w:ascii="Times New Roman" w:hAnsi="Times New Roman" w:eastAsia="宋体" w:cs="Times New Roman"/>
                <w:color w:val="auto"/>
                <w:szCs w:val="21"/>
                <w:lang w:eastAsia="zh-CN"/>
              </w:rPr>
            </w:pPr>
            <w:r>
              <w:rPr>
                <w:rFonts w:hint="eastAsia" w:cs="Times New Roman"/>
                <w:b w:val="0"/>
                <w:bCs/>
                <w:color w:val="auto"/>
                <w:szCs w:val="21"/>
                <w:lang w:eastAsia="zh-CN"/>
              </w:rPr>
              <w:t>“</w:t>
            </w:r>
            <w:r>
              <w:rPr>
                <w:rFonts w:hint="default" w:ascii="Times New Roman" w:hAnsi="Times New Roman" w:eastAsia="宋体" w:cs="Times New Roman"/>
                <w:b w:val="0"/>
                <w:bCs/>
                <w:szCs w:val="21"/>
              </w:rPr>
              <w:t>二十六、橡胶和塑料制品业 29</w:t>
            </w:r>
            <w:r>
              <w:rPr>
                <w:rFonts w:hint="eastAsia" w:cs="Times New Roman"/>
                <w:b w:val="0"/>
                <w:bCs/>
                <w:color w:val="auto"/>
                <w:szCs w:val="21"/>
                <w:lang w:eastAsia="zh-CN"/>
              </w:rPr>
              <w:t>”中的“</w:t>
            </w:r>
            <w:r>
              <w:rPr>
                <w:rFonts w:hint="eastAsia" w:cs="Times New Roman"/>
                <w:b w:val="0"/>
                <w:bCs/>
                <w:color w:val="auto"/>
                <w:szCs w:val="21"/>
                <w:lang w:val="en-US" w:eastAsia="zh-CN"/>
              </w:rPr>
              <w:t xml:space="preserve">53  </w:t>
            </w:r>
            <w:r>
              <w:rPr>
                <w:rFonts w:hint="default" w:ascii="Times New Roman" w:hAnsi="Times New Roman" w:eastAsia="宋体" w:cs="Times New Roman"/>
                <w:b w:val="0"/>
                <w:bCs/>
                <w:szCs w:val="21"/>
              </w:rPr>
              <w:t>塑料制品业 292</w:t>
            </w:r>
            <w:r>
              <w:rPr>
                <w:rFonts w:hint="eastAsia" w:cs="Times New Roman"/>
                <w:b w:val="0"/>
                <w:bCs/>
                <w:color w:val="auto"/>
                <w:szCs w:val="21"/>
                <w:lang w:eastAsia="zh-CN"/>
              </w:rPr>
              <w:t>”中的“</w:t>
            </w:r>
            <w:r>
              <w:rPr>
                <w:rFonts w:hint="default" w:ascii="Times New Roman" w:hAnsi="Times New Roman" w:eastAsia="宋体" w:cs="Times New Roman"/>
                <w:b w:val="0"/>
                <w:bCs/>
                <w:szCs w:val="21"/>
              </w:rPr>
              <w:t>其他（年用非溶剂型低VOCs含量涂</w:t>
            </w:r>
            <w:r>
              <w:rPr>
                <w:rFonts w:hint="default" w:ascii="Times New Roman" w:hAnsi="Times New Roman" w:eastAsia="宋体" w:cs="Times New Roman"/>
                <w:szCs w:val="21"/>
              </w:rPr>
              <w:t>料10吨以下的除外）</w:t>
            </w:r>
            <w:r>
              <w:rPr>
                <w:rFonts w:hint="eastAsia"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2794" w:type="dxa"/>
            <w:vAlign w:val="center"/>
          </w:tcPr>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新建（迁建）</w:t>
            </w:r>
          </w:p>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□改建</w:t>
            </w:r>
          </w:p>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□扩建</w:t>
            </w:r>
          </w:p>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□技术改造</w:t>
            </w:r>
          </w:p>
        </w:tc>
        <w:tc>
          <w:tcPr>
            <w:tcW w:w="2212" w:type="dxa"/>
            <w:vAlign w:val="center"/>
          </w:tcPr>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vAlign w:val="center"/>
          </w:tcPr>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√首次申报项目             </w:t>
            </w:r>
          </w:p>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□不予批准后再次申报项目</w:t>
            </w:r>
          </w:p>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 xml:space="preserve">□超五年重新审核项目     </w:t>
            </w:r>
          </w:p>
          <w:p>
            <w:pPr>
              <w:spacing w:line="420" w:lineRule="exact"/>
              <w:jc w:val="left"/>
              <w:rPr>
                <w:rFonts w:hint="default" w:ascii="Times New Roman" w:hAnsi="Times New Roman" w:cs="Times New Roman"/>
                <w:color w:val="auto"/>
                <w:szCs w:val="21"/>
              </w:rPr>
            </w:pP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项目</w:t>
            </w:r>
            <w:r>
              <w:rPr>
                <w:rFonts w:hint="eastAsia" w:cs="Times New Roman"/>
                <w:szCs w:val="21"/>
                <w:lang w:eastAsia="zh-CN"/>
              </w:rPr>
              <w:t>备案</w:t>
            </w:r>
            <w:r>
              <w:rPr>
                <w:rFonts w:hint="default" w:ascii="Times New Roman" w:hAnsi="Times New Roman" w:cs="Times New Roman"/>
                <w:szCs w:val="21"/>
              </w:rPr>
              <w:t>部门</w:t>
            </w:r>
          </w:p>
        </w:tc>
        <w:tc>
          <w:tcPr>
            <w:tcW w:w="2794" w:type="dxa"/>
            <w:vAlign w:val="center"/>
          </w:tcPr>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淄川区行政审批服务局</w:t>
            </w:r>
          </w:p>
        </w:tc>
        <w:tc>
          <w:tcPr>
            <w:tcW w:w="2212" w:type="dxa"/>
            <w:vAlign w:val="center"/>
          </w:tcPr>
          <w:p>
            <w:pPr>
              <w:adjustRightInd w:val="0"/>
              <w:snapToGrid w:val="0"/>
              <w:spacing w:line="42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项目备案文号</w:t>
            </w:r>
          </w:p>
        </w:tc>
        <w:tc>
          <w:tcPr>
            <w:tcW w:w="2639" w:type="dxa"/>
            <w:vAlign w:val="center"/>
          </w:tcPr>
          <w:p>
            <w:pPr>
              <w:adjustRightInd w:val="0"/>
              <w:snapToGrid w:val="0"/>
              <w:spacing w:line="420" w:lineRule="exact"/>
              <w:jc w:val="center"/>
              <w:rPr>
                <w:rFonts w:hint="eastAsia" w:ascii="Times New Roman" w:hAnsi="Times New Roman" w:eastAsia="宋体" w:cs="Times New Roman"/>
                <w:color w:val="auto"/>
                <w:szCs w:val="21"/>
                <w:lang w:eastAsia="zh-CN"/>
              </w:rPr>
            </w:pPr>
            <w:r>
              <w:rPr>
                <w:rFonts w:hint="eastAsia" w:cs="Times New Roman"/>
                <w:color w:val="auto"/>
                <w:szCs w:val="21"/>
                <w:highlight w:val="none"/>
                <w:lang w:eastAsia="zh-CN"/>
              </w:rPr>
              <w:t>2302-370302-89-02-813075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总投资（万元）</w:t>
            </w:r>
          </w:p>
        </w:tc>
        <w:tc>
          <w:tcPr>
            <w:tcW w:w="2794" w:type="dxa"/>
            <w:vAlign w:val="center"/>
          </w:tcPr>
          <w:p>
            <w:pPr>
              <w:adjustRightInd w:val="0"/>
              <w:snapToGrid w:val="0"/>
              <w:spacing w:line="420" w:lineRule="exact"/>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3000</w:t>
            </w:r>
          </w:p>
        </w:tc>
        <w:tc>
          <w:tcPr>
            <w:tcW w:w="2212"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环保投资（万元）</w:t>
            </w:r>
          </w:p>
        </w:tc>
        <w:tc>
          <w:tcPr>
            <w:tcW w:w="2639" w:type="dxa"/>
            <w:vAlign w:val="center"/>
          </w:tcPr>
          <w:p>
            <w:pPr>
              <w:adjustRightInd w:val="0"/>
              <w:snapToGrid w:val="0"/>
              <w:spacing w:line="420" w:lineRule="exact"/>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环保投资占比（%）</w:t>
            </w:r>
          </w:p>
        </w:tc>
        <w:tc>
          <w:tcPr>
            <w:tcW w:w="2794" w:type="dxa"/>
            <w:vAlign w:val="center"/>
          </w:tcPr>
          <w:p>
            <w:pPr>
              <w:adjustRightInd w:val="0"/>
              <w:snapToGrid w:val="0"/>
              <w:spacing w:line="420" w:lineRule="exact"/>
              <w:jc w:val="center"/>
              <w:rPr>
                <w:rFonts w:hint="default" w:ascii="Times New Roman" w:hAnsi="Times New Roman" w:cs="Times New Roman"/>
                <w:szCs w:val="21"/>
                <w:highlight w:val="none"/>
              </w:rPr>
            </w:pPr>
            <w:r>
              <w:rPr>
                <w:rFonts w:hint="eastAsia" w:cs="Times New Roman"/>
                <w:szCs w:val="21"/>
                <w:highlight w:val="none"/>
                <w:lang w:val="en-US" w:eastAsia="zh-CN"/>
              </w:rPr>
              <w:t>1.7</w:t>
            </w:r>
            <w:r>
              <w:rPr>
                <w:rFonts w:hint="default" w:ascii="Times New Roman" w:hAnsi="Times New Roman" w:cs="Times New Roman"/>
                <w:szCs w:val="21"/>
                <w:highlight w:val="none"/>
              </w:rPr>
              <w:t>%</w:t>
            </w:r>
          </w:p>
        </w:tc>
        <w:tc>
          <w:tcPr>
            <w:tcW w:w="2212"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施工工期</w:t>
            </w:r>
          </w:p>
        </w:tc>
        <w:tc>
          <w:tcPr>
            <w:tcW w:w="2639" w:type="dxa"/>
            <w:vAlign w:val="center"/>
          </w:tcPr>
          <w:p>
            <w:pPr>
              <w:adjustRightInd w:val="0"/>
              <w:snapToGrid w:val="0"/>
              <w:spacing w:line="420" w:lineRule="exact"/>
              <w:jc w:val="center"/>
              <w:rPr>
                <w:rFonts w:hint="default" w:ascii="Times New Roman" w:hAnsi="Times New Roman" w:cs="Times New Roman"/>
                <w:szCs w:val="21"/>
                <w:highlight w:val="none"/>
              </w:rPr>
            </w:pPr>
            <w:r>
              <w:rPr>
                <w:rFonts w:hint="eastAsia" w:cs="Times New Roman"/>
                <w:szCs w:val="21"/>
                <w:highlight w:val="none"/>
                <w:lang w:val="en-US" w:eastAsia="zh-CN"/>
              </w:rPr>
              <w:t>3</w:t>
            </w:r>
            <w:r>
              <w:rPr>
                <w:rFonts w:hint="default" w:ascii="Times New Roman" w:hAnsi="Times New Roman" w:cs="Times New Roman"/>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38"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zCs w:val="21"/>
              </w:rPr>
              <w:t>是否开工建设</w:t>
            </w:r>
          </w:p>
        </w:tc>
        <w:tc>
          <w:tcPr>
            <w:tcW w:w="2794" w:type="dxa"/>
            <w:vAlign w:val="center"/>
          </w:tcPr>
          <w:p>
            <w:pPr>
              <w:adjustRightInd w:val="0"/>
              <w:snapToGrid w:val="0"/>
              <w:spacing w:line="420" w:lineRule="exact"/>
              <w:ind w:firstLine="1050" w:firstLineChars="500"/>
              <w:jc w:val="both"/>
              <w:rPr>
                <w:rFonts w:hint="default" w:ascii="Times New Roman" w:hAnsi="Times New Roman" w:cs="Times New Roman"/>
                <w:szCs w:val="21"/>
              </w:rPr>
            </w:pPr>
            <w:r>
              <w:rPr>
                <w:rFonts w:hint="default" w:ascii="Times New Roman" w:hAnsi="Times New Roman" w:cs="Times New Roman"/>
                <w:szCs w:val="20"/>
              </w:rPr>
              <w:sym w:font="Wingdings 2" w:char="0052"/>
            </w:r>
            <w:r>
              <w:rPr>
                <w:rFonts w:hint="default" w:ascii="Times New Roman" w:hAnsi="Times New Roman" w:cs="Times New Roman"/>
                <w:szCs w:val="21"/>
              </w:rPr>
              <w:t>否</w:t>
            </w:r>
            <w:r>
              <w:rPr>
                <w:rFonts w:hint="eastAsia" w:cs="Times New Roman"/>
                <w:szCs w:val="21"/>
                <w:lang w:val="en-US" w:eastAsia="zh-CN"/>
              </w:rPr>
              <w:t xml:space="preserve">  </w:t>
            </w:r>
            <w:r>
              <w:rPr>
                <w:rFonts w:hint="default" w:ascii="Times New Roman" w:hAnsi="Times New Roman" w:cs="Times New Roman"/>
                <w:szCs w:val="20"/>
              </w:rPr>
              <w:sym w:font="Wingdings 2" w:char="F0A3"/>
            </w:r>
            <w:r>
              <w:rPr>
                <w:rFonts w:hint="default" w:ascii="Times New Roman" w:hAnsi="Times New Roman" w:cs="Times New Roman"/>
                <w:szCs w:val="21"/>
              </w:rPr>
              <w:t>是：</w:t>
            </w:r>
          </w:p>
        </w:tc>
        <w:tc>
          <w:tcPr>
            <w:tcW w:w="2212" w:type="dxa"/>
            <w:tcMar>
              <w:top w:w="16" w:type="dxa"/>
              <w:left w:w="16" w:type="dxa"/>
              <w:right w:w="16" w:type="dxa"/>
            </w:tcMar>
            <w:vAlign w:val="center"/>
          </w:tcPr>
          <w:p>
            <w:pPr>
              <w:adjustRightInd w:val="0"/>
              <w:snapToGrid w:val="0"/>
              <w:spacing w:line="420" w:lineRule="exact"/>
              <w:jc w:val="center"/>
              <w:rPr>
                <w:rFonts w:hint="default" w:ascii="Times New Roman" w:hAnsi="Times New Roman" w:cs="Times New Roman"/>
                <w:szCs w:val="21"/>
              </w:rPr>
            </w:pPr>
            <w:r>
              <w:rPr>
                <w:rFonts w:hint="default" w:ascii="Times New Roman" w:hAnsi="Times New Roman" w:cs="Times New Roman"/>
                <w:spacing w:val="-6"/>
                <w:szCs w:val="21"/>
              </w:rPr>
              <w:t>用地面积（m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vAlign w:val="center"/>
          </w:tcPr>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lang w:val="en-US" w:eastAsia="zh-CN"/>
              </w:rPr>
            </w:pPr>
            <w:r>
              <w:rPr>
                <w:rFonts w:hint="eastAsia" w:cs="Times New Roman"/>
                <w:highlight w:val="none"/>
                <w:lang w:val="en-US" w:eastAsia="zh-CN"/>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8" w:type="dxa"/>
            <w:vAlign w:val="center"/>
          </w:tcPr>
          <w:p>
            <w:pPr>
              <w:autoSpaceDE w:val="0"/>
              <w:autoSpaceDN w:val="0"/>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7645" w:type="dxa"/>
            <w:gridSpan w:val="3"/>
            <w:vAlign w:val="center"/>
          </w:tcPr>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3480"/>
              <w:gridCol w:w="203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专项评价的类别</w:t>
                  </w:r>
                </w:p>
              </w:tc>
              <w:tc>
                <w:tcPr>
                  <w:tcW w:w="23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设置原则</w:t>
                  </w:r>
                </w:p>
              </w:tc>
              <w:tc>
                <w:tcPr>
                  <w:tcW w:w="13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本项目情况</w:t>
                  </w:r>
                </w:p>
              </w:tc>
              <w:tc>
                <w:tcPr>
                  <w:tcW w:w="5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大气</w:t>
                  </w:r>
                </w:p>
              </w:tc>
              <w:tc>
                <w:tcPr>
                  <w:tcW w:w="23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排放废气含有毒有害污染物、二噁英、苯并[a]芘、氰化物、氯气且厂界外500米范围内有环境空气保护目标的建设项目</w:t>
                  </w:r>
                </w:p>
              </w:tc>
              <w:tc>
                <w:tcPr>
                  <w:tcW w:w="13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lang w:val="en-US"/>
                    </w:rPr>
                  </w:pPr>
                  <w:r>
                    <w:rPr>
                      <w:rFonts w:hint="default" w:ascii="Times New Roman" w:hAnsi="Times New Roman" w:cs="Times New Roman"/>
                      <w:kern w:val="0"/>
                      <w:sz w:val="18"/>
                      <w:szCs w:val="18"/>
                    </w:rPr>
                    <w:t>本项目废气主要污染物为</w:t>
                  </w:r>
                  <w:r>
                    <w:rPr>
                      <w:rFonts w:hint="eastAsia" w:cs="Times New Roman"/>
                      <w:kern w:val="0"/>
                      <w:sz w:val="18"/>
                      <w:szCs w:val="18"/>
                      <w:lang w:eastAsia="zh-CN"/>
                    </w:rPr>
                    <w:t>酚类、甲醛、</w:t>
                  </w:r>
                  <w:r>
                    <w:rPr>
                      <w:rFonts w:hint="default" w:ascii="Times New Roman" w:hAnsi="Times New Roman" w:cs="Times New Roman"/>
                      <w:kern w:val="0"/>
                      <w:sz w:val="18"/>
                      <w:szCs w:val="18"/>
                    </w:rPr>
                    <w:t>VOCs</w:t>
                  </w:r>
                  <w:r>
                    <w:rPr>
                      <w:rFonts w:hint="eastAsia" w:cs="Times New Roman"/>
                      <w:kern w:val="0"/>
                      <w:sz w:val="18"/>
                      <w:szCs w:val="18"/>
                      <w:lang w:eastAsia="zh-CN"/>
                    </w:rPr>
                    <w:t>，其中甲醛属于有毒有害污染物，且厂界外</w:t>
                  </w:r>
                  <w:r>
                    <w:rPr>
                      <w:rFonts w:hint="eastAsia" w:cs="Times New Roman"/>
                      <w:kern w:val="0"/>
                      <w:sz w:val="18"/>
                      <w:szCs w:val="18"/>
                      <w:lang w:val="en-US" w:eastAsia="zh-CN"/>
                    </w:rPr>
                    <w:t>500m范围内有医院（淄博延强医院、淄川明圣医院）</w:t>
                  </w:r>
                </w:p>
              </w:tc>
              <w:tc>
                <w:tcPr>
                  <w:tcW w:w="5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ascii="Times New Roman" w:hAnsi="Times New Roman" w:eastAsia="宋体" w:cs="Times New Roman"/>
                      <w:kern w:val="0"/>
                      <w:sz w:val="18"/>
                      <w:szCs w:val="18"/>
                      <w:lang w:eastAsia="zh-CN"/>
                    </w:rPr>
                  </w:pPr>
                  <w:r>
                    <w:rPr>
                      <w:rFonts w:hint="eastAsia" w:cs="Times New Roman"/>
                      <w:kern w:val="0"/>
                      <w:sz w:val="18"/>
                      <w:szCs w:val="18"/>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地表水</w:t>
                  </w:r>
                </w:p>
              </w:tc>
              <w:tc>
                <w:tcPr>
                  <w:tcW w:w="23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新增工业废水直排建设项目（槽罐车外送污水处理厂的除外）；新增废水直排的污水集中处理厂</w:t>
                  </w:r>
                </w:p>
              </w:tc>
              <w:tc>
                <w:tcPr>
                  <w:tcW w:w="13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ascii="Times New Roman" w:hAnsi="Times New Roman" w:eastAsia="宋体" w:cs="Times New Roman"/>
                      <w:kern w:val="0"/>
                      <w:sz w:val="18"/>
                      <w:szCs w:val="18"/>
                      <w:lang w:eastAsia="zh-CN"/>
                    </w:rPr>
                  </w:pPr>
                  <w:r>
                    <w:rPr>
                      <w:rFonts w:hint="default" w:ascii="Times New Roman" w:hAnsi="Times New Roman" w:cs="Times New Roman"/>
                      <w:kern w:val="0"/>
                      <w:sz w:val="18"/>
                      <w:szCs w:val="18"/>
                    </w:rPr>
                    <w:t>本项目</w:t>
                  </w:r>
                  <w:r>
                    <w:rPr>
                      <w:rFonts w:hint="eastAsia" w:cs="Times New Roman"/>
                      <w:kern w:val="0"/>
                      <w:sz w:val="18"/>
                      <w:szCs w:val="18"/>
                      <w:lang w:eastAsia="zh-CN"/>
                    </w:rPr>
                    <w:t>无工业废水外排，生活污水经化粪池处理后排入市政管网</w:t>
                  </w:r>
                </w:p>
              </w:tc>
              <w:tc>
                <w:tcPr>
                  <w:tcW w:w="5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环境风险</w:t>
                  </w:r>
                </w:p>
              </w:tc>
              <w:tc>
                <w:tcPr>
                  <w:tcW w:w="23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有毒有害和易燃易爆危险物质存储量超过临界量的建设项目</w:t>
                  </w:r>
                </w:p>
              </w:tc>
              <w:tc>
                <w:tcPr>
                  <w:tcW w:w="13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本项目危险物质储存量未超过临界量</w:t>
                  </w:r>
                </w:p>
              </w:tc>
              <w:tc>
                <w:tcPr>
                  <w:tcW w:w="5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生态</w:t>
                  </w:r>
                </w:p>
              </w:tc>
              <w:tc>
                <w:tcPr>
                  <w:tcW w:w="23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取水口下游500 米范围内有重要水生生物的自然产卵场、索饵场、越冬场和洄游通道的新增河道取水的污染类建设项目</w:t>
                  </w:r>
                </w:p>
              </w:tc>
              <w:tc>
                <w:tcPr>
                  <w:tcW w:w="13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不涉及</w:t>
                  </w:r>
                </w:p>
              </w:tc>
              <w:tc>
                <w:tcPr>
                  <w:tcW w:w="5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海洋</w:t>
                  </w:r>
                </w:p>
              </w:tc>
              <w:tc>
                <w:tcPr>
                  <w:tcW w:w="234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直接向海排放污染物的海洋工程建设项目</w:t>
                  </w:r>
                </w:p>
              </w:tc>
              <w:tc>
                <w:tcPr>
                  <w:tcW w:w="136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不涉及</w:t>
                  </w:r>
                </w:p>
              </w:tc>
              <w:tc>
                <w:tcPr>
                  <w:tcW w:w="5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否</w:t>
                  </w:r>
                </w:p>
              </w:tc>
            </w:tr>
          </w:tbl>
          <w:p>
            <w:pPr>
              <w:autoSpaceDE w:val="0"/>
              <w:autoSpaceDN w:val="0"/>
              <w:adjustRightInd w:val="0"/>
              <w:snapToGrid w:val="0"/>
              <w:spacing w:line="420" w:lineRule="exact"/>
              <w:rPr>
                <w:rFonts w:hint="default" w:ascii="Times New Roman" w:hAnsi="Times New Roman" w:cs="Times New Roman"/>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638" w:type="dxa"/>
            <w:vAlign w:val="center"/>
          </w:tcPr>
          <w:p>
            <w:pPr>
              <w:autoSpaceDE w:val="0"/>
              <w:autoSpaceDN w:val="0"/>
              <w:adjustRightInd w:val="0"/>
              <w:snapToGrid w:val="0"/>
              <w:spacing w:line="360" w:lineRule="auto"/>
              <w:jc w:val="center"/>
              <w:rPr>
                <w:rFonts w:hint="default" w:ascii="Times New Roman" w:hAnsi="Times New Roman" w:cs="Times New Roman"/>
                <w:kern w:val="0"/>
                <w:szCs w:val="21"/>
              </w:rPr>
            </w:pPr>
            <w:r>
              <w:rPr>
                <w:rFonts w:hint="default" w:ascii="Times New Roman" w:hAnsi="Times New Roman" w:cs="Times New Roman"/>
                <w:szCs w:val="21"/>
              </w:rPr>
              <w:t>规划情况</w:t>
            </w:r>
          </w:p>
        </w:tc>
        <w:tc>
          <w:tcPr>
            <w:tcW w:w="7645" w:type="dxa"/>
            <w:gridSpan w:val="3"/>
            <w:vAlign w:val="center"/>
          </w:tcPr>
          <w:p>
            <w:pPr>
              <w:autoSpaceDE w:val="0"/>
              <w:autoSpaceDN w:val="0"/>
              <w:adjustRightInd w:val="0"/>
              <w:snapToGrid w:val="0"/>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 xml:space="preserve">规划名称：淄川经济开发区 </w:t>
            </w:r>
          </w:p>
          <w:p>
            <w:pPr>
              <w:autoSpaceDE w:val="0"/>
              <w:autoSpaceDN w:val="0"/>
              <w:adjustRightInd w:val="0"/>
              <w:snapToGrid w:val="0"/>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 xml:space="preserve">审批机关：山东省人民政府 </w:t>
            </w:r>
          </w:p>
          <w:p>
            <w:pPr>
              <w:autoSpaceDE w:val="0"/>
              <w:autoSpaceDN w:val="0"/>
              <w:adjustRightInd w:val="0"/>
              <w:snapToGrid w:val="0"/>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rPr>
              <w:t>审批文件名称及文号：--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638" w:type="dxa"/>
            <w:vAlign w:val="center"/>
          </w:tcPr>
          <w:p>
            <w:pPr>
              <w:adjustRightInd w:val="0"/>
              <w:snapToGrid w:val="0"/>
              <w:spacing w:line="360" w:lineRule="auto"/>
              <w:jc w:val="center"/>
              <w:rPr>
                <w:rFonts w:hint="default" w:ascii="Times New Roman" w:hAnsi="Times New Roman" w:cs="Times New Roman"/>
                <w:szCs w:val="21"/>
              </w:rPr>
            </w:pPr>
            <w:r>
              <w:rPr>
                <w:rFonts w:hint="default" w:ascii="Times New Roman" w:hAnsi="Times New Roman" w:cs="Times New Roman"/>
                <w:szCs w:val="21"/>
              </w:rPr>
              <w:t>规划环境影响</w:t>
            </w:r>
          </w:p>
          <w:p>
            <w:pPr>
              <w:adjustRightInd w:val="0"/>
              <w:snapToGrid w:val="0"/>
              <w:spacing w:line="360" w:lineRule="auto"/>
              <w:jc w:val="center"/>
              <w:rPr>
                <w:rFonts w:hint="default" w:ascii="Times New Roman" w:hAnsi="Times New Roman" w:cs="Times New Roman"/>
                <w:kern w:val="0"/>
                <w:szCs w:val="21"/>
              </w:rPr>
            </w:pPr>
            <w:r>
              <w:rPr>
                <w:rFonts w:hint="default" w:ascii="Times New Roman" w:hAnsi="Times New Roman" w:cs="Times New Roman"/>
                <w:szCs w:val="21"/>
              </w:rPr>
              <w:t>评价情况</w:t>
            </w:r>
          </w:p>
        </w:tc>
        <w:tc>
          <w:tcPr>
            <w:tcW w:w="7645" w:type="dxa"/>
            <w:gridSpan w:val="3"/>
            <w:vAlign w:val="center"/>
          </w:tcPr>
          <w:p>
            <w:pPr>
              <w:autoSpaceDE w:val="0"/>
              <w:autoSpaceDN w:val="0"/>
              <w:adjustRightInd w:val="0"/>
              <w:snapToGrid w:val="0"/>
              <w:spacing w:line="360" w:lineRule="auto"/>
              <w:ind w:firstLine="420" w:firstLineChars="200"/>
              <w:rPr>
                <w:rFonts w:hint="default" w:ascii="Times New Roman" w:hAnsi="Times New Roman" w:cs="Times New Roman"/>
                <w:lang w:val="zh-CN"/>
              </w:rPr>
            </w:pPr>
            <w:r>
              <w:rPr>
                <w:rFonts w:hint="default" w:ascii="Times New Roman" w:hAnsi="Times New Roman" w:cs="Times New Roman"/>
              </w:rPr>
              <w:t>规划环评：</w:t>
            </w:r>
            <w:r>
              <w:rPr>
                <w:rFonts w:hint="default" w:ascii="Times New Roman" w:hAnsi="Times New Roman" w:cs="Times New Roman"/>
                <w:lang w:val="zh-CN"/>
              </w:rPr>
              <w:t>《山东淄川经济开发区环境影响报告书》</w:t>
            </w:r>
          </w:p>
          <w:p>
            <w:pPr>
              <w:autoSpaceDE w:val="0"/>
              <w:autoSpaceDN w:val="0"/>
              <w:adjustRightInd w:val="0"/>
              <w:snapToGrid w:val="0"/>
              <w:spacing w:line="360" w:lineRule="auto"/>
              <w:ind w:firstLine="420" w:firstLineChars="200"/>
              <w:rPr>
                <w:rFonts w:hint="default" w:ascii="Times New Roman" w:hAnsi="Times New Roman" w:cs="Times New Roman"/>
                <w:lang w:val="zh-CN"/>
              </w:rPr>
            </w:pPr>
            <w:r>
              <w:rPr>
                <w:rFonts w:hint="default" w:ascii="Times New Roman" w:hAnsi="Times New Roman" w:cs="Times New Roman"/>
                <w:lang w:val="zh-CN"/>
              </w:rPr>
              <w:t>审查部门：山东省</w:t>
            </w:r>
            <w:r>
              <w:rPr>
                <w:rFonts w:hint="default" w:ascii="Times New Roman" w:hAnsi="Times New Roman" w:cs="Times New Roman"/>
              </w:rPr>
              <w:t>环境保护局</w:t>
            </w:r>
          </w:p>
          <w:p>
            <w:pPr>
              <w:autoSpaceDE w:val="0"/>
              <w:autoSpaceDN w:val="0"/>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审查时间：</w:t>
            </w:r>
            <w:r>
              <w:rPr>
                <w:rFonts w:hint="default" w:ascii="Times New Roman" w:hAnsi="Times New Roman" w:cs="Times New Roman"/>
                <w:lang w:val="zh-CN"/>
              </w:rPr>
              <w:t>2009年</w:t>
            </w:r>
            <w:r>
              <w:rPr>
                <w:rFonts w:hint="default" w:ascii="Times New Roman" w:hAnsi="Times New Roman" w:cs="Times New Roman"/>
              </w:rPr>
              <w:t>1月19日</w:t>
            </w:r>
          </w:p>
          <w:p>
            <w:pPr>
              <w:autoSpaceDE w:val="0"/>
              <w:autoSpaceDN w:val="0"/>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审查文件名及文号：《关于</w:t>
            </w:r>
            <w:r>
              <w:rPr>
                <w:rFonts w:hint="default" w:ascii="Times New Roman" w:hAnsi="Times New Roman" w:cs="Times New Roman"/>
                <w:lang w:val="zh-CN"/>
              </w:rPr>
              <w:t>山东淄川经济开发区环境影响报告书的审查意见</w:t>
            </w:r>
            <w:r>
              <w:rPr>
                <w:rFonts w:hint="default" w:ascii="Times New Roman" w:hAnsi="Times New Roman" w:cs="Times New Roman"/>
              </w:rPr>
              <w:t>》（</w:t>
            </w:r>
            <w:r>
              <w:rPr>
                <w:rFonts w:hint="default" w:ascii="Times New Roman" w:hAnsi="Times New Roman" w:cs="Times New Roman"/>
                <w:lang w:val="zh-CN"/>
              </w:rPr>
              <w:t>鲁环审[2009]44号</w:t>
            </w:r>
            <w:r>
              <w:rPr>
                <w:rFonts w:hint="default" w:ascii="Times New Roman" w:hAnsi="Times New Roman" w:cs="Times New Roman"/>
              </w:rPr>
              <w:t>）</w:t>
            </w:r>
          </w:p>
          <w:p>
            <w:pPr>
              <w:autoSpaceDE w:val="0"/>
              <w:autoSpaceDN w:val="0"/>
              <w:adjustRightInd w:val="0"/>
              <w:snapToGrid w:val="0"/>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szCs w:val="21"/>
              </w:rPr>
              <w:t>山东淄川经济开发区是1992 年经山东省人民政府批准设立的省级开发区，最初名称为淄川外向型工业加工区，2002年2月6日，山东省人民政府下发了鲁政字[2002]45号文《山东省人民政府关于部分经济开发区更名的通知》，正式更名为淄川经济开发区。2008年4月山东淄川经济开发区管理委员会开展《山东淄川经济开发区环境影响报告书》编制工作，原山东省环保厅对其规划环评报告书进行审查（鲁环审[2009]44号）。2017年开展《山东淄川经济开发区环境影响跟踪评价报告书》编制工作，并由报告书审查组出具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38" w:type="dxa"/>
            <w:vAlign w:val="center"/>
          </w:tcPr>
          <w:p>
            <w:pPr>
              <w:adjustRightInd w:val="0"/>
              <w:snapToGrid w:val="0"/>
              <w:spacing w:line="30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规划及规划</w:t>
            </w:r>
            <w:r>
              <w:rPr>
                <w:rFonts w:hint="default" w:ascii="Times New Roman" w:hAnsi="Times New Roman" w:cs="Times New Roman"/>
                <w:szCs w:val="21"/>
              </w:rPr>
              <w:t>环境</w:t>
            </w:r>
            <w:r>
              <w:rPr>
                <w:rFonts w:hint="default" w:ascii="Times New Roman" w:hAnsi="Times New Roman" w:cs="Times New Roman"/>
                <w:kern w:val="0"/>
                <w:szCs w:val="21"/>
              </w:rPr>
              <w:t>影响评价符合性分析</w:t>
            </w:r>
          </w:p>
        </w:tc>
        <w:tc>
          <w:tcPr>
            <w:tcW w:w="7645" w:type="dxa"/>
            <w:gridSpan w:val="3"/>
          </w:tcPr>
          <w:p>
            <w:pPr>
              <w:autoSpaceDE w:val="0"/>
              <w:autoSpaceDN w:val="0"/>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1、与山东淄川经济开发区规划及其审查意见符合性分析，结果见表1-1。</w:t>
            </w:r>
          </w:p>
          <w:p>
            <w:pPr>
              <w:pStyle w:val="101"/>
              <w:snapToGrid w:val="0"/>
              <w:spacing w:line="360" w:lineRule="auto"/>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表1-1 与《山东淄川经济开发区环境影响跟踪评价报告书》</w:t>
            </w:r>
          </w:p>
          <w:p>
            <w:pPr>
              <w:pStyle w:val="101"/>
              <w:snapToGrid w:val="0"/>
              <w:spacing w:line="360" w:lineRule="auto"/>
              <w:jc w:val="center"/>
              <w:rPr>
                <w:rFonts w:hint="default" w:ascii="Times New Roman" w:hAnsi="Times New Roman" w:eastAsia="黑体" w:cs="Times New Roman"/>
                <w:b/>
                <w:bCs/>
                <w:color w:val="auto"/>
                <w:sz w:val="21"/>
                <w:szCs w:val="21"/>
              </w:rPr>
            </w:pPr>
            <w:r>
              <w:rPr>
                <w:rFonts w:hint="default" w:ascii="Times New Roman" w:hAnsi="Times New Roman" w:eastAsia="黑体" w:cs="Times New Roman"/>
                <w:b/>
                <w:bCs/>
                <w:color w:val="auto"/>
                <w:sz w:val="21"/>
                <w:szCs w:val="21"/>
              </w:rPr>
              <w:t>及其审查意见符合性分析</w:t>
            </w:r>
          </w:p>
          <w:tbl>
            <w:tblPr>
              <w:tblStyle w:val="8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35"/>
              <w:gridCol w:w="2562"/>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5" w:type="dxa"/>
                  <w:gridSpan w:val="2"/>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规划要求</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拟建项目</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开发范围</w:t>
                  </w: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东至大钟街、南至松龄西路、西至凤凰山东路、北至眉山路</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本项目位于</w:t>
                  </w:r>
                  <w:r>
                    <w:rPr>
                      <w:rFonts w:hint="eastAsia" w:ascii="Times New Roman" w:cs="Times New Roman"/>
                      <w:sz w:val="18"/>
                      <w:szCs w:val="18"/>
                      <w:lang w:eastAsia="zh-CN"/>
                    </w:rPr>
                    <w:t>淄川经济开发区钟楼社区鑫威路与金晶川路交叉路口北50米</w:t>
                  </w:r>
                  <w:r>
                    <w:rPr>
                      <w:rFonts w:hint="default" w:ascii="Times New Roman" w:hAnsi="Times New Roman" w:cs="Times New Roman"/>
                      <w:sz w:val="18"/>
                      <w:szCs w:val="18"/>
                    </w:rPr>
                    <w:t>，位于淄川经济开发区规划开发范围内，本项目与淄川经济开发区的位置关系详见</w:t>
                  </w:r>
                  <w:r>
                    <w:rPr>
                      <w:rFonts w:hint="default" w:ascii="Times New Roman" w:hAnsi="Times New Roman" w:cs="Times New Roman"/>
                      <w:sz w:val="18"/>
                      <w:szCs w:val="18"/>
                      <w:lang w:eastAsia="zh-CN"/>
                    </w:rPr>
                    <w:t>附</w:t>
                  </w:r>
                  <w:r>
                    <w:rPr>
                      <w:rFonts w:hint="default" w:ascii="Times New Roman" w:hAnsi="Times New Roman" w:cs="Times New Roman"/>
                      <w:sz w:val="18"/>
                      <w:szCs w:val="18"/>
                    </w:rPr>
                    <w:t>图</w:t>
                  </w:r>
                  <w:r>
                    <w:rPr>
                      <w:rFonts w:hint="eastAsia" w:ascii="Times New Roman" w:cs="Times New Roman"/>
                      <w:sz w:val="18"/>
                      <w:szCs w:val="18"/>
                      <w:lang w:val="en-US" w:eastAsia="zh-CN"/>
                    </w:rPr>
                    <w:t>6</w:t>
                  </w:r>
                  <w:r>
                    <w:rPr>
                      <w:rFonts w:hint="default" w:ascii="Times New Roman" w:hAnsi="Times New Roman" w:cs="Times New Roman"/>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产业定位和产业政策</w:t>
                  </w: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目前入区企业主要有交通运输设备制造、纺织服装、电子、新材料、医药、化工、机械加工、造纸和纸制品、塑料加工、电气机械和器材制造等行业。</w:t>
                  </w:r>
                </w:p>
              </w:tc>
              <w:tc>
                <w:tcPr>
                  <w:tcW w:w="2562"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本项目属于</w:t>
                  </w:r>
                  <w:r>
                    <w:rPr>
                      <w:rFonts w:hint="eastAsia" w:ascii="Times New Roman" w:cs="Times New Roman"/>
                      <w:sz w:val="18"/>
                      <w:szCs w:val="18"/>
                      <w:lang w:eastAsia="zh-CN"/>
                    </w:rPr>
                    <w:t>纺织业、塑料制品业</w:t>
                  </w:r>
                  <w:r>
                    <w:rPr>
                      <w:rFonts w:hint="default" w:ascii="Times New Roman" w:hAnsi="Times New Roman" w:cs="Times New Roman"/>
                      <w:sz w:val="18"/>
                      <w:szCs w:val="18"/>
                    </w:rPr>
                    <w:t>，</w:t>
                  </w:r>
                  <w:r>
                    <w:rPr>
                      <w:rFonts w:hint="eastAsia" w:ascii="Times New Roman" w:cs="Times New Roman"/>
                      <w:sz w:val="18"/>
                      <w:szCs w:val="18"/>
                      <w:lang w:eastAsia="zh-CN"/>
                    </w:rPr>
                    <w:t>符合开发区产业定位，且企业属于</w:t>
                  </w:r>
                  <w:r>
                    <w:rPr>
                      <w:rFonts w:hint="default" w:ascii="Times New Roman" w:hAnsi="Times New Roman" w:cs="Times New Roman"/>
                      <w:sz w:val="18"/>
                      <w:szCs w:val="18"/>
                    </w:rPr>
                    <w:t>淄川经济开发区</w:t>
                  </w:r>
                  <w:r>
                    <w:rPr>
                      <w:rFonts w:hint="eastAsia" w:ascii="Times New Roman" w:cs="Times New Roman"/>
                      <w:sz w:val="18"/>
                      <w:szCs w:val="18"/>
                      <w:lang w:eastAsia="zh-CN"/>
                    </w:rPr>
                    <w:t>已经入驻的企业，不新增产能，企业重新选址搬迁，同时对环保设施进行提升改造。满足相关产业政策</w:t>
                  </w:r>
                </w:p>
              </w:tc>
              <w:tc>
                <w:tcPr>
                  <w:tcW w:w="665"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对于不符合开发区产业定位的非金属矿物制品、塑料制品、造纸和纸制品、医药制造、电气机械和器材制造业等企业，建议保留，维持现状产能。</w:t>
                  </w:r>
                </w:p>
              </w:tc>
              <w:tc>
                <w:tcPr>
                  <w:tcW w:w="2562"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665"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总体布局</w:t>
                  </w: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建议开发区在今后招商过程中，应明晰产业布局，这样更有利于同行业之间资源和信息的流通，更容易形成产业链条。</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本项目属于</w:t>
                  </w:r>
                  <w:r>
                    <w:rPr>
                      <w:rFonts w:hint="eastAsia" w:ascii="Times New Roman" w:cs="Times New Roman"/>
                      <w:sz w:val="18"/>
                      <w:szCs w:val="18"/>
                      <w:lang w:eastAsia="zh-CN"/>
                    </w:rPr>
                    <w:t>纺织业、塑料制品业</w:t>
                  </w:r>
                  <w:r>
                    <w:rPr>
                      <w:rFonts w:hint="default" w:ascii="Times New Roman" w:hAnsi="Times New Roman" w:cs="Times New Roman"/>
                      <w:sz w:val="18"/>
                      <w:szCs w:val="18"/>
                    </w:rPr>
                    <w:t>，</w:t>
                  </w:r>
                  <w:r>
                    <w:rPr>
                      <w:rFonts w:hint="eastAsia" w:ascii="Times New Roman" w:cs="Times New Roman"/>
                      <w:sz w:val="18"/>
                      <w:szCs w:val="18"/>
                      <w:lang w:eastAsia="zh-CN"/>
                    </w:rPr>
                    <w:t>符合开发区产业定位，且企业属于</w:t>
                  </w:r>
                  <w:r>
                    <w:rPr>
                      <w:rFonts w:hint="default" w:ascii="Times New Roman" w:hAnsi="Times New Roman" w:cs="Times New Roman"/>
                      <w:sz w:val="18"/>
                      <w:szCs w:val="18"/>
                    </w:rPr>
                    <w:t>淄川经济开发区</w:t>
                  </w:r>
                  <w:r>
                    <w:rPr>
                      <w:rFonts w:hint="eastAsia" w:ascii="Times New Roman" w:cs="Times New Roman"/>
                      <w:sz w:val="18"/>
                      <w:szCs w:val="18"/>
                      <w:lang w:eastAsia="zh-CN"/>
                    </w:rPr>
                    <w:t>已经入驻的企业，不新增产能，仅进行技术改造。满足相关产业政策</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环境管理要求</w:t>
                  </w: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已建企业竣工验收率偏低，开发区应严格控制不符合开发区准入条件企业，监督入园企业环保设施的建设，督促其尽快进行竣工验收。</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w:t>
                  </w:r>
                  <w:r>
                    <w:rPr>
                      <w:rFonts w:hint="eastAsia" w:ascii="Times New Roman" w:cs="Times New Roman"/>
                      <w:sz w:val="18"/>
                      <w:szCs w:val="18"/>
                      <w:lang w:eastAsia="zh-CN"/>
                    </w:rPr>
                    <w:t>属于搬迁项目，同时对环保设施进行提升改造</w:t>
                  </w:r>
                  <w:r>
                    <w:rPr>
                      <w:rFonts w:hint="default" w:ascii="Times New Roman" w:hAnsi="Times New Roman" w:cs="Times New Roman"/>
                      <w:sz w:val="18"/>
                      <w:szCs w:val="18"/>
                    </w:rPr>
                    <w:t>，目前处于环评阶段，要求企业严格遵守“三同时”制度</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环保准入条件</w:t>
                  </w: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企业项目建设必须严格遵守“三同时”制度和环境影响评价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本项目正处于环评阶段，要企业严格执行“三同时”制度，并落实环评文件及审批意见等环保要求</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入区企业必须承诺采用清洁的工艺和技术，积极开展清洁生产，遵循清洁生产原则进行生产，要求企业不断改进工艺和产品设计、使用清洁的能源和原科、采用先进的工艺技术与设备、改善管理水平、实施废物综合利用，从源头削减污染；发展循环经济，实现废物的“减量化、再利用、再循环”，最大限度提高资源利用效率，切实降低物耗能耗，减少废物的产生量和产生种类；已经获得产品环境标志的企业可获得优先入区权。</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本项目使用</w:t>
                  </w:r>
                  <w:r>
                    <w:rPr>
                      <w:rFonts w:hint="default" w:ascii="Times New Roman" w:hAnsi="Times New Roman" w:cs="Times New Roman"/>
                      <w:sz w:val="18"/>
                      <w:szCs w:val="18"/>
                      <w:highlight w:val="none"/>
                    </w:rPr>
                    <w:t>电</w:t>
                  </w:r>
                  <w:r>
                    <w:rPr>
                      <w:rFonts w:hint="eastAsia" w:ascii="Times New Roman" w:cs="Times New Roman"/>
                      <w:sz w:val="18"/>
                      <w:szCs w:val="18"/>
                      <w:highlight w:val="none"/>
                      <w:lang w:eastAsia="zh-CN"/>
                    </w:rPr>
                    <w:t>为</w:t>
                  </w:r>
                  <w:r>
                    <w:rPr>
                      <w:rFonts w:hint="default" w:ascii="Times New Roman" w:hAnsi="Times New Roman" w:cs="Times New Roman"/>
                      <w:sz w:val="18"/>
                      <w:szCs w:val="18"/>
                    </w:rPr>
                    <w:t>能源，优选自动化程度高、节能的成套设备，缩短工艺流程，降低能耗；对产生废气的工段进行密闭围挡，并对废气集中收集后净化处理；产生的固体废物均能得到无害化和资源化利用或处置。</w:t>
                  </w:r>
                  <w:r>
                    <w:rPr>
                      <w:rFonts w:hint="eastAsia" w:ascii="Times New Roman" w:cs="Times New Roman"/>
                      <w:sz w:val="18"/>
                      <w:szCs w:val="18"/>
                      <w:lang w:eastAsia="zh-CN"/>
                    </w:rPr>
                    <w:t>搬迁技改后对环保设施进行提升改造，提高</w:t>
                  </w:r>
                  <w:r>
                    <w:rPr>
                      <w:rFonts w:hint="eastAsia" w:ascii="Times New Roman" w:cs="Times New Roman"/>
                      <w:sz w:val="18"/>
                      <w:szCs w:val="18"/>
                      <w:lang w:val="en-US" w:eastAsia="zh-CN"/>
                    </w:rPr>
                    <w:t>VOCs处理能力</w:t>
                  </w:r>
                  <w:r>
                    <w:rPr>
                      <w:rFonts w:hint="eastAsia" w:eastAsiaTheme="minorEastAsia"/>
                      <w:color w:val="auto"/>
                      <w:sz w:val="18"/>
                      <w:szCs w:val="18"/>
                      <w:vertAlign w:val="baseline"/>
                      <w:lang w:val="en-US" w:eastAsia="zh-CN"/>
                    </w:rPr>
                    <w:t>，减少污染物产生。</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353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对入区企业的工艺废气和生产废水均需建设相关配套处理设施，落实治理工程，确保正常运行，做到达标排放，废水处理设施的设计容量和采用工艺必须与废水特性匹配，对于较难处理的特殊废水，在设施建造前必须经过专家论证方案，以保证废水经预处理后全部达到开发区污水处理厂的进水水质标准</w:t>
                  </w:r>
                </w:p>
              </w:tc>
              <w:tc>
                <w:tcPr>
                  <w:tcW w:w="2562"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本项目工艺废气配备相关符合要求的污染治理</w:t>
                  </w:r>
                  <w:r>
                    <w:rPr>
                      <w:rFonts w:hint="eastAsia" w:ascii="Times New Roman" w:cs="Times New Roman"/>
                      <w:sz w:val="18"/>
                      <w:szCs w:val="18"/>
                      <w:lang w:eastAsia="zh-CN"/>
                    </w:rPr>
                    <w:t>设施</w:t>
                  </w:r>
                  <w:r>
                    <w:rPr>
                      <w:rFonts w:hint="default" w:ascii="Times New Roman" w:hAnsi="Times New Roman" w:cs="Times New Roman"/>
                      <w:sz w:val="18"/>
                      <w:szCs w:val="18"/>
                    </w:rPr>
                    <w:t>，落实治理工程，确保其正常运行，做到达标排放</w:t>
                  </w:r>
                  <w:r>
                    <w:rPr>
                      <w:rFonts w:hint="default" w:ascii="Times New Roman" w:hAnsi="Times New Roman" w:cs="Times New Roman"/>
                      <w:sz w:val="18"/>
                      <w:szCs w:val="18"/>
                      <w:highlight w:val="none"/>
                    </w:rPr>
                    <w:t>。本项目</w:t>
                  </w:r>
                  <w:r>
                    <w:rPr>
                      <w:rFonts w:hint="eastAsia" w:ascii="Times New Roman" w:cs="Times New Roman"/>
                      <w:sz w:val="18"/>
                      <w:szCs w:val="18"/>
                      <w:highlight w:val="none"/>
                      <w:lang w:eastAsia="zh-CN"/>
                    </w:rPr>
                    <w:t>无废水产生</w:t>
                  </w:r>
                  <w:r>
                    <w:rPr>
                      <w:rFonts w:hint="default" w:ascii="Times New Roman" w:hAnsi="Times New Roman" w:cs="Times New Roman"/>
                      <w:sz w:val="18"/>
                      <w:szCs w:val="18"/>
                      <w:highlight w:val="none"/>
                      <w:lang w:eastAsia="zh-CN"/>
                    </w:rPr>
                    <w:t>。</w:t>
                  </w:r>
                </w:p>
              </w:tc>
              <w:tc>
                <w:tcPr>
                  <w:tcW w:w="665"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bl>
          <w:p>
            <w:pPr>
              <w:autoSpaceDE w:val="0"/>
              <w:autoSpaceDN w:val="0"/>
              <w:adjustRightInd w:val="0"/>
              <w:snapToGrid w:val="0"/>
              <w:spacing w:line="420" w:lineRule="exact"/>
              <w:ind w:firstLine="210" w:firstLineChars="100"/>
              <w:rPr>
                <w:rFonts w:hint="default" w:ascii="Times New Roman" w:hAnsi="Times New Roman" w:cs="Times New Roman"/>
                <w:szCs w:val="21"/>
              </w:rPr>
            </w:pPr>
            <w:r>
              <w:rPr>
                <w:rFonts w:hint="default" w:ascii="Times New Roman" w:hAnsi="Times New Roman" w:cs="Times New Roman"/>
              </w:rPr>
              <w:t>综上，本项目符合</w:t>
            </w:r>
            <w:r>
              <w:rPr>
                <w:rFonts w:hint="default" w:ascii="Times New Roman" w:hAnsi="Times New Roman" w:cs="Times New Roman"/>
                <w:szCs w:val="21"/>
              </w:rPr>
              <w:t>山东淄川经济开发区规划要求。</w:t>
            </w:r>
          </w:p>
          <w:p>
            <w:pPr>
              <w:pStyle w:val="101"/>
              <w:snapToGrid w:val="0"/>
              <w:jc w:val="center"/>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638" w:type="dxa"/>
            <w:tcBorders>
              <w:bottom w:val="single" w:color="auto" w:sz="8" w:space="0"/>
            </w:tcBorders>
            <w:vAlign w:val="center"/>
          </w:tcPr>
          <w:p>
            <w:pPr>
              <w:autoSpaceDE w:val="0"/>
              <w:autoSpaceDN w:val="0"/>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其他符合性分析</w:t>
            </w:r>
          </w:p>
        </w:tc>
        <w:tc>
          <w:tcPr>
            <w:tcW w:w="7645" w:type="dxa"/>
            <w:gridSpan w:val="3"/>
            <w:tcBorders>
              <w:bottom w:val="single" w:color="auto" w:sz="8" w:space="0"/>
            </w:tcBorders>
            <w:vAlign w:val="center"/>
          </w:tcPr>
          <w:p>
            <w:pPr>
              <w:autoSpaceDE w:val="0"/>
              <w:autoSpaceDN w:val="0"/>
              <w:adjustRightInd w:val="0"/>
              <w:spacing w:line="360" w:lineRule="auto"/>
              <w:rPr>
                <w:rFonts w:hint="default" w:ascii="Times New Roman" w:hAnsi="Times New Roman" w:eastAsia="黑体" w:cs="Times New Roman"/>
                <w:b/>
                <w:szCs w:val="21"/>
              </w:rPr>
            </w:pPr>
            <w:r>
              <w:rPr>
                <w:rFonts w:hint="default" w:ascii="Times New Roman" w:hAnsi="Times New Roman" w:eastAsia="黑体" w:cs="Times New Roman"/>
                <w:b/>
                <w:szCs w:val="21"/>
              </w:rPr>
              <w:t>一、“三线一单”符合性分析</w:t>
            </w:r>
          </w:p>
          <w:p>
            <w:pPr>
              <w:autoSpaceDE w:val="0"/>
              <w:autoSpaceDN w:val="0"/>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生态保护红线：根据《山东省生态保护红线规划（2016-2020年）》，规划将省级及以上自然保护区、风景名胜区、湿地公园、森林公园、地质公园以及世界文化自然遗产的全部区域纳入生态保护红线。涉及生态保护红线区情况见下表1-2； </w:t>
            </w:r>
          </w:p>
          <w:p>
            <w:pPr>
              <w:adjustRightInd w:val="0"/>
              <w:snapToGrid w:val="0"/>
              <w:spacing w:line="360" w:lineRule="auto"/>
              <w:jc w:val="center"/>
              <w:rPr>
                <w:rFonts w:hint="default" w:ascii="Times New Roman" w:hAnsi="Times New Roman" w:eastAsia="黑体" w:cs="Times New Roman"/>
                <w:b/>
                <w:szCs w:val="21"/>
              </w:rPr>
            </w:pPr>
            <w:r>
              <w:rPr>
                <w:rFonts w:hint="default" w:ascii="Times New Roman" w:hAnsi="Times New Roman" w:eastAsia="黑体" w:cs="Times New Roman"/>
                <w:b/>
                <w:szCs w:val="21"/>
              </w:rPr>
              <w:t>表1-2生态红线范围一览表</w:t>
            </w:r>
          </w:p>
          <w:tbl>
            <w:tblPr>
              <w:tblStyle w:val="8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1091"/>
              <w:gridCol w:w="1745"/>
              <w:gridCol w:w="906"/>
              <w:gridCol w:w="1122"/>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b/>
                      <w:sz w:val="18"/>
                      <w:szCs w:val="18"/>
                    </w:rPr>
                    <w:t>生态保护红线区名称</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b/>
                      <w:sz w:val="18"/>
                      <w:szCs w:val="18"/>
                      <w:lang w:val="zh-CN"/>
                    </w:rPr>
                    <w:t>代码</w:t>
                  </w:r>
                </w:p>
              </w:tc>
              <w:tc>
                <w:tcPr>
                  <w:tcW w:w="117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b/>
                      <w:sz w:val="18"/>
                      <w:szCs w:val="18"/>
                      <w:lang w:val="zh-CN"/>
                    </w:rPr>
                    <w:t>边界描述</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b/>
                      <w:sz w:val="18"/>
                      <w:szCs w:val="18"/>
                      <w:lang w:val="zh-CN"/>
                    </w:rPr>
                    <w:t>面积</w:t>
                  </w:r>
                </w:p>
                <w:p>
                  <w:pPr>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sz w:val="18"/>
                      <w:szCs w:val="18"/>
                      <w:lang w:val="zh-CN"/>
                    </w:rPr>
                    <w:t>km</w:t>
                  </w:r>
                  <w:r>
                    <w:rPr>
                      <w:rFonts w:hint="default" w:ascii="Times New Roman" w:hAnsi="Times New Roman" w:cs="Times New Roman"/>
                      <w:sz w:val="18"/>
                      <w:szCs w:val="18"/>
                      <w:vertAlign w:val="superscript"/>
                      <w:lang w:val="zh-CN"/>
                    </w:rPr>
                    <w:t>2</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b/>
                      <w:sz w:val="18"/>
                      <w:szCs w:val="18"/>
                      <w:lang w:val="zh-CN"/>
                    </w:rPr>
                    <w:t>生态功能</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sz w:val="18"/>
                      <w:szCs w:val="18"/>
                      <w:lang w:val="zh-CN"/>
                    </w:rPr>
                  </w:pPr>
                  <w:r>
                    <w:rPr>
                      <w:rFonts w:hint="default" w:ascii="Times New Roman" w:hAnsi="Times New Roman" w:cs="Times New Roman"/>
                      <w:b/>
                      <w:sz w:val="18"/>
                      <w:szCs w:val="18"/>
                      <w:lang w:val="zh-CN"/>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zh-CN"/>
                    </w:rPr>
                    <w:t>文昌湖水源涵养生态保护红线区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18"/>
                      <w:szCs w:val="18"/>
                      <w:lang w:val="zh-CN" w:eastAsia="zh-CN" w:bidi="ar-SA"/>
                    </w:rPr>
                  </w:pPr>
                  <w:r>
                    <w:rPr>
                      <w:color w:val="auto"/>
                      <w:sz w:val="18"/>
                      <w:szCs w:val="18"/>
                      <w:lang w:val="zh-CN"/>
                    </w:rPr>
                    <w:t>SD-03-B1-0</w:t>
                  </w:r>
                  <w:r>
                    <w:rPr>
                      <w:rFonts w:hint="eastAsia"/>
                      <w:color w:val="auto"/>
                      <w:sz w:val="18"/>
                      <w:szCs w:val="18"/>
                    </w:rPr>
                    <w:t>5</w:t>
                  </w:r>
                </w:p>
              </w:tc>
              <w:tc>
                <w:tcPr>
                  <w:tcW w:w="11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lang w:val="zh-CN"/>
                    </w:rPr>
                    <w:t>北起萌山水库大坝，南至环湖南路，西至环湖西路，东至环湖东路。</w:t>
                  </w:r>
                </w:p>
              </w:tc>
              <w:tc>
                <w:tcPr>
                  <w:tcW w:w="6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18"/>
                      <w:szCs w:val="18"/>
                      <w:lang w:val="zh-CN" w:eastAsia="zh-CN" w:bidi="ar-SA"/>
                    </w:rPr>
                  </w:pPr>
                  <w:r>
                    <w:rPr>
                      <w:rFonts w:hint="eastAsia"/>
                      <w:color w:val="auto"/>
                      <w:sz w:val="18"/>
                      <w:szCs w:val="18"/>
                    </w:rPr>
                    <w:t>8.22</w:t>
                  </w:r>
                  <w:r>
                    <w:rPr>
                      <w:color w:val="auto"/>
                      <w:sz w:val="18"/>
                      <w:szCs w:val="18"/>
                      <w:lang w:val="zh-CN"/>
                    </w:rPr>
                    <w:t>km</w:t>
                  </w:r>
                  <w:r>
                    <w:rPr>
                      <w:color w:val="auto"/>
                      <w:sz w:val="18"/>
                      <w:szCs w:val="18"/>
                      <w:vertAlign w:val="superscript"/>
                      <w:lang w:val="zh-CN"/>
                    </w:rPr>
                    <w:t>2</w:t>
                  </w:r>
                </w:p>
              </w:tc>
              <w:tc>
                <w:tcPr>
                  <w:tcW w:w="7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18"/>
                      <w:szCs w:val="18"/>
                      <w:lang w:val="en-US" w:eastAsia="zh-CN" w:bidi="ar-SA"/>
                    </w:rPr>
                  </w:pPr>
                  <w:r>
                    <w:rPr>
                      <w:color w:val="auto"/>
                      <w:sz w:val="18"/>
                      <w:szCs w:val="18"/>
                    </w:rPr>
                    <w:t>水源涵养、生物多样性维护</w:t>
                  </w:r>
                </w:p>
              </w:tc>
              <w:tc>
                <w:tcPr>
                  <w:tcW w:w="82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水库、湿地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青山以东水源涵养生态保护红线区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SD-03-B1-08</w:t>
                  </w:r>
                </w:p>
              </w:tc>
              <w:tc>
                <w:tcPr>
                  <w:tcW w:w="11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325省道以南，青山以东，抬头崖村以西，槲林村以北</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1.89</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水源涵养、生物多样性维护</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森林、草地、农田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太河水库水源涵养生态保护红线区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lang w:val="zh-CN"/>
                    </w:rPr>
                    <w:t>SD-03-B1-09</w:t>
                  </w:r>
                </w:p>
              </w:tc>
              <w:tc>
                <w:tcPr>
                  <w:tcW w:w="11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235省道以东，泉河公园以北，峨庄森林公园以西，北崖村以北</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8.74</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生物多样性维护、水源涵养</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水库、森林、草地、城镇、农田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杨古水源涵养生态保护红线区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SD-03-B1-07</w:t>
                  </w:r>
                </w:p>
              </w:tc>
              <w:tc>
                <w:tcPr>
                  <w:tcW w:w="11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杨古水源地及杨古水源地东侧，岭子镇以北，冲山以西和以南</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1</w:t>
                  </w:r>
                  <w:r>
                    <w:rPr>
                      <w:rFonts w:hint="default" w:ascii="Times New Roman" w:hAnsi="Times New Roman" w:cs="Times New Roman"/>
                      <w:sz w:val="18"/>
                      <w:szCs w:val="18"/>
                      <w:lang w:val="zh-CN"/>
                    </w:rPr>
                    <w:t>.80</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水源涵养、生物多样性维护</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森林、</w:t>
                  </w:r>
                </w:p>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城镇、</w:t>
                  </w:r>
                </w:p>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宝山水源涵养生态保护红线区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SD-03-B1-06</w:t>
                  </w:r>
                </w:p>
              </w:tc>
              <w:tc>
                <w:tcPr>
                  <w:tcW w:w="11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309国道以南，东张村以东，刘家河以西，双峪以北</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1.80</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生物多样性维护、</w:t>
                  </w:r>
                </w:p>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水源涵养</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森林、</w:t>
                  </w:r>
                </w:p>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6" w:hRule="atLeast"/>
                <w:jc w:val="center"/>
              </w:trPr>
              <w:tc>
                <w:tcPr>
                  <w:tcW w:w="89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龙藏洞以东土壤保持生态保护红线区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SD-03-B2-02</w:t>
                  </w:r>
                </w:p>
              </w:tc>
              <w:tc>
                <w:tcPr>
                  <w:tcW w:w="117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淄博与博山县界以北，龙藏洞生态景区以东，青山以南，车峪口村以西</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12.25</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土壤保持、生物多样性维护</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森林、草地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淄川生态公益林北部生物多样性维护生态保护红线区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SD-03-B4-05</w:t>
                  </w:r>
                </w:p>
              </w:tc>
              <w:tc>
                <w:tcPr>
                  <w:tcW w:w="117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鲁泰文化路以东，淄河以北，淄博与潍坊市界以西，淄川与临淄县界以南</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52.86</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生物多样性维护、水源涵养</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森林、城镇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9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潭溪山-峨庄生物多样性维护生态保护红线区</w:t>
                  </w:r>
                </w:p>
              </w:tc>
              <w:tc>
                <w:tcPr>
                  <w:tcW w:w="73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SD-03-B4-06</w:t>
                  </w:r>
                </w:p>
              </w:tc>
              <w:tc>
                <w:tcPr>
                  <w:tcW w:w="117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太河水库以南，三台山以东，S327 省道以北，淄博与潍坊市界以西</w:t>
                  </w:r>
                </w:p>
              </w:tc>
              <w:tc>
                <w:tcPr>
                  <w:tcW w:w="61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158.33</w:t>
                  </w:r>
                </w:p>
              </w:tc>
              <w:tc>
                <w:tcPr>
                  <w:tcW w:w="756"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生物多样性维护、水源涵养、土壤</w:t>
                  </w:r>
                </w:p>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保持</w:t>
                  </w:r>
                </w:p>
              </w:tc>
              <w:tc>
                <w:tcPr>
                  <w:tcW w:w="82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森林、城镇</w:t>
                  </w:r>
                </w:p>
              </w:tc>
            </w:tr>
          </w:tbl>
          <w:p>
            <w:pPr>
              <w:autoSpaceDE w:val="0"/>
              <w:autoSpaceDN w:val="0"/>
              <w:adjustRightInd w:val="0"/>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本项目位于地理位置中心地</w:t>
            </w:r>
            <w:r>
              <w:rPr>
                <w:rFonts w:hint="default" w:ascii="Times New Roman" w:hAnsi="Times New Roman" w:cs="Times New Roman"/>
                <w:bCs/>
                <w:szCs w:val="21"/>
                <w:highlight w:val="none"/>
              </w:rPr>
              <w:t>理坐标为</w:t>
            </w:r>
            <w:r>
              <w:rPr>
                <w:rFonts w:hint="default" w:ascii="Times New Roman" w:hAnsi="Times New Roman" w:cs="Times New Roman"/>
                <w:szCs w:val="21"/>
                <w:highlight w:val="none"/>
                <w:u w:val="none"/>
              </w:rPr>
              <w:t>36度40分</w:t>
            </w:r>
            <w:r>
              <w:rPr>
                <w:rFonts w:hint="eastAsia" w:cs="Times New Roman"/>
                <w:szCs w:val="21"/>
                <w:highlight w:val="none"/>
                <w:u w:val="none"/>
                <w:lang w:val="en-US" w:eastAsia="zh-CN"/>
              </w:rPr>
              <w:t>7.647</w:t>
            </w:r>
            <w:r>
              <w:rPr>
                <w:rFonts w:hint="default" w:ascii="Times New Roman" w:hAnsi="Times New Roman" w:cs="Times New Roman"/>
                <w:szCs w:val="21"/>
                <w:highlight w:val="none"/>
                <w:u w:val="none"/>
              </w:rPr>
              <w:t>秒，117度</w:t>
            </w:r>
            <w:r>
              <w:rPr>
                <w:rFonts w:hint="eastAsia" w:cs="Times New Roman"/>
                <w:szCs w:val="21"/>
                <w:highlight w:val="none"/>
                <w:u w:val="none"/>
                <w:lang w:eastAsia="zh-CN"/>
              </w:rPr>
              <w:t>56分18.561秒</w:t>
            </w:r>
            <w:r>
              <w:rPr>
                <w:rFonts w:hint="default" w:ascii="Times New Roman" w:hAnsi="Times New Roman" w:cs="Times New Roman"/>
                <w:szCs w:val="21"/>
                <w:highlight w:val="none"/>
              </w:rPr>
              <w:t>，</w:t>
            </w:r>
            <w:r>
              <w:rPr>
                <w:rFonts w:hint="default" w:ascii="Times New Roman" w:hAnsi="Times New Roman" w:cs="Times New Roman"/>
                <w:bCs/>
                <w:szCs w:val="21"/>
                <w:highlight w:val="none"/>
              </w:rPr>
              <w:t>不在生态保护红线区内。本项目</w:t>
            </w:r>
            <w:r>
              <w:rPr>
                <w:rFonts w:hint="default" w:ascii="Times New Roman" w:hAnsi="Times New Roman" w:cs="Times New Roman"/>
                <w:bCs/>
                <w:szCs w:val="21"/>
              </w:rPr>
              <w:t>的建设对该区域生物多样性影响很小，能够符合《山东省生态保护红线规划（2016—2020年）》相关要求。项目与生态红线的位置关系见</w:t>
            </w:r>
            <w:r>
              <w:rPr>
                <w:rFonts w:hint="default" w:ascii="Times New Roman" w:hAnsi="Times New Roman" w:cs="Times New Roman"/>
                <w:bCs/>
                <w:szCs w:val="21"/>
                <w:lang w:eastAsia="zh-CN"/>
              </w:rPr>
              <w:t>附</w:t>
            </w:r>
            <w:r>
              <w:rPr>
                <w:rFonts w:hint="default" w:ascii="Times New Roman" w:hAnsi="Times New Roman" w:cs="Times New Roman"/>
                <w:bCs/>
                <w:szCs w:val="21"/>
              </w:rPr>
              <w:t>图</w:t>
            </w:r>
            <w:r>
              <w:rPr>
                <w:rFonts w:hint="default" w:ascii="Times New Roman" w:hAnsi="Times New Roman" w:cs="Times New Roman"/>
                <w:bCs/>
                <w:szCs w:val="21"/>
                <w:lang w:val="en-US" w:eastAsia="zh-CN"/>
              </w:rPr>
              <w:t>4</w:t>
            </w:r>
            <w:r>
              <w:rPr>
                <w:rFonts w:hint="default" w:ascii="Times New Roman" w:hAnsi="Times New Roman" w:cs="Times New Roman"/>
                <w:bCs/>
                <w:szCs w:val="21"/>
              </w:rPr>
              <w:t>。</w:t>
            </w:r>
          </w:p>
          <w:p>
            <w:pPr>
              <w:autoSpaceDE w:val="0"/>
              <w:autoSpaceDN w:val="0"/>
              <w:adjustRightInd w:val="0"/>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2、资源利用上线</w:t>
            </w:r>
          </w:p>
          <w:p>
            <w:pPr>
              <w:autoSpaceDE w:val="0"/>
              <w:autoSpaceDN w:val="0"/>
              <w:adjustRightInd w:val="0"/>
              <w:spacing w:line="420" w:lineRule="exact"/>
              <w:ind w:firstLine="420" w:firstLineChars="200"/>
              <w:rPr>
                <w:rFonts w:hint="default" w:ascii="Times New Roman" w:hAnsi="Times New Roman" w:cs="Times New Roman"/>
                <w:bCs/>
                <w:szCs w:val="21"/>
                <w:lang w:val="en-US"/>
              </w:rPr>
            </w:pPr>
            <w:r>
              <w:rPr>
                <w:rFonts w:hint="default" w:ascii="Times New Roman" w:hAnsi="Times New Roman" w:cs="Times New Roman"/>
                <w:bCs/>
                <w:szCs w:val="21"/>
              </w:rPr>
              <w:t>自然资源利用上线也称资源利用红线。资源利用上限是指为促进资源能源节约，保障能源、水、土地等资源安全利用和高效利用的最高和最低要求。</w:t>
            </w:r>
            <w:r>
              <w:rPr>
                <w:bCs/>
                <w:color w:val="auto"/>
                <w:szCs w:val="21"/>
                <w:highlight w:val="none"/>
              </w:rPr>
              <w:t>本项目</w:t>
            </w:r>
            <w:r>
              <w:rPr>
                <w:rFonts w:hint="eastAsia"/>
                <w:bCs/>
                <w:color w:val="auto"/>
                <w:szCs w:val="21"/>
                <w:highlight w:val="none"/>
                <w:lang w:val="en-US" w:eastAsia="zh-CN"/>
              </w:rPr>
              <w:t>总投资3000万元，</w:t>
            </w:r>
            <w:r>
              <w:rPr>
                <w:bCs/>
                <w:color w:val="auto"/>
                <w:szCs w:val="21"/>
                <w:highlight w:val="none"/>
              </w:rPr>
              <w:t>运营过程中</w:t>
            </w:r>
            <w:r>
              <w:rPr>
                <w:rFonts w:hint="eastAsia"/>
                <w:bCs/>
                <w:color w:val="auto"/>
                <w:szCs w:val="21"/>
                <w:highlight w:val="none"/>
                <w:lang w:eastAsia="zh-CN"/>
              </w:rPr>
              <w:t>使用</w:t>
            </w:r>
            <w:r>
              <w:rPr>
                <w:bCs/>
                <w:color w:val="auto"/>
                <w:szCs w:val="21"/>
                <w:highlight w:val="none"/>
              </w:rPr>
              <w:t>电力</w:t>
            </w:r>
            <w:r>
              <w:rPr>
                <w:rFonts w:hint="eastAsia"/>
                <w:bCs/>
                <w:color w:val="auto"/>
                <w:szCs w:val="21"/>
                <w:highlight w:val="none"/>
                <w:lang w:val="en-US" w:eastAsia="zh-CN"/>
              </w:rPr>
              <w:t>40</w:t>
            </w:r>
            <w:r>
              <w:rPr>
                <w:bCs/>
                <w:color w:val="auto"/>
                <w:szCs w:val="21"/>
                <w:highlight w:val="none"/>
              </w:rPr>
              <w:t>万kWh/a，</w:t>
            </w:r>
            <w:r>
              <w:rPr>
                <w:rFonts w:hint="eastAsia"/>
                <w:bCs/>
                <w:color w:val="auto"/>
                <w:szCs w:val="21"/>
                <w:highlight w:val="none"/>
                <w:lang w:eastAsia="zh-CN"/>
              </w:rPr>
              <w:t>不</w:t>
            </w:r>
            <w:r>
              <w:rPr>
                <w:color w:val="auto"/>
                <w:highlight w:val="none"/>
              </w:rPr>
              <w:t>消耗水资源，</w:t>
            </w:r>
            <w:r>
              <w:rPr>
                <w:rFonts w:hint="eastAsia"/>
                <w:color w:val="auto"/>
                <w:highlight w:val="none"/>
                <w:lang w:val="en-US" w:eastAsia="zh-CN"/>
              </w:rPr>
              <w:t>万元工业增加值综合能耗为0.016tce/万元，</w:t>
            </w:r>
            <w:r>
              <w:rPr>
                <w:color w:val="auto"/>
                <w:highlight w:val="none"/>
              </w:rPr>
              <w:t>不使用煤炭等能源</w:t>
            </w:r>
            <w:r>
              <w:rPr>
                <w:bCs/>
                <w:color w:val="auto"/>
                <w:szCs w:val="21"/>
                <w:highlight w:val="none"/>
              </w:rPr>
              <w:t>。本项目相对区域资源利用总量较少，符合资源利用上限要求</w:t>
            </w:r>
            <w:r>
              <w:rPr>
                <w:rFonts w:hint="eastAsia"/>
                <w:bCs/>
                <w:color w:val="auto"/>
                <w:szCs w:val="21"/>
                <w:highlight w:val="none"/>
                <w:lang w:eastAsia="zh-CN"/>
              </w:rPr>
              <w:t>（</w:t>
            </w:r>
            <w:r>
              <w:rPr>
                <w:rFonts w:hint="eastAsia"/>
                <w:color w:val="auto"/>
                <w:highlight w:val="none"/>
              </w:rPr>
              <w:t>万元工业增加值新鲜水耗</w:t>
            </w:r>
            <w:r>
              <w:rPr>
                <w:rFonts w:hint="default" w:ascii="Times New Roman" w:hAnsi="Times New Roman" w:cs="Times New Roman"/>
                <w:color w:val="auto"/>
                <w:highlight w:val="none"/>
                <w:lang w:val="en-US" w:eastAsia="zh-CN"/>
              </w:rPr>
              <w:t>为≤8m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，万元工业增加值综合能耗为≤0.5tce/万元</w:t>
            </w:r>
            <w:r>
              <w:rPr>
                <w:rFonts w:hint="default"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w:t>
            </w:r>
          </w:p>
          <w:p>
            <w:pPr>
              <w:autoSpaceDE w:val="0"/>
              <w:autoSpaceDN w:val="0"/>
              <w:adjustRightInd w:val="0"/>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3、环境质量底线</w:t>
            </w:r>
          </w:p>
          <w:p>
            <w:pPr>
              <w:autoSpaceDE w:val="0"/>
              <w:autoSpaceDN w:val="0"/>
              <w:adjustRightInd w:val="0"/>
              <w:spacing w:line="360" w:lineRule="auto"/>
              <w:ind w:firstLine="420" w:firstLineChars="200"/>
              <w:rPr>
                <w:kern w:val="0"/>
                <w:szCs w:val="21"/>
                <w:highlight w:val="none"/>
                <w:lang w:val="zh-CN"/>
              </w:rPr>
            </w:pPr>
            <w:r>
              <w:rPr>
                <w:rFonts w:hint="default" w:ascii="Times New Roman" w:hAnsi="Times New Roman" w:cs="Times New Roman"/>
                <w:kern w:val="0"/>
                <w:szCs w:val="21"/>
              </w:rPr>
              <w:t>本项目所在区域大气环境质量不满足《环境空气质量标准》(GB3095-2012)及修改单二级标准，</w:t>
            </w:r>
            <w:r>
              <w:rPr>
                <w:kern w:val="0"/>
                <w:szCs w:val="21"/>
              </w:rPr>
              <w:t>淄博市及淄川区已采取相关措施，该区域大气环境质量已日趋改善，项目废气进行达标排放，并将通过区域倍量替代，减少区域污染物排放，有利于区域环境改善；本项目所在区域孝妇河执行《地表水环境质量标准》（GB3838-2002）Ⅴ类水质标准，</w:t>
            </w:r>
            <w:r>
              <w:t>根据《202</w:t>
            </w:r>
            <w:r>
              <w:rPr>
                <w:rFonts w:hint="eastAsia"/>
                <w:lang w:val="en-US" w:eastAsia="zh-CN"/>
              </w:rPr>
              <w:t>1</w:t>
            </w:r>
            <w:r>
              <w:t>年12月份及全年环境质量情况通报》（生态淄博建设工作简报202</w:t>
            </w:r>
            <w:r>
              <w:rPr>
                <w:rFonts w:hint="eastAsia"/>
                <w:lang w:val="en-US" w:eastAsia="zh-CN"/>
              </w:rPr>
              <w:t>2</w:t>
            </w:r>
            <w:r>
              <w:t>年第1期）</w:t>
            </w:r>
            <w:r>
              <w:rPr>
                <w:highlight w:val="none"/>
              </w:rPr>
              <w:t>，2021年仅有临淄区乌河东沙断面氨氮超标，不能满足IV类水质要求，其余断面均全部达到年度目标要求，</w:t>
            </w:r>
            <w:r>
              <w:rPr>
                <w:rFonts w:hint="eastAsia"/>
                <w:highlight w:val="none"/>
              </w:rPr>
              <w:t>稳定</w:t>
            </w:r>
            <w:r>
              <w:rPr>
                <w:highlight w:val="none"/>
              </w:rPr>
              <w:t>达到IV类及以上。距离本项目最近的淄川区孝妇河南外环断面指数为6.3130，全部考核因子均满足III类水质指标，水质符合《地表水环境质量标准》（GB3838-2002）V类水质要求</w:t>
            </w:r>
            <w:r>
              <w:rPr>
                <w:rFonts w:hint="eastAsia"/>
                <w:highlight w:val="none"/>
                <w:lang w:eastAsia="zh-CN"/>
              </w:rPr>
              <w:t>，</w:t>
            </w:r>
            <w:r>
              <w:rPr>
                <w:kern w:val="0"/>
                <w:szCs w:val="21"/>
                <w:highlight w:val="none"/>
                <w:lang w:val="zh-CN"/>
              </w:rPr>
              <w:t>项目所在地地表水水质较好</w:t>
            </w:r>
            <w:r>
              <w:rPr>
                <w:rFonts w:hint="eastAsia" w:ascii="宋体" w:hAnsi="宋体" w:eastAsia="宋体" w:cs="宋体"/>
                <w:kern w:val="0"/>
                <w:sz w:val="21"/>
                <w:szCs w:val="21"/>
                <w:highlight w:val="none"/>
                <w:lang w:val="zh-CN"/>
              </w:rPr>
              <w:t>；</w:t>
            </w:r>
            <w:r>
              <w:rPr>
                <w:rFonts w:hint="eastAsia" w:ascii="宋体" w:hAnsi="宋体" w:eastAsia="宋体" w:cs="宋体"/>
                <w:sz w:val="21"/>
                <w:szCs w:val="21"/>
                <w:highlight w:val="none"/>
                <w:lang w:eastAsia="zh-CN"/>
              </w:rPr>
              <w:t>根据淄博市生态环境局</w:t>
            </w:r>
            <w:r>
              <w:rPr>
                <w:rFonts w:hint="eastAsia" w:ascii="宋体" w:hAnsi="宋体" w:cs="宋体"/>
                <w:sz w:val="21"/>
                <w:szCs w:val="21"/>
                <w:highlight w:val="none"/>
                <w:lang w:eastAsia="zh-CN"/>
              </w:rPr>
              <w:t>公布的《</w:t>
            </w:r>
            <w:r>
              <w:rPr>
                <w:rFonts w:hint="eastAsia" w:ascii="宋体" w:hAnsi="宋体" w:eastAsia="宋体" w:cs="宋体"/>
                <w:sz w:val="21"/>
                <w:szCs w:val="21"/>
                <w:highlight w:val="none"/>
                <w:lang w:eastAsia="zh-CN"/>
              </w:rPr>
              <w:t>淄博市2022年</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lang w:eastAsia="zh-CN"/>
              </w:rPr>
              <w:t>月集中式生活饮用水水源水质状况报告</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2022年7月份</w:t>
            </w:r>
            <w:r>
              <w:rPr>
                <w:rFonts w:hint="eastAsia" w:ascii="宋体" w:hAnsi="宋体" w:eastAsia="宋体" w:cs="宋体"/>
                <w:i w:val="0"/>
                <w:iCs w:val="0"/>
                <w:caps w:val="0"/>
                <w:color w:val="000000"/>
                <w:spacing w:val="0"/>
                <w:sz w:val="21"/>
                <w:szCs w:val="21"/>
                <w:highlight w:val="none"/>
              </w:rPr>
              <w:t>监测的11个集中式饮用水水源常规监测项目全部达标，达标率为100%。其中，9个地下水水源常规监测指标达到或优于《地下水质量标准》Ⅲ类标准。</w:t>
            </w:r>
            <w:r>
              <w:rPr>
                <w:kern w:val="0"/>
                <w:szCs w:val="21"/>
                <w:highlight w:val="none"/>
                <w:lang w:val="zh-CN"/>
              </w:rPr>
              <w:t>因此说明项目周边地下水水质情况较好。</w:t>
            </w:r>
          </w:p>
          <w:p>
            <w:pPr>
              <w:autoSpaceDE w:val="0"/>
              <w:autoSpaceDN w:val="0"/>
              <w:adjustRightInd w:val="0"/>
              <w:spacing w:line="360" w:lineRule="auto"/>
              <w:ind w:firstLine="420" w:firstLineChars="200"/>
              <w:rPr>
                <w:rFonts w:hint="default" w:ascii="Times New Roman" w:hAnsi="Times New Roman" w:cs="Times New Roman"/>
                <w:kern w:val="0"/>
                <w:szCs w:val="21"/>
                <w:lang w:val="zh-CN"/>
              </w:rPr>
            </w:pPr>
            <w:r>
              <w:rPr>
                <w:rFonts w:hint="default" w:ascii="Times New Roman" w:hAnsi="Times New Roman" w:eastAsia="宋体" w:cs="Times New Roman"/>
                <w:kern w:val="0"/>
                <w:szCs w:val="21"/>
                <w:lang w:val="zh-CN"/>
              </w:rPr>
              <w:t>本项目</w:t>
            </w:r>
            <w:r>
              <w:rPr>
                <w:rFonts w:hint="eastAsia" w:ascii="Times New Roman" w:hAnsi="Times New Roman" w:eastAsia="宋体" w:cs="Times New Roman"/>
                <w:kern w:val="0"/>
                <w:szCs w:val="21"/>
                <w:lang w:val="zh-CN" w:eastAsia="zh-CN"/>
              </w:rPr>
              <w:t>职工生活污水经化粪池处理后</w:t>
            </w:r>
            <w:r>
              <w:rPr>
                <w:rFonts w:hint="eastAsia" w:ascii="Times New Roman" w:hAnsi="Times New Roman" w:eastAsia="宋体" w:cs="Times New Roman"/>
                <w:kern w:val="0"/>
                <w:szCs w:val="21"/>
                <w:lang w:val="en-US" w:eastAsia="zh-CN"/>
              </w:rPr>
              <w:t>排入市政污水管网，最终进入淄博市利民净化水有限公司处理。</w:t>
            </w:r>
            <w:r>
              <w:rPr>
                <w:rFonts w:hint="default" w:ascii="Times New Roman" w:hAnsi="Times New Roman" w:cs="Times New Roman"/>
                <w:kern w:val="0"/>
                <w:szCs w:val="21"/>
                <w:lang w:val="zh-CN"/>
              </w:rPr>
              <w:t>项目各工序废气收集后引入废气处理装置处理后达标排放；项目固体废物均得到合理处置，去向明确。根据</w:t>
            </w:r>
            <w:r>
              <w:rPr>
                <w:rFonts w:hint="eastAsia" w:cs="Times New Roman"/>
                <w:kern w:val="0"/>
                <w:szCs w:val="21"/>
                <w:lang w:val="zh-CN"/>
              </w:rPr>
              <w:t>主要环境影响和保护措施</w:t>
            </w:r>
            <w:r>
              <w:rPr>
                <w:rFonts w:hint="default" w:ascii="Times New Roman" w:hAnsi="Times New Roman" w:cs="Times New Roman"/>
                <w:kern w:val="0"/>
                <w:szCs w:val="21"/>
                <w:lang w:val="zh-CN"/>
              </w:rPr>
              <w:t>结论，项目建成后只要能按照本环评要求落实“三废”治理措施，则项目运营期污染物排放能达到国家相关排放标准要求，项目的实施对区域环境质量目标影响较小，不会影响区域环境质量目标的实现。本项目投产后符合环境质量底线的要求。</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4、生态环境准入清单</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生态环境准入清单：生态环境准入清单是指基于生态保护红线、环境质量底线和资源利用上线，以清单方式列出禁止、限制等差别化环境准入条件和要求。</w:t>
            </w:r>
            <w:r>
              <w:rPr>
                <w:rFonts w:hint="default" w:ascii="Times New Roman" w:hAnsi="Times New Roman" w:cs="Times New Roman"/>
                <w:kern w:val="0"/>
                <w:szCs w:val="21"/>
                <w:lang w:val="zh-CN"/>
              </w:rPr>
              <w:t>根据“淄博市生态环境委员会办公室关于印发《淄博市“三线一单”生态环境准入清单》的通知”（淄环委办</w:t>
            </w:r>
            <w:r>
              <w:rPr>
                <w:rFonts w:hint="default" w:ascii="Times New Roman" w:hAnsi="Times New Roman" w:cs="Times New Roman"/>
                <w:kern w:val="0"/>
                <w:szCs w:val="21"/>
              </w:rPr>
              <w:t>[</w:t>
            </w:r>
            <w:r>
              <w:rPr>
                <w:rFonts w:hint="default" w:ascii="Times New Roman" w:hAnsi="Times New Roman" w:cs="Times New Roman"/>
                <w:kern w:val="0"/>
                <w:szCs w:val="21"/>
                <w:lang w:val="zh-CN"/>
              </w:rPr>
              <w:t>2021</w:t>
            </w:r>
            <w:r>
              <w:rPr>
                <w:rFonts w:hint="default" w:ascii="Times New Roman" w:hAnsi="Times New Roman" w:cs="Times New Roman"/>
                <w:kern w:val="0"/>
                <w:szCs w:val="21"/>
              </w:rPr>
              <w:t>]</w:t>
            </w:r>
            <w:r>
              <w:rPr>
                <w:rFonts w:hint="default" w:ascii="Times New Roman" w:hAnsi="Times New Roman" w:cs="Times New Roman"/>
                <w:kern w:val="0"/>
                <w:szCs w:val="21"/>
                <w:lang w:val="zh-CN"/>
              </w:rPr>
              <w:t>24号）和《淄博市人民政府关于印发淄博市“三线一单”生态环境分区管控方案的通知》（淄证字</w:t>
            </w:r>
            <w:r>
              <w:rPr>
                <w:rFonts w:hint="default" w:ascii="Times New Roman" w:hAnsi="Times New Roman" w:cs="Times New Roman"/>
                <w:kern w:val="0"/>
                <w:szCs w:val="21"/>
              </w:rPr>
              <w:t>[</w:t>
            </w:r>
            <w:r>
              <w:rPr>
                <w:rFonts w:hint="default" w:ascii="Times New Roman" w:hAnsi="Times New Roman" w:cs="Times New Roman"/>
                <w:kern w:val="0"/>
                <w:szCs w:val="21"/>
                <w:lang w:val="zh-CN"/>
              </w:rPr>
              <w:t>2021</w:t>
            </w:r>
            <w:r>
              <w:rPr>
                <w:rFonts w:hint="default" w:ascii="Times New Roman" w:hAnsi="Times New Roman" w:cs="Times New Roman"/>
                <w:kern w:val="0"/>
                <w:szCs w:val="21"/>
              </w:rPr>
              <w:t>]49</w:t>
            </w:r>
            <w:r>
              <w:rPr>
                <w:rFonts w:hint="default" w:ascii="Times New Roman" w:hAnsi="Times New Roman" w:cs="Times New Roman"/>
                <w:kern w:val="0"/>
                <w:szCs w:val="21"/>
                <w:lang w:val="zh-CN"/>
              </w:rPr>
              <w:t>号），本项目位于淄川经济开发区，属于淄博市淄川区钟楼街道，管控单元编码ZH37030230002，为一般管控单元，单元面积</w:t>
            </w:r>
            <w:r>
              <w:rPr>
                <w:rFonts w:hint="default" w:ascii="Times New Roman" w:hAnsi="Times New Roman" w:cs="Times New Roman"/>
                <w:kern w:val="0"/>
                <w:szCs w:val="21"/>
              </w:rPr>
              <w:t>45.44km</w:t>
            </w:r>
            <w:r>
              <w:rPr>
                <w:rFonts w:hint="default" w:ascii="Times New Roman" w:hAnsi="Times New Roman" w:cs="Times New Roman"/>
                <w:kern w:val="0"/>
                <w:szCs w:val="21"/>
                <w:vertAlign w:val="superscript"/>
              </w:rPr>
              <w:t>2</w:t>
            </w:r>
            <w:r>
              <w:rPr>
                <w:rFonts w:hint="default" w:ascii="Times New Roman" w:hAnsi="Times New Roman" w:cs="Times New Roman"/>
                <w:kern w:val="0"/>
                <w:szCs w:val="21"/>
              </w:rPr>
              <w:t>。本项目与该</w:t>
            </w:r>
            <w:r>
              <w:rPr>
                <w:rFonts w:hint="default" w:ascii="Times New Roman" w:hAnsi="Times New Roman" w:cs="Times New Roman"/>
                <w:kern w:val="0"/>
                <w:szCs w:val="21"/>
                <w:lang w:val="zh-CN"/>
              </w:rPr>
              <w:t>管控区生态环境准入要求的复符合性分析结果见表</w:t>
            </w:r>
            <w:r>
              <w:rPr>
                <w:rFonts w:hint="default" w:ascii="Times New Roman" w:hAnsi="Times New Roman" w:cs="Times New Roman"/>
              </w:rPr>
              <w:t>1-3，与</w:t>
            </w:r>
            <w:r>
              <w:rPr>
                <w:rFonts w:hint="default" w:ascii="Times New Roman" w:hAnsi="Times New Roman" w:cs="Times New Roman"/>
                <w:lang w:val="zh-CN"/>
              </w:rPr>
              <w:t>《山东淄川经济开发区环境影响跟踪评价报告书》给出的淄川经济开发区入区行业控制级别</w:t>
            </w:r>
            <w:r>
              <w:rPr>
                <w:rFonts w:hint="default" w:ascii="Times New Roman" w:hAnsi="Times New Roman" w:cs="Times New Roman"/>
              </w:rPr>
              <w:t>及行业准入负面清单的符合性分析结果见表1-4和1-5。</w:t>
            </w:r>
          </w:p>
          <w:p>
            <w:pPr>
              <w:pStyle w:val="2"/>
              <w:ind w:left="31680" w:firstLine="0" w:firstLineChars="0"/>
              <w:rPr>
                <w:rFonts w:hint="default" w:ascii="Times New Roman" w:hAnsi="Times New Roman" w:eastAsia="黑体" w:cs="Times New Roman"/>
              </w:rPr>
            </w:pPr>
            <w:r>
              <w:rPr>
                <w:rFonts w:hint="default" w:ascii="Times New Roman" w:hAnsi="Times New Roman" w:eastAsia="黑体" w:cs="Times New Roman"/>
                <w:b/>
                <w:bCs/>
                <w:szCs w:val="21"/>
                <w:lang w:val="zh-CN"/>
              </w:rPr>
              <w:t>表1-</w:t>
            </w:r>
            <w:r>
              <w:rPr>
                <w:rFonts w:hint="default" w:ascii="Times New Roman" w:hAnsi="Times New Roman" w:eastAsia="黑体" w:cs="Times New Roman"/>
                <w:b/>
                <w:bCs/>
                <w:szCs w:val="21"/>
              </w:rPr>
              <w:t xml:space="preserve">3 </w:t>
            </w:r>
            <w:r>
              <w:rPr>
                <w:rFonts w:hint="default" w:ascii="Times New Roman" w:hAnsi="Times New Roman" w:eastAsia="黑体" w:cs="Times New Roman"/>
                <w:b/>
                <w:bCs/>
                <w:szCs w:val="21"/>
                <w:lang w:val="zh-CN"/>
              </w:rPr>
              <w:t>本项目与淄博市“三线一单”生态环境准入清单符合性分析</w:t>
            </w:r>
          </w:p>
          <w:tbl>
            <w:tblPr>
              <w:tblStyle w:val="8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47"/>
              <w:gridCol w:w="370"/>
              <w:gridCol w:w="3276"/>
              <w:gridCol w:w="2897"/>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0" w:hRule="atLeast"/>
                <w:jc w:val="center"/>
              </w:trPr>
              <w:tc>
                <w:tcPr>
                  <w:tcW w:w="233" w:type="pc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管控单元</w:t>
                  </w:r>
                </w:p>
              </w:tc>
              <w:tc>
                <w:tcPr>
                  <w:tcW w:w="2457"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管控要求</w:t>
                  </w:r>
                </w:p>
              </w:tc>
              <w:tc>
                <w:tcPr>
                  <w:tcW w:w="195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符合性分析</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符</w:t>
                  </w:r>
                </w:p>
                <w:p>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合</w:t>
                  </w:r>
                </w:p>
                <w:p>
                  <w:pPr>
                    <w:jc w:val="center"/>
                    <w:rPr>
                      <w:rFonts w:hint="default" w:ascii="Times New Roman" w:hAnsi="Times New Roman" w:cs="Times New Roman"/>
                      <w:b/>
                      <w:bCs/>
                      <w:sz w:val="18"/>
                      <w:szCs w:val="18"/>
                      <w:lang w:val="zh-CN"/>
                    </w:rPr>
                  </w:pPr>
                  <w:r>
                    <w:rPr>
                      <w:rFonts w:hint="default" w:ascii="Times New Roman" w:hAnsi="Times New Roman" w:cs="Times New Roman"/>
                      <w:b/>
                      <w:bCs/>
                      <w:sz w:val="18"/>
                      <w:szCs w:val="18"/>
                      <w:lang w:val="zh-CN"/>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09" w:hRule="atLeast"/>
                <w:jc w:val="center"/>
              </w:trPr>
              <w:tc>
                <w:tcPr>
                  <w:tcW w:w="23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钟楼街道</w:t>
                  </w:r>
                </w:p>
              </w:tc>
              <w:tc>
                <w:tcPr>
                  <w:tcW w:w="24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空间布局约束</w:t>
                  </w:r>
                </w:p>
              </w:tc>
              <w:tc>
                <w:tcPr>
                  <w:tcW w:w="2207" w:type="pct"/>
                  <w:tcBorders>
                    <w:top w:val="single" w:color="auto" w:sz="4" w:space="0"/>
                    <w:left w:val="single" w:color="auto" w:sz="4" w:space="0"/>
                    <w:bottom w:val="single" w:color="auto" w:sz="4" w:space="0"/>
                    <w:right w:val="single" w:color="auto" w:sz="4" w:space="0"/>
                  </w:tcBorders>
                  <w:vAlign w:val="center"/>
                </w:tcPr>
                <w:p>
                  <w:pPr>
                    <w:widowControl/>
                    <w:snapToGrid w:val="0"/>
                    <w:textAlignment w:val="center"/>
                    <w:rPr>
                      <w:rFonts w:hint="default" w:ascii="Times New Roman" w:hAnsi="Times New Roman" w:cs="Times New Roman"/>
                      <w:sz w:val="18"/>
                      <w:szCs w:val="18"/>
                      <w:lang w:val="zh-CN"/>
                    </w:rPr>
                  </w:pPr>
                  <w:r>
                    <w:rPr>
                      <w:rFonts w:hint="default" w:ascii="Times New Roman" w:hAnsi="Times New Roman" w:cs="Times New Roman"/>
                      <w:kern w:val="0"/>
                      <w:sz w:val="18"/>
                      <w:szCs w:val="18"/>
                    </w:rPr>
                    <w:t>1.禁止新建、扩建《产业结构调整指导目录》（现行）明确的淘汰类项目和引入《市场准入负面清单》（现行）禁止准入类事项；鼓励对列入《产业结构调整指导目录》的限制类、淘汰类工业项目进行淘汰和提升改造</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highlight w:val="none"/>
                      <w:lang w:val="zh-CN"/>
                    </w:rPr>
                    <w:t>项目产品为</w:t>
                  </w:r>
                  <w:r>
                    <w:rPr>
                      <w:rFonts w:hint="eastAsia" w:cs="Times New Roman"/>
                      <w:sz w:val="18"/>
                      <w:szCs w:val="18"/>
                      <w:highlight w:val="none"/>
                      <w:lang w:val="zh-CN"/>
                    </w:rPr>
                    <w:t>涤纶排管、电源连接线</w:t>
                  </w:r>
                  <w:r>
                    <w:rPr>
                      <w:rFonts w:hint="default" w:ascii="Times New Roman" w:hAnsi="Times New Roman" w:cs="Times New Roman"/>
                      <w:sz w:val="18"/>
                      <w:szCs w:val="18"/>
                      <w:highlight w:val="none"/>
                      <w:lang w:val="zh-CN"/>
                    </w:rPr>
                    <w:t>，不属于</w:t>
                  </w:r>
                  <w:r>
                    <w:rPr>
                      <w:rFonts w:hint="default" w:ascii="Times New Roman" w:hAnsi="Times New Roman" w:cs="Times New Roman"/>
                      <w:kern w:val="0"/>
                      <w:sz w:val="18"/>
                      <w:szCs w:val="18"/>
                      <w:highlight w:val="none"/>
                    </w:rPr>
                    <w:t>《产业结构调整指导目录》（2019年本）“鼓励类”、“限制类”和“淘汰类”项目，可视为属于“允许类”建设项目</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widowControl/>
                    <w:snapToGrid w:val="0"/>
                    <w:textAlignment w:val="center"/>
                    <w:rPr>
                      <w:rFonts w:hint="default" w:ascii="Times New Roman" w:hAnsi="Times New Roman" w:cs="Times New Roman"/>
                      <w:sz w:val="18"/>
                      <w:szCs w:val="18"/>
                      <w:lang w:val="zh-CN"/>
                    </w:rPr>
                  </w:pPr>
                  <w:r>
                    <w:rPr>
                      <w:rFonts w:hint="default" w:ascii="Times New Roman" w:hAnsi="Times New Roman" w:cs="Times New Roman"/>
                      <w:kern w:val="0"/>
                      <w:sz w:val="18"/>
                      <w:szCs w:val="18"/>
                    </w:rPr>
                    <w:t>2.按《土壤污染防治行动计划》的要求管理：严格控制在优先保护类耕地集中区域新建有色金属冶炼、石油加工、化工、焦化、电镀、制革等行业企业。对永久基本农田实行严格保护，确保其面积不减少、土壤环境质量不下降，除法律规定的重点建设项目选址确实无法避让外，其他任何建设不得占用</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项目选址位于淄川经济开发区内，属于</w:t>
                  </w:r>
                  <w:r>
                    <w:rPr>
                      <w:rFonts w:hint="eastAsia" w:ascii="Times New Roman" w:cs="Times New Roman"/>
                      <w:sz w:val="18"/>
                      <w:szCs w:val="18"/>
                      <w:lang w:eastAsia="zh-CN"/>
                    </w:rPr>
                    <w:t>纺织业、塑料制品业</w:t>
                  </w:r>
                  <w:r>
                    <w:rPr>
                      <w:rFonts w:hint="default" w:ascii="Times New Roman" w:hAnsi="Times New Roman" w:cs="Times New Roman"/>
                      <w:sz w:val="18"/>
                      <w:szCs w:val="18"/>
                      <w:lang w:val="zh-CN"/>
                    </w:rPr>
                    <w:t>，不属于上述工业企业</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3.污水处理设施不健全、未正常运行或污水管网未覆盖的地区，未配套污水处理设施的项目不得建设</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highlight w:val="none"/>
                      <w:lang w:val="zh-CN"/>
                    </w:rPr>
                    <w:t>本项目</w:t>
                  </w:r>
                  <w:r>
                    <w:rPr>
                      <w:rFonts w:hint="eastAsia" w:cs="Times New Roman"/>
                      <w:sz w:val="18"/>
                      <w:szCs w:val="18"/>
                      <w:highlight w:val="none"/>
                      <w:lang w:val="zh-CN"/>
                    </w:rPr>
                    <w:t>生产过程无废水产生，职工生活污水经化粪池预处理后</w:t>
                  </w:r>
                  <w:r>
                    <w:rPr>
                      <w:rFonts w:hint="eastAsia" w:ascii="Times New Roman" w:hAnsi="Times New Roman" w:eastAsia="宋体" w:cs="Times New Roman"/>
                      <w:sz w:val="18"/>
                      <w:szCs w:val="18"/>
                      <w:highlight w:val="none"/>
                      <w:lang w:val="zh-CN"/>
                    </w:rPr>
                    <w:t>，</w:t>
                  </w:r>
                  <w:r>
                    <w:rPr>
                      <w:rFonts w:hint="eastAsia" w:ascii="Times New Roman" w:hAnsi="Times New Roman" w:eastAsia="宋体" w:cs="Times New Roman"/>
                      <w:sz w:val="18"/>
                      <w:szCs w:val="18"/>
                      <w:highlight w:val="none"/>
                      <w:lang w:val="en-US" w:eastAsia="zh-CN"/>
                    </w:rPr>
                    <w:t>排入市政污水管网，最终进入淄博市利民净化水有限公司处理</w:t>
                  </w:r>
                  <w:r>
                    <w:rPr>
                      <w:rFonts w:hint="default" w:ascii="Times New Roman" w:hAnsi="Times New Roman" w:cs="Times New Roman"/>
                      <w:sz w:val="18"/>
                      <w:szCs w:val="18"/>
                      <w:highlight w:val="none"/>
                      <w:lang w:val="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污染物排放管控</w:t>
                  </w: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1.严格控制“两高”项目，确需建设的需严格执行产能、煤耗、能耗、碳排放、污染物排放减量替代制度</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项目属于</w:t>
                  </w:r>
                  <w:r>
                    <w:rPr>
                      <w:rFonts w:hint="eastAsia" w:ascii="Times New Roman" w:cs="Times New Roman"/>
                      <w:sz w:val="18"/>
                      <w:szCs w:val="18"/>
                      <w:lang w:eastAsia="zh-CN"/>
                    </w:rPr>
                    <w:t>纺织业、塑料制品业</w:t>
                  </w:r>
                  <w:r>
                    <w:rPr>
                      <w:rFonts w:hint="default" w:ascii="Times New Roman" w:hAnsi="Times New Roman" w:cs="Times New Roman"/>
                      <w:sz w:val="18"/>
                      <w:szCs w:val="18"/>
                      <w:lang w:val="zh-CN"/>
                    </w:rPr>
                    <w:t>，根据</w:t>
                  </w:r>
                  <w:r>
                    <w:rPr>
                      <w:rFonts w:hint="default" w:ascii="Times New Roman" w:hAnsi="Times New Roman" w:cs="Times New Roman"/>
                      <w:bCs/>
                      <w:sz w:val="18"/>
                      <w:szCs w:val="18"/>
                    </w:rPr>
                    <w:t>《关于“两高”项目管理有关事项的通知》（鲁发改工业[2022]255号）及其中《山东省“两高”项目管理目录（202</w:t>
                  </w:r>
                  <w:r>
                    <w:rPr>
                      <w:rFonts w:hint="eastAsia" w:cs="Times New Roman"/>
                      <w:bCs/>
                      <w:sz w:val="18"/>
                      <w:szCs w:val="18"/>
                      <w:lang w:val="en-US" w:eastAsia="zh-CN"/>
                    </w:rPr>
                    <w:t>3</w:t>
                  </w:r>
                  <w:r>
                    <w:rPr>
                      <w:rFonts w:hint="default" w:ascii="Times New Roman" w:hAnsi="Times New Roman" w:cs="Times New Roman"/>
                      <w:bCs/>
                      <w:sz w:val="18"/>
                      <w:szCs w:val="18"/>
                    </w:rPr>
                    <w:t>年版）》</w:t>
                  </w:r>
                  <w:r>
                    <w:rPr>
                      <w:rFonts w:hint="default" w:ascii="Times New Roman" w:hAnsi="Times New Roman" w:cs="Times New Roman"/>
                      <w:sz w:val="18"/>
                      <w:szCs w:val="18"/>
                      <w:lang w:val="zh-CN"/>
                    </w:rPr>
                    <w:t>，本项目不属于</w:t>
                  </w:r>
                  <w:r>
                    <w:rPr>
                      <w:rFonts w:hint="default" w:ascii="Times New Roman" w:hAnsi="Times New Roman" w:cs="Times New Roman"/>
                      <w:kern w:val="0"/>
                      <w:sz w:val="18"/>
                      <w:szCs w:val="18"/>
                    </w:rPr>
                    <w:t>“两高”项目</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2.落实主要污染物总量控制和排污许可制度。新（改、扩）建工业项目生产工艺应达到国内先进水平，主要污染物治理要达到国内同行业先进水平，实施主要污染物总量等量或倍量替代</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sz w:val="18"/>
                      <w:szCs w:val="18"/>
                      <w:lang w:val="en-US" w:eastAsia="zh-CN"/>
                    </w:rPr>
                  </w:pPr>
                  <w:r>
                    <w:rPr>
                      <w:rFonts w:hint="default" w:ascii="Times New Roman" w:hAnsi="Times New Roman" w:cs="Times New Roman"/>
                      <w:color w:val="auto"/>
                      <w:sz w:val="18"/>
                      <w:szCs w:val="18"/>
                      <w:lang w:val="zh-CN"/>
                    </w:rPr>
                    <w:t>本项目在办理环评手续过程中同时申请总量指标，在竣工验收、开始实质性排污之前须</w:t>
                  </w:r>
                  <w:r>
                    <w:rPr>
                      <w:rFonts w:hint="eastAsia" w:cs="Times New Roman"/>
                      <w:color w:val="auto"/>
                      <w:sz w:val="18"/>
                      <w:szCs w:val="18"/>
                      <w:lang w:val="zh-CN"/>
                    </w:rPr>
                    <w:t>重新申请</w:t>
                  </w:r>
                  <w:r>
                    <w:rPr>
                      <w:rFonts w:hint="default" w:ascii="Times New Roman" w:hAnsi="Times New Roman" w:cs="Times New Roman"/>
                      <w:color w:val="auto"/>
                      <w:sz w:val="18"/>
                      <w:szCs w:val="18"/>
                      <w:lang w:val="zh-CN"/>
                    </w:rPr>
                    <w:t>排污</w:t>
                  </w:r>
                  <w:r>
                    <w:rPr>
                      <w:rFonts w:hint="eastAsia" w:cs="Times New Roman"/>
                      <w:color w:val="auto"/>
                      <w:sz w:val="18"/>
                      <w:szCs w:val="18"/>
                      <w:lang w:val="zh-CN"/>
                    </w:rPr>
                    <w:t>登记</w:t>
                  </w:r>
                  <w:r>
                    <w:rPr>
                      <w:rFonts w:hint="default" w:ascii="Times New Roman" w:hAnsi="Times New Roman" w:cs="Times New Roman"/>
                      <w:color w:val="auto"/>
                      <w:sz w:val="18"/>
                      <w:szCs w:val="18"/>
                      <w:lang w:val="zh-CN"/>
                    </w:rPr>
                    <w:t>；本项目采用自动化控制程度较高生产线，</w:t>
                  </w:r>
                  <w:r>
                    <w:rPr>
                      <w:rFonts w:hint="default" w:ascii="Times New Roman" w:hAnsi="Times New Roman" w:cs="Times New Roman"/>
                      <w:color w:val="auto"/>
                      <w:sz w:val="18"/>
                      <w:szCs w:val="18"/>
                      <w:highlight w:val="none"/>
                      <w:lang w:val="zh-CN"/>
                    </w:rPr>
                    <w:t>主要污染物治理将达到国内同行业先进水平</w:t>
                  </w:r>
                  <w:r>
                    <w:rPr>
                      <w:rFonts w:hint="eastAsia" w:cs="Times New Roman"/>
                      <w:color w:val="auto"/>
                      <w:sz w:val="18"/>
                      <w:szCs w:val="18"/>
                      <w:highlight w:val="none"/>
                      <w:lang w:val="zh-CN"/>
                    </w:rPr>
                    <w:t>，项目不需申请污染物总量</w:t>
                  </w:r>
                  <w:r>
                    <w:rPr>
                      <w:rFonts w:hint="default" w:ascii="Times New Roman" w:hAnsi="Times New Roman" w:cs="Times New Roman"/>
                      <w:color w:val="auto"/>
                      <w:sz w:val="18"/>
                      <w:szCs w:val="18"/>
                      <w:highlight w:val="none"/>
                      <w:lang w:val="en-US"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3.废水应当按照分类收集、分质处理的要求进行预处理，达到行业排放标准或是综合排放标准后方可排放</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highlight w:val="none"/>
                      <w:lang w:val="zh-CN"/>
                    </w:rPr>
                  </w:pPr>
                  <w:r>
                    <w:rPr>
                      <w:rFonts w:hint="default" w:ascii="Times New Roman" w:hAnsi="Times New Roman" w:cs="Times New Roman"/>
                      <w:sz w:val="18"/>
                      <w:szCs w:val="18"/>
                      <w:highlight w:val="none"/>
                      <w:lang w:val="zh-CN"/>
                    </w:rPr>
                    <w:t>本项目</w:t>
                  </w:r>
                  <w:r>
                    <w:rPr>
                      <w:rFonts w:hint="eastAsia" w:cs="Times New Roman"/>
                      <w:sz w:val="18"/>
                      <w:szCs w:val="18"/>
                      <w:highlight w:val="none"/>
                      <w:lang w:val="zh-CN"/>
                    </w:rPr>
                    <w:t>生产过程无废水产生，职工生活污水经化粪池预处理后</w:t>
                  </w:r>
                  <w:r>
                    <w:rPr>
                      <w:rFonts w:hint="eastAsia" w:ascii="Times New Roman" w:hAnsi="Times New Roman" w:eastAsia="宋体" w:cs="Times New Roman"/>
                      <w:sz w:val="18"/>
                      <w:szCs w:val="18"/>
                      <w:highlight w:val="none"/>
                      <w:lang w:val="zh-CN"/>
                    </w:rPr>
                    <w:t>，</w:t>
                  </w:r>
                  <w:r>
                    <w:rPr>
                      <w:rFonts w:hint="eastAsia" w:ascii="Times New Roman" w:hAnsi="Times New Roman" w:eastAsia="宋体" w:cs="Times New Roman"/>
                      <w:sz w:val="18"/>
                      <w:szCs w:val="18"/>
                      <w:highlight w:val="none"/>
                      <w:lang w:val="en-US" w:eastAsia="zh-CN"/>
                    </w:rPr>
                    <w:t>排入市政污水管网，最终进入淄博市利民净化水有限公司处理</w:t>
                  </w:r>
                  <w:r>
                    <w:rPr>
                      <w:rFonts w:hint="default" w:ascii="Times New Roman" w:hAnsi="Times New Roman" w:cs="Times New Roman"/>
                      <w:sz w:val="18"/>
                      <w:szCs w:val="18"/>
                      <w:highlight w:val="none"/>
                      <w:lang w:val="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4" w:hRule="atLeast"/>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4.禁止工业废水和生活污水未经处理直排环境；原则上除工业污水集中处理设施、城镇污水处理厂外不得新建入河排污口</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highlight w:val="none"/>
                      <w:lang w:val="zh-CN"/>
                    </w:rPr>
                  </w:pPr>
                  <w:r>
                    <w:rPr>
                      <w:rFonts w:hint="default" w:ascii="Times New Roman" w:hAnsi="Times New Roman" w:cs="Times New Roman"/>
                      <w:sz w:val="18"/>
                      <w:szCs w:val="18"/>
                      <w:highlight w:val="none"/>
                      <w:lang w:val="zh-CN"/>
                    </w:rPr>
                    <w:t>本项目</w:t>
                  </w:r>
                  <w:r>
                    <w:rPr>
                      <w:rFonts w:hint="eastAsia" w:cs="Times New Roman"/>
                      <w:sz w:val="18"/>
                      <w:szCs w:val="18"/>
                      <w:highlight w:val="none"/>
                      <w:lang w:val="zh-CN"/>
                    </w:rPr>
                    <w:t>生活过程无废水产生，职工生活污水经化粪池预处理后</w:t>
                  </w:r>
                  <w:r>
                    <w:rPr>
                      <w:rFonts w:hint="eastAsia" w:ascii="Times New Roman" w:hAnsi="Times New Roman" w:eastAsia="宋体" w:cs="Times New Roman"/>
                      <w:sz w:val="18"/>
                      <w:szCs w:val="18"/>
                      <w:highlight w:val="none"/>
                      <w:lang w:val="zh-CN"/>
                    </w:rPr>
                    <w:t>，</w:t>
                  </w:r>
                  <w:r>
                    <w:rPr>
                      <w:rFonts w:hint="eastAsia" w:ascii="Times New Roman" w:hAnsi="Times New Roman" w:eastAsia="宋体" w:cs="Times New Roman"/>
                      <w:sz w:val="18"/>
                      <w:szCs w:val="18"/>
                      <w:highlight w:val="none"/>
                      <w:lang w:val="en-US" w:eastAsia="zh-CN"/>
                    </w:rPr>
                    <w:t>排入市政污水管网，最终进入淄博市利民净化水有限公司处理</w:t>
                  </w:r>
                  <w:r>
                    <w:rPr>
                      <w:rFonts w:hint="default" w:ascii="Times New Roman" w:hAnsi="Times New Roman" w:cs="Times New Roman"/>
                      <w:sz w:val="18"/>
                      <w:szCs w:val="18"/>
                      <w:highlight w:val="none"/>
                      <w:lang w:val="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5.玻璃、化工、包装印刷、表面涂装、铸造、建材、塑料加工等严格按照淄博市行业环境管控要求，实施源头替代，建立健全治理设施，确保污染物稳定达标排放，做到持证排污</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sz w:val="18"/>
                      <w:szCs w:val="18"/>
                      <w:lang w:val="zh-CN" w:eastAsia="zh-CN"/>
                    </w:rPr>
                  </w:pPr>
                  <w:r>
                    <w:rPr>
                      <w:rFonts w:hint="default" w:ascii="Times New Roman" w:hAnsi="Times New Roman" w:cs="Times New Roman"/>
                      <w:sz w:val="18"/>
                      <w:szCs w:val="18"/>
                      <w:lang w:val="zh-CN"/>
                    </w:rPr>
                    <w:t>本项目属于</w:t>
                  </w:r>
                  <w:r>
                    <w:rPr>
                      <w:rFonts w:hint="eastAsia" w:cs="Times New Roman"/>
                      <w:sz w:val="18"/>
                      <w:szCs w:val="18"/>
                      <w:lang w:eastAsia="zh-CN"/>
                    </w:rPr>
                    <w:t>纺织、塑料加工</w:t>
                  </w:r>
                  <w:r>
                    <w:rPr>
                      <w:rFonts w:hint="default" w:ascii="Times New Roman" w:hAnsi="Times New Roman" w:cs="Times New Roman"/>
                      <w:sz w:val="18"/>
                      <w:szCs w:val="18"/>
                      <w:lang w:eastAsia="zh-CN"/>
                    </w:rPr>
                    <w:t>行业</w:t>
                  </w:r>
                  <w:r>
                    <w:rPr>
                      <w:rFonts w:hint="default" w:ascii="Times New Roman" w:hAnsi="Times New Roman" w:cs="Times New Roman"/>
                      <w:sz w:val="18"/>
                      <w:szCs w:val="18"/>
                      <w:lang w:val="zh-CN"/>
                    </w:rPr>
                    <w:t>，</w:t>
                  </w:r>
                  <w:r>
                    <w:rPr>
                      <w:rFonts w:hint="default" w:ascii="Times New Roman" w:hAnsi="Times New Roman" w:cs="Times New Roman"/>
                      <w:sz w:val="18"/>
                      <w:szCs w:val="18"/>
                      <w:highlight w:val="none"/>
                      <w:lang w:val="zh-CN"/>
                    </w:rPr>
                    <w:t>污染物均采取可行治理设施，可满足</w:t>
                  </w:r>
                  <w:r>
                    <w:rPr>
                      <w:rFonts w:hint="default" w:ascii="Times New Roman" w:hAnsi="Times New Roman" w:cs="Times New Roman"/>
                      <w:kern w:val="0"/>
                      <w:sz w:val="18"/>
                      <w:szCs w:val="18"/>
                      <w:highlight w:val="none"/>
                    </w:rPr>
                    <w:t>污染物稳定达标排放</w:t>
                  </w:r>
                  <w:r>
                    <w:rPr>
                      <w:rFonts w:hint="default" w:ascii="Times New Roman" w:hAnsi="Times New Roman" w:cs="Times New Roman"/>
                      <w:kern w:val="0"/>
                      <w:sz w:val="18"/>
                      <w:szCs w:val="18"/>
                      <w:highlight w:val="none"/>
                      <w:lang w:eastAsia="zh-CN"/>
                    </w:rPr>
                    <w:t>，做到</w:t>
                  </w:r>
                  <w:r>
                    <w:rPr>
                      <w:rFonts w:hint="default" w:ascii="Times New Roman" w:hAnsi="Times New Roman" w:cs="Times New Roman"/>
                      <w:kern w:val="0"/>
                      <w:sz w:val="18"/>
                      <w:szCs w:val="18"/>
                      <w:highlight w:val="none"/>
                    </w:rPr>
                    <w:t>持证排污</w:t>
                  </w:r>
                  <w:r>
                    <w:rPr>
                      <w:rFonts w:hint="default" w:ascii="Times New Roman" w:hAnsi="Times New Roman" w:cs="Times New Roman"/>
                      <w:kern w:val="0"/>
                      <w:sz w:val="18"/>
                      <w:szCs w:val="18"/>
                      <w:highlight w:val="none"/>
                      <w:lang w:eastAsia="zh-CN"/>
                    </w:rPr>
                    <w:t>。</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kern w:val="0"/>
                      <w:sz w:val="24"/>
                    </w:rPr>
                  </w:pPr>
                  <w:r>
                    <w:rPr>
                      <w:rFonts w:hint="default" w:ascii="Times New Roman" w:hAnsi="Times New Roman" w:cs="Times New Roman"/>
                      <w:kern w:val="0"/>
                      <w:sz w:val="18"/>
                      <w:szCs w:val="18"/>
                    </w:rPr>
                    <w:t>6.加快实施城中村、老旧城区、城乡结合部污水收集和雨污管网分流改造，基本实现城市建成区污水全收集、全处理</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本项目位于</w:t>
                  </w:r>
                  <w:r>
                    <w:rPr>
                      <w:rFonts w:hint="eastAsia" w:cs="Times New Roman"/>
                      <w:sz w:val="18"/>
                      <w:szCs w:val="18"/>
                      <w:lang w:val="zh-CN"/>
                    </w:rPr>
                    <w:t>淄川经济开发区</w:t>
                  </w:r>
                  <w:r>
                    <w:rPr>
                      <w:rFonts w:hint="default" w:ascii="Times New Roman" w:hAnsi="Times New Roman" w:cs="Times New Roman"/>
                      <w:sz w:val="18"/>
                      <w:szCs w:val="18"/>
                      <w:lang w:val="zh-CN"/>
                    </w:rPr>
                    <w:t>内，</w:t>
                  </w:r>
                  <w:r>
                    <w:rPr>
                      <w:rFonts w:hint="eastAsia" w:cs="Times New Roman"/>
                      <w:sz w:val="18"/>
                      <w:szCs w:val="18"/>
                      <w:lang w:val="zh-CN"/>
                    </w:rPr>
                    <w:t>项目生产过程无生产废水产生</w:t>
                  </w:r>
                  <w:r>
                    <w:rPr>
                      <w:rFonts w:hint="default" w:ascii="Times New Roman" w:hAnsi="Times New Roman" w:cs="Times New Roman"/>
                      <w:sz w:val="18"/>
                      <w:szCs w:val="18"/>
                      <w:lang w:val="zh-CN"/>
                    </w:rPr>
                    <w:t>。已落实雨污分流要求，</w:t>
                  </w:r>
                  <w:r>
                    <w:rPr>
                      <w:rFonts w:hint="default" w:ascii="Times New Roman" w:hAnsi="Times New Roman" w:cs="Times New Roman"/>
                      <w:sz w:val="18"/>
                      <w:szCs w:val="18"/>
                      <w:highlight w:val="none"/>
                      <w:lang w:val="zh-CN"/>
                    </w:rPr>
                    <w:t>雨水排入雨水管沟</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kern w:val="0"/>
                      <w:sz w:val="18"/>
                      <w:szCs w:val="18"/>
                    </w:rPr>
                  </w:pPr>
                  <w:r>
                    <w:rPr>
                      <w:rFonts w:hint="default" w:ascii="Times New Roman" w:hAnsi="Times New Roman" w:cs="Times New Roman"/>
                      <w:kern w:val="0"/>
                      <w:sz w:val="18"/>
                      <w:szCs w:val="18"/>
                    </w:rPr>
                    <w:t>7.进一步加强对建设工程施工、建筑物拆除、交通运输、道路保洁、物料运输与堆存、取土、养护绿化等活动的扬尘管理</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本项目施工过程严格落实扬尘防治、现场保洁措施</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8.加强餐饮服务业燃料烟气及油烟防治，鼓励餐饮业及居民生活能源使用天然气、液化石油气等洁净能源。餐饮行业按要求安装油烟高效净化设备并定期清洗和维护</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18"/>
                      <w:szCs w:val="18"/>
                      <w:lang w:val="zh-CN"/>
                    </w:rPr>
                  </w:pPr>
                  <w:r>
                    <w:rPr>
                      <w:rFonts w:hint="default" w:ascii="Times New Roman" w:hAnsi="Times New Roman" w:cs="Times New Roman"/>
                      <w:color w:val="auto"/>
                      <w:sz w:val="18"/>
                      <w:szCs w:val="18"/>
                      <w:highlight w:val="none"/>
                      <w:lang w:val="zh-CN"/>
                    </w:rPr>
                    <w:t>本项目</w:t>
                  </w:r>
                  <w:r>
                    <w:rPr>
                      <w:rFonts w:hint="eastAsia" w:cs="Times New Roman"/>
                      <w:color w:val="auto"/>
                      <w:sz w:val="18"/>
                      <w:szCs w:val="18"/>
                      <w:highlight w:val="none"/>
                      <w:lang w:val="zh-CN"/>
                    </w:rPr>
                    <w:t>无食堂，不涉及</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环境风险防控</w:t>
                  </w:r>
                </w:p>
              </w:tc>
              <w:tc>
                <w:tcPr>
                  <w:tcW w:w="2207" w:type="pct"/>
                  <w:tcBorders>
                    <w:top w:val="single" w:color="auto" w:sz="4" w:space="0"/>
                    <w:left w:val="single" w:color="auto" w:sz="4" w:space="0"/>
                    <w:bottom w:val="single" w:color="auto" w:sz="4" w:space="0"/>
                    <w:right w:val="single" w:color="auto" w:sz="4" w:space="0"/>
                  </w:tcBorders>
                  <w:vAlign w:val="center"/>
                </w:tcPr>
                <w:p>
                  <w:pPr>
                    <w:widowControl/>
                    <w:snapToGrid w:val="0"/>
                    <w:textAlignment w:val="center"/>
                    <w:rPr>
                      <w:rFonts w:hint="default" w:ascii="Times New Roman" w:hAnsi="Times New Roman" w:cs="Times New Roman"/>
                      <w:sz w:val="18"/>
                      <w:szCs w:val="18"/>
                      <w:lang w:val="zh-CN"/>
                    </w:rPr>
                  </w:pPr>
                  <w:r>
                    <w:rPr>
                      <w:rFonts w:hint="default" w:ascii="Times New Roman" w:hAnsi="Times New Roman" w:cs="Times New Roman"/>
                      <w:kern w:val="0"/>
                      <w:sz w:val="18"/>
                      <w:szCs w:val="18"/>
                    </w:rPr>
                    <w:t>1.紧邻居住、科教、医院等环境敏感点的工业用地，禁止新建环境风险潜势等级高的建设项目</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宋体" w:cs="Times New Roman"/>
                      <w:sz w:val="18"/>
                      <w:szCs w:val="18"/>
                      <w:lang w:eastAsia="zh-CN"/>
                    </w:rPr>
                  </w:pPr>
                  <w:r>
                    <w:rPr>
                      <w:rFonts w:hint="default" w:ascii="Times New Roman" w:hAnsi="Times New Roman" w:cs="Times New Roman"/>
                      <w:sz w:val="18"/>
                      <w:szCs w:val="18"/>
                      <w:lang w:val="zh-CN"/>
                    </w:rPr>
                    <w:t>本项目</w:t>
                  </w:r>
                  <w:r>
                    <w:rPr>
                      <w:rFonts w:hint="default" w:ascii="Times New Roman" w:hAnsi="Times New Roman" w:cs="Times New Roman"/>
                      <w:sz w:val="18"/>
                      <w:szCs w:val="18"/>
                      <w:highlight w:val="none"/>
                      <w:lang w:val="zh-CN"/>
                    </w:rPr>
                    <w:t>选址淄川经济开发区内，距离最近敏感目标</w:t>
                  </w:r>
                  <w:r>
                    <w:rPr>
                      <w:rFonts w:hint="eastAsia" w:cs="Times New Roman"/>
                      <w:sz w:val="18"/>
                      <w:szCs w:val="18"/>
                      <w:highlight w:val="none"/>
                      <w:lang w:val="zh-CN"/>
                    </w:rPr>
                    <w:t>为距离厂界</w:t>
                  </w:r>
                  <w:r>
                    <w:rPr>
                      <w:rFonts w:hint="eastAsia" w:cs="Times New Roman"/>
                      <w:sz w:val="18"/>
                      <w:szCs w:val="18"/>
                      <w:highlight w:val="none"/>
                      <w:lang w:val="en-US" w:eastAsia="zh-CN"/>
                    </w:rPr>
                    <w:t>336</w:t>
                  </w:r>
                  <w:r>
                    <w:rPr>
                      <w:rFonts w:hint="default" w:ascii="Times New Roman" w:hAnsi="Times New Roman" w:cs="Times New Roman"/>
                      <w:sz w:val="18"/>
                      <w:szCs w:val="18"/>
                      <w:highlight w:val="none"/>
                    </w:rPr>
                    <w:t>m</w:t>
                  </w:r>
                  <w:r>
                    <w:rPr>
                      <w:rFonts w:hint="eastAsia" w:cs="Times New Roman"/>
                      <w:sz w:val="18"/>
                      <w:szCs w:val="18"/>
                      <w:highlight w:val="none"/>
                      <w:lang w:eastAsia="zh-CN"/>
                    </w:rPr>
                    <w:t>的淄博延强医院</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2.加强农田土壤、灌溉水的监测，对周边区域环境风险源进行评估</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本</w:t>
                  </w:r>
                  <w:r>
                    <w:rPr>
                      <w:rFonts w:hint="default" w:ascii="Times New Roman" w:hAnsi="Times New Roman" w:cs="Times New Roman"/>
                      <w:sz w:val="18"/>
                      <w:szCs w:val="18"/>
                      <w:highlight w:val="none"/>
                      <w:lang w:val="zh-CN"/>
                    </w:rPr>
                    <w:t>项目选址淄川经济开发区内，周边没有</w:t>
                  </w:r>
                  <w:r>
                    <w:rPr>
                      <w:rFonts w:hint="default" w:ascii="Times New Roman" w:hAnsi="Times New Roman" w:cs="Times New Roman"/>
                      <w:kern w:val="0"/>
                      <w:sz w:val="18"/>
                      <w:szCs w:val="18"/>
                      <w:highlight w:val="none"/>
                    </w:rPr>
                    <w:t>农田，</w:t>
                  </w:r>
                  <w:r>
                    <w:rPr>
                      <w:rFonts w:hint="default" w:ascii="Times New Roman" w:hAnsi="Times New Roman" w:cs="Times New Roman"/>
                      <w:sz w:val="18"/>
                      <w:szCs w:val="18"/>
                      <w:highlight w:val="none"/>
                      <w:lang w:val="zh-CN"/>
                    </w:rPr>
                    <w:t>本项目</w:t>
                  </w:r>
                  <w:r>
                    <w:rPr>
                      <w:rFonts w:hint="eastAsia" w:cs="Times New Roman"/>
                      <w:sz w:val="18"/>
                      <w:szCs w:val="18"/>
                      <w:highlight w:val="none"/>
                      <w:lang w:val="zh-CN"/>
                    </w:rPr>
                    <w:t>无生产废水产生，生活污水经化粪池处理后排入市政污水管网。</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3.企业应按照《企业事业单位突发环境事件应急预案备案管理办法（试行）》等要求，依法依规编制环境应急预案并定期开展演练</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该建设单位应</w:t>
                  </w:r>
                  <w:r>
                    <w:rPr>
                      <w:rFonts w:hint="default" w:ascii="Times New Roman" w:hAnsi="Times New Roman" w:cs="Times New Roman"/>
                      <w:kern w:val="0"/>
                      <w:sz w:val="18"/>
                      <w:szCs w:val="18"/>
                    </w:rPr>
                    <w:t>按照《企业事业单位突发环境事件应急预案备案管理办法（试行）》</w:t>
                  </w:r>
                  <w:r>
                    <w:rPr>
                      <w:rFonts w:hint="default" w:ascii="Times New Roman" w:hAnsi="Times New Roman" w:cs="Times New Roman"/>
                      <w:sz w:val="18"/>
                      <w:szCs w:val="18"/>
                      <w:lang w:val="zh-CN"/>
                    </w:rPr>
                    <w:t>及当地管理要求，</w:t>
                  </w:r>
                  <w:r>
                    <w:rPr>
                      <w:rFonts w:hint="default" w:ascii="Times New Roman" w:hAnsi="Times New Roman" w:cs="Times New Roman"/>
                      <w:kern w:val="0"/>
                      <w:sz w:val="18"/>
                      <w:szCs w:val="18"/>
                    </w:rPr>
                    <w:t>依法依规编制环境应急预案并定期开展演练</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4.建立各企业危险废物的贮存、申报、经营许可、转移及处置管理制度，并负责对危废相应活动的全程监管和环境安全保障</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要求该建设单位在营运过程严格遵守固废法，建立危险废物管理制度，对产生的危废进行全流程管理</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5.疑似污染地块需开展土壤环境调查和风险评估，未经治理修复或治理修复不符合相关标准的污染地块不得开发建设</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本项目选址位于淄川经济开发区内，属于规划建设工业用地，不属于污染地块</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资源开放效率要求</w:t>
                  </w: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1.严格执行淄博市高污染燃料禁燃区划定范围及管控要求</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本项目选址位于淄川经济开发区内</w:t>
                  </w:r>
                  <w:r>
                    <w:rPr>
                      <w:rFonts w:hint="default" w:ascii="Times New Roman" w:hAnsi="Times New Roman" w:cs="Times New Roman"/>
                      <w:sz w:val="18"/>
                      <w:szCs w:val="18"/>
                      <w:highlight w:val="none"/>
                      <w:lang w:val="zh-CN"/>
                    </w:rPr>
                    <w:t>，能源使用电，不属于高污染燃料</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2.提升土地集约化水平</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sz w:val="18"/>
                      <w:szCs w:val="18"/>
                      <w:lang w:val="zh-CN"/>
                    </w:rPr>
                    <w:t>本项目选址位于淄川经济开发区</w:t>
                  </w:r>
                  <w:r>
                    <w:rPr>
                      <w:rFonts w:hint="eastAsia" w:cs="Times New Roman"/>
                      <w:sz w:val="18"/>
                      <w:szCs w:val="18"/>
                      <w:lang w:val="zh-CN"/>
                    </w:rPr>
                    <w:t>企业现有</w:t>
                  </w:r>
                  <w:r>
                    <w:rPr>
                      <w:rFonts w:hint="default" w:ascii="Times New Roman" w:hAnsi="Times New Roman" w:cs="Times New Roman"/>
                      <w:sz w:val="18"/>
                      <w:szCs w:val="18"/>
                      <w:lang w:val="zh-CN"/>
                    </w:rPr>
                    <w:t>厂房内建设，符合</w:t>
                  </w:r>
                  <w:r>
                    <w:rPr>
                      <w:rFonts w:hint="default" w:ascii="Times New Roman" w:hAnsi="Times New Roman" w:cs="Times New Roman"/>
                      <w:kern w:val="0"/>
                      <w:sz w:val="18"/>
                      <w:szCs w:val="18"/>
                    </w:rPr>
                    <w:t>土地集约化利用要求</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33" w:type="pct"/>
                  <w:vMerge w:val="continue"/>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18"/>
                      <w:szCs w:val="18"/>
                      <w:lang w:val="zh-CN"/>
                    </w:rPr>
                  </w:pPr>
                </w:p>
              </w:tc>
              <w:tc>
                <w:tcPr>
                  <w:tcW w:w="24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p>
              </w:tc>
              <w:tc>
                <w:tcPr>
                  <w:tcW w:w="220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default" w:ascii="Times New Roman" w:hAnsi="Times New Roman" w:cs="Times New Roman"/>
                      <w:kern w:val="0"/>
                      <w:sz w:val="18"/>
                      <w:szCs w:val="18"/>
                    </w:rPr>
                    <w:t>3.调整能源利用结构，控制煤炭消费量，实现减量化，鼓励使用清洁能源、新能源和可再生能源</w:t>
                  </w:r>
                </w:p>
              </w:tc>
              <w:tc>
                <w:tcPr>
                  <w:tcW w:w="195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18"/>
                      <w:szCs w:val="18"/>
                      <w:lang w:val="zh-CN"/>
                    </w:rPr>
                  </w:pPr>
                  <w:r>
                    <w:rPr>
                      <w:rFonts w:hint="eastAsia" w:cs="Times New Roman"/>
                      <w:sz w:val="18"/>
                      <w:szCs w:val="18"/>
                      <w:lang w:val="zh-CN"/>
                    </w:rPr>
                    <w:t>本项目</w:t>
                  </w:r>
                  <w:r>
                    <w:rPr>
                      <w:rFonts w:hint="default" w:ascii="Times New Roman" w:hAnsi="Times New Roman" w:cs="Times New Roman"/>
                      <w:sz w:val="18"/>
                      <w:szCs w:val="18"/>
                      <w:lang w:val="zh-CN"/>
                    </w:rPr>
                    <w:t>采用自动化控制程度较高</w:t>
                  </w:r>
                  <w:r>
                    <w:rPr>
                      <w:rFonts w:hint="eastAsia" w:cs="Times New Roman"/>
                      <w:sz w:val="18"/>
                      <w:szCs w:val="18"/>
                      <w:lang w:val="zh-CN"/>
                    </w:rPr>
                    <w:t>的</w:t>
                  </w:r>
                  <w:r>
                    <w:rPr>
                      <w:rFonts w:hint="default" w:ascii="Times New Roman" w:hAnsi="Times New Roman" w:cs="Times New Roman"/>
                      <w:sz w:val="18"/>
                      <w:szCs w:val="18"/>
                      <w:lang w:val="zh-CN"/>
                    </w:rPr>
                    <w:t>生产线，能源使用电</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zh-CN"/>
                    </w:rPr>
                  </w:pPr>
                  <w:r>
                    <w:rPr>
                      <w:rFonts w:hint="default" w:ascii="Times New Roman" w:hAnsi="Times New Roman" w:cs="Times New Roman"/>
                      <w:sz w:val="18"/>
                      <w:szCs w:val="18"/>
                      <w:lang w:val="zh-CN"/>
                    </w:rPr>
                    <w:t>符合</w:t>
                  </w:r>
                </w:p>
              </w:tc>
            </w:tr>
          </w:tbl>
          <w:p>
            <w:pPr>
              <w:ind w:firstLine="420" w:firstLineChars="200"/>
              <w:rPr>
                <w:rFonts w:hint="default" w:ascii="Times New Roman" w:hAnsi="Times New Roman" w:cs="Times New Roman"/>
              </w:rPr>
            </w:pPr>
            <w:r>
              <w:rPr>
                <w:rFonts w:hint="default" w:ascii="Times New Roman" w:hAnsi="Times New Roman" w:cs="Times New Roman"/>
              </w:rPr>
              <w:t>综上，本项目符合</w:t>
            </w:r>
            <w:r>
              <w:rPr>
                <w:rFonts w:hint="default" w:ascii="Times New Roman" w:hAnsi="Times New Roman" w:cs="Times New Roman"/>
                <w:szCs w:val="21"/>
                <w:lang w:val="zh-CN"/>
              </w:rPr>
              <w:t>淄博市“三线一单”生态环境准入清单管理要求。</w:t>
            </w:r>
          </w:p>
          <w:p>
            <w:pPr>
              <w:pStyle w:val="2"/>
              <w:ind w:left="31680" w:firstLine="0" w:firstLineChars="0"/>
              <w:jc w:val="center"/>
              <w:rPr>
                <w:rFonts w:hint="default" w:ascii="Times New Roman" w:hAnsi="Times New Roman" w:eastAsia="黑体" w:cs="Times New Roman"/>
                <w:b/>
                <w:bCs/>
                <w:szCs w:val="21"/>
                <w:lang w:val="zh-CN"/>
              </w:rPr>
            </w:pPr>
            <w:r>
              <w:rPr>
                <w:rFonts w:hint="default" w:ascii="Times New Roman" w:hAnsi="Times New Roman" w:eastAsia="黑体" w:cs="Times New Roman"/>
                <w:b/>
                <w:bCs/>
                <w:szCs w:val="21"/>
                <w:lang w:val="zh-CN"/>
              </w:rPr>
              <w:t>表1-4 淄川经济开发区控制级别表</w:t>
            </w:r>
          </w:p>
          <w:tbl>
            <w:tblPr>
              <w:tblStyle w:val="8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689"/>
              <w:gridCol w:w="657"/>
              <w:gridCol w:w="1542"/>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行业</w:t>
                  </w:r>
                </w:p>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行业小类</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控制级别</w:t>
                  </w:r>
                </w:p>
              </w:tc>
              <w:tc>
                <w:tcPr>
                  <w:tcW w:w="1701"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本项目情况</w:t>
                  </w:r>
                </w:p>
              </w:tc>
              <w:tc>
                <w:tcPr>
                  <w:tcW w:w="77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符合</w:t>
                  </w:r>
                </w:p>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交通运输设备 制造</w:t>
                  </w: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汽车整车制造</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本项目属于</w:t>
                  </w:r>
                  <w:r>
                    <w:rPr>
                      <w:rFonts w:hint="eastAsia" w:ascii="Times New Roman" w:cs="Times New Roman"/>
                      <w:sz w:val="18"/>
                      <w:szCs w:val="18"/>
                      <w:lang w:eastAsia="zh-CN"/>
                    </w:rPr>
                    <w:t>其他纺织业及塑料制品业</w:t>
                  </w:r>
                  <w:r>
                    <w:rPr>
                      <w:rFonts w:hint="default" w:ascii="Times New Roman" w:hAnsi="Times New Roman" w:cs="Times New Roman"/>
                      <w:sz w:val="18"/>
                      <w:szCs w:val="18"/>
                    </w:rPr>
                    <w:t>，</w:t>
                  </w:r>
                  <w:r>
                    <w:rPr>
                      <w:rFonts w:hint="eastAsia" w:ascii="Times New Roman" w:cs="Times New Roman"/>
                      <w:sz w:val="18"/>
                      <w:szCs w:val="18"/>
                      <w:lang w:eastAsia="zh-CN"/>
                    </w:rPr>
                    <w:t>其他纺织业</w:t>
                  </w:r>
                  <w:r>
                    <w:rPr>
                      <w:rFonts w:hint="default" w:ascii="Times New Roman" w:hAnsi="Times New Roman" w:cs="Times New Roman"/>
                      <w:sz w:val="18"/>
                      <w:szCs w:val="18"/>
                    </w:rPr>
                    <w:t>属于准许进入行业</w:t>
                  </w:r>
                  <w:r>
                    <w:rPr>
                      <w:rFonts w:hint="eastAsia" w:ascii="Times New Roman" w:cs="Times New Roman"/>
                      <w:sz w:val="18"/>
                      <w:szCs w:val="18"/>
                      <w:lang w:eastAsia="zh-CN"/>
                    </w:rPr>
                    <w:t>，塑料制品业属于限制进入行业。</w:t>
                  </w:r>
                </w:p>
              </w:tc>
              <w:tc>
                <w:tcPr>
                  <w:tcW w:w="778"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属于准许进入行业</w:t>
                  </w:r>
                  <w:r>
                    <w:rPr>
                      <w:rFonts w:hint="eastAsia" w:ascii="Times New Roman" w:cs="Times New Roman"/>
                      <w:sz w:val="18"/>
                      <w:szCs w:val="18"/>
                      <w:lang w:eastAsia="zh-CN"/>
                    </w:rPr>
                    <w:t>及限值进入行业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改装汽车制造</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电车制造</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汽车车身、挂车的制造</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汽车零部件及配件制造</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纺织业</w:t>
                  </w: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棉纺织业</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印染业</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高档地毯生产</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其它纺织业</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电子</w:t>
                  </w: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片式化电子元器件、敏感元件及传感器、电力电子模块、配电自动 化监控系统，各类分析、检测仪器及新型电子陶瓷材料等</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新材料</w:t>
                  </w: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高分子材料</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陶瓷新材料</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新型耐火材料</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节能新材料</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restart"/>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普通机械制造</w:t>
                  </w: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金属加工机械制造业、轴承、阀门制造业、其它通用零部件制造业</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锅炉、铸锻件制造业</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4"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4110"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电动机制造业、通用设备制造业</w:t>
                  </w:r>
                </w:p>
              </w:tc>
              <w:tc>
                <w:tcPr>
                  <w:tcW w:w="70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c>
                <w:tcPr>
                  <w:tcW w:w="778" w:type="dxa"/>
                  <w:vMerge w:val="continue"/>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1" w:type="dxa"/>
                  <w:gridSpan w:val="5"/>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注：★—优先进入行业；●—准许进入行业；×—禁止进入行业。</w:t>
                  </w:r>
                </w:p>
              </w:tc>
            </w:tr>
          </w:tbl>
          <w:p>
            <w:pPr>
              <w:pStyle w:val="2"/>
              <w:ind w:left="31680" w:firstLine="0" w:firstLineChars="0"/>
              <w:jc w:val="center"/>
              <w:rPr>
                <w:rFonts w:hint="default" w:ascii="Times New Roman" w:hAnsi="Times New Roman" w:eastAsia="黑体" w:cs="Times New Roman"/>
                <w:b/>
                <w:bCs/>
                <w:szCs w:val="21"/>
                <w:lang w:val="zh-CN"/>
              </w:rPr>
            </w:pPr>
            <w:r>
              <w:rPr>
                <w:rFonts w:hint="default" w:ascii="Times New Roman" w:hAnsi="Times New Roman" w:eastAsia="黑体" w:cs="Times New Roman"/>
                <w:b/>
                <w:bCs/>
                <w:szCs w:val="21"/>
                <w:lang w:val="zh-CN"/>
              </w:rPr>
              <w:t>表1-5 淄川经济开发区负面清单（节选）</w:t>
            </w:r>
          </w:p>
          <w:tbl>
            <w:tblPr>
              <w:tblStyle w:val="8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683"/>
              <w:gridCol w:w="1794"/>
              <w:gridCol w:w="2390"/>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产业</w:t>
                  </w:r>
                </w:p>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328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分类</w:t>
                  </w:r>
                </w:p>
              </w:tc>
              <w:tc>
                <w:tcPr>
                  <w:tcW w:w="11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准入程度及依据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石化、</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化工</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C25</w:t>
                  </w:r>
                </w:p>
              </w:tc>
              <w:tc>
                <w:tcPr>
                  <w:tcW w:w="282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石油、煤炭及其他燃料加工业</w:t>
                  </w:r>
                </w:p>
              </w:tc>
              <w:tc>
                <w:tcPr>
                  <w:tcW w:w="1186"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禁止进入；依据*6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C26</w:t>
                  </w:r>
                </w:p>
              </w:tc>
              <w:tc>
                <w:tcPr>
                  <w:tcW w:w="282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化学原料及化学制品制造业</w:t>
                  </w:r>
                </w:p>
              </w:tc>
              <w:tc>
                <w:tcPr>
                  <w:tcW w:w="118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橡胶和塑料制品业</w:t>
                  </w:r>
                </w:p>
              </w:tc>
              <w:tc>
                <w:tcPr>
                  <w:tcW w:w="461"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C29</w:t>
                  </w:r>
                </w:p>
              </w:tc>
              <w:tc>
                <w:tcPr>
                  <w:tcW w:w="282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C291橡胶制品业</w:t>
                  </w:r>
                </w:p>
              </w:tc>
              <w:tc>
                <w:tcPr>
                  <w:tcW w:w="118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p>
              </w:tc>
              <w:tc>
                <w:tcPr>
                  <w:tcW w:w="461"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p>
              </w:tc>
              <w:tc>
                <w:tcPr>
                  <w:tcW w:w="2821"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C292塑料制品业</w:t>
                  </w:r>
                </w:p>
              </w:tc>
              <w:tc>
                <w:tcPr>
                  <w:tcW w:w="11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限制进入；</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依据开发区环境空气质量现状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交通运输设备制造</w:t>
                  </w:r>
                </w:p>
              </w:tc>
              <w:tc>
                <w:tcPr>
                  <w:tcW w:w="328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1、低速汽车（三轮汽车、低速货车）（自2015年起执行与轻型卡车同等的节能与排放标准）</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2、排放标准国三及以下的机动车用发动机；</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3、四档及以下机械式车用自动变速箱（AT）</w:t>
                  </w:r>
                </w:p>
              </w:tc>
              <w:tc>
                <w:tcPr>
                  <w:tcW w:w="11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依据*2、*3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p>
              </w:tc>
              <w:tc>
                <w:tcPr>
                  <w:tcW w:w="3282" w:type="pct"/>
                  <w:gridSpan w:val="3"/>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1、新建摩托车及其发动机生产企业不具备技术开发的能力和条件，项目总投资低于 2 亿元人民币；</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2、专用汽车生产企业注册资本低于 2000 万元人民币，不具备产品开发的能力和条件</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3、跨产品类别生产其它类汽车整车产品的投资项目，项目投资总额(含利用原有固定资产和无形资产等)不得低于 15 亿元人民币；</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4、新建汽车生产企业的投资项目，项目投资总额低于 20 亿元人民币，其中自有资金低于 8亿元人民币,产品研究开发机构，投资低于 5 亿元人民币；</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5、新建乘用车、重型载货车生产企业投资项目应包括为整车配套的发动机生产。</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6、新建车用发动机生产企业的投资项目，项目投资总额低于 15 亿元人民币；</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7、重型载货车低于 10000 辆</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8、乘用车:装载 4 缸发动机低于 50000 辆;装载 6 缸发动机低于 30000 辆；</w:t>
                  </w:r>
                </w:p>
                <w:p>
                  <w:pPr>
                    <w:adjustRightInd w:val="0"/>
                    <w:snapToGrid w:val="0"/>
                    <w:rPr>
                      <w:rFonts w:hint="default" w:ascii="Times New Roman" w:hAnsi="Times New Roman" w:cs="Times New Roman"/>
                      <w:sz w:val="18"/>
                      <w:szCs w:val="18"/>
                    </w:rPr>
                  </w:pPr>
                  <w:r>
                    <w:rPr>
                      <w:rFonts w:hint="default" w:ascii="Times New Roman" w:hAnsi="Times New Roman" w:cs="Times New Roman"/>
                      <w:sz w:val="18"/>
                      <w:szCs w:val="18"/>
                    </w:rPr>
                    <w:t>9、汽车整车、专用汽车、农用运输车和摩托车中外合资生产企业的中方股份低于 50%。</w:t>
                  </w:r>
                </w:p>
              </w:tc>
              <w:tc>
                <w:tcPr>
                  <w:tcW w:w="11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禁止进入</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依据*2、*4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服装</w:t>
                  </w:r>
                </w:p>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纺织</w:t>
                  </w:r>
                </w:p>
              </w:tc>
              <w:tc>
                <w:tcPr>
                  <w:tcW w:w="46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C17</w:t>
                  </w:r>
                </w:p>
              </w:tc>
              <w:tc>
                <w:tcPr>
                  <w:tcW w:w="12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纺织业</w:t>
                  </w:r>
                </w:p>
              </w:tc>
              <w:tc>
                <w:tcPr>
                  <w:tcW w:w="1610"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C1713棉染精加工，C1723毛染整精加工，C1733麻染整精加工，C1743丝印染精加工，C1752化纤织物染整精加工</w:t>
                  </w:r>
                </w:p>
              </w:tc>
              <w:tc>
                <w:tcPr>
                  <w:tcW w:w="1186"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限制进入；</w:t>
                  </w:r>
                </w:p>
                <w:p>
                  <w:pPr>
                    <w:adjustRightInd w:val="0"/>
                    <w:snapToGrid w:val="0"/>
                    <w:ind w:left="-105" w:leftChars="-50" w:right="-105" w:rightChars="-50"/>
                    <w:jc w:val="center"/>
                    <w:rPr>
                      <w:rFonts w:hint="default" w:ascii="Times New Roman" w:hAnsi="Times New Roman" w:cs="Times New Roman"/>
                      <w:sz w:val="18"/>
                      <w:szCs w:val="18"/>
                    </w:rPr>
                  </w:pPr>
                  <w:r>
                    <w:rPr>
                      <w:rFonts w:hint="default" w:ascii="Times New Roman" w:hAnsi="Times New Roman" w:cs="Times New Roman"/>
                      <w:sz w:val="18"/>
                      <w:szCs w:val="18"/>
                    </w:rPr>
                    <w:t>依据原规划环评和开发区发展现状</w:t>
                  </w:r>
                </w:p>
              </w:tc>
            </w:tr>
          </w:tbl>
          <w:p>
            <w:pPr>
              <w:pStyle w:val="2"/>
              <w:spacing w:after="0" w:line="360" w:lineRule="auto"/>
              <w:ind w:left="0" w:leftChars="0" w:firstLine="31680"/>
              <w:rPr>
                <w:rFonts w:hint="default" w:ascii="Times New Roman" w:hAnsi="Times New Roman" w:cs="Times New Roman"/>
                <w:szCs w:val="21"/>
                <w:lang w:val="zh-CN"/>
              </w:rPr>
            </w:pPr>
            <w:r>
              <w:rPr>
                <w:rFonts w:hint="default" w:ascii="Times New Roman" w:hAnsi="Times New Roman" w:cs="Times New Roman"/>
                <w:szCs w:val="21"/>
              </w:rPr>
              <w:t>由表1-4和1-5可见，本项目</w:t>
            </w:r>
            <w:r>
              <w:rPr>
                <w:rFonts w:hint="default" w:ascii="Times New Roman" w:hAnsi="Times New Roman" w:cs="Times New Roman"/>
                <w:szCs w:val="21"/>
                <w:lang w:val="zh-CN"/>
              </w:rPr>
              <w:t>属于准许</w:t>
            </w:r>
            <w:r>
              <w:rPr>
                <w:rFonts w:hint="eastAsia" w:cs="Times New Roman"/>
                <w:szCs w:val="21"/>
                <w:lang w:val="zh-CN"/>
              </w:rPr>
              <w:t>进</w:t>
            </w:r>
            <w:r>
              <w:rPr>
                <w:rFonts w:hint="default" w:ascii="Times New Roman" w:hAnsi="Times New Roman" w:cs="Times New Roman"/>
                <w:szCs w:val="21"/>
                <w:lang w:val="zh-CN"/>
              </w:rPr>
              <w:t>入行业</w:t>
            </w:r>
            <w:r>
              <w:rPr>
                <w:rFonts w:hint="eastAsia" w:cs="Times New Roman"/>
                <w:szCs w:val="21"/>
                <w:lang w:val="zh-CN"/>
              </w:rPr>
              <w:t>及限制进入行业，因生产过程仅产生少量</w:t>
            </w:r>
            <w:r>
              <w:rPr>
                <w:rFonts w:hint="eastAsia" w:cs="Times New Roman"/>
                <w:szCs w:val="21"/>
                <w:lang w:val="en-US" w:eastAsia="zh-CN"/>
              </w:rPr>
              <w:t>VOCs，且淄川经济开发区环境空气质量非甲烷总烃达标，</w:t>
            </w:r>
            <w:r>
              <w:rPr>
                <w:rFonts w:hint="default" w:ascii="Times New Roman" w:hAnsi="Times New Roman" w:cs="Times New Roman"/>
                <w:szCs w:val="21"/>
                <w:lang w:val="zh-CN"/>
              </w:rPr>
              <w:t>因此</w:t>
            </w:r>
            <w:r>
              <w:rPr>
                <w:rFonts w:hint="default" w:ascii="Times New Roman" w:hAnsi="Times New Roman" w:cs="Times New Roman"/>
                <w:szCs w:val="21"/>
              </w:rPr>
              <w:t>本项目</w:t>
            </w:r>
            <w:r>
              <w:rPr>
                <w:rFonts w:hint="default" w:ascii="Times New Roman" w:hAnsi="Times New Roman" w:cs="Times New Roman"/>
                <w:szCs w:val="21"/>
                <w:lang w:val="zh-CN"/>
              </w:rPr>
              <w:t>符合淄川经济开发区环境准入负面清单要求。</w:t>
            </w:r>
          </w:p>
          <w:p>
            <w:pPr>
              <w:pStyle w:val="2"/>
              <w:spacing w:after="0" w:line="360" w:lineRule="auto"/>
              <w:ind w:left="0" w:leftChars="0" w:firstLine="31680"/>
              <w:rPr>
                <w:rFonts w:hint="default" w:ascii="Times New Roman" w:hAnsi="Times New Roman" w:cs="Times New Roman"/>
                <w:szCs w:val="21"/>
              </w:rPr>
            </w:pPr>
            <w:r>
              <w:rPr>
                <w:rFonts w:hint="default" w:ascii="Times New Roman" w:hAnsi="Times New Roman" w:cs="Times New Roman"/>
                <w:b/>
                <w:kern w:val="0"/>
                <w:szCs w:val="21"/>
              </w:rPr>
              <w:t>二、</w:t>
            </w:r>
            <w:r>
              <w:rPr>
                <w:rFonts w:hint="default" w:ascii="Times New Roman" w:hAnsi="Times New Roman" w:cs="Times New Roman"/>
                <w:b/>
                <w:szCs w:val="21"/>
              </w:rPr>
              <w:t>项目政策符合性分析</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1、产业政策符合性</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项目的规模、产品、工艺以及采用的生产设备均不属于《产业结构调整指导目录（2019年本）》和淄政办发[2011]35号文件《淄博市人民政府办公厅关于印发淄博市产业结构调整指导意见和指导目录的通知》中的限制类和淘汰类项目。</w:t>
            </w:r>
            <w:r>
              <w:rPr>
                <w:rFonts w:hint="eastAsia" w:cs="Times New Roman"/>
                <w:szCs w:val="21"/>
                <w:lang w:eastAsia="zh-CN"/>
              </w:rPr>
              <w:t>淄博龙昊电源科技有限公司</w:t>
            </w:r>
            <w:r>
              <w:rPr>
                <w:rFonts w:hint="default" w:ascii="Times New Roman" w:hAnsi="Times New Roman" w:cs="Times New Roman"/>
                <w:szCs w:val="21"/>
              </w:rPr>
              <w:t>申请的《山东省建设项目备案证明项目》（项目代</w:t>
            </w:r>
            <w:r>
              <w:rPr>
                <w:rFonts w:hint="default" w:ascii="Times New Roman" w:hAnsi="Times New Roman" w:cs="Times New Roman"/>
                <w:szCs w:val="21"/>
                <w:highlight w:val="none"/>
              </w:rPr>
              <w:t>码：</w:t>
            </w:r>
            <w:r>
              <w:rPr>
                <w:rFonts w:hint="eastAsia" w:cs="Times New Roman"/>
                <w:color w:val="auto"/>
                <w:szCs w:val="21"/>
                <w:highlight w:val="none"/>
                <w:lang w:eastAsia="zh-CN"/>
              </w:rPr>
              <w:t>2302-370302-89-02-813075</w:t>
            </w:r>
            <w:r>
              <w:rPr>
                <w:rFonts w:hint="default" w:ascii="Times New Roman" w:hAnsi="Times New Roman" w:cs="Times New Roman"/>
                <w:color w:val="auto"/>
                <w:szCs w:val="21"/>
                <w:highlight w:val="none"/>
              </w:rPr>
              <w:t>，</w:t>
            </w:r>
            <w:r>
              <w:rPr>
                <w:rFonts w:hint="default" w:ascii="Times New Roman" w:hAnsi="Times New Roman" w:cs="Times New Roman"/>
                <w:szCs w:val="21"/>
              </w:rPr>
              <w:t>本项目符合国家和淄博市产业政策。</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2、土地政策符合性</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highlight w:val="none"/>
              </w:rPr>
              <w:t>1</w:t>
            </w:r>
            <w:r>
              <w:rPr>
                <w:rFonts w:hint="default" w:ascii="Times New Roman" w:hAnsi="Times New Roman" w:cs="Times New Roman"/>
                <w:color w:val="auto"/>
                <w:szCs w:val="21"/>
                <w:highlight w:val="none"/>
              </w:rPr>
              <w:t>）</w:t>
            </w:r>
            <w:r>
              <w:rPr>
                <w:rFonts w:hint="eastAsia" w:cs="Times New Roman"/>
                <w:color w:val="auto"/>
                <w:szCs w:val="21"/>
                <w:highlight w:val="none"/>
                <w:lang w:eastAsia="zh-CN"/>
              </w:rPr>
              <w:t>根据</w:t>
            </w:r>
            <w:r>
              <w:rPr>
                <w:rFonts w:hint="default" w:ascii="Times New Roman" w:hAnsi="Times New Roman" w:cs="Times New Roman"/>
                <w:color w:val="auto"/>
                <w:szCs w:val="21"/>
                <w:highlight w:val="none"/>
              </w:rPr>
              <w:t>《淄博市淄川经济开发区总体规划-土地利用规划图》（2012-2030年）（详见附图</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），本项目用地属于工业用地，本项目的建设符合国土空间用途管制要求。</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（2）本项目周围配套设施较为完善，项目用电、取水管网和供水管网等公共设施接入方便。</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（3）本项目评价内容</w:t>
            </w:r>
            <w:r>
              <w:rPr>
                <w:rFonts w:hint="eastAsia" w:cs="Times New Roman"/>
                <w:szCs w:val="21"/>
                <w:lang w:eastAsia="zh-CN"/>
              </w:rPr>
              <w:t>淄博龙昊电源科技有限公司年产20万平方米涤纶排管及电源连接线技改搬迁项目</w:t>
            </w:r>
            <w:r>
              <w:rPr>
                <w:rFonts w:hint="default" w:ascii="Times New Roman" w:hAnsi="Times New Roman" w:cs="Times New Roman"/>
                <w:szCs w:val="21"/>
              </w:rPr>
              <w:t>不处于饮用水水源保护区及自然保护区、风景名胜区等环境敏感地区。</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（4）对照《限制用地项目目录（2012年本）》和《禁止用地项目目录（2012年本）》，本项目不属于其规定的限制用地和禁止用地项目范畴，可视为允许类项目。</w:t>
            </w:r>
          </w:p>
          <w:p>
            <w:pPr>
              <w:pStyle w:val="80"/>
              <w:adjustRightInd w:val="0"/>
              <w:snapToGrid w:val="0"/>
              <w:spacing w:before="0" w:beforeAutospacing="0" w:after="0" w:afterAutospacing="0" w:line="360" w:lineRule="auto"/>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rPr>
              <w:t>3、环保政策符合性分析</w:t>
            </w:r>
          </w:p>
          <w:p>
            <w:pPr>
              <w:pStyle w:val="12"/>
              <w:spacing w:line="360" w:lineRule="auto"/>
              <w:ind w:firstLine="31680"/>
              <w:rPr>
                <w:rFonts w:hint="default" w:ascii="Times New Roman" w:hAnsi="Times New Roman" w:cs="Times New Roman"/>
                <w:sz w:val="21"/>
                <w:szCs w:val="21"/>
              </w:rPr>
            </w:pPr>
            <w:r>
              <w:rPr>
                <w:rFonts w:hint="default" w:ascii="Times New Roman" w:hAnsi="Times New Roman" w:cs="Times New Roman"/>
                <w:sz w:val="21"/>
                <w:szCs w:val="21"/>
              </w:rPr>
              <w:t xml:space="preserve">（1）与《山东省大气污染防治条例》的相关符合性分析 </w:t>
            </w:r>
          </w:p>
          <w:p>
            <w:pPr>
              <w:pStyle w:val="12"/>
              <w:spacing w:line="360" w:lineRule="auto"/>
              <w:ind w:firstLine="31680"/>
              <w:rPr>
                <w:rFonts w:hint="default" w:ascii="Times New Roman" w:hAnsi="Times New Roman" w:cs="Times New Roman"/>
                <w:sz w:val="21"/>
                <w:szCs w:val="21"/>
              </w:rPr>
            </w:pPr>
            <w:r>
              <w:rPr>
                <w:rFonts w:hint="default" w:ascii="Times New Roman" w:hAnsi="Times New Roman" w:cs="Times New Roman"/>
                <w:sz w:val="21"/>
                <w:szCs w:val="21"/>
              </w:rPr>
              <w:t>该项目与《</w:t>
            </w:r>
            <w:bookmarkStart w:id="2" w:name="_Hlk521137800"/>
            <w:r>
              <w:rPr>
                <w:rFonts w:hint="default" w:ascii="Times New Roman" w:hAnsi="Times New Roman" w:cs="Times New Roman"/>
                <w:sz w:val="21"/>
                <w:szCs w:val="21"/>
              </w:rPr>
              <w:t>山东省大气污染防治条例</w:t>
            </w:r>
            <w:bookmarkEnd w:id="2"/>
            <w:r>
              <w:rPr>
                <w:rFonts w:hint="default" w:ascii="Times New Roman" w:hAnsi="Times New Roman" w:cs="Times New Roman"/>
                <w:sz w:val="21"/>
                <w:szCs w:val="21"/>
              </w:rPr>
              <w:t>》的符合性见下表：</w:t>
            </w:r>
          </w:p>
          <w:p>
            <w:pPr>
              <w:spacing w:line="360" w:lineRule="auto"/>
              <w:jc w:val="center"/>
              <w:rPr>
                <w:rFonts w:hint="default" w:ascii="Times New Roman" w:hAnsi="Times New Roman" w:eastAsia="黑体" w:cs="Times New Roman"/>
                <w:b/>
                <w:szCs w:val="21"/>
              </w:rPr>
            </w:pPr>
            <w:r>
              <w:rPr>
                <w:rFonts w:hint="default" w:ascii="Times New Roman" w:hAnsi="Times New Roman" w:eastAsia="黑体" w:cs="Times New Roman"/>
                <w:b/>
                <w:szCs w:val="21"/>
              </w:rPr>
              <w:t>表1-6 项目与山东省大气污染防治条例符合情况分析</w:t>
            </w:r>
          </w:p>
          <w:tbl>
            <w:tblPr>
              <w:tblStyle w:val="85"/>
              <w:tblW w:w="49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32"/>
              <w:gridCol w:w="4346"/>
              <w:gridCol w:w="24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5" w:hRule="exac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b/>
                      <w:bCs/>
                      <w:sz w:val="18"/>
                      <w:szCs w:val="16"/>
                    </w:rPr>
                  </w:pPr>
                  <w:r>
                    <w:rPr>
                      <w:rFonts w:hint="default" w:ascii="Times New Roman" w:hAnsi="Times New Roman" w:cs="Times New Roman"/>
                      <w:b/>
                      <w:bCs/>
                      <w:sz w:val="18"/>
                      <w:szCs w:val="16"/>
                    </w:rPr>
                    <w:t>序号</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b/>
                      <w:bCs/>
                      <w:sz w:val="18"/>
                      <w:szCs w:val="16"/>
                    </w:rPr>
                  </w:pPr>
                  <w:r>
                    <w:rPr>
                      <w:rFonts w:hint="default" w:ascii="Times New Roman" w:hAnsi="Times New Roman" w:cs="Times New Roman"/>
                      <w:b/>
                      <w:bCs/>
                      <w:sz w:val="18"/>
                      <w:szCs w:val="16"/>
                    </w:rPr>
                    <w:t xml:space="preserve">规划要求 </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b/>
                      <w:bCs/>
                      <w:sz w:val="18"/>
                      <w:szCs w:val="16"/>
                    </w:rPr>
                  </w:pPr>
                  <w:r>
                    <w:rPr>
                      <w:rFonts w:hint="default" w:ascii="Times New Roman" w:hAnsi="Times New Roman" w:cs="Times New Roman"/>
                      <w:b/>
                      <w:bCs/>
                      <w:sz w:val="18"/>
                      <w:szCs w:val="16"/>
                    </w:rPr>
                    <w:t>项目符合性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1</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设区的市、县（市、区）人民政府应当制定本行政区域锅炉整治计划，按照国家和省有关规定要求淘汰、拆除燃煤小锅炉、分散燃煤锅炉和不能达标排放的其他燃煤锅炉，并对现有的燃煤锅炉进行超低排放改造。除国家和省另有规定外，在城市建成区、开发区、工业园区内不得新建额定蒸发量二十吨以下的直接燃煤、重油、渣油锅炉以及直接燃用生物质的锅炉。</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本</w:t>
                  </w:r>
                  <w:r>
                    <w:rPr>
                      <w:rFonts w:hint="default" w:ascii="Times New Roman" w:hAnsi="Times New Roman" w:cs="Times New Roman"/>
                      <w:sz w:val="18"/>
                      <w:szCs w:val="16"/>
                      <w:highlight w:val="none"/>
                    </w:rPr>
                    <w:t>项目使用电</w:t>
                  </w:r>
                  <w:r>
                    <w:rPr>
                      <w:rFonts w:hint="eastAsia" w:ascii="Times New Roman" w:cs="Times New Roman"/>
                      <w:sz w:val="18"/>
                      <w:szCs w:val="16"/>
                      <w:highlight w:val="none"/>
                      <w:lang w:eastAsia="zh-CN"/>
                    </w:rPr>
                    <w:t>作为能源</w:t>
                  </w:r>
                  <w:r>
                    <w:rPr>
                      <w:rFonts w:hint="default" w:ascii="Times New Roman" w:hAnsi="Times New Roman" w:cs="Times New Roman"/>
                      <w:sz w:val="18"/>
                      <w:szCs w:val="16"/>
                      <w:highlight w:val="none"/>
                    </w:rPr>
                    <w:t>，不使用煤炭、重油、渣油、生物质等燃料，本项目不涉及锅炉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9"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2</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县级以上人民政府供热主管部门应当组织编制供热专项规划，发展分布式能源，统筹热源和管网建设，逐步扩大城乡集中供热范围。在集中供热管网覆盖区域内，禁止新建、扩建分散燃煤供热锅炉；已建成的分散燃煤供热锅炉应当在县级以上人民政府环境保护主管部门规定的期限内停止使用。</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企业办公用热使用空调供热，厂内不进行供热锅炉的建设。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1"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3</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 xml:space="preserve">燃煤机组应当实现超低排放，使大气污染物排放浓度符合规定限值。 </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项目不涉及燃煤机组。</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20"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4</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使用燃煤炉窑、煤气发生炉等设施的单位应当采用清洁生产工艺，配套建设除尘、脱硫、脱硝等装置，或者采取技术改造等其他控制大气污染物排放的措施。</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项目不涉及燃煤炉窑、煤气发生炉。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365"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5</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县级以上人民政府应当合理确定产业布局和发展规模，制定产业投资项目负面清单，严格控制新建、扩建钢铁、石化、化工、有色金属冶炼、水泥、平板玻璃、建筑陶瓷等工业项目，鼓励、支持现有的工业企业进行技术升级改造。在城市建成区及其周边的重污染企业，应当逐步进行搬迁改造或者转型退出。</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本项目属于</w:t>
                  </w:r>
                  <w:r>
                    <w:rPr>
                      <w:rFonts w:hint="eastAsia" w:ascii="Times New Roman" w:cs="Times New Roman"/>
                      <w:sz w:val="18"/>
                      <w:szCs w:val="16"/>
                      <w:lang w:eastAsia="zh-CN"/>
                    </w:rPr>
                    <w:t>其他纺织业及塑料制品业</w:t>
                  </w:r>
                  <w:r>
                    <w:rPr>
                      <w:rFonts w:hint="default" w:ascii="Times New Roman" w:hAnsi="Times New Roman" w:cs="Times New Roman"/>
                      <w:sz w:val="18"/>
                      <w:szCs w:val="16"/>
                    </w:rPr>
                    <w:t>，不属于上述“两高”行业。本项目不属于重污染企业。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296"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6</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对不经过排气筒集中排放的大气污染物，排污单位应当采取密闭、封闭、集中收集、吸附、分解等处理措施，严格控制生产过程以及内部物料堆存、传输、装卸等环节产生的粉尘和气态污染物的排放。</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本项目产污工序均采取集中收集处理措施，收集的废气经环保设施处理后排放，未经收集的废气采取车间封闭等措施进行阻挡沉降，减少无组织废气排放</w:t>
                  </w:r>
                  <w:r>
                    <w:rPr>
                      <w:rFonts w:hint="default" w:ascii="Times New Roman" w:hAnsi="Times New Roman" w:cs="Times New Roman"/>
                      <w:sz w:val="18"/>
                      <w:szCs w:val="16"/>
                      <w:highlight w:val="none"/>
                    </w:rPr>
                    <w:t>。本项目</w:t>
                  </w:r>
                  <w:r>
                    <w:rPr>
                      <w:rFonts w:hint="eastAsia" w:ascii="Times New Roman" w:cs="Times New Roman"/>
                      <w:sz w:val="18"/>
                      <w:szCs w:val="16"/>
                      <w:highlight w:val="none"/>
                      <w:lang w:val="en-US" w:eastAsia="zh-CN"/>
                    </w:rPr>
                    <w:t>VOCs</w:t>
                  </w:r>
                  <w:r>
                    <w:rPr>
                      <w:rFonts w:hint="default" w:ascii="Times New Roman" w:hAnsi="Times New Roman" w:cs="Times New Roman"/>
                      <w:sz w:val="18"/>
                      <w:szCs w:val="16"/>
                      <w:highlight w:val="none"/>
                    </w:rPr>
                    <w:t>原料</w:t>
                  </w:r>
                  <w:r>
                    <w:rPr>
                      <w:rFonts w:hint="default" w:ascii="Times New Roman" w:hAnsi="Times New Roman" w:cs="Times New Roman"/>
                      <w:color w:val="auto"/>
                      <w:sz w:val="18"/>
                      <w:szCs w:val="16"/>
                      <w:highlight w:val="none"/>
                    </w:rPr>
                    <w:t>主要为</w:t>
                  </w:r>
                  <w:r>
                    <w:rPr>
                      <w:rFonts w:hint="eastAsia" w:ascii="Times New Roman" w:cs="Times New Roman"/>
                      <w:color w:val="auto"/>
                      <w:sz w:val="18"/>
                      <w:szCs w:val="16"/>
                      <w:highlight w:val="none"/>
                      <w:lang w:eastAsia="zh-CN"/>
                    </w:rPr>
                    <w:t>酚醛树脂胶</w:t>
                  </w:r>
                  <w:r>
                    <w:rPr>
                      <w:rFonts w:hint="default" w:ascii="Times New Roman" w:hAnsi="Times New Roman" w:cs="Times New Roman"/>
                      <w:color w:val="auto"/>
                      <w:sz w:val="18"/>
                      <w:szCs w:val="16"/>
                      <w:highlight w:val="none"/>
                    </w:rPr>
                    <w:t>，</w:t>
                  </w:r>
                  <w:r>
                    <w:rPr>
                      <w:rFonts w:hint="default" w:ascii="Times New Roman" w:hAnsi="Times New Roman" w:cs="Times New Roman"/>
                      <w:color w:val="auto"/>
                      <w:sz w:val="18"/>
                      <w:szCs w:val="16"/>
                      <w:highlight w:val="none"/>
                      <w:lang w:eastAsia="zh-CN"/>
                    </w:rPr>
                    <w:t>液体物料</w:t>
                  </w:r>
                  <w:r>
                    <w:rPr>
                      <w:rFonts w:hint="default" w:ascii="Times New Roman" w:hAnsi="Times New Roman" w:cs="Times New Roman"/>
                      <w:sz w:val="18"/>
                      <w:szCs w:val="16"/>
                      <w:highlight w:val="none"/>
                      <w:lang w:eastAsia="zh-CN"/>
                    </w:rPr>
                    <w:t>均为密闭桶装，</w:t>
                  </w:r>
                  <w:r>
                    <w:rPr>
                      <w:rFonts w:hint="default" w:ascii="Times New Roman" w:hAnsi="Times New Roman" w:cs="Times New Roman"/>
                      <w:sz w:val="18"/>
                      <w:szCs w:val="16"/>
                      <w:highlight w:val="none"/>
                    </w:rPr>
                    <w:t>储存、传输、装卸环节几乎没有粉尘和废气产生。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38"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7</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石化、重点有机化工等工业企业应当建立泄漏检测与修复体系，对管道、设备等进行日常检修、维护，及时收集处理泄漏物料。</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企业不属于石化、重点有机化工等工业企业。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634"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8</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生产、销售、使用含挥发性有机物的原材料和产品的，其挥发性有机物含量应当符合质量标准或者要求。省人民政府质量技术监督部门应当会同环境保护等部门，定期制定、调整低挥发性有机物含量产品目录和高挥发性有机物含量产品目录并向社会公布。列入高挥发性有机物含量产品目录的产品，应当在其包装或者说明中予以标注。</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eastAsia="宋体" w:cs="Times New Roman"/>
                      <w:sz w:val="18"/>
                      <w:szCs w:val="16"/>
                      <w:lang w:eastAsia="zh-CN"/>
                    </w:rPr>
                  </w:pPr>
                  <w:r>
                    <w:rPr>
                      <w:rFonts w:hint="default" w:ascii="Times New Roman" w:hAnsi="Times New Roman" w:cs="Times New Roman"/>
                      <w:color w:val="auto"/>
                      <w:sz w:val="18"/>
                      <w:szCs w:val="16"/>
                    </w:rPr>
                    <w:t>本项目涉及挥发性有机物原料为</w:t>
                  </w:r>
                  <w:r>
                    <w:rPr>
                      <w:rFonts w:hint="eastAsia" w:ascii="Times New Roman" w:cs="Times New Roman"/>
                      <w:color w:val="auto"/>
                      <w:sz w:val="18"/>
                      <w:szCs w:val="16"/>
                      <w:lang w:eastAsia="zh-CN"/>
                    </w:rPr>
                    <w:t>酚醛树脂胶</w:t>
                  </w:r>
                  <w:r>
                    <w:rPr>
                      <w:rFonts w:hint="default" w:ascii="Times New Roman" w:hAnsi="Times New Roman" w:cs="Times New Roman"/>
                      <w:color w:val="auto"/>
                      <w:sz w:val="18"/>
                      <w:szCs w:val="16"/>
                    </w:rPr>
                    <w:t>，</w:t>
                  </w:r>
                  <w:r>
                    <w:rPr>
                      <w:rFonts w:hint="default" w:ascii="Times New Roman" w:hAnsi="Times New Roman" w:cs="Times New Roman"/>
                      <w:color w:val="auto"/>
                      <w:sz w:val="18"/>
                      <w:szCs w:val="16"/>
                      <w:lang w:eastAsia="zh-CN"/>
                    </w:rPr>
                    <w:t>属于溶剂型涂料，商品包装中予以标注。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23" w:hRule="atLeast"/>
                <w:jc w:val="center"/>
              </w:trPr>
              <w:tc>
                <w:tcPr>
                  <w:tcW w:w="579" w:type="dxa"/>
                  <w:tcBorders>
                    <w:top w:val="single" w:color="auto" w:sz="2" w:space="0"/>
                    <w:left w:val="single" w:color="auto" w:sz="2" w:space="0"/>
                    <w:bottom w:val="single" w:color="auto" w:sz="2" w:space="0"/>
                    <w:right w:val="single" w:color="auto" w:sz="2" w:space="0"/>
                  </w:tcBorders>
                  <w:vAlign w:val="center"/>
                </w:tcPr>
                <w:p>
                  <w:pPr>
                    <w:pStyle w:val="198"/>
                    <w:spacing w:before="24" w:after="24"/>
                    <w:rPr>
                      <w:rFonts w:hint="default" w:ascii="Times New Roman" w:hAnsi="Times New Roman" w:cs="Times New Roman"/>
                      <w:sz w:val="18"/>
                      <w:szCs w:val="16"/>
                    </w:rPr>
                  </w:pPr>
                  <w:r>
                    <w:rPr>
                      <w:rFonts w:hint="default" w:ascii="Times New Roman" w:hAnsi="Times New Roman" w:cs="Times New Roman"/>
                      <w:sz w:val="18"/>
                      <w:szCs w:val="16"/>
                    </w:rPr>
                    <w:t>9</w:t>
                  </w:r>
                </w:p>
              </w:tc>
              <w:tc>
                <w:tcPr>
                  <w:tcW w:w="479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向大气排放恶臭气体的排污单位以及垃圾处置场、污水处理厂，应当按照规定设置合理的防护距离，安装净化装置或者采取其他措施减少恶臭气体排放。</w:t>
                  </w:r>
                </w:p>
              </w:tc>
              <w:tc>
                <w:tcPr>
                  <w:tcW w:w="2720" w:type="dxa"/>
                  <w:tcBorders>
                    <w:top w:val="single" w:color="auto" w:sz="2" w:space="0"/>
                    <w:left w:val="single" w:color="auto" w:sz="2" w:space="0"/>
                    <w:bottom w:val="single" w:color="auto" w:sz="2" w:space="0"/>
                    <w:right w:val="single" w:color="auto" w:sz="2" w:space="0"/>
                  </w:tcBorders>
                  <w:vAlign w:val="center"/>
                </w:tcPr>
                <w:p>
                  <w:pPr>
                    <w:pStyle w:val="198"/>
                    <w:spacing w:before="24" w:after="24"/>
                    <w:jc w:val="both"/>
                    <w:rPr>
                      <w:rFonts w:hint="default" w:ascii="Times New Roman" w:hAnsi="Times New Roman" w:cs="Times New Roman"/>
                      <w:sz w:val="18"/>
                      <w:szCs w:val="16"/>
                    </w:rPr>
                  </w:pPr>
                  <w:r>
                    <w:rPr>
                      <w:rFonts w:hint="default" w:ascii="Times New Roman" w:hAnsi="Times New Roman" w:cs="Times New Roman"/>
                      <w:sz w:val="18"/>
                      <w:szCs w:val="16"/>
                    </w:rPr>
                    <w:t>本项目不涉及恶臭气体的排放</w:t>
                  </w:r>
                </w:p>
              </w:tc>
            </w:tr>
          </w:tbl>
          <w:p>
            <w:pPr>
              <w:tabs>
                <w:tab w:val="left" w:pos="5427"/>
              </w:tabs>
              <w:spacing w:line="360" w:lineRule="auto"/>
              <w:ind w:firstLine="420" w:firstLineChars="200"/>
              <w:rPr>
                <w:rFonts w:hint="default" w:ascii="Times New Roman" w:hAnsi="Times New Roman" w:cs="Times New Roman"/>
              </w:rPr>
            </w:pPr>
            <w:r>
              <w:rPr>
                <w:rFonts w:hint="default" w:ascii="Times New Roman" w:hAnsi="Times New Roman" w:cs="Times New Roman"/>
              </w:rPr>
              <w:t>由上表可知，项目符合《山东省大气污染防治条例》的要求。</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（2）与《关于做好环境影响评价制度与排污许可制衔接相关工作的通知》（环办环评[2017]84号）的符合性分析</w:t>
            </w:r>
          </w:p>
          <w:p>
            <w:pPr>
              <w:spacing w:line="360" w:lineRule="auto"/>
              <w:jc w:val="center"/>
              <w:rPr>
                <w:rFonts w:hint="default" w:ascii="Times New Roman" w:hAnsi="Times New Roman" w:eastAsia="黑体" w:cs="Times New Roman"/>
                <w:b/>
                <w:szCs w:val="21"/>
              </w:rPr>
            </w:pPr>
            <w:r>
              <w:rPr>
                <w:rFonts w:hint="default" w:ascii="Times New Roman" w:hAnsi="Times New Roman" w:eastAsia="黑体" w:cs="Times New Roman"/>
                <w:b/>
                <w:szCs w:val="21"/>
              </w:rPr>
              <w:t>表1-7项目与环办环评[2017]84号文件符合性分析</w:t>
            </w:r>
          </w:p>
          <w:tbl>
            <w:tblPr>
              <w:tblStyle w:val="85"/>
              <w:tblW w:w="495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4479"/>
              <w:gridCol w:w="2271"/>
              <w:gridCol w:w="58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trHeight w:val="443" w:hRule="atLeast"/>
                <w:jc w:val="center"/>
              </w:trPr>
              <w:tc>
                <w:tcPr>
                  <w:tcW w:w="3053"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文件要求</w:t>
                  </w:r>
                </w:p>
              </w:tc>
              <w:tc>
                <w:tcPr>
                  <w:tcW w:w="1548"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项目情况</w:t>
                  </w:r>
                </w:p>
              </w:tc>
              <w:tc>
                <w:tcPr>
                  <w:tcW w:w="399" w:type="pct"/>
                  <w:tcBorders>
                    <w:top w:val="single" w:color="auto" w:sz="8" w:space="0"/>
                    <w:left w:val="single" w:color="auto" w:sz="8" w:space="0"/>
                    <w:bottom w:val="single" w:color="auto" w:sz="8" w:space="0"/>
                    <w:right w:val="single" w:color="auto" w:sz="8" w:space="0"/>
                  </w:tcBorders>
                  <w:tcMar>
                    <w:left w:w="28" w:type="dxa"/>
                    <w:right w:w="28" w:type="dxa"/>
                  </w:tcMar>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jc w:val="center"/>
              </w:trPr>
              <w:tc>
                <w:tcPr>
                  <w:tcW w:w="3053"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tc>
              <w:tc>
                <w:tcPr>
                  <w:tcW w:w="1548"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本次环评根据环境影响评价要素导则严格核定了产排污环节、污染物种类及污染防治设施和措施、排放口数量、位置以及每个排放口的污染物种类、允许排放浓度和允许排放量、排放方式、排放去向、自行监测计划等与污染物排放相关的主要内容；污染物排放均依据国家相应等标准要求的进行核算。</w:t>
                  </w:r>
                </w:p>
              </w:tc>
              <w:tc>
                <w:tcPr>
                  <w:tcW w:w="399"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cantSplit/>
                <w:jc w:val="center"/>
              </w:trPr>
              <w:tc>
                <w:tcPr>
                  <w:tcW w:w="3053"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tc>
              <w:tc>
                <w:tcPr>
                  <w:tcW w:w="1548" w:type="pct"/>
                  <w:tcBorders>
                    <w:top w:val="single" w:color="auto" w:sz="8" w:space="0"/>
                    <w:left w:val="single" w:color="auto" w:sz="8" w:space="0"/>
                    <w:bottom w:val="single" w:color="auto" w:sz="8" w:space="0"/>
                    <w:right w:val="single" w:color="auto" w:sz="8"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本项目正在环评阶段，环评审批后将按照要求申请排污许可证，并进行环境保护竣工验收。</w:t>
                  </w:r>
                </w:p>
              </w:tc>
              <w:tc>
                <w:tcPr>
                  <w:tcW w:w="399" w:type="pct"/>
                  <w:tcBorders>
                    <w:top w:val="single" w:color="auto" w:sz="8" w:space="0"/>
                    <w:left w:val="single" w:color="auto" w:sz="8" w:space="0"/>
                    <w:bottom w:val="single" w:color="auto" w:sz="8" w:space="0"/>
                    <w:right w:val="single" w:color="auto" w:sz="8"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符合</w:t>
                  </w:r>
                </w:p>
              </w:tc>
            </w:tr>
          </w:tbl>
          <w:p>
            <w:pPr>
              <w:tabs>
                <w:tab w:val="left" w:pos="5427"/>
              </w:tabs>
              <w:spacing w:line="360" w:lineRule="auto"/>
              <w:ind w:firstLine="420" w:firstLineChars="200"/>
              <w:rPr>
                <w:rFonts w:hint="default" w:ascii="Times New Roman" w:hAnsi="Times New Roman" w:cs="Times New Roman"/>
                <w:bCs/>
              </w:rPr>
            </w:pPr>
            <w:r>
              <w:rPr>
                <w:rFonts w:hint="default" w:ascii="Times New Roman" w:hAnsi="Times New Roman" w:cs="Times New Roman"/>
              </w:rPr>
              <w:t>（3）</w:t>
            </w:r>
            <w:r>
              <w:rPr>
                <w:rFonts w:hint="default" w:ascii="Times New Roman" w:hAnsi="Times New Roman" w:cs="Times New Roman"/>
                <w:bCs/>
              </w:rPr>
              <w:t>与鲁环办函[2016]141号的相关符合性分析</w:t>
            </w:r>
          </w:p>
          <w:p>
            <w:pPr>
              <w:tabs>
                <w:tab w:val="left" w:pos="5427"/>
              </w:tabs>
              <w:spacing w:line="360" w:lineRule="auto"/>
              <w:ind w:firstLine="420" w:firstLineChars="200"/>
              <w:rPr>
                <w:rFonts w:hint="default" w:ascii="Times New Roman" w:hAnsi="Times New Roman" w:cs="Times New Roman"/>
                <w:bCs/>
              </w:rPr>
            </w:pPr>
            <w:r>
              <w:rPr>
                <w:rFonts w:hint="default" w:ascii="Times New Roman" w:hAnsi="Times New Roman" w:cs="Times New Roman"/>
                <w:bCs/>
              </w:rPr>
              <w:t>山东省环保厅于2016年9月印发了《关于进一步加强建设项目固体废物环境管理的通知》（鲁环办函[2016]141号）。项目与该文件的符合性见下表。</w:t>
            </w:r>
          </w:p>
          <w:p>
            <w:pPr>
              <w:spacing w:line="360" w:lineRule="auto"/>
              <w:jc w:val="center"/>
              <w:rPr>
                <w:rFonts w:hint="default" w:ascii="Times New Roman" w:hAnsi="Times New Roman" w:eastAsia="黑体" w:cs="Times New Roman"/>
                <w:b/>
                <w:sz w:val="18"/>
                <w:szCs w:val="18"/>
              </w:rPr>
            </w:pPr>
            <w:r>
              <w:rPr>
                <w:rFonts w:hint="default" w:ascii="Times New Roman" w:hAnsi="Times New Roman" w:eastAsia="黑体" w:cs="Times New Roman"/>
                <w:b/>
              </w:rPr>
              <w:t>表1-8项目建设与鲁环办函[2016]141号文符合性分析</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93"/>
              <w:gridCol w:w="4854"/>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4854"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文件内容</w:t>
                  </w:r>
                </w:p>
              </w:tc>
              <w:tc>
                <w:tcPr>
                  <w:tcW w:w="1898"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b/>
                      <w:bCs/>
                      <w:sz w:val="18"/>
                      <w:szCs w:val="18"/>
                    </w:rPr>
                  </w:pPr>
                  <w:r>
                    <w:rPr>
                      <w:rFonts w:hint="default" w:ascii="Times New Roman" w:hAnsi="Times New Roman" w:cs="Times New Roman"/>
                      <w:b/>
                      <w:bCs/>
                      <w:sz w:val="18"/>
                      <w:szCs w:val="18"/>
                    </w:rPr>
                    <w:t>项目符合性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1</w:t>
                  </w:r>
                </w:p>
              </w:tc>
              <w:tc>
                <w:tcPr>
                  <w:tcW w:w="4854" w:type="dxa"/>
                  <w:tcBorders>
                    <w:top w:val="single" w:color="auto" w:sz="4" w:space="0"/>
                    <w:left w:val="single" w:color="auto" w:sz="4" w:space="0"/>
                    <w:bottom w:val="single" w:color="auto" w:sz="4" w:space="0"/>
                    <w:right w:val="single" w:color="auto" w:sz="4" w:space="0"/>
                  </w:tcBorders>
                  <w:vAlign w:val="center"/>
                </w:tcPr>
                <w:p>
                  <w:pPr>
                    <w:pStyle w:val="320"/>
                    <w:jc w:val="both"/>
                    <w:rPr>
                      <w:rFonts w:hint="default" w:ascii="Times New Roman" w:hAnsi="Times New Roman" w:cs="Times New Roman"/>
                      <w:sz w:val="18"/>
                      <w:szCs w:val="18"/>
                    </w:rPr>
                  </w:pPr>
                  <w:r>
                    <w:rPr>
                      <w:rFonts w:hint="default" w:ascii="Times New Roman" w:hAnsi="Times New Roman" w:cs="Times New Roman"/>
                      <w:sz w:val="18"/>
                      <w:szCs w:val="18"/>
                    </w:rPr>
                    <w:t>环境影响评价机构在编制建设项目环境影响评价文件时，要依据原辅料、工艺设计和物料平衡，深入分析固体废物的产生环节、种类、性质及危害特性，科学预测产生量，评价其综合利用和无害化处置方式的环境影响，并提出相应的对策措施：一要结合建设项目的工艺过程，梳理说明各类固体废物(固态、半固态及高浓度液体)的产生环节、主要成分和理化特性；二要根据《固体废物鉴别导则(试行)》(国家环保总局公告2006年11号)的规定，对建设项目产生的各类副产物是否属于固体废物进行判断，属于固体废物的，应依据《国家危险废物名录》(以下简称《名录》)判断其是否属于危险废物，凡列入《名录》的，属于危险废物，不需再进行危险特性鉴别；未列入《名录》、但疑似危险废物的，应根据产生环节和主要成分进行分析，对可能含有危险组分的，应明确在项目试生产阶段，对其作危险特性鉴别要求，并提出鉴别指标选取的建议方案；三要对分析结果进行汇总，以列表形式说明建设项目产生的固体废物的名称、类别、属性和数量等情况。在评价建设项目固体废物的环境影响时，要逐项评价建设项目业主单位提出的固体废物利用处置方案是否符合环保要求，并对其可行性进行论证。环评机构要根据建设项目固体废物工程分析和环境影响预测结果，提出废物分类收集、安全贮存、综合利用和无害化处置的合理建议，按照《环境影响评价技术导则》的有关要求，编写环境影响报告固体废物污染防治章节。</w:t>
                  </w:r>
                </w:p>
              </w:tc>
              <w:tc>
                <w:tcPr>
                  <w:tcW w:w="1898" w:type="dxa"/>
                  <w:tcBorders>
                    <w:top w:val="single" w:color="auto" w:sz="4" w:space="0"/>
                    <w:left w:val="single" w:color="auto" w:sz="4" w:space="0"/>
                    <w:bottom w:val="single" w:color="auto" w:sz="4" w:space="0"/>
                    <w:right w:val="single" w:color="auto" w:sz="4" w:space="0"/>
                  </w:tcBorders>
                  <w:vAlign w:val="center"/>
                </w:tcPr>
                <w:p>
                  <w:pPr>
                    <w:pStyle w:val="320"/>
                    <w:jc w:val="both"/>
                    <w:rPr>
                      <w:rFonts w:hint="default" w:ascii="Times New Roman" w:hAnsi="Times New Roman" w:cs="Times New Roman"/>
                      <w:sz w:val="18"/>
                      <w:szCs w:val="18"/>
                    </w:rPr>
                  </w:pPr>
                  <w:r>
                    <w:rPr>
                      <w:rFonts w:hint="default" w:ascii="Times New Roman" w:hAnsi="Times New Roman" w:cs="Times New Roman"/>
                      <w:sz w:val="18"/>
                      <w:szCs w:val="18"/>
                    </w:rPr>
                    <w:t>本次评价环评编制期间，深入分析了固体废物的产生环节、种类、性质及危害特性，根据项目实际运行情况统计了相应固废产生量，并核实了相应处置措施的可行性，报告表提出废物分类收集、安全贮存、综合利用和无害化处置的合理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2</w:t>
                  </w:r>
                </w:p>
              </w:tc>
              <w:tc>
                <w:tcPr>
                  <w:tcW w:w="4854"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核实固体废物的产生环节、种类和数量：验收监测机构应在正常工况下，选择一到两个生产周期，统计产生环节、种类和数量，并按废物类别和生产负荷(75%以上)，将生产周期内的产生量折算成年均产生量。建设项目的一个生产周期超过一个月的，则建设项目固体废物的种类和数量按一个月统计；生产周期在两周以内的，应统计两个生产周期的数量和种类。对于在试生产阶段尚未产生的固体废物，如废水处理设施的污泥、废催化剂和报废吸附脱色材料等，验收监测机构可通过同行业类比调查或者环评报告预测结果，估算固体废物的种类和产生量，同等条件下，优先采用环评预测量。建设项目在竣工环保验收前发现危险废物实际产生种类、数量或利用、处置方式发生重大变化的，应编制环境影响补充报告，报有审批权环保部门的环评科(处)备案。不属于重大变化的，验收监测报告中应将变化情况予以说明。建设项目在通过竣工环保验收后，发现危险废物实际产生种类、数量或利用、处置方式发生重大变化的，应编制固废环境影响专题报告，报有审批权环保部门的环评、固废管理科(处)和项目所在地环境监察、固废管理机构备案。</w:t>
                  </w:r>
                </w:p>
              </w:tc>
              <w:tc>
                <w:tcPr>
                  <w:tcW w:w="1898"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本项目现处于环评阶段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0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3</w:t>
                  </w:r>
                </w:p>
              </w:tc>
              <w:tc>
                <w:tcPr>
                  <w:tcW w:w="4854"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核实配套工程落实情况：建有固体废物或危险废物贮存设施的，分别按一般工业固体废物和危险废物贮存有关技术标准检查，重点检查贮存设施的标志标识、防渗、污水导排、包装容器和分类存放等内容。建有固体废物填埋、焚烧等处置设施的，要对试生产期间设施的运行和污染物排放情况分析和监测。</w:t>
                  </w:r>
                </w:p>
              </w:tc>
              <w:tc>
                <w:tcPr>
                  <w:tcW w:w="1898"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一般固体废物暂存处严格按照《中华人民共和国固体废物污染环境防治法》相关要求，采取防扬散、防流失、防渗漏或者其他防止污染环境的措施，不得擅自倾倒、堆放、丢弃、遗撒，管理过程中应符合《一般工业固体废物管理台账制定指南（试行）》（公告 2021 年第 82 号）要求，危险废物贮存设施按照危险废物执行《危险废物贮存污染控制标准》（GB18597-20</w:t>
                  </w:r>
                  <w:r>
                    <w:rPr>
                      <w:rFonts w:hint="eastAsia" w:ascii="Times New Roman" w:cs="Times New Roman"/>
                      <w:sz w:val="18"/>
                      <w:szCs w:val="18"/>
                      <w:lang w:val="en-US" w:eastAsia="zh-CN"/>
                    </w:rPr>
                    <w:t>23</w:t>
                  </w:r>
                  <w:r>
                    <w:rPr>
                      <w:rFonts w:hint="default" w:ascii="Times New Roman" w:hAnsi="Times New Roman" w:cs="Times New Roman"/>
                      <w:sz w:val="18"/>
                      <w:szCs w:val="18"/>
                    </w:rPr>
                    <w:t>）中的相关要求进行设置。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6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4</w:t>
                  </w:r>
                </w:p>
              </w:tc>
              <w:tc>
                <w:tcPr>
                  <w:tcW w:w="4854"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检查固体废物利用处置方案和管理制度落实情况：应与环评报告提出的利用处置方案、污染事故应急预案和相关管理制度等进行对比，特别是对固体废物综合利用和无害化处置的情况要跟踪落实。利用处置工艺或接受单位发生变更的，要说明原因。属危险废物委托利用处置的，要核实接受单位资质情况，检查委托利用处置等协议合同，并说明试生产期间转移联单执行情况。</w:t>
                  </w:r>
                </w:p>
              </w:tc>
              <w:tc>
                <w:tcPr>
                  <w:tcW w:w="1898"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本项目产生的固体废物均可以得到有效的处置，企业将落实固体废物处置方案和管理制度，进行相关台账的记录。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4"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pPr>
                    <w:pStyle w:val="198"/>
                    <w:spacing w:before="24" w:after="24"/>
                    <w:rPr>
                      <w:rFonts w:hint="default" w:ascii="Times New Roman" w:hAnsi="Times New Roman" w:cs="Times New Roman"/>
                      <w:sz w:val="18"/>
                      <w:szCs w:val="18"/>
                    </w:rPr>
                  </w:pPr>
                  <w:r>
                    <w:rPr>
                      <w:rFonts w:hint="default" w:ascii="Times New Roman" w:hAnsi="Times New Roman" w:cs="Times New Roman"/>
                      <w:sz w:val="18"/>
                      <w:szCs w:val="18"/>
                    </w:rPr>
                    <w:t>5</w:t>
                  </w:r>
                </w:p>
              </w:tc>
              <w:tc>
                <w:tcPr>
                  <w:tcW w:w="4854"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建设项目的业主或负有管理责任的单位(以下统称“产生者”)对其产生的固体废物，应承担污染防治主体责任。在建设项目正式投入生产前，产生者应当如实提供建设项目的生产工艺、设备和原辅材料种类、性质和数量，分析可能产生固体废物的环节、数量和性质以及固体废物贮存、处置的方法和途径，供有关评价或验收监测机构参考。产生者应按国家有关法规要求，妥善利用处置产生的固体废物。属委托利用处置危险废物的，在委托前，产生者应对被委托方的处置资格、能力等进行调查核实，在此基础上，产生者应与被委托方签订书面委托协议，明确拟交与危险废物的种类、性质、数量、交付方式、运输和利用处置要求与标准等事项。处置时，产生者应主动了解、核实处置情况，保证委托协议得到实施，确保危险废物得到妥善、安全和无害化利用或处置。</w:t>
                  </w:r>
                </w:p>
              </w:tc>
              <w:tc>
                <w:tcPr>
                  <w:tcW w:w="1898" w:type="dxa"/>
                  <w:tcBorders>
                    <w:top w:val="single" w:color="auto" w:sz="4" w:space="0"/>
                    <w:left w:val="single" w:color="auto" w:sz="4" w:space="0"/>
                    <w:bottom w:val="single" w:color="auto" w:sz="4" w:space="0"/>
                    <w:right w:val="single" w:color="auto" w:sz="4" w:space="0"/>
                  </w:tcBorders>
                  <w:vAlign w:val="center"/>
                </w:tcPr>
                <w:p>
                  <w:pPr>
                    <w:pStyle w:val="198"/>
                    <w:spacing w:before="24" w:after="24"/>
                    <w:jc w:val="both"/>
                    <w:rPr>
                      <w:rFonts w:hint="default" w:ascii="Times New Roman" w:hAnsi="Times New Roman" w:cs="Times New Roman"/>
                      <w:sz w:val="18"/>
                      <w:szCs w:val="18"/>
                    </w:rPr>
                  </w:pPr>
                  <w:r>
                    <w:rPr>
                      <w:rFonts w:hint="default" w:ascii="Times New Roman" w:hAnsi="Times New Roman" w:cs="Times New Roman"/>
                      <w:sz w:val="18"/>
                      <w:szCs w:val="18"/>
                    </w:rPr>
                    <w:t>本项目现处于环评阶段，所有生产工艺，设备和原辅料均为企业提供，企业届时将按照要求进行固体废物的台账记录和处置</w:t>
                  </w:r>
                </w:p>
              </w:tc>
            </w:tr>
          </w:tbl>
          <w:p>
            <w:pPr>
              <w:pStyle w:val="2"/>
              <w:spacing w:line="420" w:lineRule="exact"/>
              <w:ind w:left="0" w:leftChars="0" w:firstLine="31680"/>
              <w:rPr>
                <w:rFonts w:hint="default" w:ascii="Times New Roman" w:hAnsi="Times New Roman" w:cs="Times New Roman"/>
                <w:bCs/>
                <w:szCs w:val="21"/>
              </w:rPr>
            </w:pPr>
            <w:r>
              <w:rPr>
                <w:rFonts w:hint="default" w:ascii="Times New Roman" w:hAnsi="Times New Roman" w:cs="Times New Roman"/>
                <w:bCs/>
                <w:szCs w:val="21"/>
              </w:rPr>
              <w:t>由上表可知，项目符合《关于进一步加强建设项目固体废物环境管理的通知》（鲁环办函[2016]141号）的要求。</w:t>
            </w:r>
          </w:p>
          <w:p>
            <w:pPr>
              <w:autoSpaceDE w:val="0"/>
              <w:autoSpaceDN w:val="0"/>
              <w:adjustRightIn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（4）与《关于“两高”项目管理有关事项的通知》（鲁发改工业[2022]255号）及其中《山东省“两高”项目管理目录（202</w:t>
            </w:r>
            <w:r>
              <w:rPr>
                <w:rFonts w:hint="eastAsia" w:cs="Times New Roman"/>
                <w:bCs/>
                <w:szCs w:val="21"/>
                <w:lang w:val="en-US" w:eastAsia="zh-CN"/>
              </w:rPr>
              <w:t>3</w:t>
            </w:r>
            <w:r>
              <w:rPr>
                <w:rFonts w:hint="default" w:ascii="Times New Roman" w:hAnsi="Times New Roman" w:cs="Times New Roman"/>
                <w:bCs/>
                <w:szCs w:val="21"/>
              </w:rPr>
              <w:t>年版）》的符合性分析</w:t>
            </w:r>
          </w:p>
          <w:p>
            <w:pPr>
              <w:spacing w:line="360" w:lineRule="auto"/>
              <w:jc w:val="center"/>
              <w:rPr>
                <w:rFonts w:hint="default" w:ascii="Times New Roman" w:hAnsi="Times New Roman" w:cs="Times New Roman"/>
                <w:bCs/>
                <w:szCs w:val="21"/>
              </w:rPr>
            </w:pPr>
            <w:r>
              <w:rPr>
                <w:rFonts w:hint="default" w:ascii="Times New Roman" w:hAnsi="Times New Roman" w:eastAsia="黑体" w:cs="Times New Roman"/>
                <w:b/>
              </w:rPr>
              <w:t>表1-</w:t>
            </w:r>
            <w:r>
              <w:rPr>
                <w:rFonts w:hint="eastAsia" w:eastAsia="黑体" w:cs="Times New Roman"/>
                <w:b/>
                <w:lang w:val="en-US" w:eastAsia="zh-CN"/>
              </w:rPr>
              <w:t>9</w:t>
            </w:r>
            <w:r>
              <w:rPr>
                <w:rFonts w:hint="default" w:ascii="Times New Roman" w:hAnsi="Times New Roman" w:eastAsia="黑体" w:cs="Times New Roman"/>
                <w:b/>
              </w:rPr>
              <w:t xml:space="preserve"> 与关于印发山东省“两高”项目管理目录（202</w:t>
            </w:r>
            <w:r>
              <w:rPr>
                <w:rFonts w:hint="eastAsia" w:eastAsia="黑体" w:cs="Times New Roman"/>
                <w:b/>
                <w:lang w:val="en-US" w:eastAsia="zh-CN"/>
              </w:rPr>
              <w:t>3</w:t>
            </w:r>
            <w:r>
              <w:rPr>
                <w:rFonts w:hint="default" w:ascii="Times New Roman" w:hAnsi="Times New Roman" w:eastAsia="黑体" w:cs="Times New Roman"/>
                <w:b/>
              </w:rPr>
              <w:t>年版）的符合性分析</w:t>
            </w:r>
          </w:p>
          <w:tbl>
            <w:tblPr>
              <w:tblStyle w:val="85"/>
              <w:tblW w:w="5000" w:type="pct"/>
              <w:jc w:val="center"/>
              <w:tblLayout w:type="fixed"/>
              <w:tblCellMar>
                <w:top w:w="0" w:type="dxa"/>
                <w:left w:w="0" w:type="dxa"/>
                <w:bottom w:w="0" w:type="dxa"/>
                <w:right w:w="0" w:type="dxa"/>
              </w:tblCellMar>
            </w:tblPr>
            <w:tblGrid>
              <w:gridCol w:w="337"/>
              <w:gridCol w:w="586"/>
              <w:gridCol w:w="1761"/>
              <w:gridCol w:w="1223"/>
              <w:gridCol w:w="942"/>
              <w:gridCol w:w="566"/>
              <w:gridCol w:w="465"/>
              <w:gridCol w:w="479"/>
              <w:gridCol w:w="505"/>
              <w:gridCol w:w="565"/>
            </w:tblGrid>
            <w:tr>
              <w:tblPrEx>
                <w:tblCellMar>
                  <w:top w:w="0" w:type="dxa"/>
                  <w:left w:w="0" w:type="dxa"/>
                  <w:bottom w:w="0" w:type="dxa"/>
                  <w:right w:w="0" w:type="dxa"/>
                </w:tblCellMar>
              </w:tblPrEx>
              <w:trPr>
                <w:trHeight w:val="615"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序号</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产业分类</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产品</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核心装置</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对应国民经济行业小类</w:t>
                  </w:r>
                </w:p>
              </w:tc>
              <w:tc>
                <w:tcPr>
                  <w:tcW w:w="566"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产能替代系数</w:t>
                  </w:r>
                </w:p>
              </w:tc>
              <w:tc>
                <w:tcPr>
                  <w:tcW w:w="46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能耗替代系数</w:t>
                  </w:r>
                </w:p>
              </w:tc>
              <w:tc>
                <w:tcPr>
                  <w:tcW w:w="47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煤耗替代系数</w:t>
                  </w:r>
                </w:p>
              </w:tc>
              <w:tc>
                <w:tcPr>
                  <w:tcW w:w="505"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碳排放替代系数</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eastAsia" w:ascii="宋体" w:hAnsi="宋体" w:eastAsia="宋体" w:cs="宋体"/>
                      <w:b/>
                      <w:bCs/>
                      <w:color w:val="000000"/>
                      <w:sz w:val="18"/>
                      <w:szCs w:val="18"/>
                    </w:rPr>
                  </w:pPr>
                  <w:r>
                    <w:rPr>
                      <w:rFonts w:hint="eastAsia" w:ascii="宋体" w:hAnsi="宋体" w:eastAsia="宋体" w:cs="宋体"/>
                      <w:b/>
                      <w:bCs/>
                      <w:color w:val="000000"/>
                      <w:kern w:val="0"/>
                      <w:sz w:val="18"/>
                      <w:szCs w:val="18"/>
                      <w:lang w:bidi="ar"/>
                    </w:rPr>
                    <w:t>污染物排放替代系数</w:t>
                  </w:r>
                </w:p>
              </w:tc>
            </w:tr>
            <w:tr>
              <w:tblPrEx>
                <w:tblCellMar>
                  <w:top w:w="0" w:type="dxa"/>
                  <w:left w:w="0" w:type="dxa"/>
                  <w:bottom w:w="0" w:type="dxa"/>
                  <w:right w:w="0" w:type="dxa"/>
                </w:tblCellMar>
              </w:tblPrEx>
              <w:trPr>
                <w:trHeight w:val="823" w:hRule="atLeast"/>
                <w:jc w:val="center"/>
              </w:trPr>
              <w:tc>
                <w:tcPr>
                  <w:tcW w:w="337"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586" w:type="dxa"/>
                  <w:vMerge w:val="restart"/>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炼化</w:t>
                  </w:r>
                </w:p>
              </w:tc>
              <w:tc>
                <w:tcPr>
                  <w:tcW w:w="1761"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汽油、煤油、柴油、燃料油、石脑油、溶剂油、石油气、沥青及其他相关产品，不含一二次炼油之外的质量升级油品</w:t>
                  </w:r>
                </w:p>
              </w:tc>
              <w:tc>
                <w:tcPr>
                  <w:tcW w:w="122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一次炼油（常减压）、二次炼油（催化裂化、加氢裂化、催化重整、延迟焦化）</w:t>
                  </w:r>
                </w:p>
              </w:tc>
              <w:tc>
                <w:tcPr>
                  <w:tcW w:w="942"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原油加工及石油制品制造（2511）</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551" w:hRule="atLeast"/>
                <w:jc w:val="center"/>
              </w:trPr>
              <w:tc>
                <w:tcPr>
                  <w:tcW w:w="337"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乙烯、对二甲苯（PX）</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乙烯装置、PX装置</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有机化学原料制造（2614）</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960"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焦化</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焦炭</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焦炉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炼焦（2521）</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46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煤制液体燃料</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煤制甲醇</w:t>
                  </w:r>
                </w:p>
              </w:tc>
              <w:tc>
                <w:tcPr>
                  <w:tcW w:w="12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煤气化炉、合成塔</w:t>
                  </w:r>
                </w:p>
              </w:tc>
              <w:tc>
                <w:tcPr>
                  <w:tcW w:w="94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煤制液体燃料生产（2523）</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48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煤制烯烃（乙烯、丙烯）</w:t>
                  </w:r>
                </w:p>
              </w:tc>
              <w:tc>
                <w:tcPr>
                  <w:tcW w:w="12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48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煤制乙二醇</w:t>
                  </w:r>
                </w:p>
              </w:tc>
              <w:tc>
                <w:tcPr>
                  <w:tcW w:w="12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94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50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基础化学原料</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氯碱（烧碱）</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电解槽</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无机碱制造（2612）</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54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纯碱</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碳化塔</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无机碱制造（2612）</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52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电石（碳化钙）</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电石炉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无机盐制造（2613）</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46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黄磷</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黄磷制取设备</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其他基础化学原料制造（2619）</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27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化肥</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合成氨、尿素</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合成氨装置</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氮肥制造（2621）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54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磷酸一铵、磷酸二铵</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氨化装置</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磷肥制造（2622）</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900"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轮胎</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子午胎、斜交胎、摩托车胎等轮胎外胎，不包括内胎和轮胎翻新</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密炼机、硫化机</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轮胎制造（2911）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96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水泥熟料</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水泥窑</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水泥制造（3011）</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2/1.5</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4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水泥粉磨</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水泥磨机、预粉磨主电动机</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水泥制造（3011）</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4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840"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石灰</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生石灰、消石灰、水硬石灰</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石灰窑</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石灰和石膏制造（3012）</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1020"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平板玻璃</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普通平板玻璃，浮法平板玻璃，压延玻璃，不包括光伏压延玻璃、基板玻璃</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玻璃熔炉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平板玻璃制造（3041）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1.25/1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8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陶瓷</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建筑陶瓷，不包括非经高温烧结的发泡陶瓷板等</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辊道和隧道窑</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建筑陶瓷制品制造（3071）</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80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卫生陶瓷</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隧道窑</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卫生陶瓷制品制造（3072）</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8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钢铁</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炼钢用生铁、熔融还原铁</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高炉，氢冶金、</w:t>
                  </w:r>
                  <w:r>
                    <w:rPr>
                      <w:rStyle w:val="607"/>
                      <w:rFonts w:hint="eastAsia" w:ascii="宋体" w:hAnsi="宋体" w:eastAsia="宋体" w:cs="宋体"/>
                      <w:sz w:val="18"/>
                      <w:szCs w:val="18"/>
                      <w:lang w:bidi="ar"/>
                    </w:rPr>
                    <w:t>Corex、Finex、HIsmelt还原装置</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炼铁（3110）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1.5/1.25/1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48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非合金钢粗钢、低合金钢粗钢、合金钢粗钢</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转炉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炼钢（3120）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1.5/1.25/1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50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电弧炉、AOD炉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40"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铸造用生铁</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铸造用生铁</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高炉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炼铁（3110）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40" w:hRule="atLeast"/>
                <w:jc w:val="center"/>
              </w:trPr>
              <w:tc>
                <w:tcPr>
                  <w:tcW w:w="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5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铁合金</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硅铁、锰硅合金、高碳铬铁、镍铁及其他铁合金产品</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矿热炉、电弧炉、高炉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铁合金冶炼（3140）</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2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有色</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氧化铝</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煅烧或焙烧炉</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66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电解铝，不包括再生铝</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电解槽</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2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阴极铜、阳极铜、粗铜、电解铜</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电解槽</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铜冶炼（3211）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6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粗铅、电解铅、粗锌、电解锌</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电解槽</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铅锌冶炼（3212）</w:t>
                  </w: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0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铸造</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黑色金属铸件</w:t>
                  </w:r>
                </w:p>
              </w:tc>
              <w:tc>
                <w:tcPr>
                  <w:tcW w:w="1223"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电炉等熔炼设备、造型设备</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黑色金属铸造（3391）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66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有色金属铸件</w:t>
                  </w:r>
                </w:p>
              </w:tc>
              <w:tc>
                <w:tcPr>
                  <w:tcW w:w="1223"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有色金属铸造（3392）</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80" w:hRule="atLeast"/>
                <w:jc w:val="center"/>
              </w:trPr>
              <w:tc>
                <w:tcPr>
                  <w:tcW w:w="337"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58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煤电</w:t>
                  </w:r>
                </w:p>
              </w:tc>
              <w:tc>
                <w:tcPr>
                  <w:tcW w:w="17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电力（燃煤发电，包含煤矸石发电）</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抽凝、纯凝机组</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火力发电（4411）</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0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电力和热力（热电联产）</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抽凝机组</w:t>
                  </w:r>
                </w:p>
              </w:tc>
              <w:tc>
                <w:tcPr>
                  <w:tcW w:w="94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热电联产（4412）</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r>
              <w:tblPrEx>
                <w:tblCellMar>
                  <w:top w:w="0" w:type="dxa"/>
                  <w:left w:w="0" w:type="dxa"/>
                  <w:bottom w:w="0" w:type="dxa"/>
                  <w:right w:w="0" w:type="dxa"/>
                </w:tblCellMar>
              </w:tblPrEx>
              <w:trPr>
                <w:trHeight w:val="720" w:hRule="atLeast"/>
                <w:jc w:val="center"/>
              </w:trPr>
              <w:tc>
                <w:tcPr>
                  <w:tcW w:w="337"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color w:val="000000"/>
                      <w:sz w:val="18"/>
                      <w:szCs w:val="18"/>
                    </w:rPr>
                  </w:pPr>
                </w:p>
              </w:tc>
              <w:tc>
                <w:tcPr>
                  <w:tcW w:w="176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背压机组</w:t>
                  </w:r>
                </w:p>
              </w:tc>
              <w:tc>
                <w:tcPr>
                  <w:tcW w:w="94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eastAsia="宋体" w:cs="宋体"/>
                      <w:color w:val="000000"/>
                      <w:sz w:val="18"/>
                      <w:szCs w:val="18"/>
                    </w:rPr>
                  </w:pPr>
                </w:p>
              </w:tc>
              <w:tc>
                <w:tcPr>
                  <w:tcW w:w="566"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无</w:t>
                  </w:r>
                </w:p>
              </w:tc>
              <w:tc>
                <w:tcPr>
                  <w:tcW w:w="4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0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565"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lang w:bidi="ar"/>
                    </w:rPr>
                    <w:t>2/1</w:t>
                  </w:r>
                </w:p>
              </w:tc>
            </w:tr>
          </w:tbl>
          <w:p>
            <w:pPr>
              <w:pStyle w:val="377"/>
              <w:ind w:firstLine="31680"/>
              <w:rPr>
                <w:rFonts w:hint="default" w:ascii="Times New Roman" w:hAnsi="Times New Roman" w:cs="Times New Roman"/>
                <w:sz w:val="21"/>
                <w:szCs w:val="21"/>
              </w:rPr>
            </w:pPr>
            <w:r>
              <w:rPr>
                <w:rFonts w:hint="default" w:ascii="Times New Roman" w:hAnsi="Times New Roman" w:cs="Times New Roman"/>
                <w:bCs/>
                <w:sz w:val="21"/>
                <w:szCs w:val="21"/>
              </w:rPr>
              <w:t>由上表可知，本项目</w:t>
            </w:r>
            <w:r>
              <w:rPr>
                <w:rFonts w:hint="default" w:ascii="Times New Roman" w:hAnsi="Times New Roman" w:cs="Times New Roman"/>
                <w:bCs/>
                <w:sz w:val="21"/>
                <w:szCs w:val="21"/>
                <w:lang w:eastAsia="zh-CN"/>
              </w:rPr>
              <w:t>不属于“两高”项目。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rPr>
              <w:t>（5）</w:t>
            </w:r>
            <w:r>
              <w:rPr>
                <w:rFonts w:hint="eastAsia" w:ascii="宋体" w:hAnsi="宋体" w:eastAsia="宋体" w:cs="宋体"/>
                <w:b w:val="0"/>
                <w:bCs w:val="0"/>
                <w:kern w:val="2"/>
                <w:sz w:val="21"/>
                <w:szCs w:val="21"/>
                <w:lang w:val="en-US" w:eastAsia="zh-CN" w:bidi="ar-SA"/>
              </w:rPr>
              <w:t>与山东省生态环境委员会办公室关于印发《山东省深入打好蓝天保卫战行动计划（2021-2025年）》的符合性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bCs/>
                <w:lang w:val="en-US" w:eastAsia="zh-CN"/>
              </w:rPr>
            </w:pPr>
            <w:r>
              <w:rPr>
                <w:rFonts w:hint="eastAsia" w:ascii="黑体" w:hAnsi="黑体" w:eastAsia="黑体" w:cs="黑体"/>
                <w:b/>
                <w:bCs/>
                <w:sz w:val="21"/>
                <w:szCs w:val="21"/>
                <w:lang w:val="en-US" w:eastAsia="zh-CN"/>
              </w:rPr>
              <w:t>表1-10 与《</w:t>
            </w:r>
            <w:r>
              <w:rPr>
                <w:rFonts w:hint="eastAsia" w:ascii="黑体" w:hAnsi="黑体" w:eastAsia="黑体" w:cs="黑体"/>
                <w:b/>
                <w:bCs/>
                <w:kern w:val="2"/>
                <w:sz w:val="21"/>
                <w:szCs w:val="21"/>
                <w:lang w:val="en-US" w:eastAsia="zh-CN" w:bidi="ar-SA"/>
              </w:rPr>
              <w:t>山东省深入打好蓝天保卫战行动计划（2021-2025年）</w:t>
            </w:r>
            <w:r>
              <w:rPr>
                <w:rFonts w:hint="eastAsia" w:ascii="黑体" w:hAnsi="黑体" w:eastAsia="黑体" w:cs="黑体"/>
                <w:b/>
                <w:bCs/>
                <w:sz w:val="21"/>
                <w:szCs w:val="21"/>
                <w:lang w:val="en-US" w:eastAsia="zh-CN"/>
              </w:rPr>
              <w:t>》的符合性分析</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4403"/>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文件要求</w:t>
                  </w:r>
                </w:p>
              </w:tc>
              <w:tc>
                <w:tcPr>
                  <w:tcW w:w="48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本项目情况</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bCs/>
                      <w:sz w:val="18"/>
                      <w:szCs w:val="18"/>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zh" w:eastAsia="zh-CN" w:bidi="ar-SA"/>
                    </w:rPr>
                    <w:t>一、淘汰低效落后产能</w:t>
                  </w:r>
                </w:p>
              </w:tc>
              <w:tc>
                <w:tcPr>
                  <w:tcW w:w="4879" w:type="dxa"/>
                  <w:noWrap w:val="0"/>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聚焦钢铁、地炼、焦化、煤电、水泥、轮胎、煤炭、化工8个重点行业，加快淘汰低效落后产能。严格执行质量、环保、能耗、安全等法规标准，按照《产业结构调整指导目录》，对“淘汰类”落后生产工艺装备和落后产品全部淘汰出清。</w:t>
                  </w:r>
                </w:p>
              </w:tc>
              <w:tc>
                <w:tcPr>
                  <w:tcW w:w="2265" w:type="dxa"/>
                  <w:noWrap w:val="0"/>
                  <w:vAlign w:val="center"/>
                </w:tcPr>
                <w:p>
                  <w:pPr>
                    <w:keepNext w:val="0"/>
                    <w:keepLines w:val="0"/>
                    <w:pageBreakBefore w:val="0"/>
                    <w:widowControl/>
                    <w:suppressLineNumbers w:val="0"/>
                    <w:kinsoku/>
                    <w:wordWrap/>
                    <w:overflowPunct/>
                    <w:topLinePunct w:val="0"/>
                    <w:bidi w:val="0"/>
                    <w:snapToGrid/>
                    <w:spacing w:line="240" w:lineRule="auto"/>
                    <w:ind w:firstLine="0" w:firstLineChars="0"/>
                    <w:jc w:val="center"/>
                    <w:rPr>
                      <w:rFonts w:hint="default" w:ascii="Times New Roman" w:hAnsi="Times New Roman" w:eastAsia="宋体" w:cs="Times New Roman"/>
                      <w:b w:val="0"/>
                      <w:bCs w:val="0"/>
                      <w:color w:val="auto"/>
                      <w:kern w:val="2"/>
                      <w:sz w:val="18"/>
                      <w:szCs w:val="18"/>
                      <w:lang w:val="en-US" w:eastAsia="zh-CN" w:bidi="ar-SA"/>
                    </w:rPr>
                  </w:pPr>
                  <w:r>
                    <w:rPr>
                      <w:rFonts w:hint="default" w:ascii="Times New Roman" w:hAnsi="Times New Roman" w:eastAsia="宋体" w:cs="Times New Roman"/>
                      <w:color w:val="000000"/>
                      <w:kern w:val="0"/>
                      <w:sz w:val="18"/>
                      <w:szCs w:val="18"/>
                      <w:lang w:val="en-US" w:eastAsia="zh-CN" w:bidi="ar"/>
                    </w:rPr>
                    <w:t>本项目</w:t>
                  </w:r>
                  <w:r>
                    <w:rPr>
                      <w:rFonts w:hint="eastAsia" w:cs="Times New Roman"/>
                      <w:color w:val="000000"/>
                      <w:kern w:val="0"/>
                      <w:sz w:val="18"/>
                      <w:szCs w:val="18"/>
                      <w:lang w:val="en-US" w:eastAsia="zh-CN" w:bidi="ar"/>
                    </w:rPr>
                    <w:t>属于其他纺织业及塑料制品业</w:t>
                  </w:r>
                  <w:r>
                    <w:rPr>
                      <w:rFonts w:hint="default" w:ascii="Times New Roman" w:hAnsi="Times New Roman" w:eastAsia="宋体" w:cs="Times New Roman"/>
                      <w:color w:val="000000"/>
                      <w:kern w:val="0"/>
                      <w:sz w:val="18"/>
                      <w:szCs w:val="18"/>
                      <w:lang w:val="en-US" w:eastAsia="zh-CN" w:bidi="ar"/>
                    </w:rPr>
                    <w:t>，根据《产业结构调整指导目录（2019年本）》，本项目属于允许类项目</w:t>
                  </w:r>
                  <w:r>
                    <w:rPr>
                      <w:rFonts w:hint="eastAsia" w:cs="Times New Roman"/>
                      <w:color w:val="000000"/>
                      <w:kern w:val="0"/>
                      <w:sz w:val="18"/>
                      <w:szCs w:val="18"/>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auto"/>
                    <w:ind w:left="0" w:leftChars="0" w:right="0" w:rightChars="0" w:firstLine="0" w:firstLineChars="0"/>
                    <w:jc w:val="center"/>
                    <w:textAlignment w:val="baseline"/>
                    <w:rPr>
                      <w:rFonts w:hint="default" w:ascii="Times New Roman" w:hAnsi="Times New Roman" w:eastAsia="宋体" w:cs="Times New Roman"/>
                      <w:kern w:val="0"/>
                      <w:sz w:val="18"/>
                      <w:szCs w:val="18"/>
                      <w:lang w:val="en-US" w:eastAsia="zh-CN" w:bidi="ar-SA"/>
                    </w:rPr>
                  </w:pPr>
                  <w:r>
                    <w:rPr>
                      <w:rFonts w:hint="default" w:ascii="Times New Roman" w:hAnsi="Times New Roman" w:eastAsia="宋体" w:cs="Times New Roman"/>
                      <w:kern w:val="0"/>
                      <w:sz w:val="18"/>
                      <w:szCs w:val="18"/>
                      <w:lang w:val="zh" w:eastAsia="zh-CN"/>
                    </w:rPr>
                    <w:t>四、实施</w:t>
                  </w:r>
                  <w:r>
                    <w:rPr>
                      <w:rFonts w:hint="default" w:ascii="Times New Roman" w:hAnsi="Times New Roman" w:eastAsia="宋体" w:cs="Times New Roman"/>
                      <w:kern w:val="0"/>
                      <w:sz w:val="18"/>
                      <w:szCs w:val="18"/>
                      <w:lang w:val="en-US" w:eastAsia="zh-CN"/>
                    </w:rPr>
                    <w:t>VOCs全过程污染防治</w:t>
                  </w:r>
                </w:p>
              </w:tc>
              <w:tc>
                <w:tcPr>
                  <w:tcW w:w="4879" w:type="dxa"/>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000000"/>
                      <w:kern w:val="0"/>
                      <w:sz w:val="18"/>
                      <w:szCs w:val="18"/>
                      <w:lang w:val="en-US" w:eastAsia="zh-CN" w:bidi="ar"/>
                    </w:rPr>
                    <w:t>实施低VOCs含量工业涂料、油墨、胶粘剂、清洗剂等原辅料使用替代。新、改、扩建工业涂装、包装印刷等含VOCs原辅材料使用的项目，原则上使用低（无）VOCs含量产品。</w:t>
                  </w:r>
                </w:p>
              </w:tc>
              <w:tc>
                <w:tcPr>
                  <w:tcW w:w="2265" w:type="dxa"/>
                  <w:noWrap w:val="0"/>
                  <w:vAlign w:val="center"/>
                </w:tcPr>
                <w:p>
                  <w:pPr>
                    <w:pStyle w:val="198"/>
                    <w:keepNext w:val="0"/>
                    <w:keepLines w:val="0"/>
                    <w:pageBreakBefore w:val="0"/>
                    <w:widowControl w:val="0"/>
                    <w:kinsoku/>
                    <w:wordWrap/>
                    <w:overflowPunct/>
                    <w:topLinePunct w:val="0"/>
                    <w:bidi w:val="0"/>
                    <w:adjustRightInd w:val="0"/>
                    <w:spacing w:beforeLines="0" w:afterLines="0" w:line="240" w:lineRule="auto"/>
                    <w:ind w:left="0" w:leftChars="0" w:right="0" w:rightChars="0" w:firstLine="0" w:firstLineChars="0"/>
                    <w:jc w:val="center"/>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sz w:val="18"/>
                      <w:szCs w:val="18"/>
                      <w:highlight w:val="none"/>
                      <w:lang w:eastAsia="zh-CN"/>
                    </w:rPr>
                    <w:t>本项目</w:t>
                  </w:r>
                  <w:r>
                    <w:rPr>
                      <w:rFonts w:hint="eastAsia" w:ascii="Times New Roman" w:cs="Times New Roman"/>
                      <w:b w:val="0"/>
                      <w:bCs w:val="0"/>
                      <w:color w:val="auto"/>
                      <w:sz w:val="18"/>
                      <w:szCs w:val="18"/>
                      <w:highlight w:val="none"/>
                      <w:lang w:eastAsia="zh-CN"/>
                    </w:rPr>
                    <w:t>使用的酚醛树脂胶</w:t>
                  </w:r>
                  <w:r>
                    <w:rPr>
                      <w:rFonts w:hint="eastAsia" w:ascii="Times New Roman" w:cs="Times New Roman"/>
                      <w:b w:val="0"/>
                      <w:bCs w:val="0"/>
                      <w:color w:val="auto"/>
                      <w:sz w:val="18"/>
                      <w:szCs w:val="18"/>
                      <w:highlight w:val="none"/>
                      <w:lang w:val="en-US" w:eastAsia="zh-CN"/>
                    </w:rPr>
                    <w:t>VOCs含量为2.35%，属于低VOCs含量产品</w:t>
                  </w:r>
                  <w:r>
                    <w:rPr>
                      <w:rFonts w:hint="eastAsia" w:ascii="Times New Roman" w:cs="Times New Roman"/>
                      <w:b w:val="0"/>
                      <w:bCs w:val="0"/>
                      <w:color w:val="auto"/>
                      <w:sz w:val="18"/>
                      <w:szCs w:val="1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五、强化工业源NOx深度治理</w:t>
                  </w:r>
                </w:p>
              </w:tc>
              <w:tc>
                <w:tcPr>
                  <w:tcW w:w="48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严格治理设施运行监管，燃煤机组、锅炉、钢铁企业污染排放稳定达到超低排放要求。2023年年底前，完成焦化、水泥行业超低排放改造。实施玻璃、陶瓷、铸造、铁合金、有色等行业污染深度治理，确保各类大气污染物稳定达标排放。重点涉气排放企业取消烟气旁路，确因安全生产等原因无法取消的，应安装有效监控装置纳入监管。引导重点企业在秋冬季安排停产检修、维修，减少污染物排放。（省生态环境厅、省工业和信息化厅牵头）</w:t>
                  </w:r>
                </w:p>
              </w:tc>
              <w:tc>
                <w:tcPr>
                  <w:tcW w:w="22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 w:val="18"/>
                      <w:szCs w:val="18"/>
                      <w:vertAlign w:val="baseline"/>
                      <w:lang w:val="en-US" w:eastAsia="zh-CN"/>
                    </w:rPr>
                  </w:pPr>
                  <w:r>
                    <w:rPr>
                      <w:rFonts w:hint="default" w:ascii="Times New Roman" w:hAnsi="Times New Roman" w:eastAsia="宋体" w:cs="Times New Roman"/>
                      <w:b w:val="0"/>
                      <w:bCs w:val="0"/>
                      <w:sz w:val="18"/>
                      <w:szCs w:val="18"/>
                      <w:vertAlign w:val="baseline"/>
                      <w:lang w:val="en-US" w:eastAsia="zh-CN"/>
                    </w:rPr>
                    <w:t>本项目使用清洁能源</w:t>
                  </w:r>
                  <w:r>
                    <w:rPr>
                      <w:rFonts w:hint="eastAsia" w:cs="Times New Roman"/>
                      <w:b w:val="0"/>
                      <w:bCs w:val="0"/>
                      <w:sz w:val="18"/>
                      <w:szCs w:val="18"/>
                      <w:vertAlign w:val="baseline"/>
                      <w:lang w:val="en-US" w:eastAsia="zh-CN"/>
                    </w:rPr>
                    <w:t>电</w:t>
                  </w:r>
                  <w:r>
                    <w:rPr>
                      <w:rFonts w:hint="default" w:ascii="Times New Roman" w:hAnsi="Times New Roman" w:eastAsia="宋体" w:cs="Times New Roman"/>
                      <w:b w:val="0"/>
                      <w:bCs w:val="0"/>
                      <w:sz w:val="18"/>
                      <w:szCs w:val="18"/>
                      <w:vertAlign w:val="baseline"/>
                      <w:lang w:val="en-US" w:eastAsia="zh-CN"/>
                    </w:rPr>
                    <w:t>，</w:t>
                  </w:r>
                  <w:r>
                    <w:rPr>
                      <w:rFonts w:hint="eastAsia" w:cs="Times New Roman"/>
                      <w:b w:val="0"/>
                      <w:bCs w:val="0"/>
                      <w:sz w:val="18"/>
                      <w:szCs w:val="18"/>
                      <w:vertAlign w:val="baseline"/>
                      <w:lang w:val="en-US" w:eastAsia="zh-CN"/>
                    </w:rPr>
                    <w:t>根据主要环境影响和保护措施章节计算，本项目废气均</w:t>
                  </w:r>
                  <w:r>
                    <w:rPr>
                      <w:rFonts w:hint="default" w:ascii="Times New Roman" w:hAnsi="Times New Roman" w:eastAsia="宋体" w:cs="Times New Roman"/>
                      <w:b w:val="0"/>
                      <w:bCs w:val="0"/>
                      <w:sz w:val="18"/>
                      <w:szCs w:val="18"/>
                      <w:vertAlign w:val="baseline"/>
                      <w:lang w:val="en-US" w:eastAsia="zh-CN"/>
                    </w:rPr>
                    <w:t>达标外排。</w:t>
                  </w:r>
                  <w:r>
                    <w:rPr>
                      <w:rFonts w:hint="eastAsia" w:cs="Times New Roman"/>
                      <w:b w:val="0"/>
                      <w:bCs w:val="0"/>
                      <w:sz w:val="18"/>
                      <w:szCs w:val="18"/>
                      <w:vertAlign w:val="baseline"/>
                      <w:lang w:val="en-US" w:eastAsia="zh-CN"/>
                    </w:rPr>
                    <w:t>本项目无烟气旁路。</w:t>
                  </w:r>
                </w:p>
              </w:tc>
            </w:tr>
          </w:tbl>
          <w:p>
            <w:pPr>
              <w:spacing w:line="360" w:lineRule="auto"/>
              <w:ind w:firstLine="420" w:firstLineChars="200"/>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r>
              <w:rPr>
                <w:rFonts w:hint="default" w:ascii="Times New Roman" w:hAnsi="Times New Roman" w:cs="Times New Roman"/>
                <w:sz w:val="21"/>
                <w:szCs w:val="21"/>
                <w:lang w:val="en-US" w:eastAsia="zh-CN"/>
              </w:rPr>
              <w:t>与</w:t>
            </w:r>
            <w:r>
              <w:rPr>
                <w:rFonts w:hint="default" w:ascii="Times New Roman" w:hAnsi="Times New Roman" w:cs="Times New Roman"/>
                <w:sz w:val="21"/>
                <w:szCs w:val="21"/>
              </w:rPr>
              <w:t>《淄博市新一轮“四减四增”三年行动方案》</w:t>
            </w:r>
            <w:r>
              <w:rPr>
                <w:rFonts w:hint="default" w:ascii="Times New Roman" w:hAnsi="Times New Roman" w:cs="Times New Roman"/>
                <w:sz w:val="21"/>
                <w:szCs w:val="21"/>
                <w:lang w:val="en-US" w:eastAsia="zh-CN"/>
              </w:rPr>
              <w:t>的符合性分析</w:t>
            </w:r>
          </w:p>
          <w:p>
            <w:pPr>
              <w:spacing w:line="360" w:lineRule="auto"/>
              <w:jc w:val="center"/>
              <w:rPr>
                <w:rFonts w:hint="eastAsia" w:ascii="黑体" w:hAnsi="黑体" w:eastAsia="黑体" w:cs="黑体"/>
                <w:b/>
                <w:bCs/>
                <w:sz w:val="18"/>
                <w:szCs w:val="18"/>
                <w:lang w:val="en-US" w:eastAsia="zh-CN"/>
              </w:rPr>
            </w:pPr>
            <w:r>
              <w:rPr>
                <w:rFonts w:hint="eastAsia" w:ascii="黑体" w:hAnsi="黑体" w:eastAsia="黑体" w:cs="黑体"/>
                <w:b/>
                <w:bCs/>
                <w:sz w:val="21"/>
                <w:szCs w:val="21"/>
              </w:rPr>
              <w:t>表</w:t>
            </w:r>
            <w:r>
              <w:rPr>
                <w:rFonts w:hint="eastAsia" w:ascii="黑体" w:hAnsi="黑体" w:eastAsia="黑体" w:cs="黑体"/>
                <w:b/>
                <w:bCs/>
                <w:sz w:val="21"/>
                <w:szCs w:val="21"/>
                <w:lang w:val="en-US" w:eastAsia="zh-CN"/>
              </w:rPr>
              <w:t>1-11</w:t>
            </w:r>
            <w:r>
              <w:rPr>
                <w:rFonts w:hint="eastAsia" w:ascii="黑体" w:hAnsi="黑体" w:eastAsia="黑体" w:cs="黑体"/>
                <w:b/>
                <w:bCs/>
                <w:sz w:val="21"/>
                <w:szCs w:val="21"/>
              </w:rPr>
              <w:t xml:space="preserve"> </w:t>
            </w:r>
            <w:r>
              <w:rPr>
                <w:rFonts w:hint="eastAsia" w:ascii="黑体" w:hAnsi="黑体" w:eastAsia="黑体" w:cs="黑体"/>
                <w:b/>
                <w:bCs/>
                <w:sz w:val="21"/>
                <w:szCs w:val="21"/>
                <w:lang w:val="en-US" w:eastAsia="zh-CN"/>
              </w:rPr>
              <w:t xml:space="preserve"> 与</w:t>
            </w:r>
            <w:r>
              <w:rPr>
                <w:rFonts w:hint="eastAsia" w:ascii="黑体" w:hAnsi="黑体" w:eastAsia="黑体" w:cs="黑体"/>
                <w:b/>
                <w:bCs/>
                <w:sz w:val="21"/>
                <w:szCs w:val="21"/>
              </w:rPr>
              <w:t>《淄博市新一轮“四减四增”三年行动方案》符合性分析一览表</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8"/>
              <w:gridCol w:w="2369"/>
              <w:gridCol w:w="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8" w:type="dxa"/>
                  <w:noWrap w:val="0"/>
                  <w:vAlign w:val="center"/>
                </w:tcPr>
                <w:p>
                  <w:pPr>
                    <w:spacing w:line="240" w:lineRule="auto"/>
                    <w:jc w:val="center"/>
                    <w:rPr>
                      <w:rFonts w:hint="default" w:ascii="Times New Roman" w:hAnsi="Times New Roman" w:eastAsia="宋体" w:cs="Times New Roman"/>
                      <w:b/>
                      <w:bCs/>
                      <w:kern w:val="2"/>
                      <w:sz w:val="18"/>
                      <w:szCs w:val="18"/>
                      <w:vertAlign w:val="baseline"/>
                      <w:lang w:val="en-US" w:eastAsia="zh-CN" w:bidi="ar-SA"/>
                    </w:rPr>
                  </w:pPr>
                  <w:r>
                    <w:rPr>
                      <w:rFonts w:hint="default" w:ascii="Times New Roman" w:hAnsi="Times New Roman" w:eastAsia="宋体" w:cs="Times New Roman"/>
                      <w:b/>
                      <w:bCs/>
                      <w:sz w:val="18"/>
                      <w:szCs w:val="18"/>
                      <w:vertAlign w:val="baseline"/>
                      <w:lang w:val="en-US" w:eastAsia="zh-CN"/>
                    </w:rPr>
                    <w:t>文件要求</w:t>
                  </w:r>
                </w:p>
              </w:tc>
              <w:tc>
                <w:tcPr>
                  <w:tcW w:w="2369" w:type="dxa"/>
                  <w:noWrap w:val="0"/>
                  <w:vAlign w:val="center"/>
                </w:tcPr>
                <w:p>
                  <w:pPr>
                    <w:spacing w:line="240" w:lineRule="auto"/>
                    <w:jc w:val="center"/>
                    <w:rPr>
                      <w:rFonts w:hint="default" w:ascii="Times New Roman" w:hAnsi="Times New Roman" w:eastAsia="宋体" w:cs="Times New Roman"/>
                      <w:b/>
                      <w:bCs/>
                      <w:kern w:val="2"/>
                      <w:sz w:val="18"/>
                      <w:szCs w:val="18"/>
                      <w:vertAlign w:val="baseline"/>
                      <w:lang w:val="en-US" w:eastAsia="zh-CN" w:bidi="ar-SA"/>
                    </w:rPr>
                  </w:pPr>
                  <w:r>
                    <w:rPr>
                      <w:rFonts w:hint="default" w:ascii="Times New Roman" w:hAnsi="Times New Roman" w:eastAsia="宋体" w:cs="Times New Roman"/>
                      <w:b/>
                      <w:bCs/>
                      <w:sz w:val="18"/>
                      <w:szCs w:val="18"/>
                      <w:vertAlign w:val="baseline"/>
                      <w:lang w:val="en-US" w:eastAsia="zh-CN"/>
                    </w:rPr>
                    <w:t>本项目情况</w:t>
                  </w:r>
                </w:p>
              </w:tc>
              <w:tc>
                <w:tcPr>
                  <w:tcW w:w="512" w:type="dxa"/>
                  <w:noWrap w:val="0"/>
                  <w:vAlign w:val="center"/>
                </w:tcPr>
                <w:p>
                  <w:pPr>
                    <w:spacing w:line="240" w:lineRule="auto"/>
                    <w:jc w:val="center"/>
                    <w:rPr>
                      <w:rFonts w:hint="default" w:ascii="Times New Roman" w:hAnsi="Times New Roman" w:eastAsia="宋体" w:cs="Times New Roman"/>
                      <w:b/>
                      <w:bCs/>
                      <w:kern w:val="2"/>
                      <w:sz w:val="18"/>
                      <w:szCs w:val="18"/>
                      <w:vertAlign w:val="baseline"/>
                      <w:lang w:val="en-US" w:eastAsia="zh-CN" w:bidi="ar-SA"/>
                    </w:rPr>
                  </w:pPr>
                  <w:r>
                    <w:rPr>
                      <w:rFonts w:hint="default" w:ascii="Times New Roman" w:hAnsi="Times New Roman" w:eastAsia="宋体" w:cs="Times New Roman"/>
                      <w:b/>
                      <w:bCs/>
                      <w:sz w:val="18"/>
                      <w:szCs w:val="18"/>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8" w:type="dxa"/>
                  <w:noWrap w:val="0"/>
                  <w:vAlign w:val="center"/>
                </w:tcPr>
                <w:p>
                  <w:pPr>
                    <w:spacing w:line="240" w:lineRule="auto"/>
                    <w:jc w:val="center"/>
                    <w:rPr>
                      <w:rFonts w:hint="default" w:ascii="Times New Roman" w:hAnsi="Times New Roman" w:eastAsia="宋体" w:cs="Times New Roman"/>
                      <w:b/>
                      <w:bCs/>
                      <w:sz w:val="18"/>
                      <w:szCs w:val="18"/>
                      <w:vertAlign w:val="baseline"/>
                      <w:lang w:val="en-US" w:eastAsia="zh-CN"/>
                    </w:rPr>
                  </w:pPr>
                  <w:r>
                    <w:rPr>
                      <w:rFonts w:hint="eastAsia" w:eastAsia="宋体" w:cs="Times New Roman"/>
                      <w:sz w:val="18"/>
                      <w:szCs w:val="18"/>
                      <w:vertAlign w:val="baseline"/>
                      <w:lang w:val="en-US" w:eastAsia="zh-CN"/>
                    </w:rPr>
                    <w:t>1.</w:t>
                  </w:r>
                  <w:r>
                    <w:rPr>
                      <w:rFonts w:hint="default" w:ascii="Times New Roman" w:hAnsi="Times New Roman" w:eastAsia="宋体" w:cs="Times New Roman"/>
                      <w:sz w:val="18"/>
                      <w:szCs w:val="18"/>
                      <w:vertAlign w:val="baseline"/>
                      <w:lang w:val="en-US" w:eastAsia="zh-CN"/>
                    </w:rPr>
                    <w:t>淘汰低效落后产能。依据安全、环保、技术、能耗、效益标准，以钢铁、煤电、水泥、轮胎、煤炭、化工等行业为重点，分类组织实施转移、压减、整合、关停任务，加快淘汰低效落后产能。</w:t>
                  </w:r>
                </w:p>
              </w:tc>
              <w:tc>
                <w:tcPr>
                  <w:tcW w:w="2369" w:type="dxa"/>
                  <w:noWrap w:val="0"/>
                  <w:vAlign w:val="center"/>
                </w:tcPr>
                <w:p>
                  <w:pPr>
                    <w:spacing w:line="240" w:lineRule="auto"/>
                    <w:jc w:val="center"/>
                    <w:rPr>
                      <w:rFonts w:hint="default" w:ascii="Times New Roman" w:hAnsi="Times New Roman" w:eastAsia="宋体" w:cs="Times New Roman"/>
                      <w:b/>
                      <w:bCs/>
                      <w:sz w:val="18"/>
                      <w:szCs w:val="18"/>
                      <w:vertAlign w:val="baseline"/>
                      <w:lang w:val="en-US" w:eastAsia="zh-CN"/>
                    </w:rPr>
                  </w:pPr>
                  <w:r>
                    <w:rPr>
                      <w:rFonts w:hint="eastAsia" w:cs="Times New Roman"/>
                      <w:b w:val="0"/>
                      <w:bCs w:val="0"/>
                      <w:sz w:val="18"/>
                      <w:szCs w:val="18"/>
                      <w:vertAlign w:val="baseline"/>
                      <w:lang w:val="en-US" w:eastAsia="zh-CN"/>
                    </w:rPr>
                    <w:t>本项目不属于低效落后产能</w:t>
                  </w:r>
                </w:p>
              </w:tc>
              <w:tc>
                <w:tcPr>
                  <w:tcW w:w="512" w:type="dxa"/>
                  <w:noWrap w:val="0"/>
                  <w:vAlign w:val="center"/>
                </w:tcPr>
                <w:p>
                  <w:pPr>
                    <w:spacing w:line="240" w:lineRule="auto"/>
                    <w:jc w:val="center"/>
                    <w:rPr>
                      <w:rFonts w:hint="default" w:ascii="Times New Roman" w:hAnsi="Times New Roman" w:eastAsia="宋体" w:cs="Times New Roman"/>
                      <w:b/>
                      <w:bCs/>
                      <w:sz w:val="18"/>
                      <w:szCs w:val="18"/>
                      <w:vertAlign w:val="baseline"/>
                      <w:lang w:val="en-US" w:eastAsia="zh-CN"/>
                    </w:rPr>
                  </w:pPr>
                  <w:r>
                    <w:rPr>
                      <w:rFonts w:hint="default" w:ascii="Times New Roman" w:hAnsi="Times New Roman" w:cs="Times New Roman"/>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8"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eastAsia" w:cs="Times New Roman"/>
                      <w:sz w:val="18"/>
                      <w:szCs w:val="18"/>
                      <w:vertAlign w:val="baseline"/>
                      <w:lang w:val="en-US" w:eastAsia="zh-CN"/>
                    </w:rPr>
                    <w:t>2</w:t>
                  </w:r>
                  <w:r>
                    <w:rPr>
                      <w:rFonts w:hint="default" w:ascii="Times New Roman" w:hAnsi="Times New Roman" w:cs="Times New Roman"/>
                      <w:sz w:val="18"/>
                      <w:szCs w:val="18"/>
                      <w:vertAlign w:val="baseline"/>
                      <w:lang w:val="en-US" w:eastAsia="zh-CN"/>
                    </w:rPr>
                    <w:t>.持续开展“散乱污”企业专项执法检查。进一步压实管理 责任，按照“发现一起、处置一起”的原则，实行“散乱污”企业动态清零，确保“散乱污”企业不复发。</w:t>
                  </w:r>
                </w:p>
              </w:tc>
              <w:tc>
                <w:tcPr>
                  <w:tcW w:w="2369"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本企业不属于散乱污企业。</w:t>
                  </w:r>
                </w:p>
              </w:tc>
              <w:tc>
                <w:tcPr>
                  <w:tcW w:w="512"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8"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eastAsia" w:cs="Times New Roman"/>
                      <w:sz w:val="18"/>
                      <w:szCs w:val="18"/>
                      <w:vertAlign w:val="baseline"/>
                      <w:lang w:val="en-US" w:eastAsia="zh-CN"/>
                    </w:rPr>
                    <w:t>3</w:t>
                  </w:r>
                  <w:r>
                    <w:rPr>
                      <w:rFonts w:hint="default" w:ascii="Times New Roman" w:hAnsi="Times New Roman" w:eastAsia="宋体" w:cs="Times New Roman"/>
                      <w:sz w:val="18"/>
                      <w:szCs w:val="18"/>
                      <w:vertAlign w:val="baseline"/>
                      <w:lang w:val="en-US" w:eastAsia="zh-CN"/>
                    </w:rPr>
                    <w:t>.各区县要重点围绕再生橡胶、废旧塑料再生、砖瓦、石灰、石膏等行业制定实施方案，对生产工艺装备进行筛查，按照有关法律法规程序要求，推动低效落后产能退出。</w:t>
                  </w:r>
                </w:p>
              </w:tc>
              <w:tc>
                <w:tcPr>
                  <w:tcW w:w="2369" w:type="dxa"/>
                  <w:noWrap w:val="0"/>
                  <w:vAlign w:val="center"/>
                </w:tcPr>
                <w:p>
                  <w:pPr>
                    <w:spacing w:line="240" w:lineRule="auto"/>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本企业已淘汰落后低效产能设备。</w:t>
                  </w:r>
                </w:p>
              </w:tc>
              <w:tc>
                <w:tcPr>
                  <w:tcW w:w="512"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8"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eastAsia" w:cs="Times New Roman"/>
                      <w:sz w:val="18"/>
                      <w:szCs w:val="18"/>
                      <w:vertAlign w:val="baseline"/>
                      <w:lang w:val="en-US" w:eastAsia="zh-CN"/>
                    </w:rPr>
                    <w:t>4</w:t>
                  </w:r>
                  <w:r>
                    <w:rPr>
                      <w:rFonts w:hint="default" w:ascii="Times New Roman" w:hAnsi="Times New Roman" w:eastAsia="宋体" w:cs="Times New Roman"/>
                      <w:sz w:val="18"/>
                      <w:szCs w:val="18"/>
                      <w:vertAlign w:val="baseline"/>
                      <w:lang w:val="en-US" w:eastAsia="zh-CN"/>
                    </w:rPr>
                    <w:t>.严控重点行业新增产能。重大项目建设，必须首先满足环境质量“只能更好，不能变坏”的底线，严格落实污染物排放“减量替代是原则，等量替代是例外”的总量控制刚性要求。</w:t>
                  </w:r>
                </w:p>
              </w:tc>
              <w:tc>
                <w:tcPr>
                  <w:tcW w:w="2369" w:type="dxa"/>
                  <w:noWrap w:val="0"/>
                  <w:vAlign w:val="center"/>
                </w:tcPr>
                <w:p>
                  <w:pPr>
                    <w:spacing w:line="240" w:lineRule="auto"/>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w:t>
                  </w:r>
                  <w:r>
                    <w:rPr>
                      <w:rFonts w:hint="eastAsia" w:cs="Times New Roman"/>
                      <w:sz w:val="18"/>
                      <w:szCs w:val="18"/>
                      <w:vertAlign w:val="baseline"/>
                      <w:lang w:val="en-US" w:eastAsia="zh-CN"/>
                    </w:rPr>
                    <w:t>技改项目不新增产能，</w:t>
                  </w:r>
                  <w:r>
                    <w:rPr>
                      <w:rFonts w:hint="default" w:ascii="Times New Roman" w:hAnsi="Times New Roman" w:eastAsia="宋体" w:cs="Times New Roman"/>
                      <w:sz w:val="18"/>
                      <w:szCs w:val="18"/>
                      <w:vertAlign w:val="baseline"/>
                      <w:lang w:val="en-US" w:eastAsia="zh-CN"/>
                    </w:rPr>
                    <w:t>节能减排</w:t>
                  </w:r>
                  <w:r>
                    <w:rPr>
                      <w:rFonts w:hint="default" w:ascii="Times New Roman" w:hAnsi="Times New Roman" w:eastAsia="宋体" w:cs="Times New Roman"/>
                      <w:color w:val="auto"/>
                      <w:sz w:val="18"/>
                      <w:szCs w:val="18"/>
                      <w:vertAlign w:val="baseline"/>
                      <w:lang w:val="en-US" w:eastAsia="zh-CN"/>
                    </w:rPr>
                    <w:t>，全厂污染物排放不超之前申请的总量。</w:t>
                  </w:r>
                </w:p>
              </w:tc>
              <w:tc>
                <w:tcPr>
                  <w:tcW w:w="512"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8"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eastAsia" w:cs="Times New Roman"/>
                      <w:sz w:val="18"/>
                      <w:szCs w:val="18"/>
                      <w:vertAlign w:val="baseline"/>
                      <w:lang w:val="en-US" w:eastAsia="zh-CN"/>
                    </w:rPr>
                    <w:t>5</w:t>
                  </w:r>
                  <w:r>
                    <w:rPr>
                      <w:rFonts w:hint="default" w:ascii="Times New Roman" w:hAnsi="Times New Roman" w:eastAsia="宋体" w:cs="Times New Roman"/>
                      <w:sz w:val="18"/>
                      <w:szCs w:val="18"/>
                      <w:vertAlign w:val="baseline"/>
                      <w:lang w:val="en-US" w:eastAsia="zh-CN"/>
                    </w:rPr>
                    <w:t>.推动绿色循环低碳改造。严格按照《淄博市实施减碳降碳十大行动工作方案》要求，落实电力、建材、有色、石化、化工等重点行业碳达峰目标，实施减污降碳协同治理。</w:t>
                  </w:r>
                </w:p>
              </w:tc>
              <w:tc>
                <w:tcPr>
                  <w:tcW w:w="2369" w:type="dxa"/>
                  <w:noWrap w:val="0"/>
                  <w:vAlign w:val="center"/>
                </w:tcPr>
                <w:p>
                  <w:pPr>
                    <w:spacing w:line="240" w:lineRule="auto"/>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eastAsia="宋体" w:cs="Times New Roman"/>
                      <w:sz w:val="18"/>
                      <w:szCs w:val="18"/>
                      <w:vertAlign w:val="baseline"/>
                      <w:lang w:val="en-US" w:eastAsia="zh-CN"/>
                    </w:rPr>
                    <w:t>本企业</w:t>
                  </w:r>
                  <w:r>
                    <w:rPr>
                      <w:rFonts w:hint="eastAsia" w:cs="Times New Roman"/>
                      <w:sz w:val="18"/>
                      <w:szCs w:val="18"/>
                      <w:vertAlign w:val="baseline"/>
                      <w:lang w:val="en-US" w:eastAsia="zh-CN"/>
                    </w:rPr>
                    <w:t>使用电作为能源</w:t>
                  </w:r>
                  <w:r>
                    <w:rPr>
                      <w:rFonts w:hint="default" w:ascii="Times New Roman" w:hAnsi="Times New Roman" w:eastAsia="宋体" w:cs="Times New Roman"/>
                      <w:sz w:val="18"/>
                      <w:szCs w:val="18"/>
                      <w:vertAlign w:val="baseline"/>
                      <w:lang w:val="en-US" w:eastAsia="zh-CN"/>
                    </w:rPr>
                    <w:t>，绿色环保。</w:t>
                  </w:r>
                </w:p>
              </w:tc>
              <w:tc>
                <w:tcPr>
                  <w:tcW w:w="512" w:type="dxa"/>
                  <w:noWrap w:val="0"/>
                  <w:vAlign w:val="center"/>
                </w:tcPr>
                <w:p>
                  <w:pPr>
                    <w:spacing w:line="240" w:lineRule="auto"/>
                    <w:jc w:val="center"/>
                    <w:rPr>
                      <w:rFonts w:hint="default" w:ascii="Times New Roman" w:hAnsi="Times New Roman" w:cs="Times New Roman"/>
                      <w:sz w:val="18"/>
                      <w:szCs w:val="18"/>
                      <w:vertAlign w:val="baseline"/>
                      <w:lang w:val="en-US" w:eastAsia="zh-CN"/>
                    </w:rPr>
                  </w:pPr>
                  <w:r>
                    <w:rPr>
                      <w:rFonts w:hint="default" w:ascii="Times New Roman" w:hAnsi="Times New Roman" w:cs="Times New Roman"/>
                      <w:sz w:val="18"/>
                      <w:szCs w:val="18"/>
                      <w:vertAlign w:val="baseline"/>
                      <w:lang w:val="en-US" w:eastAsia="zh-CN"/>
                    </w:rPr>
                    <w:t>符合</w:t>
                  </w:r>
                </w:p>
              </w:tc>
            </w:tr>
          </w:tbl>
          <w:p>
            <w:pPr>
              <w:spacing w:line="360" w:lineRule="auto"/>
              <w:ind w:firstLine="420" w:firstLineChars="200"/>
              <w:rPr>
                <w:rFonts w:hint="default" w:ascii="Times New Roman" w:hAnsi="Times New Roman" w:cs="Times New Roman"/>
                <w:sz w:val="24"/>
              </w:rPr>
            </w:pPr>
            <w:r>
              <w:rPr>
                <w:rFonts w:hint="default" w:ascii="Times New Roman" w:hAnsi="Times New Roman" w:cs="Times New Roman"/>
                <w:bCs/>
              </w:rPr>
              <w:t>（7）</w:t>
            </w:r>
            <w:r>
              <w:rPr>
                <w:rFonts w:hint="default" w:ascii="Times New Roman" w:hAnsi="Times New Roman" w:cs="Times New Roman"/>
                <w:szCs w:val="21"/>
              </w:rPr>
              <w:t>与《挥发性有机物无组织排放控制标准》（GB37822-2019）符合性分析</w:t>
            </w:r>
          </w:p>
          <w:p>
            <w:pPr>
              <w:pStyle w:val="198"/>
              <w:spacing w:beforeLines="0" w:afterLines="0" w:line="240" w:lineRule="auto"/>
              <w:rPr>
                <w:rFonts w:hint="default" w:ascii="Times New Roman" w:hAnsi="Times New Roman" w:cs="Times New Roman"/>
                <w:b/>
                <w:bCs/>
                <w:szCs w:val="21"/>
              </w:rPr>
            </w:pPr>
            <w:r>
              <w:rPr>
                <w:rFonts w:hint="default" w:ascii="Times New Roman" w:hAnsi="Times New Roman" w:cs="Times New Roman"/>
                <w:b/>
                <w:bCs/>
                <w:szCs w:val="21"/>
              </w:rPr>
              <w:t>表1-1</w:t>
            </w:r>
            <w:r>
              <w:rPr>
                <w:rFonts w:hint="eastAsia" w:ascii="Times New Roman" w:cs="Times New Roman"/>
                <w:b/>
                <w:bCs/>
                <w:szCs w:val="21"/>
                <w:lang w:val="en-US" w:eastAsia="zh-CN"/>
              </w:rPr>
              <w:t>2</w:t>
            </w:r>
            <w:r>
              <w:rPr>
                <w:rFonts w:hint="default" w:ascii="Times New Roman" w:hAnsi="Times New Roman" w:cs="Times New Roman"/>
                <w:b/>
                <w:bCs/>
                <w:szCs w:val="21"/>
              </w:rPr>
              <w:t>与《挥发性有机物无组织排放控制标准》（GB37822-2019）符合性分析</w:t>
            </w:r>
          </w:p>
          <w:tbl>
            <w:tblPr>
              <w:tblStyle w:val="8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3836"/>
              <w:gridCol w:w="176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4"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控制要求</w:t>
                  </w:r>
                </w:p>
              </w:tc>
              <w:tc>
                <w:tcPr>
                  <w:tcW w:w="2586"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规定</w:t>
                  </w:r>
                </w:p>
              </w:tc>
              <w:tc>
                <w:tcPr>
                  <w:tcW w:w="1190"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本项目情况</w:t>
                  </w:r>
                </w:p>
              </w:tc>
              <w:tc>
                <w:tcPr>
                  <w:tcW w:w="498"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5.VOCs物料储存无组织排放控制要求</w:t>
                  </w:r>
                </w:p>
              </w:tc>
              <w:tc>
                <w:tcPr>
                  <w:tcW w:w="2586"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5.1.1VOCs物料应储存于密闭的容器、包装袋、储罐、储库、料仓中。</w:t>
                  </w:r>
                </w:p>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5.1.2盛装VOCs物料的容器或包装袋应存放于室内，或存放于设置有雨棚、遮阳和防渗设施的专用场地，盛装VOCs物料的容器和包装袋在非取用状态是应加盖、封口，保持密闭。</w:t>
                  </w:r>
                </w:p>
              </w:tc>
              <w:tc>
                <w:tcPr>
                  <w:tcW w:w="1190"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本项目</w:t>
                  </w:r>
                  <w:r>
                    <w:rPr>
                      <w:rFonts w:hint="default" w:ascii="Times New Roman" w:hAnsi="Times New Roman" w:cs="Times New Roman"/>
                      <w:sz w:val="18"/>
                      <w:szCs w:val="18"/>
                      <w:lang w:val="en-US" w:eastAsia="zh-CN"/>
                    </w:rPr>
                    <w:t>VOCs物</w:t>
                  </w:r>
                  <w:r>
                    <w:rPr>
                      <w:rFonts w:hint="default" w:ascii="Times New Roman" w:hAnsi="Times New Roman" w:cs="Times New Roman"/>
                      <w:sz w:val="18"/>
                      <w:szCs w:val="18"/>
                    </w:rPr>
                    <w:t>料储存在密闭的容器</w:t>
                  </w:r>
                  <w:r>
                    <w:rPr>
                      <w:rFonts w:hint="default" w:ascii="Times New Roman" w:hAnsi="Times New Roman" w:cs="Times New Roman"/>
                      <w:sz w:val="18"/>
                      <w:szCs w:val="18"/>
                      <w:lang w:eastAsia="zh-CN"/>
                    </w:rPr>
                    <w:t>内</w:t>
                  </w:r>
                  <w:r>
                    <w:rPr>
                      <w:rFonts w:hint="default" w:ascii="Times New Roman" w:hAnsi="Times New Roman" w:cs="Times New Roman"/>
                      <w:sz w:val="18"/>
                      <w:szCs w:val="18"/>
                    </w:rPr>
                    <w:t>，</w:t>
                  </w:r>
                  <w:r>
                    <w:rPr>
                      <w:rFonts w:hint="default" w:ascii="Times New Roman" w:hAnsi="Times New Roman" w:cs="Times New Roman"/>
                      <w:sz w:val="18"/>
                      <w:szCs w:val="18"/>
                      <w:lang w:eastAsia="zh-CN"/>
                    </w:rPr>
                    <w:t>存放在室内，</w:t>
                  </w:r>
                  <w:r>
                    <w:rPr>
                      <w:rFonts w:hint="default" w:ascii="Times New Roman" w:hAnsi="Times New Roman" w:cs="Times New Roman"/>
                      <w:sz w:val="18"/>
                      <w:szCs w:val="18"/>
                    </w:rPr>
                    <w:t>盛装VOCs物料的容器和包装袋在非取用状态</w:t>
                  </w:r>
                  <w:r>
                    <w:rPr>
                      <w:rFonts w:hint="default" w:ascii="Times New Roman" w:hAnsi="Times New Roman" w:cs="Times New Roman"/>
                      <w:sz w:val="18"/>
                      <w:szCs w:val="18"/>
                      <w:lang w:eastAsia="zh-CN"/>
                    </w:rPr>
                    <w:t>均</w:t>
                  </w:r>
                  <w:r>
                    <w:rPr>
                      <w:rFonts w:hint="default" w:ascii="Times New Roman" w:hAnsi="Times New Roman" w:cs="Times New Roman"/>
                      <w:sz w:val="18"/>
                      <w:szCs w:val="18"/>
                    </w:rPr>
                    <w:t>加盖、封口，保持密闭。</w:t>
                  </w:r>
                </w:p>
              </w:tc>
              <w:tc>
                <w:tcPr>
                  <w:tcW w:w="498" w:type="pct"/>
                  <w:vMerge w:val="restar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4"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6.VOCs物料转移和输送无组织排放控制要求</w:t>
                  </w:r>
                </w:p>
              </w:tc>
              <w:tc>
                <w:tcPr>
                  <w:tcW w:w="2586"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6.1.1液态VOCs物料应采用密闭管道输送。采用非管道输送方式转移液态VOCs物料时，应采用密闭容器、罐车。</w:t>
                  </w:r>
                </w:p>
                <w:p>
                  <w:pPr>
                    <w:jc w:val="center"/>
                    <w:rPr>
                      <w:rFonts w:hint="default" w:ascii="Times New Roman" w:hAnsi="Times New Roman" w:cs="Times New Roman"/>
                      <w:sz w:val="18"/>
                      <w:szCs w:val="18"/>
                    </w:rPr>
                  </w:pPr>
                  <w:r>
                    <w:rPr>
                      <w:rFonts w:hint="default" w:ascii="Times New Roman" w:hAnsi="Times New Roman" w:cs="Times New Roman"/>
                      <w:sz w:val="18"/>
                      <w:szCs w:val="18"/>
                    </w:rPr>
                    <w:t>6.1.2粉状、粒状VOCs物料应采用气力输送设备、管状带式输送机、螺旋输送机等密闭输送方式或采用密闭的包装袋、容器或罐车进行物料转移。</w:t>
                  </w:r>
                </w:p>
              </w:tc>
              <w:tc>
                <w:tcPr>
                  <w:tcW w:w="1190"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本项目</w:t>
                  </w:r>
                  <w:r>
                    <w:rPr>
                      <w:rFonts w:hint="default" w:ascii="Times New Roman" w:hAnsi="Times New Roman" w:cs="Times New Roman"/>
                      <w:sz w:val="18"/>
                      <w:szCs w:val="18"/>
                      <w:lang w:val="en-US" w:eastAsia="zh-CN"/>
                    </w:rPr>
                    <w:t>VOCs</w:t>
                  </w:r>
                  <w:r>
                    <w:rPr>
                      <w:rFonts w:hint="default" w:ascii="Times New Roman" w:hAnsi="Times New Roman" w:cs="Times New Roman"/>
                      <w:sz w:val="18"/>
                      <w:szCs w:val="18"/>
                    </w:rPr>
                    <w:t>物料</w:t>
                  </w:r>
                  <w:r>
                    <w:rPr>
                      <w:rFonts w:hint="default" w:ascii="Times New Roman" w:hAnsi="Times New Roman" w:cs="Times New Roman"/>
                      <w:sz w:val="18"/>
                      <w:szCs w:val="18"/>
                      <w:lang w:eastAsia="zh-CN"/>
                    </w:rPr>
                    <w:t>为液态，转移和输送过程均保持密闭</w:t>
                  </w:r>
                  <w:r>
                    <w:rPr>
                      <w:rFonts w:hint="default" w:ascii="Times New Roman" w:hAnsi="Times New Roman" w:cs="Times New Roman"/>
                      <w:sz w:val="18"/>
                      <w:szCs w:val="18"/>
                    </w:rPr>
                    <w:t>。</w:t>
                  </w:r>
                </w:p>
              </w:tc>
              <w:tc>
                <w:tcPr>
                  <w:tcW w:w="498" w:type="pct"/>
                  <w:vMerge w:val="continue"/>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4"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7.2含VOCs产品的使用过程</w:t>
                  </w:r>
                </w:p>
              </w:tc>
              <w:tc>
                <w:tcPr>
                  <w:tcW w:w="2586"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7.2.1VOCs质量占比大于等于10%的含VOCs产品，其使用过程应采用密闭设备或在密闭空间内操作，废气应排至VOCs废气收集处理系统；无法密闭的，应采取局部气体收集措施，废气应排至VOCs废气收集处理系统。</w:t>
                  </w:r>
                </w:p>
              </w:tc>
              <w:tc>
                <w:tcPr>
                  <w:tcW w:w="1190"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color w:val="auto"/>
                      <w:sz w:val="18"/>
                      <w:szCs w:val="18"/>
                      <w:highlight w:val="none"/>
                    </w:rPr>
                    <w:t>项目</w:t>
                  </w:r>
                  <w:r>
                    <w:rPr>
                      <w:rFonts w:hint="eastAsia" w:cs="Times New Roman"/>
                      <w:color w:val="auto"/>
                      <w:sz w:val="18"/>
                      <w:szCs w:val="18"/>
                      <w:highlight w:val="none"/>
                      <w:lang w:eastAsia="zh-CN"/>
                    </w:rPr>
                    <w:t>酚醛树脂</w:t>
                  </w:r>
                  <w:r>
                    <w:rPr>
                      <w:rFonts w:hint="default" w:ascii="Times New Roman" w:hAnsi="Times New Roman" w:cs="Times New Roman"/>
                      <w:color w:val="auto"/>
                      <w:sz w:val="18"/>
                      <w:szCs w:val="18"/>
                      <w:highlight w:val="none"/>
                      <w:lang w:val="en-US" w:eastAsia="zh-CN"/>
                    </w:rPr>
                    <w:t>VOCs</w:t>
                  </w:r>
                  <w:r>
                    <w:rPr>
                      <w:rFonts w:hint="eastAsia" w:cs="Times New Roman"/>
                      <w:color w:val="auto"/>
                      <w:sz w:val="18"/>
                      <w:szCs w:val="18"/>
                      <w:highlight w:val="none"/>
                      <w:lang w:val="en-US" w:eastAsia="zh-CN"/>
                    </w:rPr>
                    <w:t>质量占比为2.35%</w:t>
                  </w:r>
                  <w:r>
                    <w:rPr>
                      <w:rFonts w:hint="default" w:ascii="Times New Roman" w:hAnsi="Times New Roman" w:cs="Times New Roman"/>
                      <w:color w:val="auto"/>
                      <w:sz w:val="18"/>
                      <w:szCs w:val="18"/>
                      <w:highlight w:val="none"/>
                    </w:rPr>
                    <w:t>。</w:t>
                  </w:r>
                </w:p>
              </w:tc>
              <w:tc>
                <w:tcPr>
                  <w:tcW w:w="498" w:type="pct"/>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4"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7.3其他要求</w:t>
                  </w:r>
                </w:p>
              </w:tc>
              <w:tc>
                <w:tcPr>
                  <w:tcW w:w="2586"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7.3.1企业应建立台账，记录含VOCs原辅材料和含VOCs产品的名称、使用量、回收量、废气量、去向以及VOCs含量等信息。台账保存期限不少于3年。</w:t>
                  </w:r>
                </w:p>
              </w:tc>
              <w:tc>
                <w:tcPr>
                  <w:tcW w:w="1190"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本项目企业按照要求建立台账，记录含VOCs原材料的相关信息，台账保存不少于3年。</w:t>
                  </w:r>
                </w:p>
              </w:tc>
              <w:tc>
                <w:tcPr>
                  <w:tcW w:w="498" w:type="pct"/>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4"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10.VOCs无组织排放废气收集处理系统要求</w:t>
                  </w:r>
                </w:p>
              </w:tc>
              <w:tc>
                <w:tcPr>
                  <w:tcW w:w="2586"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10.1.2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p>
                  <w:pPr>
                    <w:jc w:val="center"/>
                    <w:rPr>
                      <w:rFonts w:hint="default" w:ascii="Times New Roman" w:hAnsi="Times New Roman" w:cs="Times New Roman"/>
                      <w:sz w:val="18"/>
                      <w:szCs w:val="18"/>
                    </w:rPr>
                  </w:pPr>
                  <w:r>
                    <w:rPr>
                      <w:rFonts w:hint="default" w:ascii="Times New Roman" w:hAnsi="Times New Roman" w:cs="Times New Roman"/>
                      <w:sz w:val="18"/>
                      <w:szCs w:val="18"/>
                    </w:rPr>
                    <w:t>10.3.1VOCs废气收集处理系统污染物排放应符合DB16297或相关行业排放标准的规定。</w:t>
                  </w:r>
                </w:p>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10.3.2收集的废气中NMHC初始排放速率≥3kg/h时，应配置VCOs处理设施，处理效率不应低于80%；对于重点地区。收集的废气中NMHC初始排放速率≥2kg/h时，应配置VCOs处理设施，处理效率不应低于80%；采用的原辅材料符合国家有关低VOCs含量产品规定的要求。</w:t>
                  </w:r>
                </w:p>
              </w:tc>
              <w:tc>
                <w:tcPr>
                  <w:tcW w:w="1190" w:type="pct"/>
                  <w:tcBorders>
                    <w:tl2br w:val="nil"/>
                    <w:tr2bl w:val="nil"/>
                  </w:tcBorders>
                  <w:vAlign w:val="center"/>
                </w:tcPr>
                <w:p>
                  <w:pPr>
                    <w:pStyle w:val="2"/>
                    <w:spacing w:after="0"/>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本项目VOCs废气收集处理系统与生产工艺设备同步运行</w:t>
                  </w:r>
                  <w:r>
                    <w:rPr>
                      <w:rFonts w:hint="default" w:ascii="Times New Roman" w:hAnsi="Times New Roman" w:cs="Times New Roman"/>
                      <w:sz w:val="18"/>
                      <w:szCs w:val="18"/>
                      <w:lang w:eastAsia="zh-CN"/>
                    </w:rPr>
                    <w:t>。根据主要环境影响和保护措施章节分析，</w:t>
                  </w:r>
                  <w:r>
                    <w:rPr>
                      <w:rFonts w:hint="default" w:ascii="Times New Roman" w:hAnsi="Times New Roman" w:cs="Times New Roman"/>
                      <w:sz w:val="18"/>
                      <w:szCs w:val="18"/>
                      <w:lang w:val="en-US" w:eastAsia="zh-CN"/>
                    </w:rPr>
                    <w:t>VOCs废气均能达标排放。</w:t>
                  </w:r>
                  <w:r>
                    <w:rPr>
                      <w:rFonts w:hint="eastAsia" w:cs="Times New Roman"/>
                      <w:sz w:val="18"/>
                      <w:szCs w:val="18"/>
                      <w:lang w:val="en-US" w:eastAsia="zh-CN"/>
                    </w:rPr>
                    <w:t>技改</w:t>
                  </w:r>
                  <w:r>
                    <w:rPr>
                      <w:rFonts w:hint="default" w:ascii="Times New Roman" w:hAnsi="Times New Roman" w:cs="Times New Roman"/>
                      <w:sz w:val="18"/>
                      <w:szCs w:val="18"/>
                      <w:lang w:val="en-US" w:eastAsia="zh-CN"/>
                    </w:rPr>
                    <w:t>项目配套建设的</w:t>
                  </w:r>
                  <w:r>
                    <w:rPr>
                      <w:rFonts w:hint="eastAsia" w:cs="Times New Roman"/>
                      <w:sz w:val="18"/>
                      <w:szCs w:val="18"/>
                      <w:lang w:val="en-US" w:eastAsia="zh-CN"/>
                    </w:rPr>
                    <w:t>两级活性炭吸附装置</w:t>
                  </w:r>
                  <w:r>
                    <w:rPr>
                      <w:rFonts w:hint="default" w:ascii="Times New Roman" w:hAnsi="Times New Roman" w:cs="Times New Roman"/>
                      <w:sz w:val="18"/>
                      <w:szCs w:val="18"/>
                      <w:lang w:val="en-US" w:eastAsia="zh-CN"/>
                    </w:rPr>
                    <w:t>VOCs处理效率</w:t>
                  </w:r>
                  <w:r>
                    <w:rPr>
                      <w:rFonts w:hint="eastAsia" w:cs="Times New Roman"/>
                      <w:sz w:val="18"/>
                      <w:szCs w:val="18"/>
                      <w:lang w:val="en-US" w:eastAsia="zh-CN"/>
                    </w:rPr>
                    <w:t>为8</w:t>
                  </w:r>
                  <w:r>
                    <w:rPr>
                      <w:rFonts w:hint="default" w:ascii="Times New Roman" w:hAnsi="Times New Roman" w:cs="Times New Roman"/>
                      <w:sz w:val="18"/>
                      <w:szCs w:val="18"/>
                      <w:lang w:val="en-US" w:eastAsia="zh-CN"/>
                    </w:rPr>
                    <w:t>0%</w:t>
                  </w:r>
                  <w:r>
                    <w:rPr>
                      <w:rFonts w:hint="default" w:ascii="Times New Roman" w:hAnsi="Times New Roman" w:cs="Times New Roman"/>
                      <w:sz w:val="18"/>
                      <w:szCs w:val="18"/>
                    </w:rPr>
                    <w:t>。</w:t>
                  </w:r>
                </w:p>
              </w:tc>
              <w:tc>
                <w:tcPr>
                  <w:tcW w:w="498" w:type="pct"/>
                  <w:tcBorders>
                    <w:tl2br w:val="nil"/>
                    <w:tr2bl w:val="nil"/>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符合</w:t>
                  </w:r>
                </w:p>
              </w:tc>
            </w:tr>
          </w:tbl>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综上，</w:t>
            </w:r>
            <w:r>
              <w:rPr>
                <w:rFonts w:hint="default" w:ascii="Times New Roman" w:hAnsi="Times New Roman" w:cs="Times New Roman"/>
                <w:bCs/>
                <w:szCs w:val="21"/>
              </w:rPr>
              <w:t>项目的建设符合</w:t>
            </w:r>
            <w:r>
              <w:rPr>
                <w:rFonts w:hint="default" w:ascii="Times New Roman" w:hAnsi="Times New Roman" w:cs="Times New Roman"/>
                <w:szCs w:val="21"/>
              </w:rPr>
              <w:t>《挥发性有机物无组织排放控制标准》（GB37822-2019）要求。</w:t>
            </w:r>
          </w:p>
          <w:p>
            <w:pPr>
              <w:spacing w:line="360" w:lineRule="auto"/>
              <w:ind w:firstLine="420" w:firstLineChars="200"/>
              <w:rPr>
                <w:rFonts w:hint="default" w:ascii="Times New Roman" w:hAnsi="Times New Roman" w:cs="Times New Roman"/>
                <w:bCs/>
              </w:rPr>
            </w:pPr>
            <w:r>
              <w:rPr>
                <w:rFonts w:hint="default" w:ascii="Times New Roman" w:hAnsi="Times New Roman" w:cs="Times New Roman"/>
                <w:bCs/>
                <w:lang w:eastAsia="zh-CN"/>
              </w:rPr>
              <w:t>（</w:t>
            </w:r>
            <w:r>
              <w:rPr>
                <w:rFonts w:hint="default" w:ascii="Times New Roman" w:hAnsi="Times New Roman" w:cs="Times New Roman"/>
                <w:bCs/>
                <w:lang w:val="en-US" w:eastAsia="zh-CN"/>
              </w:rPr>
              <w:t>8</w:t>
            </w:r>
            <w:r>
              <w:rPr>
                <w:rFonts w:hint="default" w:ascii="Times New Roman" w:hAnsi="Times New Roman" w:cs="Times New Roman"/>
                <w:bCs/>
                <w:lang w:eastAsia="zh-CN"/>
              </w:rPr>
              <w:t>）</w:t>
            </w:r>
            <w:r>
              <w:rPr>
                <w:rFonts w:hint="default" w:ascii="Times New Roman" w:hAnsi="Times New Roman" w:cs="Times New Roman"/>
                <w:bCs/>
              </w:rPr>
              <w:t>与关于印发《2022年度淄博市挥发性有机物治理和臭氧管控方案》的通知（淄环委办〔2022〕12号）的符合性分析</w:t>
            </w:r>
          </w:p>
          <w:p>
            <w:pPr>
              <w:spacing w:line="360" w:lineRule="auto"/>
              <w:jc w:val="center"/>
              <w:rPr>
                <w:rFonts w:hint="default" w:ascii="Times New Roman" w:hAnsi="Times New Roman" w:eastAsia="黑体" w:cs="Times New Roman"/>
                <w:b/>
                <w:bCs/>
                <w:szCs w:val="21"/>
              </w:rPr>
            </w:pPr>
            <w:r>
              <w:rPr>
                <w:rFonts w:hint="default" w:ascii="Times New Roman" w:hAnsi="Times New Roman" w:eastAsia="黑体" w:cs="Times New Roman"/>
                <w:b/>
                <w:bCs/>
                <w:szCs w:val="21"/>
              </w:rPr>
              <w:t>表1-1</w:t>
            </w:r>
            <w:r>
              <w:rPr>
                <w:rFonts w:hint="eastAsia" w:eastAsia="黑体" w:cs="Times New Roman"/>
                <w:b/>
                <w:bCs/>
                <w:szCs w:val="21"/>
                <w:lang w:val="en-US" w:eastAsia="zh-CN"/>
              </w:rPr>
              <w:t>3</w:t>
            </w:r>
            <w:r>
              <w:rPr>
                <w:rFonts w:hint="default" w:ascii="Times New Roman" w:hAnsi="Times New Roman" w:eastAsia="黑体" w:cs="Times New Roman"/>
                <w:b/>
                <w:bCs/>
                <w:szCs w:val="21"/>
              </w:rPr>
              <w:t xml:space="preserve"> 项目与淄环委办〔2022〕12号的符合性分析</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3"/>
              <w:gridCol w:w="4819"/>
              <w:gridCol w:w="1520"/>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5232" w:type="dxa"/>
                  <w:gridSpan w:val="2"/>
                  <w:noWrap w:val="0"/>
                  <w:vAlign w:val="center"/>
                </w:tcPr>
                <w:p>
                  <w:pPr>
                    <w:pStyle w:val="198"/>
                    <w:spacing w:beforeLines="0" w:afterLines="0" w:line="240" w:lineRule="exact"/>
                    <w:rPr>
                      <w:rFonts w:hint="default" w:ascii="Times New Roman" w:hAnsi="Times New Roman" w:cs="Times New Roman"/>
                      <w:b/>
                      <w:bCs/>
                      <w:color w:val="000000"/>
                      <w:sz w:val="18"/>
                      <w:szCs w:val="15"/>
                    </w:rPr>
                  </w:pPr>
                  <w:r>
                    <w:rPr>
                      <w:rFonts w:hint="default" w:ascii="Times New Roman" w:hAnsi="Times New Roman" w:cs="Times New Roman"/>
                      <w:b/>
                      <w:bCs/>
                      <w:color w:val="000000"/>
                      <w:sz w:val="18"/>
                      <w:szCs w:val="15"/>
                    </w:rPr>
                    <w:t>文件要求</w:t>
                  </w:r>
                </w:p>
              </w:tc>
              <w:tc>
                <w:tcPr>
                  <w:tcW w:w="1520" w:type="dxa"/>
                  <w:noWrap w:val="0"/>
                  <w:vAlign w:val="center"/>
                </w:tcPr>
                <w:p>
                  <w:pPr>
                    <w:pStyle w:val="198"/>
                    <w:spacing w:beforeLines="0" w:afterLines="0" w:line="240" w:lineRule="exact"/>
                    <w:rPr>
                      <w:rFonts w:hint="default" w:ascii="Times New Roman" w:hAnsi="Times New Roman" w:cs="Times New Roman"/>
                      <w:b/>
                      <w:bCs/>
                      <w:color w:val="000000"/>
                      <w:sz w:val="18"/>
                      <w:szCs w:val="15"/>
                    </w:rPr>
                  </w:pPr>
                  <w:r>
                    <w:rPr>
                      <w:rFonts w:hint="default" w:ascii="Times New Roman" w:hAnsi="Times New Roman" w:cs="Times New Roman"/>
                      <w:b/>
                      <w:bCs/>
                      <w:color w:val="000000"/>
                      <w:sz w:val="18"/>
                      <w:szCs w:val="15"/>
                    </w:rPr>
                    <w:t>项目情况</w:t>
                  </w:r>
                </w:p>
              </w:tc>
              <w:tc>
                <w:tcPr>
                  <w:tcW w:w="593" w:type="dxa"/>
                  <w:noWrap w:val="0"/>
                  <w:tcMar>
                    <w:left w:w="28" w:type="dxa"/>
                    <w:right w:w="28" w:type="dxa"/>
                  </w:tcMar>
                  <w:vAlign w:val="center"/>
                </w:tcPr>
                <w:p>
                  <w:pPr>
                    <w:pStyle w:val="198"/>
                    <w:spacing w:beforeLines="0" w:afterLines="0" w:line="240" w:lineRule="exact"/>
                    <w:rPr>
                      <w:rFonts w:hint="default" w:ascii="Times New Roman" w:hAnsi="Times New Roman" w:cs="Times New Roman"/>
                      <w:b/>
                      <w:bCs/>
                      <w:color w:val="000000"/>
                      <w:sz w:val="18"/>
                      <w:szCs w:val="15"/>
                    </w:rPr>
                  </w:pPr>
                  <w:r>
                    <w:rPr>
                      <w:rFonts w:hint="default" w:ascii="Times New Roman" w:hAnsi="Times New Roman" w:cs="Times New Roman"/>
                      <w:b/>
                      <w:bCs/>
                      <w:color w:val="000000"/>
                      <w:sz w:val="18"/>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1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加快低挥发性原辅料的替代</w:t>
                  </w:r>
                </w:p>
              </w:tc>
              <w:tc>
                <w:tcPr>
                  <w:tcW w:w="4819" w:type="dxa"/>
                  <w:noWrap w:val="0"/>
                  <w:vAlign w:val="center"/>
                </w:tcPr>
                <w:p>
                  <w:pPr>
                    <w:pStyle w:val="198"/>
                    <w:spacing w:beforeLines="0" w:afterLines="0" w:line="240" w:lineRule="exact"/>
                    <w:rPr>
                      <w:rFonts w:hint="default" w:ascii="Times New Roman" w:hAnsi="Times New Roman" w:cs="Times New Roman"/>
                      <w:color w:val="000000"/>
                      <w:sz w:val="18"/>
                      <w:szCs w:val="15"/>
                      <w:highlight w:val="none"/>
                      <w:shd w:val="clear" w:color="auto" w:fill="FFFFFF"/>
                    </w:rPr>
                  </w:pPr>
                  <w:r>
                    <w:rPr>
                      <w:rFonts w:hint="default" w:ascii="Times New Roman" w:hAnsi="Times New Roman" w:cs="Times New Roman"/>
                      <w:color w:val="000000"/>
                      <w:sz w:val="18"/>
                      <w:szCs w:val="15"/>
                      <w:highlight w:val="none"/>
                      <w:shd w:val="clear" w:color="auto" w:fill="FFFFFF"/>
                    </w:rPr>
                    <w:t>原辅材料替代政策宣传力度，引导企业优先使用低（无）挥发性涂料、油墨、胶粘剂、涂层剂（油脂）、清洗剂等原辅材料，进一步提高低（无）挥发性原辅材料使用率。以机械加工、家具制造、包装印刷等行业为重点，鼓励企业开展低（无）挥发性原辅材料生产工艺的升级改造，建设源头替代示范项目，形成示范带动效应。企业应建立规范的原辅材料使用台账，各级监督检查须将企业原辅材料台账及挥发性有机物含量检测报告纳入检查内容。</w:t>
                  </w:r>
                </w:p>
              </w:tc>
              <w:tc>
                <w:tcPr>
                  <w:tcW w:w="1520" w:type="dxa"/>
                  <w:noWrap w:val="0"/>
                  <w:vAlign w:val="center"/>
                </w:tcPr>
                <w:p>
                  <w:pPr>
                    <w:pStyle w:val="198"/>
                    <w:spacing w:beforeLines="0" w:afterLines="0" w:line="240" w:lineRule="exact"/>
                    <w:rPr>
                      <w:rFonts w:hint="default" w:ascii="Times New Roman" w:hAnsi="Times New Roman" w:eastAsia="宋体" w:cs="Times New Roman"/>
                      <w:color w:val="000000"/>
                      <w:sz w:val="18"/>
                      <w:szCs w:val="15"/>
                      <w:highlight w:val="none"/>
                      <w:lang w:val="en-US" w:eastAsia="zh-CN"/>
                    </w:rPr>
                  </w:pPr>
                  <w:r>
                    <w:rPr>
                      <w:rFonts w:hint="default" w:ascii="Times New Roman" w:hAnsi="Times New Roman" w:cs="Times New Roman"/>
                      <w:color w:val="auto"/>
                      <w:kern w:val="0"/>
                      <w:sz w:val="18"/>
                      <w:szCs w:val="18"/>
                      <w:highlight w:val="none"/>
                    </w:rPr>
                    <w:t>本项目</w:t>
                  </w:r>
                  <w:r>
                    <w:rPr>
                      <w:rFonts w:hint="eastAsia" w:ascii="Times New Roman" w:cs="Times New Roman"/>
                      <w:color w:val="auto"/>
                      <w:kern w:val="0"/>
                      <w:sz w:val="18"/>
                      <w:szCs w:val="18"/>
                      <w:highlight w:val="none"/>
                      <w:lang w:eastAsia="zh-CN"/>
                    </w:rPr>
                    <w:t>使用的酚醛树脂胶</w:t>
                  </w:r>
                  <w:r>
                    <w:rPr>
                      <w:rFonts w:hint="eastAsia" w:ascii="Times New Roman" w:cs="Times New Roman"/>
                      <w:color w:val="auto"/>
                      <w:kern w:val="0"/>
                      <w:sz w:val="18"/>
                      <w:szCs w:val="18"/>
                      <w:highlight w:val="none"/>
                      <w:lang w:val="en-US" w:eastAsia="zh-CN"/>
                    </w:rPr>
                    <w:t>VOCs含量为2.35%</w:t>
                  </w:r>
                  <w:r>
                    <w:rPr>
                      <w:rFonts w:hint="default" w:ascii="Times New Roman" w:hAnsi="Times New Roman" w:cs="Times New Roman"/>
                      <w:color w:val="auto"/>
                      <w:kern w:val="0"/>
                      <w:sz w:val="18"/>
                      <w:szCs w:val="18"/>
                      <w:highlight w:val="none"/>
                      <w:lang w:eastAsia="zh-CN"/>
                    </w:rPr>
                    <w:t>。</w:t>
                  </w:r>
                  <w:r>
                    <w:rPr>
                      <w:rFonts w:hint="default" w:ascii="Times New Roman" w:hAnsi="Times New Roman" w:cs="Times New Roman"/>
                      <w:kern w:val="0"/>
                      <w:sz w:val="18"/>
                      <w:szCs w:val="18"/>
                      <w:highlight w:val="none"/>
                      <w:lang w:eastAsia="zh-CN"/>
                    </w:rPr>
                    <w:t>建设完成后需建立规范的原辅材料使用台账</w:t>
                  </w:r>
                  <w:r>
                    <w:rPr>
                      <w:rFonts w:hint="default" w:ascii="Times New Roman" w:hAnsi="Times New Roman" w:cs="Times New Roman"/>
                      <w:color w:val="000000"/>
                      <w:sz w:val="18"/>
                      <w:szCs w:val="15"/>
                      <w:highlight w:val="none"/>
                      <w:lang w:val="en-US" w:eastAsia="zh-CN"/>
                    </w:rPr>
                    <w:t>。</w:t>
                  </w:r>
                </w:p>
              </w:tc>
              <w:tc>
                <w:tcPr>
                  <w:tcW w:w="59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1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深化泄漏检测与修复工作</w:t>
                  </w:r>
                </w:p>
              </w:tc>
              <w:tc>
                <w:tcPr>
                  <w:tcW w:w="4819" w:type="dxa"/>
                  <w:noWrap w:val="0"/>
                  <w:vAlign w:val="center"/>
                </w:tcPr>
                <w:p>
                  <w:pPr>
                    <w:pStyle w:val="198"/>
                    <w:spacing w:beforeLines="0" w:afterLines="0" w:line="240" w:lineRule="exact"/>
                    <w:rPr>
                      <w:rFonts w:hint="default" w:ascii="Times New Roman" w:hAnsi="Times New Roman" w:cs="Times New Roman"/>
                      <w:color w:val="000000"/>
                      <w:sz w:val="18"/>
                      <w:szCs w:val="15"/>
                      <w:shd w:val="clear" w:color="auto" w:fill="FFFFFF"/>
                    </w:rPr>
                  </w:pPr>
                  <w:r>
                    <w:rPr>
                      <w:rFonts w:hint="default" w:ascii="Times New Roman" w:hAnsi="Times New Roman" w:cs="Times New Roman"/>
                      <w:color w:val="000000"/>
                      <w:sz w:val="18"/>
                      <w:szCs w:val="15"/>
                      <w:shd w:val="clear" w:color="auto" w:fill="FFFFFF"/>
                    </w:rPr>
                    <w:t>强化泄露检测与修复工作的质量控制，严格落实《工业企业挥发性有机物泄漏检测与修复技术指南》(HJ1230--2021)相关要求，开展项目建档、现场检测和泄漏修复等工作。鼓励密封点数量少于2000个的化工生产和仓储企业开展泄漏检测与修复，未开展的应提供有资质的检测单位出具的不足2000个密封点的证明材料。各区县要加大泄漏检测与修复报告抽检力度，每年抽检企业数量不少于辖区内需开展泄漏检测与修复企业总数的10%。重点核查泄漏检测与修复频次和时间是否符合要求、密封点编码是否合规、现场信息采集是否完善、建档密封点是否遗漏、校准记录和背景值检测记录是否完善、修复记录和复测是否规范等，每个企业现场抽检密封点不少于100个。</w:t>
                  </w:r>
                </w:p>
              </w:tc>
              <w:tc>
                <w:tcPr>
                  <w:tcW w:w="1520" w:type="dxa"/>
                  <w:noWrap w:val="0"/>
                  <w:vAlign w:val="center"/>
                </w:tcPr>
                <w:p>
                  <w:pPr>
                    <w:pStyle w:val="198"/>
                    <w:spacing w:beforeLines="0" w:afterLines="0" w:line="240" w:lineRule="exact"/>
                    <w:rPr>
                      <w:rFonts w:hint="default" w:ascii="Times New Roman" w:hAnsi="Times New Roman" w:eastAsia="宋体" w:cs="Times New Roman"/>
                      <w:color w:val="000000"/>
                      <w:sz w:val="18"/>
                      <w:szCs w:val="15"/>
                      <w:lang w:eastAsia="zh-CN"/>
                    </w:rPr>
                  </w:pPr>
                  <w:r>
                    <w:rPr>
                      <w:rFonts w:hint="default" w:ascii="Times New Roman" w:hAnsi="Times New Roman" w:cs="Times New Roman"/>
                      <w:color w:val="000000"/>
                      <w:sz w:val="18"/>
                      <w:szCs w:val="15"/>
                    </w:rPr>
                    <w:t>本项目</w:t>
                  </w:r>
                  <w:r>
                    <w:rPr>
                      <w:rFonts w:hint="eastAsia" w:ascii="Times New Roman" w:cs="Times New Roman"/>
                      <w:color w:val="000000"/>
                      <w:sz w:val="18"/>
                      <w:szCs w:val="15"/>
                      <w:lang w:eastAsia="zh-CN"/>
                    </w:rPr>
                    <w:t>不属于化工企业，不需</w:t>
                  </w:r>
                  <w:r>
                    <w:rPr>
                      <w:rFonts w:hint="default" w:ascii="Times New Roman" w:hAnsi="Times New Roman" w:cs="Times New Roman"/>
                      <w:color w:val="000000"/>
                      <w:sz w:val="18"/>
                      <w:szCs w:val="15"/>
                      <w:shd w:val="clear" w:color="auto" w:fill="FFFFFF"/>
                      <w:lang w:eastAsia="zh-CN"/>
                    </w:rPr>
                    <w:t>进行</w:t>
                  </w:r>
                  <w:r>
                    <w:rPr>
                      <w:rFonts w:hint="default" w:ascii="Times New Roman" w:hAnsi="Times New Roman" w:cs="Times New Roman"/>
                      <w:color w:val="000000"/>
                      <w:sz w:val="18"/>
                      <w:szCs w:val="15"/>
                      <w:shd w:val="clear" w:color="auto" w:fill="FFFFFF"/>
                    </w:rPr>
                    <w:t>现场检测和泄漏修复等工作</w:t>
                  </w:r>
                  <w:r>
                    <w:rPr>
                      <w:rFonts w:hint="default" w:ascii="Times New Roman" w:hAnsi="Times New Roman" w:cs="Times New Roman"/>
                      <w:color w:val="000000"/>
                      <w:sz w:val="18"/>
                      <w:szCs w:val="15"/>
                      <w:lang w:eastAsia="zh-CN"/>
                    </w:rPr>
                    <w:t>。</w:t>
                  </w:r>
                </w:p>
              </w:tc>
              <w:tc>
                <w:tcPr>
                  <w:tcW w:w="59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1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持续开展废气旁路排查整治</w:t>
                  </w:r>
                </w:p>
              </w:tc>
              <w:tc>
                <w:tcPr>
                  <w:tcW w:w="4819" w:type="dxa"/>
                  <w:noWrap w:val="0"/>
                  <w:vAlign w:val="center"/>
                </w:tcPr>
                <w:p>
                  <w:pPr>
                    <w:pStyle w:val="198"/>
                    <w:spacing w:beforeLines="0" w:afterLines="0" w:line="240" w:lineRule="exact"/>
                    <w:rPr>
                      <w:rFonts w:hint="default" w:ascii="Times New Roman" w:hAnsi="Times New Roman" w:cs="Times New Roman"/>
                      <w:color w:val="000000"/>
                      <w:sz w:val="18"/>
                      <w:szCs w:val="15"/>
                      <w:shd w:val="clear" w:color="auto" w:fill="FFFFFF"/>
                    </w:rPr>
                  </w:pPr>
                  <w:r>
                    <w:rPr>
                      <w:rFonts w:hint="default" w:ascii="Times New Roman" w:hAnsi="Times New Roman" w:cs="Times New Roman"/>
                      <w:color w:val="000000"/>
                      <w:sz w:val="18"/>
                      <w:szCs w:val="15"/>
                      <w:shd w:val="clear" w:color="auto" w:fill="FFFFFF"/>
                    </w:rPr>
                    <w:t>各区县要组织企业对生产系统和治理设施旁路进行系统评估，除保障安全生产必须保留的应急类旁路外，应采取彻底拆除、切断、物理隔离等方式取缔旁路（含生产车间、生产装置建设的直排管线等）。工业涂装、包装印刷等溶剂使用类行业生产车间原则上不设置应急旁路。对于确需保留的应急类旁路，企业应向当地生态环境部门报备，在非紧急情况下保持关闭并铅封，通过安装自动监测设备、流量计等方式加强监管，并保存历史记录，开启后应及时向所在区县生态环境部门报告，做好台账记录。建设有中控系统的企业，鼓励在旁路设置感应式阀门，阀门开启状态、开度等信号接入中控系统，历史记录至少保存5年。在保证安全生产的前提下，鼓励对旁路废气进行处理，防止直排</w:t>
                  </w:r>
                </w:p>
              </w:tc>
              <w:tc>
                <w:tcPr>
                  <w:tcW w:w="1520"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本项目</w:t>
                  </w:r>
                  <w:r>
                    <w:rPr>
                      <w:rFonts w:hint="default" w:ascii="Times New Roman" w:hAnsi="Times New Roman" w:cs="Times New Roman"/>
                      <w:color w:val="000000"/>
                      <w:sz w:val="18"/>
                      <w:szCs w:val="15"/>
                      <w:lang w:eastAsia="zh-CN"/>
                    </w:rPr>
                    <w:t>废气为</w:t>
                  </w:r>
                  <w:r>
                    <w:rPr>
                      <w:rFonts w:hint="eastAsia" w:ascii="Times New Roman" w:cs="Times New Roman"/>
                      <w:color w:val="000000"/>
                      <w:sz w:val="18"/>
                      <w:szCs w:val="15"/>
                      <w:lang w:eastAsia="zh-CN"/>
                    </w:rPr>
                    <w:t>主要为胶搅拌、涂胶、烘干、固化、切割及注塑工序</w:t>
                  </w:r>
                  <w:r>
                    <w:rPr>
                      <w:rFonts w:hint="default" w:ascii="Times New Roman" w:hAnsi="Times New Roman" w:cs="Times New Roman"/>
                      <w:color w:val="000000"/>
                      <w:sz w:val="18"/>
                      <w:szCs w:val="15"/>
                      <w:lang w:eastAsia="zh-CN"/>
                    </w:rPr>
                    <w:t>产生的</w:t>
                  </w:r>
                  <w:r>
                    <w:rPr>
                      <w:rFonts w:hint="default" w:ascii="Times New Roman" w:hAnsi="Times New Roman" w:cs="Times New Roman"/>
                      <w:color w:val="000000"/>
                      <w:sz w:val="18"/>
                      <w:szCs w:val="15"/>
                      <w:lang w:val="en-US" w:eastAsia="zh-CN"/>
                    </w:rPr>
                    <w:t>VOCs（</w:t>
                  </w:r>
                  <w:r>
                    <w:rPr>
                      <w:rFonts w:hint="eastAsia" w:ascii="Times New Roman" w:cs="Times New Roman"/>
                      <w:color w:val="000000"/>
                      <w:sz w:val="18"/>
                      <w:szCs w:val="15"/>
                      <w:lang w:val="en-US" w:eastAsia="zh-CN"/>
                    </w:rPr>
                    <w:t>主要为苯酚、甲醛</w:t>
                  </w:r>
                  <w:r>
                    <w:rPr>
                      <w:rFonts w:hint="default" w:ascii="Times New Roman" w:hAnsi="Times New Roman" w:cs="Times New Roman"/>
                      <w:color w:val="000000"/>
                      <w:sz w:val="18"/>
                      <w:szCs w:val="15"/>
                      <w:lang w:val="en-US" w:eastAsia="zh-CN"/>
                    </w:rPr>
                    <w:t>），</w:t>
                  </w:r>
                  <w:r>
                    <w:rPr>
                      <w:rFonts w:hint="eastAsia" w:ascii="Times New Roman" w:cs="Times New Roman"/>
                      <w:color w:val="000000"/>
                      <w:sz w:val="18"/>
                      <w:szCs w:val="15"/>
                      <w:lang w:val="en-US" w:eastAsia="zh-CN"/>
                    </w:rPr>
                    <w:t>收集后</w:t>
                  </w:r>
                  <w:r>
                    <w:rPr>
                      <w:rFonts w:hint="default" w:ascii="Times New Roman" w:hAnsi="Times New Roman" w:cs="Times New Roman"/>
                      <w:color w:val="000000"/>
                      <w:sz w:val="18"/>
                      <w:szCs w:val="15"/>
                      <w:lang w:val="en-US" w:eastAsia="zh-CN"/>
                    </w:rPr>
                    <w:t>经配套环保设施处理后有组织排放，项目建设完成后，</w:t>
                  </w:r>
                  <w:r>
                    <w:rPr>
                      <w:rFonts w:hint="default" w:ascii="Times New Roman" w:hAnsi="Times New Roman" w:cs="Times New Roman"/>
                      <w:color w:val="000000"/>
                      <w:sz w:val="18"/>
                      <w:szCs w:val="15"/>
                    </w:rPr>
                    <w:t>会按照规范进行监测管理，</w:t>
                  </w:r>
                  <w:r>
                    <w:rPr>
                      <w:rFonts w:hint="default" w:ascii="Times New Roman" w:hAnsi="Times New Roman" w:cs="Times New Roman"/>
                      <w:color w:val="000000"/>
                      <w:sz w:val="18"/>
                      <w:szCs w:val="15"/>
                      <w:lang w:eastAsia="zh-CN"/>
                    </w:rPr>
                    <w:t>本项目不涉及旁路</w:t>
                  </w:r>
                  <w:r>
                    <w:rPr>
                      <w:rFonts w:hint="default" w:ascii="Times New Roman" w:hAnsi="Times New Roman" w:cs="Times New Roman"/>
                      <w:color w:val="000000"/>
                      <w:sz w:val="18"/>
                      <w:szCs w:val="15"/>
                    </w:rPr>
                    <w:t>。</w:t>
                  </w:r>
                </w:p>
              </w:tc>
              <w:tc>
                <w:tcPr>
                  <w:tcW w:w="59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1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提升综合治理效率</w:t>
                  </w:r>
                </w:p>
              </w:tc>
              <w:tc>
                <w:tcPr>
                  <w:tcW w:w="4819" w:type="dxa"/>
                  <w:noWrap w:val="0"/>
                  <w:vAlign w:val="center"/>
                </w:tcPr>
                <w:p>
                  <w:pPr>
                    <w:pStyle w:val="198"/>
                    <w:spacing w:beforeLines="0" w:afterLines="0" w:line="240" w:lineRule="exact"/>
                    <w:rPr>
                      <w:rFonts w:hint="default" w:ascii="Times New Roman" w:hAnsi="Times New Roman" w:cs="Times New Roman"/>
                      <w:color w:val="000000"/>
                      <w:sz w:val="18"/>
                      <w:szCs w:val="15"/>
                      <w:shd w:val="clear" w:color="auto" w:fill="FFFFFF"/>
                    </w:rPr>
                  </w:pPr>
                  <w:r>
                    <w:rPr>
                      <w:rFonts w:hint="default" w:ascii="Times New Roman" w:hAnsi="Times New Roman" w:cs="Times New Roman"/>
                      <w:color w:val="000000"/>
                      <w:sz w:val="18"/>
                      <w:szCs w:val="15"/>
                      <w:shd w:val="clear" w:color="auto" w:fill="FFFFFF"/>
                    </w:rPr>
                    <w:t>推进使用先进生产工艺，通过采用全密闭、连续化、自动化等生产技术，以及高效工艺设备等，减少工艺过程无组织排放。按照“适宜高效”和“降风增浓”原则，优先对车间内涉挥发性有机物的设备、工序进行密闭，或进行局部废气收集。加强生产车间密闭管理，在符合安全生产、职业卫生等要求前提下，采用自动感应门、密闭性好的塑钢门窗等，在非必要时保持关闭。高浓度挥发性有机物废气不宜直接与大风量、低浓度挥发性有机物废气混合，按照适宜高效的原则提高治理设施去除率，高浓度挥发性有机物废气（&gt;30000mg/m</w:t>
                  </w:r>
                  <w:r>
                    <w:rPr>
                      <w:rFonts w:hint="default" w:ascii="Times New Roman" w:hAnsi="Times New Roman" w:cs="Times New Roman"/>
                      <w:color w:val="000000"/>
                      <w:sz w:val="18"/>
                      <w:szCs w:val="15"/>
                      <w:shd w:val="clear" w:color="auto" w:fill="FFFFFF"/>
                      <w:vertAlign w:val="superscript"/>
                    </w:rPr>
                    <w:t>3</w:t>
                  </w:r>
                  <w:r>
                    <w:rPr>
                      <w:rFonts w:hint="default" w:ascii="Times New Roman" w:hAnsi="Times New Roman" w:cs="Times New Roman"/>
                      <w:color w:val="000000"/>
                      <w:sz w:val="18"/>
                      <w:szCs w:val="15"/>
                      <w:shd w:val="clear" w:color="auto" w:fill="FFFFFF"/>
                    </w:rPr>
                    <w:t>），宜采用吸收、冷凝、吸附、膜分离等组合技术回收处理，不能达标时再辅以其他技术实现达标排放；中高浓度废气(3000mg/m</w:t>
                  </w:r>
                  <w:r>
                    <w:rPr>
                      <w:rFonts w:hint="default" w:ascii="Times New Roman" w:hAnsi="Times New Roman" w:cs="Times New Roman"/>
                      <w:color w:val="000000"/>
                      <w:sz w:val="18"/>
                      <w:szCs w:val="15"/>
                      <w:shd w:val="clear" w:color="auto" w:fill="FFFFFF"/>
                      <w:vertAlign w:val="superscript"/>
                    </w:rPr>
                    <w:t>3</w:t>
                  </w:r>
                  <w:r>
                    <w:rPr>
                      <w:rFonts w:hint="default" w:ascii="Times New Roman" w:hAnsi="Times New Roman" w:cs="Times New Roman"/>
                      <w:color w:val="000000"/>
                      <w:sz w:val="18"/>
                      <w:szCs w:val="15"/>
                      <w:shd w:val="clear" w:color="auto" w:fill="FFFFFF"/>
                    </w:rPr>
                    <w:t>-30000mg/m</w:t>
                  </w:r>
                  <w:r>
                    <w:rPr>
                      <w:rFonts w:hint="default" w:ascii="Times New Roman" w:hAnsi="Times New Roman" w:cs="Times New Roman"/>
                      <w:color w:val="000000"/>
                      <w:sz w:val="18"/>
                      <w:szCs w:val="15"/>
                      <w:shd w:val="clear" w:color="auto" w:fill="FFFFFF"/>
                      <w:vertAlign w:val="superscript"/>
                    </w:rPr>
                    <w:t>3</w:t>
                  </w:r>
                  <w:r>
                    <w:rPr>
                      <w:rFonts w:hint="default" w:ascii="Times New Roman" w:hAnsi="Times New Roman" w:cs="Times New Roman"/>
                      <w:color w:val="000000"/>
                      <w:sz w:val="18"/>
                      <w:szCs w:val="15"/>
                      <w:shd w:val="clear" w:color="auto" w:fill="FFFFFF"/>
                    </w:rPr>
                    <w:t>)，有回收价值时宜采用吸收技术回收处理，无回收价值时宜采用燃烧技术。中低浓度挥发性有机物废气（&lt;3000mg/m</w:t>
                  </w:r>
                  <w:r>
                    <w:rPr>
                      <w:rFonts w:hint="default" w:ascii="Times New Roman" w:hAnsi="Times New Roman" w:cs="Times New Roman"/>
                      <w:color w:val="000000"/>
                      <w:sz w:val="18"/>
                      <w:szCs w:val="15"/>
                      <w:shd w:val="clear" w:color="auto" w:fill="FFFFFF"/>
                      <w:vertAlign w:val="superscript"/>
                    </w:rPr>
                    <w:t>3</w:t>
                  </w:r>
                  <w:r>
                    <w:rPr>
                      <w:rFonts w:hint="default" w:ascii="Times New Roman" w:hAnsi="Times New Roman" w:cs="Times New Roman"/>
                      <w:color w:val="000000"/>
                      <w:sz w:val="18"/>
                      <w:szCs w:val="15"/>
                      <w:shd w:val="clear" w:color="auto" w:fill="FFFFFF"/>
                    </w:rPr>
                    <w:t>）宜采用生物技术、燃烧技术、吸附浓缩-燃烧技术等。鼓励使用液氮的企业，统筹考虑液氮气化和挥发性有机物废气冷凝的热交换，实现废气治理和节能相结合。严禁大风量、高浓度有机废气的有机化工、医药制药、石油化工等行业企业使用UV光解、低温等离子、光氧催化等低效治污设施。其他行业在保证异味治理的前提下，原则上全面淘汰以上低效治污设施。杜绝仅采用水或水溶液洗涤吸收方式处理含非水溶性组分的挥发性有机物废气。挥发性有机物废气不得与含颗粒物等其他污染物的废气混合。</w:t>
                  </w:r>
                </w:p>
              </w:tc>
              <w:tc>
                <w:tcPr>
                  <w:tcW w:w="1520"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本项目生产过程中</w:t>
                  </w:r>
                  <w:r>
                    <w:rPr>
                      <w:rFonts w:hint="eastAsia" w:ascii="Times New Roman" w:cs="Times New Roman"/>
                      <w:color w:val="000000"/>
                      <w:sz w:val="18"/>
                      <w:szCs w:val="15"/>
                      <w:lang w:eastAsia="zh-CN"/>
                    </w:rPr>
                    <w:t>产生</w:t>
                  </w:r>
                  <w:r>
                    <w:rPr>
                      <w:rFonts w:hint="default" w:ascii="Times New Roman" w:hAnsi="Times New Roman" w:cs="Times New Roman"/>
                      <w:color w:val="000000"/>
                      <w:sz w:val="18"/>
                      <w:szCs w:val="15"/>
                    </w:rPr>
                    <w:t>的VOCs</w:t>
                  </w:r>
                  <w:r>
                    <w:rPr>
                      <w:rFonts w:hint="default" w:ascii="Times New Roman" w:hAnsi="Times New Roman" w:cs="Times New Roman"/>
                      <w:color w:val="000000"/>
                      <w:sz w:val="18"/>
                      <w:szCs w:val="15"/>
                      <w:lang w:eastAsia="zh-CN"/>
                    </w:rPr>
                    <w:t>主要为</w:t>
                  </w:r>
                  <w:r>
                    <w:rPr>
                      <w:rFonts w:hint="eastAsia" w:ascii="Times New Roman" w:cs="Times New Roman"/>
                      <w:color w:val="000000"/>
                      <w:sz w:val="18"/>
                      <w:szCs w:val="15"/>
                      <w:lang w:eastAsia="zh-CN"/>
                    </w:rPr>
                    <w:t>胶搅拌、涂胶、烘干、固化、切割及注塑</w:t>
                  </w:r>
                  <w:r>
                    <w:rPr>
                      <w:rFonts w:hint="default" w:ascii="Times New Roman" w:hAnsi="Times New Roman" w:cs="Times New Roman"/>
                      <w:color w:val="000000"/>
                      <w:sz w:val="18"/>
                      <w:szCs w:val="15"/>
                      <w:lang w:eastAsia="zh-CN"/>
                    </w:rPr>
                    <w:t>过程产生，生产工艺较先进，产生的</w:t>
                  </w:r>
                  <w:r>
                    <w:rPr>
                      <w:rFonts w:hint="default" w:ascii="Times New Roman" w:hAnsi="Times New Roman" w:cs="Times New Roman"/>
                      <w:color w:val="000000"/>
                      <w:sz w:val="18"/>
                      <w:szCs w:val="15"/>
                      <w:lang w:val="en-US" w:eastAsia="zh-CN"/>
                    </w:rPr>
                    <w:t>VOCs</w:t>
                  </w:r>
                  <w:r>
                    <w:rPr>
                      <w:rFonts w:hint="default" w:ascii="Times New Roman" w:hAnsi="Times New Roman" w:cs="Times New Roman"/>
                      <w:color w:val="000000"/>
                      <w:sz w:val="18"/>
                      <w:szCs w:val="15"/>
                      <w:lang w:eastAsia="zh-CN"/>
                    </w:rPr>
                    <w:t>经配套</w:t>
                  </w:r>
                  <w:r>
                    <w:rPr>
                      <w:rFonts w:hint="eastAsia" w:ascii="Times New Roman" w:cs="Times New Roman"/>
                      <w:color w:val="000000"/>
                      <w:sz w:val="18"/>
                      <w:szCs w:val="15"/>
                      <w:lang w:val="en-US" w:eastAsia="zh-CN"/>
                    </w:rPr>
                    <w:t>两级活性炭</w:t>
                  </w:r>
                  <w:r>
                    <w:rPr>
                      <w:rFonts w:hint="default" w:ascii="Times New Roman" w:hAnsi="Times New Roman" w:cs="Times New Roman"/>
                      <w:color w:val="000000"/>
                      <w:sz w:val="18"/>
                      <w:szCs w:val="15"/>
                      <w:lang w:val="en-US" w:eastAsia="zh-CN"/>
                    </w:rPr>
                    <w:t>处理后有组织排放。</w:t>
                  </w:r>
                </w:p>
              </w:tc>
              <w:tc>
                <w:tcPr>
                  <w:tcW w:w="593" w:type="dxa"/>
                  <w:noWrap w:val="0"/>
                  <w:vAlign w:val="center"/>
                </w:tcPr>
                <w:p>
                  <w:pPr>
                    <w:pStyle w:val="198"/>
                    <w:spacing w:beforeLines="0" w:afterLines="0" w:line="240" w:lineRule="exact"/>
                    <w:rPr>
                      <w:rFonts w:hint="default" w:ascii="Times New Roman" w:hAnsi="Times New Roman" w:cs="Times New Roman"/>
                      <w:color w:val="000000"/>
                      <w:sz w:val="18"/>
                      <w:szCs w:val="15"/>
                    </w:rPr>
                  </w:pPr>
                  <w:r>
                    <w:rPr>
                      <w:rFonts w:hint="default" w:ascii="Times New Roman" w:hAnsi="Times New Roman" w:cs="Times New Roman"/>
                      <w:color w:val="000000"/>
                      <w:sz w:val="18"/>
                      <w:szCs w:val="15"/>
                    </w:rPr>
                    <w:t>符合</w:t>
                  </w:r>
                </w:p>
              </w:tc>
            </w:tr>
          </w:tbl>
          <w:p>
            <w:pPr>
              <w:pStyle w:val="377"/>
              <w:ind w:firstLine="420"/>
              <w:rPr>
                <w:rFonts w:hint="default" w:ascii="Times New Roman" w:hAnsi="Times New Roman" w:cs="Times New Roman"/>
                <w:color w:val="000000"/>
                <w:sz w:val="21"/>
                <w:szCs w:val="21"/>
              </w:rPr>
            </w:pPr>
            <w:r>
              <w:rPr>
                <w:rFonts w:hint="default" w:ascii="Times New Roman" w:hAnsi="Times New Roman" w:cs="Times New Roman"/>
                <w:color w:val="000000"/>
                <w:sz w:val="21"/>
                <w:szCs w:val="18"/>
                <w:lang w:val="en-US"/>
              </w:rPr>
              <w:t>综上分析，</w:t>
            </w:r>
            <w:r>
              <w:rPr>
                <w:rFonts w:hint="default" w:ascii="Times New Roman" w:hAnsi="Times New Roman" w:cs="Times New Roman"/>
                <w:color w:val="000000"/>
                <w:sz w:val="21"/>
                <w:szCs w:val="18"/>
                <w:lang w:val="en-US" w:eastAsia="zh-CN"/>
              </w:rPr>
              <w:t>本</w:t>
            </w:r>
            <w:r>
              <w:rPr>
                <w:rFonts w:hint="default" w:ascii="Times New Roman" w:hAnsi="Times New Roman" w:cs="Times New Roman"/>
                <w:color w:val="000000"/>
                <w:sz w:val="21"/>
                <w:szCs w:val="18"/>
                <w:lang w:val="en-US"/>
              </w:rPr>
              <w:t>项目符合</w:t>
            </w:r>
            <w:r>
              <w:rPr>
                <w:rFonts w:hint="default" w:ascii="Times New Roman" w:hAnsi="Times New Roman" w:cs="Times New Roman"/>
                <w:color w:val="000000"/>
                <w:sz w:val="21"/>
                <w:szCs w:val="21"/>
              </w:rPr>
              <w:t>《2022年度淄博市挥发性有机物治理和臭氧管控方案》的通知（</w:t>
            </w:r>
            <w:r>
              <w:rPr>
                <w:rFonts w:hint="default" w:ascii="Times New Roman" w:hAnsi="Times New Roman" w:cs="Times New Roman"/>
                <w:color w:val="000000"/>
                <w:kern w:val="0"/>
                <w:sz w:val="21"/>
                <w:szCs w:val="18"/>
                <w:shd w:val="clear" w:color="auto" w:fill="FFFFFF"/>
              </w:rPr>
              <w:t>淄环委办〔2022〕12号</w:t>
            </w:r>
            <w:r>
              <w:rPr>
                <w:rFonts w:hint="default" w:ascii="Times New Roman" w:hAnsi="Times New Roman" w:cs="Times New Roman"/>
                <w:color w:val="000000"/>
                <w:sz w:val="21"/>
                <w:szCs w:val="21"/>
              </w:rPr>
              <w:t>）中相关要求。</w:t>
            </w:r>
          </w:p>
          <w:p>
            <w:pPr>
              <w:spacing w:line="360" w:lineRule="auto"/>
              <w:ind w:firstLine="420" w:firstLineChars="200"/>
              <w:rPr>
                <w:rFonts w:hint="default" w:ascii="Times New Roman" w:hAnsi="Times New Roman" w:cs="Times New Roman"/>
                <w:bCs/>
              </w:rPr>
            </w:pPr>
            <w:r>
              <w:rPr>
                <w:rFonts w:hint="default" w:ascii="Times New Roman" w:hAnsi="Times New Roman" w:cs="Times New Roman"/>
                <w:bCs/>
              </w:rPr>
              <w:t>（6）与关于印发《全市工业企业大气污染治理品质提升实施方案》的通知（淄环委办〔2022〕10号）的符合性分析</w:t>
            </w:r>
          </w:p>
          <w:p>
            <w:pPr>
              <w:spacing w:line="360" w:lineRule="auto"/>
              <w:jc w:val="center"/>
              <w:rPr>
                <w:rFonts w:hint="default" w:ascii="Times New Roman" w:hAnsi="Times New Roman" w:eastAsia="黑体" w:cs="Times New Roman"/>
                <w:b/>
                <w:bCs/>
                <w:szCs w:val="21"/>
              </w:rPr>
            </w:pPr>
            <w:r>
              <w:rPr>
                <w:rFonts w:hint="default" w:ascii="Times New Roman" w:hAnsi="Times New Roman" w:eastAsia="黑体" w:cs="Times New Roman"/>
                <w:b/>
                <w:bCs/>
                <w:szCs w:val="21"/>
              </w:rPr>
              <w:t>表1-1</w:t>
            </w:r>
            <w:r>
              <w:rPr>
                <w:rFonts w:hint="eastAsia" w:eastAsia="黑体" w:cs="Times New Roman"/>
                <w:b/>
                <w:bCs/>
                <w:szCs w:val="21"/>
                <w:lang w:val="en-US" w:eastAsia="zh-CN"/>
              </w:rPr>
              <w:t>4</w:t>
            </w:r>
            <w:r>
              <w:rPr>
                <w:rFonts w:hint="default" w:ascii="Times New Roman" w:hAnsi="Times New Roman" w:eastAsia="黑体" w:cs="Times New Roman"/>
                <w:b/>
                <w:bCs/>
                <w:szCs w:val="21"/>
              </w:rPr>
              <w:t>项目与淄环委办〔2022〕10号的符合性分析</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6"/>
              <w:gridCol w:w="3997"/>
              <w:gridCol w:w="2399"/>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4353" w:type="dxa"/>
                  <w:gridSpan w:val="2"/>
                  <w:noWrap w:val="0"/>
                  <w:vAlign w:val="center"/>
                </w:tcPr>
                <w:p>
                  <w:pPr>
                    <w:pStyle w:val="198"/>
                    <w:spacing w:beforeLines="0" w:afterLines="0" w:line="240" w:lineRule="atLeast"/>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文件要求</w:t>
                  </w:r>
                </w:p>
              </w:tc>
              <w:tc>
                <w:tcPr>
                  <w:tcW w:w="2399" w:type="dxa"/>
                  <w:noWrap w:val="0"/>
                  <w:vAlign w:val="center"/>
                </w:tcPr>
                <w:p>
                  <w:pPr>
                    <w:pStyle w:val="198"/>
                    <w:spacing w:beforeLines="0" w:afterLines="0" w:line="240" w:lineRule="atLeast"/>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项目情况</w:t>
                  </w:r>
                </w:p>
              </w:tc>
              <w:tc>
                <w:tcPr>
                  <w:tcW w:w="593" w:type="dxa"/>
                  <w:noWrap w:val="0"/>
                  <w:tcMar>
                    <w:left w:w="28" w:type="dxa"/>
                    <w:right w:w="28" w:type="dxa"/>
                  </w:tcMar>
                  <w:vAlign w:val="center"/>
                </w:tcPr>
                <w:p>
                  <w:pPr>
                    <w:pStyle w:val="198"/>
                    <w:spacing w:beforeLines="0" w:afterLines="0" w:line="240" w:lineRule="atLeast"/>
                    <w:rPr>
                      <w:rFonts w:hint="default" w:ascii="Times New Roman" w:hAnsi="Times New Roman" w:cs="Times New Roman"/>
                      <w:b/>
                      <w:bCs/>
                      <w:color w:val="000000"/>
                      <w:sz w:val="18"/>
                      <w:szCs w:val="18"/>
                    </w:rPr>
                  </w:pPr>
                  <w:r>
                    <w:rPr>
                      <w:rFonts w:hint="default" w:ascii="Times New Roman" w:hAnsi="Times New Roman" w:cs="Times New Roman"/>
                      <w:b/>
                      <w:bCs/>
                      <w:color w:val="000000"/>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restart"/>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提升挥发性有机物的治理水平</w:t>
                  </w:r>
                </w:p>
              </w:tc>
              <w:tc>
                <w:tcPr>
                  <w:tcW w:w="3997" w:type="dxa"/>
                  <w:noWrap w:val="0"/>
                  <w:vAlign w:val="center"/>
                </w:tcPr>
                <w:p>
                  <w:pPr>
                    <w:pStyle w:val="198"/>
                    <w:spacing w:beforeLines="0" w:afterLines="0"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15.有机液体装卸和罐区原则上建设独立的废气收集系统，确保废气有效收集。生产、储存、装卸等环节产生的高浓度、大风量 VOCs 废气应使用催化燃烧、蓄热燃烧等处置工艺。</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lang w:eastAsia="zh-CN"/>
                    </w:rPr>
                    <w:t>本项目不涉及罐区。生产过程产生的</w:t>
                  </w:r>
                  <w:r>
                    <w:rPr>
                      <w:rFonts w:hint="default" w:ascii="Times New Roman" w:hAnsi="Times New Roman" w:cs="Times New Roman"/>
                      <w:color w:val="000000"/>
                      <w:sz w:val="18"/>
                      <w:szCs w:val="18"/>
                      <w:lang w:val="en-US" w:eastAsia="zh-CN"/>
                    </w:rPr>
                    <w:t>VOCs经配套</w:t>
                  </w:r>
                  <w:r>
                    <w:rPr>
                      <w:rFonts w:hint="eastAsia" w:ascii="Times New Roman" w:cs="Times New Roman"/>
                      <w:color w:val="000000"/>
                      <w:sz w:val="18"/>
                      <w:szCs w:val="18"/>
                      <w:lang w:val="en-US" w:eastAsia="zh-CN"/>
                    </w:rPr>
                    <w:t>两级活性炭装置</w:t>
                  </w:r>
                  <w:r>
                    <w:rPr>
                      <w:rFonts w:hint="default" w:ascii="Times New Roman" w:hAnsi="Times New Roman" w:cs="Times New Roman"/>
                      <w:color w:val="000000"/>
                      <w:sz w:val="18"/>
                      <w:szCs w:val="18"/>
                      <w:lang w:val="en-US" w:eastAsia="zh-CN"/>
                    </w:rPr>
                    <w:t>处理后有组织排放。</w:t>
                  </w:r>
                </w:p>
              </w:tc>
              <w:tc>
                <w:tcPr>
                  <w:tcW w:w="593"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Lines="0" w:afterLines="0"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16.强化无组织排放收集，优先采用密闭设备、在密闭空间中操作或采用全密闭集气罩收集方式；对于采用局部集气罩的，距集气罩开口面最远处的VOCs 无组织排放位置，控制风速不低于0.3m/s（行业相关规范有具体规定的，按相关规定执行）。</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rPr>
                    <w:t>本项目</w:t>
                  </w:r>
                  <w:r>
                    <w:rPr>
                      <w:rFonts w:hint="default" w:ascii="Times New Roman" w:hAnsi="Times New Roman" w:cs="Times New Roman"/>
                      <w:color w:val="000000"/>
                      <w:sz w:val="18"/>
                      <w:szCs w:val="18"/>
                      <w:lang w:eastAsia="zh-CN"/>
                    </w:rPr>
                    <w:t>完成后</w:t>
                  </w:r>
                  <w:r>
                    <w:rPr>
                      <w:rFonts w:hint="eastAsia" w:ascii="Times New Roman" w:cs="Times New Roman"/>
                      <w:color w:val="000000"/>
                      <w:sz w:val="18"/>
                      <w:szCs w:val="18"/>
                      <w:lang w:eastAsia="zh-CN"/>
                    </w:rPr>
                    <w:t>产污工序上方</w:t>
                  </w:r>
                  <w:r>
                    <w:rPr>
                      <w:rFonts w:hint="default" w:ascii="Times New Roman" w:hAnsi="Times New Roman" w:cs="Times New Roman"/>
                      <w:color w:val="000000"/>
                      <w:sz w:val="18"/>
                      <w:szCs w:val="18"/>
                    </w:rPr>
                    <w:t>采取局部集气罩的收集方式</w:t>
                  </w:r>
                  <w:r>
                    <w:rPr>
                      <w:rFonts w:hint="eastAsia" w:ascii="Times New Roman" w:cs="Times New Roman"/>
                      <w:color w:val="000000"/>
                      <w:sz w:val="18"/>
                      <w:szCs w:val="18"/>
                      <w:lang w:eastAsia="zh-CN"/>
                    </w:rPr>
                    <w:t>，确保距集气罩开口面最远处无组织排放位置控制风速不低于</w:t>
                  </w:r>
                  <w:r>
                    <w:rPr>
                      <w:rFonts w:hint="eastAsia" w:ascii="Times New Roman" w:cs="Times New Roman"/>
                      <w:color w:val="000000"/>
                      <w:sz w:val="18"/>
                      <w:szCs w:val="18"/>
                      <w:lang w:val="en-US" w:eastAsia="zh-CN"/>
                    </w:rPr>
                    <w:t>0.3m/s</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Lines="0" w:afterLines="0"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17.废气治理系统的处理能力要与企业产污情况相匹配，不应出现收集率过低、过度收集、处理能力偏小等现象。需密闭生产的车间，应聘请有资质的单位结合生产实际设计新风系统，明确收集口位置和数量、真空度、管线规格等内容，确保能够真正密闭且符合安全生产要求。</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rPr>
                    <w:t>本项目</w:t>
                  </w:r>
                  <w:r>
                    <w:rPr>
                      <w:rFonts w:hint="default" w:ascii="Times New Roman" w:hAnsi="Times New Roman" w:cs="Times New Roman"/>
                      <w:color w:val="000000"/>
                      <w:sz w:val="18"/>
                      <w:szCs w:val="18"/>
                      <w:lang w:eastAsia="zh-CN"/>
                    </w:rPr>
                    <w:t>废气治理系统处理能力与产污情况相匹配，确保能符合安全生产要求。</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18.采用活性床(含活性炭吸附法)处理有机废气时，进入吸附装置的废气温度宜低于 40℃；采用颗粒状吸附剂时气流速度宜低于 0.6m/s，采用纤维状吸附剂时气流速度宜低于0.15m/s，采用蜂窝状吸附剂时气流速度宜低于 1.2m/s。采用吸附工艺的企业，应聘请有资质的单位进行“设计评估”，评估发现问题要依规整改，确保吸附剂量足、活性强、更换及时。</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auto"/>
                      <w:sz w:val="18"/>
                      <w:szCs w:val="18"/>
                    </w:rPr>
                    <w:t>本项目</w:t>
                  </w:r>
                  <w:r>
                    <w:rPr>
                      <w:rFonts w:hint="eastAsia" w:ascii="Times New Roman" w:cs="Times New Roman"/>
                      <w:color w:val="auto"/>
                      <w:sz w:val="18"/>
                      <w:szCs w:val="18"/>
                      <w:lang w:eastAsia="zh-CN"/>
                    </w:rPr>
                    <w:t>活性炭吸附装置全部采用蜂窝状活性炭，保证气流速率低于</w:t>
                  </w:r>
                  <w:r>
                    <w:rPr>
                      <w:rFonts w:hint="eastAsia" w:ascii="Times New Roman" w:cs="Times New Roman"/>
                      <w:color w:val="auto"/>
                      <w:sz w:val="18"/>
                      <w:szCs w:val="18"/>
                      <w:lang w:val="en-US" w:eastAsia="zh-CN"/>
                    </w:rPr>
                    <w:t>1.2m/s，定期更换活性炭，确保正常工作</w:t>
                  </w:r>
                  <w:r>
                    <w:rPr>
                      <w:rFonts w:hint="default" w:ascii="Times New Roman" w:hAnsi="Times New Roman" w:cs="Times New Roman"/>
                      <w:color w:val="auto"/>
                      <w:sz w:val="18"/>
                      <w:szCs w:val="18"/>
                      <w:lang w:eastAsia="zh-CN"/>
                    </w:rPr>
                    <w:t>。</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restart"/>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提升颗粒物治理水平</w:t>
                  </w: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23.粉性原料、物料（含易起尘的粒状）等贮存场所要全密闭，非道路移动机械（铲车、挖掘机等）内部作业时宜安装并启用喷雾降尘装置</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auto"/>
                      <w:sz w:val="18"/>
                      <w:szCs w:val="18"/>
                    </w:rPr>
                    <w:t>本项目</w:t>
                  </w:r>
                  <w:r>
                    <w:rPr>
                      <w:rFonts w:hint="default" w:ascii="Times New Roman" w:hAnsi="Times New Roman" w:cs="Times New Roman"/>
                      <w:color w:val="auto"/>
                      <w:sz w:val="18"/>
                      <w:szCs w:val="18"/>
                      <w:lang w:eastAsia="zh-CN"/>
                    </w:rPr>
                    <w:t>不</w:t>
                  </w:r>
                  <w:r>
                    <w:rPr>
                      <w:rFonts w:hint="eastAsia" w:ascii="Times New Roman" w:cs="Times New Roman"/>
                      <w:color w:val="auto"/>
                      <w:sz w:val="18"/>
                      <w:szCs w:val="18"/>
                      <w:lang w:eastAsia="zh-CN"/>
                    </w:rPr>
                    <w:t>新增</w:t>
                  </w:r>
                  <w:r>
                    <w:rPr>
                      <w:rFonts w:hint="default" w:ascii="Times New Roman" w:hAnsi="Times New Roman" w:cs="Times New Roman"/>
                      <w:color w:val="auto"/>
                      <w:sz w:val="18"/>
                      <w:szCs w:val="18"/>
                      <w:lang w:eastAsia="zh-CN"/>
                    </w:rPr>
                    <w:t>粉状原料、物料。</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厂内道路要全部硬化，地面要硬化或者绿化，不得出现裸露地面。定期对厂内及车间内道路、地面等进行洒扫保洁，原则上每周冲洗不少于1次，每天洒扫不少于2次，地面无积尘。</w:t>
                  </w:r>
                </w:p>
              </w:tc>
              <w:tc>
                <w:tcPr>
                  <w:tcW w:w="2399"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本项目车间全部硬化，无裸露地面。本项目建成后将按照要求进行保洁，做到地面无积尘</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restart"/>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提升精细化管理水平</w:t>
                  </w: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28.企业要按照排污许可证相关要求，完整记录和保存生产设施运行、脱硫脱硝剂消费、活性炭等吸附剂更换、原辅料及能源消费、污染设施运行等台账信息，相关台账信息要与DCS记录一致。DCS记录应定期备份，保存时间不少于书面台账。</w:t>
                  </w:r>
                </w:p>
              </w:tc>
              <w:tc>
                <w:tcPr>
                  <w:tcW w:w="2399" w:type="dxa"/>
                  <w:vMerge w:val="restart"/>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本项目建成后将按照要求进行精细化管理</w:t>
                  </w:r>
                </w:p>
              </w:tc>
              <w:tc>
                <w:tcPr>
                  <w:tcW w:w="593" w:type="dxa"/>
                  <w:vMerge w:val="restart"/>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30.废气处理系统应与生产工艺设备“同启同停”，企业要根据处理工艺，在治污设施操作规程中规定要操作方法，明确启停时间、温度、压力、烟气量等参数</w:t>
                  </w:r>
                </w:p>
              </w:tc>
              <w:tc>
                <w:tcPr>
                  <w:tcW w:w="2399"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593"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企业应建立健全大气污染治理责任制、管理制度和操作规程，定期开展专项培训或综合培训。其中，治污设施操作人员的专项培训，每季度至少开展一次公司级培训，每月至少开展一次车间级培训，考核合格后方可上岗。</w:t>
                  </w:r>
                </w:p>
              </w:tc>
              <w:tc>
                <w:tcPr>
                  <w:tcW w:w="2399"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593"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企业应建立治污设施运行巡查制度，定期巡查治污设施运行情况，巡查间隔时间不得超过半小时。治污设施运行参数要张贴悬挂于醒目位置，并明确异常问题的处理办法。巡查发现的问题要及时处置，不能整改的启用备用治污设施或有序停产，确保污染物达标排放</w:t>
                  </w:r>
                </w:p>
              </w:tc>
              <w:tc>
                <w:tcPr>
                  <w:tcW w:w="2399"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593"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restart"/>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坚决淘汰落后处理工艺</w:t>
                  </w: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全面淘汰除尘脱硫一体化、简易脱硫脱硝一体化、水洗法脱硫、氨法脱硫、生物脱硫以及无法实现精准管控的双碱法等脱硫工艺；全面淘汰微生物法脱硝及难以实现精准有效控制的氧化法脱硝和湿法脱硝工艺；全面淘汰水膜除尘、重力降尘、旋风除尘等单一措施除尘工艺。</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rPr>
                    <w:t>本项目</w:t>
                  </w:r>
                  <w:r>
                    <w:rPr>
                      <w:rFonts w:hint="default" w:ascii="Times New Roman" w:hAnsi="Times New Roman" w:cs="Times New Roman"/>
                      <w:color w:val="000000"/>
                      <w:sz w:val="18"/>
                      <w:szCs w:val="18"/>
                      <w:lang w:eastAsia="zh-CN"/>
                    </w:rPr>
                    <w:t>不涉及上述环保设施。</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56" w:type="dxa"/>
                  <w:vMerge w:val="continue"/>
                  <w:noWrap w:val="0"/>
                  <w:vAlign w:val="center"/>
                </w:tcPr>
                <w:p>
                  <w:pPr>
                    <w:pStyle w:val="198"/>
                    <w:spacing w:beforeLines="0" w:afterLines="0" w:line="240" w:lineRule="atLeast"/>
                    <w:rPr>
                      <w:rFonts w:hint="default" w:ascii="Times New Roman" w:hAnsi="Times New Roman" w:cs="Times New Roman"/>
                      <w:color w:val="000000"/>
                      <w:sz w:val="18"/>
                      <w:szCs w:val="18"/>
                    </w:rPr>
                  </w:pPr>
                </w:p>
              </w:tc>
              <w:tc>
                <w:tcPr>
                  <w:tcW w:w="3997" w:type="dxa"/>
                  <w:noWrap w:val="0"/>
                  <w:vAlign w:val="center"/>
                </w:tcPr>
                <w:p>
                  <w:pPr>
                    <w:pStyle w:val="198"/>
                    <w:spacing w:before="24" w:after="24" w:line="240" w:lineRule="atLeast"/>
                    <w:rPr>
                      <w:rFonts w:hint="default" w:ascii="Times New Roman" w:hAnsi="Times New Roman" w:cs="Times New Roman"/>
                      <w:color w:val="000000"/>
                      <w:sz w:val="18"/>
                      <w:szCs w:val="18"/>
                      <w:shd w:val="clear" w:color="auto" w:fill="FFFFFF"/>
                    </w:rPr>
                  </w:pPr>
                  <w:r>
                    <w:rPr>
                      <w:rFonts w:hint="default" w:ascii="Times New Roman" w:hAnsi="Times New Roman" w:cs="Times New Roman"/>
                      <w:color w:val="000000"/>
                      <w:sz w:val="18"/>
                      <w:szCs w:val="18"/>
                      <w:shd w:val="clear" w:color="auto" w:fill="FFFFFF"/>
                    </w:rPr>
                    <w:t>全面淘汰落后VOCs治理工艺，严禁大风量、高浓度有机废气的有机化工、医药制药、石油化工等行业企业使用UV光解、低温等离子、光氧催化等低效治污设施。其他行业在保证异味治理的前提下，原则上全面淘汰以上低效治污设施。</w:t>
                  </w:r>
                </w:p>
              </w:tc>
              <w:tc>
                <w:tcPr>
                  <w:tcW w:w="2399" w:type="dxa"/>
                  <w:noWrap w:val="0"/>
                  <w:vAlign w:val="center"/>
                </w:tcPr>
                <w:p>
                  <w:pPr>
                    <w:pStyle w:val="198"/>
                    <w:spacing w:beforeLines="0" w:afterLines="0" w:line="240" w:lineRule="atLeast"/>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rPr>
                    <w:t>本项目</w:t>
                  </w:r>
                  <w:r>
                    <w:rPr>
                      <w:rFonts w:hint="default" w:ascii="Times New Roman" w:hAnsi="Times New Roman" w:cs="Times New Roman"/>
                      <w:color w:val="000000"/>
                      <w:sz w:val="18"/>
                      <w:szCs w:val="18"/>
                      <w:lang w:val="en-US" w:eastAsia="zh-CN"/>
                    </w:rPr>
                    <w:t>VOCs环保设备为</w:t>
                  </w:r>
                  <w:r>
                    <w:rPr>
                      <w:rFonts w:hint="eastAsia" w:ascii="Times New Roman" w:cs="Times New Roman"/>
                      <w:color w:val="000000"/>
                      <w:sz w:val="18"/>
                      <w:szCs w:val="18"/>
                      <w:lang w:val="en-US" w:eastAsia="zh-CN"/>
                    </w:rPr>
                    <w:t>两级活性炭吸附装置，</w:t>
                  </w:r>
                  <w:r>
                    <w:rPr>
                      <w:rFonts w:hint="default" w:ascii="Times New Roman" w:hAnsi="Times New Roman" w:cs="Times New Roman"/>
                      <w:color w:val="000000"/>
                      <w:sz w:val="18"/>
                      <w:szCs w:val="18"/>
                      <w:lang w:val="en-US" w:eastAsia="zh-CN"/>
                    </w:rPr>
                    <w:t>为VOCs先进处理工艺。</w:t>
                  </w:r>
                </w:p>
              </w:tc>
              <w:tc>
                <w:tcPr>
                  <w:tcW w:w="593" w:type="dxa"/>
                  <w:noWrap w:val="0"/>
                  <w:vAlign w:val="center"/>
                </w:tcPr>
                <w:p>
                  <w:pPr>
                    <w:pStyle w:val="198"/>
                    <w:spacing w:beforeLines="0" w:afterLines="0" w:line="240" w:lineRule="atLeast"/>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符合</w:t>
                  </w:r>
                </w:p>
              </w:tc>
            </w:tr>
          </w:tbl>
          <w:p>
            <w:pPr>
              <w:pStyle w:val="377"/>
              <w:ind w:firstLine="31680"/>
              <w:rPr>
                <w:rFonts w:hint="default" w:ascii="Times New Roman" w:hAnsi="Times New Roman" w:cs="Times New Roman"/>
                <w:bCs/>
                <w:sz w:val="21"/>
                <w:szCs w:val="21"/>
                <w:lang w:val="en-US"/>
              </w:rPr>
            </w:pPr>
            <w:r>
              <w:rPr>
                <w:rFonts w:hint="default" w:ascii="Times New Roman" w:hAnsi="Times New Roman" w:cs="Times New Roman"/>
                <w:color w:val="000000"/>
                <w:sz w:val="21"/>
                <w:szCs w:val="18"/>
                <w:lang w:val="en-US"/>
              </w:rPr>
              <w:t>综上分析，</w:t>
            </w:r>
            <w:r>
              <w:rPr>
                <w:rFonts w:hint="default" w:ascii="Times New Roman" w:hAnsi="Times New Roman" w:cs="Times New Roman"/>
                <w:color w:val="000000"/>
                <w:sz w:val="21"/>
                <w:szCs w:val="18"/>
                <w:lang w:val="en-US" w:eastAsia="zh-CN"/>
              </w:rPr>
              <w:t>本</w:t>
            </w:r>
            <w:r>
              <w:rPr>
                <w:rFonts w:hint="default" w:ascii="Times New Roman" w:hAnsi="Times New Roman" w:cs="Times New Roman"/>
                <w:color w:val="000000"/>
                <w:sz w:val="21"/>
                <w:szCs w:val="18"/>
                <w:lang w:val="en-US"/>
              </w:rPr>
              <w:t>项目符合</w:t>
            </w:r>
            <w:r>
              <w:rPr>
                <w:rFonts w:hint="default" w:ascii="Times New Roman" w:hAnsi="Times New Roman" w:cs="Times New Roman"/>
                <w:color w:val="000000"/>
                <w:sz w:val="21"/>
                <w:szCs w:val="21"/>
              </w:rPr>
              <w:t>《全市工业企业大气污染治理品质提升实施方案》的通知（</w:t>
            </w:r>
            <w:r>
              <w:rPr>
                <w:rFonts w:hint="default" w:ascii="Times New Roman" w:hAnsi="Times New Roman" w:cs="Times New Roman"/>
                <w:color w:val="000000"/>
                <w:kern w:val="0"/>
                <w:sz w:val="21"/>
                <w:szCs w:val="18"/>
                <w:shd w:val="clear" w:color="auto" w:fill="FFFFFF"/>
              </w:rPr>
              <w:t>淄环委办〔2022〕10号</w:t>
            </w:r>
            <w:r>
              <w:rPr>
                <w:rFonts w:hint="default" w:ascii="Times New Roman" w:hAnsi="Times New Roman" w:cs="Times New Roman"/>
                <w:color w:val="000000"/>
                <w:sz w:val="21"/>
                <w:szCs w:val="21"/>
              </w:rPr>
              <w:t>）中相关要求</w:t>
            </w:r>
            <w:r>
              <w:rPr>
                <w:rFonts w:hint="eastAsia" w:cs="Times New Roman"/>
                <w:color w:val="000000"/>
                <w:sz w:val="21"/>
                <w:szCs w:val="21"/>
                <w:lang w:eastAsia="zh-CN"/>
              </w:rPr>
              <w:t>。</w:t>
            </w:r>
          </w:p>
          <w:p>
            <w:pPr>
              <w:pStyle w:val="377"/>
              <w:ind w:firstLine="31680"/>
              <w:rPr>
                <w:rFonts w:hint="default" w:ascii="Times New Roman" w:hAnsi="Times New Roman" w:cs="Times New Roman"/>
                <w:bCs/>
                <w:sz w:val="21"/>
                <w:szCs w:val="21"/>
                <w:lang w:val="en-US"/>
              </w:rPr>
            </w:pPr>
          </w:p>
        </w:tc>
      </w:tr>
    </w:tbl>
    <w:p>
      <w:pPr>
        <w:spacing w:line="420" w:lineRule="exact"/>
        <w:outlineLvl w:val="0"/>
        <w:rPr>
          <w:rFonts w:ascii="宋体"/>
          <w:sz w:val="30"/>
        </w:rPr>
        <w:sectPr>
          <w:footerReference r:id="rId3" w:type="default"/>
          <w:pgSz w:w="11906" w:h="16838"/>
          <w:pgMar w:top="1701" w:right="1531" w:bottom="1701" w:left="1531" w:header="851" w:footer="1077" w:gutter="0"/>
          <w:pgNumType w:fmt="numberInDash" w:start="1"/>
          <w:cols w:space="720" w:num="1"/>
          <w:docGrid w:linePitch="312" w:charSpace="0"/>
        </w:sectPr>
      </w:pPr>
    </w:p>
    <w:p>
      <w:pPr>
        <w:pStyle w:val="80"/>
        <w:spacing w:line="420" w:lineRule="exact"/>
        <w:jc w:val="center"/>
        <w:outlineLvl w:val="0"/>
        <w:rPr>
          <w:b/>
          <w:bCs/>
          <w:snapToGrid w:val="0"/>
          <w:sz w:val="30"/>
          <w:szCs w:val="30"/>
        </w:rPr>
      </w:pPr>
      <w:r>
        <w:rPr>
          <w:rFonts w:hint="eastAsia"/>
          <w:b/>
          <w:bCs/>
          <w:snapToGrid w:val="0"/>
          <w:sz w:val="30"/>
          <w:szCs w:val="30"/>
        </w:rPr>
        <w:t>二、建设项目工程分析</w:t>
      </w:r>
    </w:p>
    <w:tbl>
      <w:tblPr>
        <w:tblStyle w:val="85"/>
        <w:tblW w:w="494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6"/>
        <w:gridCol w:w="83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8" w:hRule="atLeast"/>
          <w:jc w:val="center"/>
        </w:trPr>
        <w:tc>
          <w:tcPr>
            <w:tcW w:w="596" w:type="dxa"/>
            <w:tcBorders>
              <w:top w:val="single" w:color="auto" w:sz="8" w:space="0"/>
            </w:tcBorders>
            <w:vAlign w:val="center"/>
          </w:tcPr>
          <w:p>
            <w:pPr>
              <w:pStyle w:val="80"/>
              <w:adjustRightInd w:val="0"/>
              <w:snapToGrid w:val="0"/>
              <w:spacing w:before="0" w:beforeAutospacing="0" w:after="0" w:afterAutospacing="0" w:line="360" w:lineRule="auto"/>
              <w:rPr>
                <w:rFonts w:hint="default" w:ascii="Times New Roman" w:hAnsi="Times New Roman" w:cs="Times New Roman"/>
                <w:sz w:val="21"/>
                <w:szCs w:val="21"/>
              </w:rPr>
            </w:pPr>
            <w:r>
              <w:rPr>
                <w:rFonts w:hint="default" w:ascii="Times New Roman" w:hAnsi="Times New Roman" w:cs="Times New Roman"/>
                <w:sz w:val="21"/>
                <w:szCs w:val="21"/>
              </w:rPr>
              <w:t>建设内容</w:t>
            </w:r>
          </w:p>
        </w:tc>
        <w:tc>
          <w:tcPr>
            <w:tcW w:w="8372" w:type="dxa"/>
            <w:tcBorders>
              <w:top w:val="single" w:color="auto" w:sz="8" w:space="0"/>
            </w:tcBorders>
            <w:vAlign w:val="center"/>
          </w:tcPr>
          <w:p>
            <w:pPr>
              <w:spacing w:line="360" w:lineRule="auto"/>
              <w:ind w:firstLine="420" w:firstLineChars="200"/>
              <w:rPr>
                <w:rFonts w:hint="eastAsia" w:ascii="Times New Roman" w:hAnsi="Times New Roman" w:eastAsia="宋体" w:cs="Times New Roman"/>
                <w:szCs w:val="21"/>
                <w:lang w:eastAsia="zh-CN"/>
              </w:rPr>
            </w:pPr>
            <w:r>
              <w:rPr>
                <w:rFonts w:hint="default" w:ascii="Times New Roman" w:hAnsi="Times New Roman" w:cs="Times New Roman"/>
                <w:kern w:val="24"/>
                <w:szCs w:val="21"/>
              </w:rPr>
              <w:t>1、</w:t>
            </w:r>
            <w:r>
              <w:rPr>
                <w:rFonts w:hint="default" w:ascii="Times New Roman" w:hAnsi="Times New Roman" w:cs="Times New Roman"/>
                <w:kern w:val="0"/>
                <w:szCs w:val="21"/>
              </w:rPr>
              <w:t>项目名称：</w:t>
            </w:r>
            <w:r>
              <w:rPr>
                <w:rFonts w:hint="eastAsia" w:cs="Times New Roman"/>
                <w:szCs w:val="21"/>
                <w:lang w:eastAsia="zh-CN"/>
              </w:rPr>
              <w:t>淄博龙昊电源科技有限公司年产20万平方米涤纶排管及电源连接线技改搬迁项目</w:t>
            </w:r>
          </w:p>
          <w:p>
            <w:pPr>
              <w:spacing w:line="360" w:lineRule="auto"/>
              <w:ind w:firstLine="420" w:firstLineChars="200"/>
              <w:rPr>
                <w:rFonts w:hint="default" w:ascii="Times New Roman" w:hAnsi="Times New Roman" w:cs="Times New Roman"/>
                <w:kern w:val="24"/>
                <w:szCs w:val="21"/>
              </w:rPr>
            </w:pPr>
            <w:r>
              <w:rPr>
                <w:rFonts w:hint="default" w:ascii="Times New Roman" w:hAnsi="Times New Roman" w:cs="Times New Roman"/>
                <w:kern w:val="24"/>
                <w:szCs w:val="21"/>
              </w:rPr>
              <w:t>2、项目由来及工程建设的必要性</w:t>
            </w:r>
          </w:p>
          <w:p>
            <w:pPr>
              <w:pStyle w:val="2"/>
              <w:spacing w:after="0" w:line="360" w:lineRule="auto"/>
              <w:ind w:left="0" w:leftChars="0" w:firstLine="31680"/>
              <w:rPr>
                <w:rFonts w:hint="default" w:ascii="Times New Roman" w:hAnsi="Times New Roman" w:cs="Times New Roman"/>
                <w:kern w:val="24"/>
                <w:szCs w:val="21"/>
                <w:highlight w:val="none"/>
                <w:lang w:val="en-US" w:eastAsia="zh-CN"/>
              </w:rPr>
            </w:pPr>
            <w:r>
              <w:rPr>
                <w:rFonts w:hint="eastAsia" w:cs="Times New Roman"/>
                <w:szCs w:val="21"/>
                <w:lang w:eastAsia="zh-CN"/>
              </w:rPr>
              <w:t>淄博龙昊电源科技有限公司（曾用名：淄博市淄川龙昊电源器材厂）</w:t>
            </w:r>
            <w:r>
              <w:rPr>
                <w:rFonts w:hint="eastAsia" w:cs="Times New Roman"/>
                <w:kern w:val="24"/>
                <w:szCs w:val="21"/>
                <w:highlight w:val="none"/>
                <w:lang w:eastAsia="zh-CN"/>
              </w:rPr>
              <w:t>需重新选址进行生产，</w:t>
            </w:r>
            <w:r>
              <w:rPr>
                <w:rFonts w:hint="default" w:ascii="Times New Roman" w:hAnsi="Times New Roman" w:cs="Times New Roman"/>
                <w:kern w:val="24"/>
                <w:szCs w:val="21"/>
                <w:highlight w:val="none"/>
                <w:lang w:eastAsia="zh-CN"/>
              </w:rPr>
              <w:t>拟投资</w:t>
            </w:r>
            <w:r>
              <w:rPr>
                <w:rFonts w:hint="eastAsia" w:cs="Times New Roman"/>
                <w:kern w:val="24"/>
                <w:szCs w:val="21"/>
                <w:highlight w:val="none"/>
                <w:lang w:val="en-US" w:eastAsia="zh-CN"/>
              </w:rPr>
              <w:t>30</w:t>
            </w:r>
            <w:r>
              <w:rPr>
                <w:rFonts w:hint="eastAsia" w:ascii="Times New Roman" w:hAnsi="Times New Roman" w:cs="Times New Roman"/>
                <w:kern w:val="24"/>
                <w:szCs w:val="21"/>
                <w:highlight w:val="none"/>
                <w:lang w:val="en-US" w:eastAsia="zh-CN"/>
              </w:rPr>
              <w:t>0</w:t>
            </w:r>
            <w:r>
              <w:rPr>
                <w:rFonts w:hint="default" w:ascii="Times New Roman" w:hAnsi="Times New Roman" w:cs="Times New Roman"/>
                <w:kern w:val="24"/>
                <w:szCs w:val="21"/>
                <w:highlight w:val="none"/>
                <w:lang w:val="en-US" w:eastAsia="zh-CN"/>
              </w:rPr>
              <w:t>0</w:t>
            </w:r>
            <w:r>
              <w:rPr>
                <w:rFonts w:hint="default" w:ascii="Times New Roman" w:hAnsi="Times New Roman" w:cs="Times New Roman"/>
                <w:kern w:val="24"/>
                <w:szCs w:val="21"/>
                <w:highlight w:val="none"/>
                <w:lang w:eastAsia="zh-CN"/>
              </w:rPr>
              <w:t>万元人民币，</w:t>
            </w:r>
            <w:r>
              <w:rPr>
                <w:rFonts w:hint="eastAsia" w:cs="Times New Roman"/>
                <w:kern w:val="24"/>
                <w:szCs w:val="21"/>
                <w:highlight w:val="none"/>
                <w:lang w:eastAsia="zh-CN"/>
              </w:rPr>
              <w:t>租用</w:t>
            </w:r>
            <w:r>
              <w:rPr>
                <w:rFonts w:hint="eastAsia" w:ascii="Times New Roman" w:hAnsi="Times New Roman" w:eastAsia="宋体" w:cs="Times New Roman"/>
                <w:kern w:val="24"/>
                <w:szCs w:val="21"/>
                <w:highlight w:val="none"/>
                <w:lang w:eastAsia="zh-CN"/>
              </w:rPr>
              <w:t>淄博信嘉包装制品有限公司已建成闲置厂房</w:t>
            </w:r>
            <w:r>
              <w:rPr>
                <w:rFonts w:hint="default" w:ascii="Times New Roman" w:hAnsi="Times New Roman" w:cs="Times New Roman"/>
                <w:kern w:val="24"/>
                <w:szCs w:val="21"/>
                <w:highlight w:val="none"/>
                <w:lang w:eastAsia="zh-CN"/>
              </w:rPr>
              <w:t>，建设“</w:t>
            </w:r>
            <w:r>
              <w:rPr>
                <w:rFonts w:hint="eastAsia" w:cs="Times New Roman"/>
                <w:kern w:val="24"/>
                <w:szCs w:val="21"/>
                <w:highlight w:val="none"/>
                <w:lang w:eastAsia="zh-CN"/>
              </w:rPr>
              <w:t>淄博龙昊电源科技有限公司年产20万平方米涤纶排管及电源连接线技改搬迁项目</w:t>
            </w:r>
            <w:r>
              <w:rPr>
                <w:rFonts w:hint="default" w:ascii="Times New Roman" w:hAnsi="Times New Roman" w:cs="Times New Roman"/>
                <w:kern w:val="24"/>
                <w:szCs w:val="21"/>
                <w:highlight w:val="none"/>
                <w:lang w:eastAsia="zh-CN"/>
              </w:rPr>
              <w:t>”</w:t>
            </w:r>
            <w:r>
              <w:rPr>
                <w:rFonts w:hint="eastAsia" w:cs="Times New Roman"/>
                <w:kern w:val="24"/>
                <w:szCs w:val="21"/>
                <w:highlight w:val="none"/>
                <w:lang w:eastAsia="zh-CN"/>
              </w:rPr>
              <w:t>，将原有项目设备全部搬迁至新厂房内，同时将原有环保设备提升改造为两级活性炭吸附装置。项目不新增设备及产能</w:t>
            </w:r>
            <w:r>
              <w:rPr>
                <w:rFonts w:hint="eastAsia" w:cs="Times New Roman"/>
                <w:kern w:val="24"/>
                <w:szCs w:val="21"/>
                <w:highlight w:val="none"/>
                <w:lang w:val="en-US" w:eastAsia="zh-CN"/>
              </w:rPr>
              <w:t>，建设项目完成后，产能不变，仍为</w:t>
            </w:r>
            <w:r>
              <w:rPr>
                <w:rFonts w:hint="eastAsia" w:cs="Times New Roman"/>
                <w:kern w:val="24"/>
                <w:szCs w:val="21"/>
                <w:highlight w:val="none"/>
                <w:lang w:eastAsia="zh-CN"/>
              </w:rPr>
              <w:t>年产20万平方米涤纶排管、</w:t>
            </w:r>
            <w:r>
              <w:rPr>
                <w:rFonts w:hint="eastAsia" w:ascii="Times New Roman" w:hAnsi="Times New Roman" w:eastAsia="宋体" w:cs="Times New Roman"/>
                <w:kern w:val="24"/>
                <w:szCs w:val="21"/>
                <w:highlight w:val="none"/>
                <w:lang w:eastAsia="zh-CN"/>
              </w:rPr>
              <w:t>10万件</w:t>
            </w:r>
            <w:r>
              <w:rPr>
                <w:rFonts w:hint="eastAsia" w:ascii="Times New Roman" w:hAnsi="Times New Roman" w:eastAsia="宋体" w:cs="Times New Roman"/>
                <w:kern w:val="24"/>
                <w:szCs w:val="21"/>
                <w:highlight w:val="none"/>
                <w:lang w:val="de-DE" w:eastAsia="zh-CN"/>
              </w:rPr>
              <w:t>电源连接线</w:t>
            </w:r>
            <w:r>
              <w:rPr>
                <w:rFonts w:hint="eastAsia" w:cs="Times New Roman"/>
                <w:kern w:val="24"/>
                <w:szCs w:val="21"/>
                <w:highlight w:val="none"/>
                <w:lang w:val="en-US" w:eastAsia="zh-CN"/>
              </w:rPr>
              <w:t>。</w:t>
            </w:r>
          </w:p>
          <w:p>
            <w:pPr>
              <w:snapToGrid w:val="0"/>
              <w:spacing w:line="360" w:lineRule="auto"/>
              <w:ind w:firstLine="420" w:firstLineChars="200"/>
              <w:rPr>
                <w:rFonts w:hint="default" w:ascii="Times New Roman" w:hAnsi="Times New Roman" w:cs="Times New Roman"/>
                <w:kern w:val="24"/>
                <w:szCs w:val="21"/>
              </w:rPr>
            </w:pPr>
            <w:r>
              <w:rPr>
                <w:rFonts w:hint="default" w:ascii="Times New Roman" w:hAnsi="Times New Roman" w:cs="Times New Roman"/>
                <w:kern w:val="24"/>
                <w:szCs w:val="21"/>
              </w:rPr>
              <w:t>3、建设单位：</w:t>
            </w:r>
            <w:r>
              <w:rPr>
                <w:rFonts w:hint="eastAsia" w:cs="Times New Roman"/>
                <w:bCs/>
                <w:szCs w:val="21"/>
                <w:lang w:val="de-DE" w:eastAsia="zh-CN"/>
              </w:rPr>
              <w:t>淄博龙昊电源科技有限公司</w:t>
            </w:r>
            <w:r>
              <w:rPr>
                <w:rFonts w:hint="default" w:ascii="Times New Roman" w:hAnsi="Times New Roman" w:cs="Times New Roman"/>
                <w:kern w:val="24"/>
                <w:szCs w:val="21"/>
              </w:rPr>
              <w:t xml:space="preserve"> </w:t>
            </w:r>
          </w:p>
          <w:p>
            <w:pPr>
              <w:snapToGrid w:val="0"/>
              <w:spacing w:line="360" w:lineRule="auto"/>
              <w:ind w:firstLine="420" w:firstLineChars="200"/>
              <w:rPr>
                <w:rFonts w:hint="eastAsia" w:ascii="Times New Roman" w:hAnsi="Times New Roman" w:eastAsia="宋体" w:cs="Times New Roman"/>
                <w:kern w:val="0"/>
                <w:szCs w:val="21"/>
                <w:lang w:eastAsia="zh-CN"/>
              </w:rPr>
            </w:pPr>
            <w:r>
              <w:rPr>
                <w:rFonts w:hint="default" w:ascii="Times New Roman" w:hAnsi="Times New Roman" w:cs="Times New Roman"/>
                <w:kern w:val="0"/>
                <w:szCs w:val="21"/>
              </w:rPr>
              <w:t>4、建设性质：</w:t>
            </w:r>
            <w:r>
              <w:rPr>
                <w:rFonts w:hint="eastAsia" w:cs="Times New Roman"/>
                <w:kern w:val="0"/>
                <w:szCs w:val="21"/>
                <w:lang w:eastAsia="zh-CN"/>
              </w:rPr>
              <w:t>新建（搬迁）</w:t>
            </w:r>
          </w:p>
          <w:p>
            <w:pPr>
              <w:widowControl/>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kern w:val="0"/>
                <w:szCs w:val="21"/>
              </w:rPr>
              <w:t>5、建设地点：</w:t>
            </w:r>
            <w:r>
              <w:rPr>
                <w:rFonts w:hint="default" w:ascii="Times New Roman" w:hAnsi="Times New Roman" w:cs="Times New Roman"/>
                <w:szCs w:val="21"/>
              </w:rPr>
              <w:t>淄博市</w:t>
            </w:r>
            <w:r>
              <w:rPr>
                <w:rFonts w:hint="eastAsia" w:cs="Times New Roman"/>
                <w:szCs w:val="21"/>
                <w:lang w:eastAsia="zh-CN"/>
              </w:rPr>
              <w:t>淄川经济开发区钟楼社区鑫威路与金晶川路交叉路口北50米</w:t>
            </w:r>
            <w:r>
              <w:rPr>
                <w:rFonts w:hint="default" w:ascii="Times New Roman" w:hAnsi="Times New Roman" w:cs="Times New Roman"/>
                <w:szCs w:val="21"/>
              </w:rPr>
              <w:t>，</w:t>
            </w:r>
            <w:r>
              <w:rPr>
                <w:rFonts w:hint="default" w:ascii="Times New Roman" w:hAnsi="Times New Roman" w:cs="Times New Roman"/>
                <w:szCs w:val="21"/>
                <w:highlight w:val="none"/>
              </w:rPr>
              <w:t>中心坐</w:t>
            </w:r>
            <w:r>
              <w:rPr>
                <w:rFonts w:hint="default" w:ascii="Times New Roman" w:hAnsi="Times New Roman" w:cs="Times New Roman"/>
                <w:szCs w:val="21"/>
                <w:highlight w:val="none"/>
                <w:u w:val="none"/>
              </w:rPr>
              <w:t>标36度40分</w:t>
            </w:r>
            <w:r>
              <w:rPr>
                <w:rFonts w:hint="eastAsia" w:cs="Times New Roman"/>
                <w:szCs w:val="21"/>
                <w:highlight w:val="none"/>
                <w:u w:val="none"/>
                <w:lang w:val="en-US" w:eastAsia="zh-CN"/>
              </w:rPr>
              <w:t>7.647</w:t>
            </w:r>
            <w:r>
              <w:rPr>
                <w:rFonts w:hint="default" w:ascii="Times New Roman" w:hAnsi="Times New Roman" w:cs="Times New Roman"/>
                <w:szCs w:val="21"/>
                <w:highlight w:val="none"/>
                <w:u w:val="none"/>
              </w:rPr>
              <w:t>秒，117度</w:t>
            </w:r>
            <w:r>
              <w:rPr>
                <w:rFonts w:hint="eastAsia" w:cs="Times New Roman"/>
                <w:szCs w:val="21"/>
                <w:highlight w:val="none"/>
                <w:u w:val="none"/>
                <w:lang w:eastAsia="zh-CN"/>
              </w:rPr>
              <w:t>56分18.561秒</w:t>
            </w:r>
            <w:r>
              <w:rPr>
                <w:rFonts w:hint="default" w:ascii="Times New Roman" w:hAnsi="Times New Roman" w:cs="Times New Roman"/>
                <w:szCs w:val="21"/>
                <w:highlight w:val="none"/>
              </w:rPr>
              <w:t>。地理位置图详见附图1。</w:t>
            </w:r>
          </w:p>
          <w:p>
            <w:pPr>
              <w:pStyle w:val="2"/>
              <w:spacing w:after="0" w:line="360" w:lineRule="auto"/>
              <w:ind w:left="0" w:leftChars="0" w:firstLine="31680"/>
              <w:rPr>
                <w:rFonts w:hint="default" w:ascii="Times New Roman" w:hAnsi="Times New Roman" w:cs="Times New Roman"/>
                <w:sz w:val="21"/>
                <w:szCs w:val="21"/>
              </w:rPr>
            </w:pPr>
            <w:r>
              <w:rPr>
                <w:rFonts w:hint="default" w:ascii="Times New Roman" w:hAnsi="Times New Roman" w:cs="Times New Roman"/>
              </w:rPr>
              <w:t>6、产品方案：</w:t>
            </w:r>
            <w:r>
              <w:rPr>
                <w:rFonts w:hint="eastAsia" w:cs="Times New Roman"/>
                <w:lang w:eastAsia="zh-CN"/>
              </w:rPr>
              <w:t>项目产能无变化，仍为</w:t>
            </w:r>
            <w:r>
              <w:rPr>
                <w:rFonts w:hint="eastAsia" w:cs="Times New Roman"/>
                <w:kern w:val="24"/>
                <w:szCs w:val="21"/>
                <w:highlight w:val="none"/>
                <w:lang w:eastAsia="zh-CN"/>
              </w:rPr>
              <w:t>年产20万平方米涤纶排管、</w:t>
            </w:r>
            <w:r>
              <w:rPr>
                <w:rFonts w:hint="eastAsia" w:ascii="Times New Roman" w:hAnsi="Times New Roman" w:eastAsia="宋体" w:cs="Times New Roman"/>
                <w:kern w:val="24"/>
                <w:szCs w:val="21"/>
                <w:highlight w:val="none"/>
                <w:lang w:eastAsia="zh-CN"/>
              </w:rPr>
              <w:t>10万件</w:t>
            </w:r>
            <w:r>
              <w:rPr>
                <w:rFonts w:hint="eastAsia" w:ascii="Times New Roman" w:hAnsi="Times New Roman" w:eastAsia="宋体" w:cs="Times New Roman"/>
                <w:kern w:val="24"/>
                <w:szCs w:val="21"/>
                <w:highlight w:val="none"/>
                <w:lang w:val="de-DE" w:eastAsia="zh-CN"/>
              </w:rPr>
              <w:t>电源连接线</w:t>
            </w:r>
            <w:r>
              <w:rPr>
                <w:rFonts w:hint="default" w:ascii="Times New Roman" w:hAnsi="Times New Roman" w:cs="Times New Roman"/>
                <w:sz w:val="21"/>
                <w:szCs w:val="21"/>
              </w:rPr>
              <w:t>。</w:t>
            </w:r>
          </w:p>
          <w:p>
            <w:pPr>
              <w:jc w:val="center"/>
              <w:rPr>
                <w:rFonts w:hint="default" w:ascii="Times New Roman" w:hAnsi="Times New Roman" w:eastAsia="黑体" w:cs="Times New Roman"/>
              </w:rPr>
            </w:pPr>
            <w:r>
              <w:rPr>
                <w:rFonts w:hint="default" w:ascii="Times New Roman" w:hAnsi="Times New Roman" w:eastAsia="黑体" w:cs="Times New Roman"/>
              </w:rPr>
              <w:t>表2-1项目产品方案一览表</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4055"/>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序号</w:t>
                  </w:r>
                </w:p>
              </w:tc>
              <w:tc>
                <w:tcPr>
                  <w:tcW w:w="308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产品名称</w:t>
                  </w:r>
                </w:p>
              </w:tc>
              <w:tc>
                <w:tcPr>
                  <w:tcW w:w="21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生产规模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308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宋体" w:cs="Times New Roman"/>
                      <w:bCs/>
                      <w:kern w:val="0"/>
                      <w:sz w:val="18"/>
                      <w:szCs w:val="18"/>
                      <w:lang w:val="de-DE" w:eastAsia="zh-CN"/>
                    </w:rPr>
                  </w:pPr>
                  <w:r>
                    <w:rPr>
                      <w:rFonts w:hint="eastAsia" w:cs="Times New Roman"/>
                      <w:kern w:val="24"/>
                      <w:sz w:val="18"/>
                      <w:szCs w:val="18"/>
                      <w:highlight w:val="none"/>
                      <w:lang w:eastAsia="zh-CN"/>
                    </w:rPr>
                    <w:t>涤纶排管</w:t>
                  </w:r>
                </w:p>
              </w:tc>
              <w:tc>
                <w:tcPr>
                  <w:tcW w:w="21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ascii="Times New Roman" w:hAnsi="Times New Roman" w:eastAsia="宋体" w:cs="Times New Roman"/>
                      <w:spacing w:val="-6"/>
                      <w:sz w:val="18"/>
                      <w:szCs w:val="18"/>
                      <w:lang w:val="en-US" w:eastAsia="zh-CN"/>
                    </w:rPr>
                  </w:pPr>
                  <w:r>
                    <w:rPr>
                      <w:rFonts w:hint="eastAsia" w:cs="Times New Roman"/>
                      <w:spacing w:val="-6"/>
                      <w:sz w:val="18"/>
                      <w:szCs w:val="18"/>
                      <w:lang w:val="en-US" w:eastAsia="zh-CN"/>
                    </w:rPr>
                    <w:t>20万m</w:t>
                  </w:r>
                  <w:r>
                    <w:rPr>
                      <w:rFonts w:hint="eastAsia" w:cs="Times New Roman"/>
                      <w:spacing w:val="-6"/>
                      <w:sz w:val="18"/>
                      <w:szCs w:val="18"/>
                      <w:vertAlign w:val="superscript"/>
                      <w:lang w:val="en-US" w:eastAsia="zh-CN"/>
                    </w:rPr>
                    <w:t>2</w:t>
                  </w:r>
                  <w:r>
                    <w:rPr>
                      <w:rFonts w:hint="eastAsia" w:cs="Times New Roman"/>
                      <w:spacing w:val="-6"/>
                      <w:sz w:val="18"/>
                      <w:szCs w:val="18"/>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2</w:t>
                  </w:r>
                </w:p>
              </w:tc>
              <w:tc>
                <w:tcPr>
                  <w:tcW w:w="308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cs="Times New Roman"/>
                      <w:bCs/>
                      <w:kern w:val="0"/>
                      <w:sz w:val="18"/>
                      <w:szCs w:val="18"/>
                      <w:lang w:val="de-DE" w:eastAsia="zh-CN"/>
                    </w:rPr>
                  </w:pPr>
                  <w:r>
                    <w:rPr>
                      <w:rFonts w:hint="eastAsia" w:ascii="Times New Roman" w:hAnsi="Times New Roman" w:eastAsia="宋体" w:cs="Times New Roman"/>
                      <w:kern w:val="24"/>
                      <w:sz w:val="18"/>
                      <w:szCs w:val="18"/>
                      <w:highlight w:val="none"/>
                      <w:lang w:val="de-DE" w:eastAsia="zh-CN"/>
                    </w:rPr>
                    <w:t>电源连接线</w:t>
                  </w:r>
                </w:p>
              </w:tc>
              <w:tc>
                <w:tcPr>
                  <w:tcW w:w="212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cs="Times New Roman"/>
                      <w:spacing w:val="-6"/>
                      <w:sz w:val="18"/>
                      <w:szCs w:val="18"/>
                      <w:lang w:val="en-US" w:eastAsia="zh-CN"/>
                    </w:rPr>
                  </w:pPr>
                  <w:r>
                    <w:rPr>
                      <w:rFonts w:hint="eastAsia" w:cs="Times New Roman"/>
                      <w:spacing w:val="-6"/>
                      <w:sz w:val="18"/>
                      <w:szCs w:val="18"/>
                      <w:lang w:val="en-US" w:eastAsia="zh-CN"/>
                    </w:rPr>
                    <w:t>10万件/a</w:t>
                  </w:r>
                </w:p>
              </w:tc>
            </w:tr>
          </w:tbl>
          <w:p>
            <w:pPr>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kern w:val="0"/>
                <w:szCs w:val="21"/>
                <w:lang w:val="de-DE"/>
              </w:rPr>
              <w:t>7</w:t>
            </w:r>
            <w:r>
              <w:rPr>
                <w:rFonts w:hint="default" w:ascii="Times New Roman" w:hAnsi="Times New Roman" w:cs="Times New Roman"/>
                <w:kern w:val="0"/>
                <w:szCs w:val="21"/>
              </w:rPr>
              <w:t>、建设内容：</w:t>
            </w:r>
            <w:r>
              <w:rPr>
                <w:rFonts w:hint="default" w:ascii="Times New Roman" w:hAnsi="Times New Roman" w:cs="Times New Roman"/>
                <w:szCs w:val="21"/>
              </w:rPr>
              <w:t>本项目利用</w:t>
            </w:r>
            <w:r>
              <w:rPr>
                <w:rFonts w:hint="eastAsia" w:ascii="Times New Roman" w:hAnsi="Times New Roman" w:eastAsia="宋体" w:cs="Times New Roman"/>
                <w:kern w:val="24"/>
                <w:szCs w:val="21"/>
                <w:highlight w:val="none"/>
                <w:lang w:eastAsia="zh-CN"/>
              </w:rPr>
              <w:t>淄博信嘉包装制品有限公司</w:t>
            </w:r>
            <w:r>
              <w:rPr>
                <w:rFonts w:hint="eastAsia" w:cs="Times New Roman"/>
                <w:szCs w:val="21"/>
                <w:lang w:eastAsia="zh-CN"/>
              </w:rPr>
              <w:t>现有已建成闲置车间</w:t>
            </w:r>
            <w:r>
              <w:rPr>
                <w:rFonts w:hint="default" w:ascii="Times New Roman" w:hAnsi="Times New Roman" w:cs="Times New Roman"/>
                <w:szCs w:val="21"/>
              </w:rPr>
              <w:t>组织生产营业活动。</w:t>
            </w:r>
            <w:r>
              <w:rPr>
                <w:rFonts w:hint="default" w:ascii="Times New Roman" w:hAnsi="Times New Roman" w:cs="Times New Roman"/>
                <w:snapToGrid w:val="0"/>
                <w:kern w:val="0"/>
                <w:szCs w:val="21"/>
              </w:rPr>
              <w:t>具体内容见表2-2。</w:t>
            </w:r>
          </w:p>
          <w:p>
            <w:pPr>
              <w:spacing w:line="360" w:lineRule="auto"/>
              <w:ind w:firstLine="420" w:firstLineChars="200"/>
              <w:jc w:val="center"/>
              <w:rPr>
                <w:rFonts w:hint="default" w:ascii="Times New Roman" w:hAnsi="Times New Roman" w:eastAsia="黑体" w:cs="Times New Roman"/>
                <w:bCs/>
                <w:szCs w:val="21"/>
              </w:rPr>
            </w:pPr>
            <w:r>
              <w:rPr>
                <w:rFonts w:hint="default" w:ascii="Times New Roman" w:hAnsi="Times New Roman" w:eastAsia="黑体" w:cs="Times New Roman"/>
                <w:bCs/>
                <w:szCs w:val="21"/>
              </w:rPr>
              <w:t>表2-2 项目主要</w:t>
            </w:r>
            <w:r>
              <w:rPr>
                <w:rFonts w:hint="eastAsia" w:eastAsia="黑体" w:cs="Times New Roman"/>
                <w:bCs/>
                <w:szCs w:val="21"/>
                <w:lang w:eastAsia="zh-CN"/>
              </w:rPr>
              <w:t>建设</w:t>
            </w:r>
            <w:r>
              <w:rPr>
                <w:rFonts w:hint="default" w:ascii="Times New Roman" w:hAnsi="Times New Roman" w:eastAsia="黑体" w:cs="Times New Roman"/>
                <w:bCs/>
                <w:szCs w:val="21"/>
              </w:rPr>
              <w:t>内容</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683"/>
              <w:gridCol w:w="37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Align w:val="center"/>
                </w:tcPr>
                <w:p>
                  <w:pPr>
                    <w:spacing w:line="260" w:lineRule="exact"/>
                    <w:contextualSpacing/>
                    <w:jc w:val="center"/>
                    <w:rPr>
                      <w:b/>
                      <w:bCs/>
                      <w:spacing w:val="-2"/>
                      <w:sz w:val="18"/>
                      <w:szCs w:val="18"/>
                    </w:rPr>
                  </w:pPr>
                  <w:r>
                    <w:rPr>
                      <w:b/>
                      <w:bCs/>
                      <w:spacing w:val="-2"/>
                      <w:sz w:val="18"/>
                      <w:szCs w:val="18"/>
                    </w:rPr>
                    <w:t>工程名称</w:t>
                  </w:r>
                </w:p>
              </w:tc>
              <w:tc>
                <w:tcPr>
                  <w:tcW w:w="1460" w:type="dxa"/>
                  <w:vAlign w:val="center"/>
                </w:tcPr>
                <w:p>
                  <w:pPr>
                    <w:spacing w:line="260" w:lineRule="exact"/>
                    <w:contextualSpacing/>
                    <w:jc w:val="center"/>
                    <w:rPr>
                      <w:b/>
                      <w:bCs/>
                      <w:spacing w:val="-2"/>
                      <w:sz w:val="18"/>
                      <w:szCs w:val="18"/>
                    </w:rPr>
                  </w:pPr>
                  <w:r>
                    <w:rPr>
                      <w:rFonts w:hint="eastAsia"/>
                      <w:b/>
                      <w:bCs/>
                      <w:spacing w:val="-2"/>
                      <w:sz w:val="18"/>
                      <w:szCs w:val="18"/>
                    </w:rPr>
                    <w:t>车间名称</w:t>
                  </w:r>
                </w:p>
              </w:tc>
              <w:tc>
                <w:tcPr>
                  <w:tcW w:w="3254" w:type="dxa"/>
                  <w:vAlign w:val="center"/>
                </w:tcPr>
                <w:p>
                  <w:pPr>
                    <w:spacing w:line="260" w:lineRule="exact"/>
                    <w:contextualSpacing/>
                    <w:jc w:val="center"/>
                    <w:rPr>
                      <w:b/>
                      <w:bCs/>
                      <w:spacing w:val="-2"/>
                      <w:sz w:val="18"/>
                      <w:szCs w:val="18"/>
                    </w:rPr>
                  </w:pPr>
                  <w:r>
                    <w:rPr>
                      <w:rFonts w:hint="eastAsia"/>
                      <w:b/>
                      <w:bCs/>
                      <w:spacing w:val="-2"/>
                      <w:sz w:val="18"/>
                      <w:szCs w:val="18"/>
                      <w:lang w:eastAsia="zh-CN"/>
                    </w:rPr>
                    <w:t>工程情况</w:t>
                  </w:r>
                </w:p>
              </w:tc>
              <w:tc>
                <w:tcPr>
                  <w:tcW w:w="1352" w:type="dxa"/>
                  <w:vAlign w:val="center"/>
                </w:tcPr>
                <w:p>
                  <w:pPr>
                    <w:spacing w:line="260" w:lineRule="exact"/>
                    <w:contextualSpacing/>
                    <w:jc w:val="center"/>
                    <w:rPr>
                      <w:rFonts w:hint="eastAsia" w:eastAsia="宋体"/>
                      <w:b/>
                      <w:bCs/>
                      <w:spacing w:val="-2"/>
                      <w:sz w:val="18"/>
                      <w:szCs w:val="18"/>
                      <w:lang w:eastAsia="zh-CN"/>
                    </w:rPr>
                  </w:pPr>
                  <w:r>
                    <w:rPr>
                      <w:rFonts w:hint="eastAsia"/>
                      <w:b/>
                      <w:bCs/>
                      <w:spacing w:val="-2"/>
                      <w:sz w:val="18"/>
                      <w:szCs w:val="18"/>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000" w:type="dxa"/>
                  <w:vAlign w:val="center"/>
                </w:tcPr>
                <w:p>
                  <w:pPr>
                    <w:spacing w:line="260" w:lineRule="exact"/>
                    <w:contextualSpacing/>
                    <w:jc w:val="center"/>
                    <w:rPr>
                      <w:b/>
                      <w:sz w:val="18"/>
                      <w:szCs w:val="18"/>
                    </w:rPr>
                  </w:pPr>
                  <w:r>
                    <w:rPr>
                      <w:b/>
                      <w:bCs/>
                      <w:spacing w:val="-2"/>
                      <w:sz w:val="18"/>
                      <w:szCs w:val="18"/>
                    </w:rPr>
                    <w:t>主体工程</w:t>
                  </w:r>
                </w:p>
              </w:tc>
              <w:tc>
                <w:tcPr>
                  <w:tcW w:w="1460" w:type="dxa"/>
                  <w:vAlign w:val="center"/>
                </w:tcPr>
                <w:p>
                  <w:pPr>
                    <w:spacing w:line="260" w:lineRule="exact"/>
                    <w:contextualSpacing/>
                    <w:jc w:val="center"/>
                    <w:rPr>
                      <w:bCs/>
                      <w:spacing w:val="-2"/>
                      <w:sz w:val="18"/>
                      <w:szCs w:val="18"/>
                    </w:rPr>
                  </w:pPr>
                  <w:r>
                    <w:rPr>
                      <w:rFonts w:hint="eastAsia"/>
                      <w:bCs/>
                      <w:spacing w:val="-2"/>
                      <w:sz w:val="18"/>
                      <w:szCs w:val="18"/>
                      <w:lang w:eastAsia="zh-CN"/>
                    </w:rPr>
                    <w:t>生产</w:t>
                  </w:r>
                  <w:r>
                    <w:rPr>
                      <w:rFonts w:hint="eastAsia"/>
                      <w:bCs/>
                      <w:spacing w:val="-2"/>
                      <w:sz w:val="18"/>
                      <w:szCs w:val="18"/>
                    </w:rPr>
                    <w:t>车间</w:t>
                  </w:r>
                </w:p>
              </w:tc>
              <w:tc>
                <w:tcPr>
                  <w:tcW w:w="3254" w:type="dxa"/>
                  <w:vAlign w:val="center"/>
                </w:tcPr>
                <w:p>
                  <w:pPr>
                    <w:spacing w:line="260" w:lineRule="exact"/>
                    <w:contextualSpacing/>
                    <w:jc w:val="center"/>
                    <w:rPr>
                      <w:rFonts w:hint="default" w:eastAsia="宋体"/>
                      <w:bCs/>
                      <w:spacing w:val="-2"/>
                      <w:sz w:val="18"/>
                      <w:szCs w:val="18"/>
                      <w:lang w:val="en-US" w:eastAsia="zh-CN"/>
                    </w:rPr>
                  </w:pPr>
                  <w:r>
                    <w:rPr>
                      <w:rFonts w:hint="eastAsia"/>
                      <w:bCs/>
                      <w:spacing w:val="-2"/>
                      <w:sz w:val="18"/>
                      <w:szCs w:val="18"/>
                      <w:lang w:eastAsia="zh-CN"/>
                    </w:rPr>
                    <w:t>占地约</w:t>
                  </w:r>
                  <w:r>
                    <w:rPr>
                      <w:rFonts w:hint="eastAsia"/>
                      <w:bCs/>
                      <w:spacing w:val="-2"/>
                      <w:sz w:val="18"/>
                      <w:szCs w:val="18"/>
                      <w:lang w:val="en-US" w:eastAsia="zh-CN"/>
                    </w:rPr>
                    <w:t>2000m</w:t>
                  </w:r>
                  <w:r>
                    <w:rPr>
                      <w:rFonts w:hint="eastAsia"/>
                      <w:bCs/>
                      <w:spacing w:val="-2"/>
                      <w:sz w:val="18"/>
                      <w:szCs w:val="18"/>
                      <w:vertAlign w:val="superscript"/>
                      <w:lang w:val="en-US" w:eastAsia="zh-CN"/>
                    </w:rPr>
                    <w:t>2</w:t>
                  </w:r>
                  <w:r>
                    <w:rPr>
                      <w:bCs/>
                      <w:spacing w:val="-2"/>
                      <w:sz w:val="18"/>
                      <w:szCs w:val="18"/>
                    </w:rPr>
                    <w:t>，</w:t>
                  </w:r>
                  <w:r>
                    <w:rPr>
                      <w:rFonts w:hint="eastAsia"/>
                      <w:bCs/>
                      <w:spacing w:val="-2"/>
                      <w:sz w:val="18"/>
                      <w:szCs w:val="18"/>
                      <w:lang w:eastAsia="zh-CN"/>
                    </w:rPr>
                    <w:t>钢结构，共</w:t>
                  </w:r>
                  <w:r>
                    <w:rPr>
                      <w:rFonts w:hint="eastAsia"/>
                      <w:bCs/>
                      <w:spacing w:val="-2"/>
                      <w:sz w:val="18"/>
                      <w:szCs w:val="18"/>
                      <w:lang w:val="en-US" w:eastAsia="zh-CN"/>
                    </w:rPr>
                    <w:t>2层，1层为生产车间，2层为原料储存区</w:t>
                  </w:r>
                </w:p>
              </w:tc>
              <w:tc>
                <w:tcPr>
                  <w:tcW w:w="1352" w:type="dxa"/>
                  <w:vAlign w:val="center"/>
                </w:tcPr>
                <w:p>
                  <w:pPr>
                    <w:spacing w:line="260" w:lineRule="exact"/>
                    <w:contextualSpacing/>
                    <w:jc w:val="center"/>
                    <w:rPr>
                      <w:rFonts w:hint="eastAsia" w:eastAsia="宋体"/>
                      <w:bCs/>
                      <w:spacing w:val="-2"/>
                      <w:sz w:val="18"/>
                      <w:szCs w:val="18"/>
                      <w:lang w:eastAsia="zh-CN"/>
                    </w:rPr>
                  </w:pPr>
                  <w:r>
                    <w:rPr>
                      <w:rFonts w:hint="eastAsia"/>
                      <w:bCs/>
                      <w:spacing w:val="-2"/>
                      <w:sz w:val="18"/>
                      <w:szCs w:val="18"/>
                      <w:lang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Align w:val="center"/>
                </w:tcPr>
                <w:p>
                  <w:pPr>
                    <w:spacing w:line="260" w:lineRule="exact"/>
                    <w:contextualSpacing/>
                    <w:jc w:val="center"/>
                    <w:rPr>
                      <w:b/>
                      <w:bCs/>
                      <w:spacing w:val="-2"/>
                      <w:sz w:val="18"/>
                      <w:szCs w:val="18"/>
                    </w:rPr>
                  </w:pPr>
                  <w:r>
                    <w:rPr>
                      <w:rFonts w:hint="eastAsia"/>
                      <w:b/>
                      <w:bCs/>
                      <w:spacing w:val="-2"/>
                      <w:sz w:val="18"/>
                      <w:szCs w:val="18"/>
                    </w:rPr>
                    <w:t>辅助</w:t>
                  </w:r>
                  <w:r>
                    <w:rPr>
                      <w:b/>
                      <w:bCs/>
                      <w:spacing w:val="-2"/>
                      <w:sz w:val="18"/>
                      <w:szCs w:val="18"/>
                    </w:rPr>
                    <w:t>工程</w:t>
                  </w:r>
                </w:p>
              </w:tc>
              <w:tc>
                <w:tcPr>
                  <w:tcW w:w="1460" w:type="dxa"/>
                  <w:vAlign w:val="center"/>
                </w:tcPr>
                <w:p>
                  <w:pPr>
                    <w:spacing w:line="260" w:lineRule="exact"/>
                    <w:contextualSpacing/>
                    <w:jc w:val="center"/>
                    <w:rPr>
                      <w:bCs/>
                      <w:spacing w:val="-2"/>
                      <w:sz w:val="18"/>
                      <w:szCs w:val="18"/>
                    </w:rPr>
                  </w:pPr>
                  <w:r>
                    <w:rPr>
                      <w:rFonts w:hint="eastAsia"/>
                      <w:bCs/>
                      <w:spacing w:val="-2"/>
                      <w:sz w:val="18"/>
                      <w:szCs w:val="18"/>
                    </w:rPr>
                    <w:t>办公楼</w:t>
                  </w:r>
                </w:p>
              </w:tc>
              <w:tc>
                <w:tcPr>
                  <w:tcW w:w="3254" w:type="dxa"/>
                  <w:vAlign w:val="center"/>
                </w:tcPr>
                <w:p>
                  <w:pPr>
                    <w:spacing w:line="260" w:lineRule="exact"/>
                    <w:contextualSpacing/>
                    <w:jc w:val="center"/>
                    <w:rPr>
                      <w:bCs/>
                      <w:spacing w:val="-10"/>
                      <w:sz w:val="18"/>
                      <w:szCs w:val="18"/>
                    </w:rPr>
                  </w:pPr>
                  <w:r>
                    <w:rPr>
                      <w:rFonts w:hint="eastAsia"/>
                      <w:bCs/>
                      <w:spacing w:val="-10"/>
                      <w:kern w:val="0"/>
                      <w:sz w:val="18"/>
                      <w:szCs w:val="18"/>
                    </w:rPr>
                    <w:t>1座</w:t>
                  </w:r>
                  <w:r>
                    <w:rPr>
                      <w:rFonts w:hint="eastAsia"/>
                      <w:bCs/>
                      <w:spacing w:val="-10"/>
                      <w:kern w:val="0"/>
                      <w:sz w:val="18"/>
                      <w:szCs w:val="18"/>
                      <w:lang w:eastAsia="zh-CN"/>
                    </w:rPr>
                    <w:t>，位于生产车间内</w:t>
                  </w:r>
                  <w:r>
                    <w:rPr>
                      <w:rFonts w:hint="eastAsia"/>
                      <w:bCs/>
                      <w:spacing w:val="-10"/>
                      <w:kern w:val="0"/>
                      <w:sz w:val="18"/>
                      <w:szCs w:val="18"/>
                      <w:lang w:val="en-US" w:eastAsia="zh-CN"/>
                    </w:rPr>
                    <w:t>，建筑面积约880</w:t>
                  </w:r>
                  <w:r>
                    <w:rPr>
                      <w:rFonts w:hint="eastAsia"/>
                      <w:bCs/>
                      <w:spacing w:val="-2"/>
                      <w:sz w:val="18"/>
                      <w:szCs w:val="18"/>
                      <w:lang w:val="en-US" w:eastAsia="zh-CN"/>
                    </w:rPr>
                    <w:t>m</w:t>
                  </w:r>
                  <w:r>
                    <w:rPr>
                      <w:rFonts w:hint="eastAsia"/>
                      <w:bCs/>
                      <w:spacing w:val="-2"/>
                      <w:sz w:val="18"/>
                      <w:szCs w:val="18"/>
                      <w:vertAlign w:val="superscript"/>
                      <w:lang w:val="en-US" w:eastAsia="zh-CN"/>
                    </w:rPr>
                    <w:t>2</w:t>
                  </w:r>
                  <w:r>
                    <w:rPr>
                      <w:bCs/>
                      <w:spacing w:val="-2"/>
                      <w:sz w:val="18"/>
                      <w:szCs w:val="18"/>
                    </w:rPr>
                    <w:t>，</w:t>
                  </w:r>
                </w:p>
              </w:tc>
              <w:tc>
                <w:tcPr>
                  <w:tcW w:w="1352" w:type="dxa"/>
                  <w:vAlign w:val="center"/>
                </w:tcPr>
                <w:p>
                  <w:pPr>
                    <w:spacing w:line="260" w:lineRule="exact"/>
                    <w:contextualSpacing/>
                    <w:jc w:val="center"/>
                    <w:rPr>
                      <w:rFonts w:hint="eastAsia" w:eastAsia="宋体"/>
                      <w:bCs/>
                      <w:spacing w:val="-10"/>
                      <w:kern w:val="0"/>
                      <w:sz w:val="18"/>
                      <w:szCs w:val="18"/>
                      <w:lang w:eastAsia="zh-CN"/>
                    </w:rPr>
                  </w:pPr>
                  <w:r>
                    <w:rPr>
                      <w:rFonts w:hint="eastAsia"/>
                      <w:bCs/>
                      <w:spacing w:val="-10"/>
                      <w:kern w:val="0"/>
                      <w:sz w:val="18"/>
                      <w:szCs w:val="18"/>
                      <w:lang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restart"/>
                  <w:vAlign w:val="center"/>
                </w:tcPr>
                <w:p>
                  <w:pPr>
                    <w:spacing w:line="260" w:lineRule="exact"/>
                    <w:contextualSpacing/>
                    <w:jc w:val="center"/>
                    <w:rPr>
                      <w:b/>
                      <w:bCs/>
                      <w:spacing w:val="-2"/>
                      <w:sz w:val="18"/>
                      <w:szCs w:val="18"/>
                    </w:rPr>
                  </w:pPr>
                  <w:r>
                    <w:rPr>
                      <w:b/>
                      <w:bCs/>
                      <w:spacing w:val="-2"/>
                      <w:sz w:val="18"/>
                      <w:szCs w:val="18"/>
                    </w:rPr>
                    <w:t>公用工程</w:t>
                  </w:r>
                </w:p>
              </w:tc>
              <w:tc>
                <w:tcPr>
                  <w:tcW w:w="1460" w:type="dxa"/>
                  <w:vAlign w:val="center"/>
                </w:tcPr>
                <w:p>
                  <w:pPr>
                    <w:spacing w:line="260" w:lineRule="exact"/>
                    <w:contextualSpacing/>
                    <w:jc w:val="center"/>
                    <w:rPr>
                      <w:rFonts w:hint="eastAsia" w:eastAsia="宋体"/>
                      <w:bCs/>
                      <w:spacing w:val="-2"/>
                      <w:sz w:val="18"/>
                      <w:szCs w:val="18"/>
                      <w:highlight w:val="none"/>
                      <w:lang w:eastAsia="zh-CN"/>
                    </w:rPr>
                  </w:pPr>
                  <w:r>
                    <w:rPr>
                      <w:rFonts w:hint="eastAsia"/>
                      <w:bCs/>
                      <w:spacing w:val="-2"/>
                      <w:sz w:val="18"/>
                      <w:szCs w:val="18"/>
                      <w:highlight w:val="none"/>
                      <w:lang w:eastAsia="zh-CN"/>
                    </w:rPr>
                    <w:t>供水</w:t>
                  </w:r>
                </w:p>
              </w:tc>
              <w:tc>
                <w:tcPr>
                  <w:tcW w:w="3254" w:type="dxa"/>
                  <w:vAlign w:val="center"/>
                </w:tcPr>
                <w:p>
                  <w:pPr>
                    <w:spacing w:line="260" w:lineRule="exact"/>
                    <w:contextualSpacing/>
                    <w:jc w:val="center"/>
                    <w:rPr>
                      <w:rFonts w:hint="eastAsia"/>
                      <w:sz w:val="18"/>
                      <w:szCs w:val="18"/>
                    </w:rPr>
                  </w:pPr>
                  <w:r>
                    <w:rPr>
                      <w:rFonts w:hint="eastAsia"/>
                      <w:sz w:val="18"/>
                      <w:szCs w:val="18"/>
                      <w:lang w:eastAsia="zh-CN"/>
                    </w:rPr>
                    <w:t>由淄川区供水管网</w:t>
                  </w:r>
                  <w:r>
                    <w:rPr>
                      <w:rFonts w:hint="eastAsia"/>
                      <w:sz w:val="18"/>
                      <w:szCs w:val="18"/>
                    </w:rPr>
                    <w:t>供给</w:t>
                  </w:r>
                </w:p>
              </w:tc>
              <w:tc>
                <w:tcPr>
                  <w:tcW w:w="1352" w:type="dxa"/>
                  <w:vAlign w:val="center"/>
                </w:tcPr>
                <w:p>
                  <w:pPr>
                    <w:spacing w:line="260" w:lineRule="exact"/>
                    <w:contextualSpacing/>
                    <w:jc w:val="center"/>
                    <w:rPr>
                      <w:rFonts w:hint="default"/>
                      <w:sz w:val="18"/>
                      <w:szCs w:val="18"/>
                      <w:lang w:val="en-US"/>
                    </w:rPr>
                  </w:pPr>
                  <w:r>
                    <w:rPr>
                      <w:rFonts w:hint="eastAsia"/>
                      <w:bCs/>
                      <w:spacing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continue"/>
                  <w:vAlign w:val="center"/>
                </w:tcPr>
                <w:p>
                  <w:pPr>
                    <w:spacing w:line="260" w:lineRule="exact"/>
                    <w:contextualSpacing/>
                    <w:jc w:val="center"/>
                    <w:rPr>
                      <w:b/>
                      <w:bCs/>
                      <w:spacing w:val="-2"/>
                      <w:sz w:val="18"/>
                      <w:szCs w:val="18"/>
                    </w:rPr>
                  </w:pPr>
                </w:p>
              </w:tc>
              <w:tc>
                <w:tcPr>
                  <w:tcW w:w="1460" w:type="dxa"/>
                  <w:vAlign w:val="center"/>
                </w:tcPr>
                <w:p>
                  <w:pPr>
                    <w:spacing w:line="260" w:lineRule="exact"/>
                    <w:contextualSpacing/>
                    <w:jc w:val="center"/>
                    <w:rPr>
                      <w:rFonts w:hint="eastAsia" w:eastAsia="宋体"/>
                      <w:bCs/>
                      <w:spacing w:val="-2"/>
                      <w:sz w:val="18"/>
                      <w:szCs w:val="18"/>
                      <w:highlight w:val="none"/>
                      <w:lang w:eastAsia="zh-CN"/>
                    </w:rPr>
                  </w:pPr>
                  <w:r>
                    <w:rPr>
                      <w:rFonts w:hint="eastAsia"/>
                      <w:bCs/>
                      <w:spacing w:val="-2"/>
                      <w:sz w:val="18"/>
                      <w:szCs w:val="18"/>
                      <w:highlight w:val="none"/>
                      <w:lang w:eastAsia="zh-CN"/>
                    </w:rPr>
                    <w:t>供电</w:t>
                  </w:r>
                </w:p>
              </w:tc>
              <w:tc>
                <w:tcPr>
                  <w:tcW w:w="3254" w:type="dxa"/>
                  <w:vAlign w:val="center"/>
                </w:tcPr>
                <w:p>
                  <w:pPr>
                    <w:spacing w:line="260" w:lineRule="exact"/>
                    <w:contextualSpacing/>
                    <w:jc w:val="center"/>
                    <w:rPr>
                      <w:rFonts w:hint="eastAsia"/>
                      <w:sz w:val="18"/>
                      <w:szCs w:val="18"/>
                    </w:rPr>
                  </w:pPr>
                  <w:r>
                    <w:rPr>
                      <w:rFonts w:hint="eastAsia"/>
                      <w:sz w:val="18"/>
                      <w:szCs w:val="18"/>
                    </w:rPr>
                    <w:t>由淄川区</w:t>
                  </w:r>
                  <w:r>
                    <w:rPr>
                      <w:rFonts w:hint="eastAsia"/>
                      <w:bCs/>
                      <w:sz w:val="18"/>
                      <w:szCs w:val="18"/>
                      <w:lang w:val="de-DE"/>
                    </w:rPr>
                    <w:t>供电局提供</w:t>
                  </w:r>
                </w:p>
              </w:tc>
              <w:tc>
                <w:tcPr>
                  <w:tcW w:w="1352" w:type="dxa"/>
                  <w:vAlign w:val="center"/>
                </w:tcPr>
                <w:p>
                  <w:pPr>
                    <w:spacing w:line="260" w:lineRule="exact"/>
                    <w:contextualSpacing/>
                    <w:jc w:val="center"/>
                    <w:rPr>
                      <w:rFonts w:hint="default"/>
                      <w:sz w:val="18"/>
                      <w:szCs w:val="18"/>
                      <w:lang w:val="en-US"/>
                    </w:rPr>
                  </w:pPr>
                  <w:r>
                    <w:rPr>
                      <w:rFonts w:hint="eastAsia"/>
                      <w:bCs/>
                      <w:spacing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restart"/>
                  <w:vAlign w:val="center"/>
                </w:tcPr>
                <w:p>
                  <w:pPr>
                    <w:spacing w:line="260" w:lineRule="exact"/>
                    <w:contextualSpacing/>
                    <w:jc w:val="center"/>
                    <w:rPr>
                      <w:b/>
                      <w:bCs/>
                      <w:spacing w:val="-2"/>
                      <w:sz w:val="18"/>
                      <w:szCs w:val="18"/>
                    </w:rPr>
                  </w:pPr>
                  <w:r>
                    <w:rPr>
                      <w:b/>
                      <w:bCs/>
                      <w:spacing w:val="-2"/>
                      <w:sz w:val="18"/>
                      <w:szCs w:val="18"/>
                    </w:rPr>
                    <w:t>环保工程</w:t>
                  </w:r>
                </w:p>
              </w:tc>
              <w:tc>
                <w:tcPr>
                  <w:tcW w:w="1460" w:type="dxa"/>
                  <w:vAlign w:val="center"/>
                </w:tcPr>
                <w:p>
                  <w:pPr>
                    <w:spacing w:line="260" w:lineRule="exact"/>
                    <w:contextualSpacing/>
                    <w:jc w:val="center"/>
                    <w:rPr>
                      <w:rFonts w:hint="eastAsia" w:eastAsia="宋体"/>
                      <w:sz w:val="18"/>
                      <w:szCs w:val="18"/>
                      <w:lang w:eastAsia="zh-CN"/>
                    </w:rPr>
                  </w:pPr>
                  <w:r>
                    <w:rPr>
                      <w:rFonts w:hint="eastAsia"/>
                      <w:sz w:val="18"/>
                      <w:szCs w:val="18"/>
                      <w:lang w:eastAsia="zh-CN"/>
                    </w:rPr>
                    <w:t>废气</w:t>
                  </w:r>
                </w:p>
              </w:tc>
              <w:tc>
                <w:tcPr>
                  <w:tcW w:w="3254" w:type="dxa"/>
                  <w:vAlign w:val="center"/>
                </w:tcPr>
                <w:p>
                  <w:pPr>
                    <w:spacing w:line="260" w:lineRule="exact"/>
                    <w:contextualSpacing/>
                    <w:jc w:val="center"/>
                    <w:rPr>
                      <w:rFonts w:hint="eastAsia"/>
                      <w:sz w:val="18"/>
                      <w:szCs w:val="18"/>
                    </w:rPr>
                  </w:pPr>
                  <w:r>
                    <w:rPr>
                      <w:rFonts w:hint="eastAsia"/>
                      <w:sz w:val="18"/>
                      <w:szCs w:val="18"/>
                      <w:lang w:eastAsia="zh-CN"/>
                    </w:rPr>
                    <w:t>两级</w:t>
                  </w:r>
                  <w:r>
                    <w:rPr>
                      <w:rFonts w:hint="eastAsia"/>
                      <w:sz w:val="18"/>
                      <w:szCs w:val="18"/>
                    </w:rPr>
                    <w:t>活性炭</w:t>
                  </w:r>
                  <w:r>
                    <w:rPr>
                      <w:sz w:val="18"/>
                      <w:szCs w:val="18"/>
                    </w:rPr>
                    <w:t>吸附装置</w:t>
                  </w:r>
                </w:p>
              </w:tc>
              <w:tc>
                <w:tcPr>
                  <w:tcW w:w="1352" w:type="dxa"/>
                  <w:vAlign w:val="center"/>
                </w:tcPr>
                <w:p>
                  <w:pPr>
                    <w:spacing w:line="260" w:lineRule="exact"/>
                    <w:contextualSpacing/>
                    <w:jc w:val="center"/>
                    <w:rPr>
                      <w:rFonts w:hint="eastAsia"/>
                      <w:sz w:val="18"/>
                      <w:szCs w:val="18"/>
                    </w:rPr>
                  </w:pPr>
                  <w:r>
                    <w:rPr>
                      <w:rFonts w:hint="eastAsia"/>
                      <w:bCs/>
                      <w:spacing w:val="-2"/>
                      <w:sz w:val="18"/>
                      <w:szCs w:val="18"/>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continue"/>
                  <w:vAlign w:val="center"/>
                </w:tcPr>
                <w:p>
                  <w:pPr>
                    <w:pStyle w:val="216"/>
                    <w:spacing w:line="260" w:lineRule="exact"/>
                    <w:rPr>
                      <w:color w:val="auto"/>
                      <w:sz w:val="18"/>
                      <w:szCs w:val="18"/>
                    </w:rPr>
                  </w:pPr>
                </w:p>
              </w:tc>
              <w:tc>
                <w:tcPr>
                  <w:tcW w:w="1460" w:type="dxa"/>
                  <w:vAlign w:val="center"/>
                </w:tcPr>
                <w:p>
                  <w:pPr>
                    <w:spacing w:line="260" w:lineRule="exact"/>
                    <w:contextualSpacing/>
                    <w:jc w:val="center"/>
                    <w:rPr>
                      <w:rFonts w:hint="eastAsia" w:eastAsia="宋体"/>
                      <w:sz w:val="18"/>
                      <w:szCs w:val="18"/>
                      <w:lang w:eastAsia="zh-CN"/>
                    </w:rPr>
                  </w:pPr>
                  <w:r>
                    <w:rPr>
                      <w:rFonts w:hint="eastAsia"/>
                      <w:sz w:val="18"/>
                      <w:szCs w:val="18"/>
                      <w:lang w:eastAsia="zh-CN"/>
                    </w:rPr>
                    <w:t>废水</w:t>
                  </w:r>
                </w:p>
              </w:tc>
              <w:tc>
                <w:tcPr>
                  <w:tcW w:w="3254" w:type="dxa"/>
                  <w:vAlign w:val="center"/>
                </w:tcPr>
                <w:p>
                  <w:pPr>
                    <w:spacing w:line="260" w:lineRule="exact"/>
                    <w:contextualSpacing/>
                    <w:jc w:val="center"/>
                    <w:rPr>
                      <w:rFonts w:hint="eastAsia" w:eastAsia="宋体"/>
                      <w:sz w:val="18"/>
                      <w:szCs w:val="18"/>
                      <w:lang w:eastAsia="zh-CN"/>
                    </w:rPr>
                  </w:pPr>
                  <w:r>
                    <w:rPr>
                      <w:rFonts w:hint="eastAsia"/>
                      <w:sz w:val="18"/>
                      <w:szCs w:val="18"/>
                      <w:lang w:eastAsia="zh-CN"/>
                    </w:rPr>
                    <w:t>生活污水经污水管网排入</w:t>
                  </w:r>
                  <w:r>
                    <w:rPr>
                      <w:rFonts w:hint="eastAsia"/>
                      <w:sz w:val="18"/>
                      <w:szCs w:val="18"/>
                    </w:rPr>
                    <w:t>淄博</w:t>
                  </w:r>
                  <w:r>
                    <w:rPr>
                      <w:rFonts w:hint="eastAsia"/>
                      <w:sz w:val="18"/>
                      <w:szCs w:val="18"/>
                      <w:lang w:eastAsia="zh-CN"/>
                    </w:rPr>
                    <w:t>市</w:t>
                  </w:r>
                  <w:r>
                    <w:rPr>
                      <w:rFonts w:hint="eastAsia"/>
                      <w:sz w:val="18"/>
                      <w:szCs w:val="18"/>
                    </w:rPr>
                    <w:t>利民净化水有限公司</w:t>
                  </w:r>
                  <w:r>
                    <w:rPr>
                      <w:rFonts w:hint="eastAsia"/>
                      <w:sz w:val="18"/>
                      <w:szCs w:val="18"/>
                      <w:lang w:eastAsia="zh-CN"/>
                    </w:rPr>
                    <w:t>处理</w:t>
                  </w:r>
                </w:p>
              </w:tc>
              <w:tc>
                <w:tcPr>
                  <w:tcW w:w="1352" w:type="dxa"/>
                  <w:vAlign w:val="center"/>
                </w:tcPr>
                <w:p>
                  <w:pPr>
                    <w:spacing w:line="260" w:lineRule="exact"/>
                    <w:contextualSpacing/>
                    <w:jc w:val="center"/>
                    <w:rPr>
                      <w:rFonts w:hint="default"/>
                      <w:sz w:val="18"/>
                      <w:szCs w:val="18"/>
                      <w:lang w:val="en-US"/>
                    </w:rPr>
                  </w:pPr>
                  <w:r>
                    <w:rPr>
                      <w:rFonts w:hint="eastAsia"/>
                      <w:bCs/>
                      <w:spacing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1000" w:type="dxa"/>
                  <w:vMerge w:val="continue"/>
                  <w:vAlign w:val="center"/>
                </w:tcPr>
                <w:p>
                  <w:pPr>
                    <w:pStyle w:val="216"/>
                    <w:spacing w:line="260" w:lineRule="exact"/>
                    <w:rPr>
                      <w:color w:val="auto"/>
                      <w:sz w:val="18"/>
                      <w:szCs w:val="18"/>
                    </w:rPr>
                  </w:pPr>
                </w:p>
              </w:tc>
              <w:tc>
                <w:tcPr>
                  <w:tcW w:w="1460" w:type="dxa"/>
                  <w:vAlign w:val="center"/>
                </w:tcPr>
                <w:p>
                  <w:pPr>
                    <w:spacing w:line="260" w:lineRule="exact"/>
                    <w:contextualSpacing/>
                    <w:jc w:val="center"/>
                    <w:rPr>
                      <w:rFonts w:hint="eastAsia" w:eastAsia="宋体"/>
                      <w:sz w:val="18"/>
                      <w:szCs w:val="18"/>
                      <w:lang w:eastAsia="zh-CN"/>
                    </w:rPr>
                  </w:pPr>
                  <w:r>
                    <w:rPr>
                      <w:rFonts w:hint="eastAsia"/>
                      <w:sz w:val="18"/>
                      <w:szCs w:val="18"/>
                      <w:lang w:eastAsia="zh-CN"/>
                    </w:rPr>
                    <w:t>噪声</w:t>
                  </w:r>
                </w:p>
              </w:tc>
              <w:tc>
                <w:tcPr>
                  <w:tcW w:w="3254" w:type="dxa"/>
                  <w:vAlign w:val="center"/>
                </w:tcPr>
                <w:p>
                  <w:pPr>
                    <w:spacing w:line="260" w:lineRule="exact"/>
                    <w:contextualSpacing/>
                    <w:jc w:val="center"/>
                    <w:rPr>
                      <w:rFonts w:hint="eastAsia"/>
                      <w:sz w:val="18"/>
                      <w:szCs w:val="18"/>
                    </w:rPr>
                  </w:pPr>
                  <w:r>
                    <w:rPr>
                      <w:rFonts w:hint="eastAsia"/>
                      <w:sz w:val="18"/>
                      <w:szCs w:val="18"/>
                    </w:rPr>
                    <w:t>减振</w:t>
                  </w:r>
                  <w:r>
                    <w:rPr>
                      <w:sz w:val="18"/>
                      <w:szCs w:val="18"/>
                    </w:rPr>
                    <w:t>、隔声</w:t>
                  </w:r>
                </w:p>
              </w:tc>
              <w:tc>
                <w:tcPr>
                  <w:tcW w:w="1352" w:type="dxa"/>
                  <w:vAlign w:val="center"/>
                </w:tcPr>
                <w:p>
                  <w:pPr>
                    <w:spacing w:line="260" w:lineRule="exact"/>
                    <w:contextualSpacing/>
                    <w:jc w:val="center"/>
                    <w:rPr>
                      <w:rFonts w:hint="default"/>
                      <w:sz w:val="18"/>
                      <w:szCs w:val="18"/>
                      <w:lang w:val="en-US"/>
                    </w:rPr>
                  </w:pPr>
                  <w:r>
                    <w:rPr>
                      <w:rFonts w:hint="eastAsia"/>
                      <w:bCs/>
                      <w:spacing w:val="-2"/>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continue"/>
                  <w:vAlign w:val="center"/>
                </w:tcPr>
                <w:p>
                  <w:pPr>
                    <w:pStyle w:val="216"/>
                    <w:spacing w:line="260" w:lineRule="exact"/>
                    <w:rPr>
                      <w:color w:val="auto"/>
                      <w:sz w:val="18"/>
                      <w:szCs w:val="18"/>
                    </w:rPr>
                  </w:pPr>
                </w:p>
              </w:tc>
              <w:tc>
                <w:tcPr>
                  <w:tcW w:w="1460" w:type="dxa"/>
                  <w:vAlign w:val="center"/>
                </w:tcPr>
                <w:p>
                  <w:pPr>
                    <w:spacing w:line="260" w:lineRule="exact"/>
                    <w:contextualSpacing/>
                    <w:jc w:val="center"/>
                    <w:rPr>
                      <w:rFonts w:hint="eastAsia" w:eastAsia="宋体"/>
                      <w:sz w:val="18"/>
                      <w:szCs w:val="18"/>
                      <w:lang w:eastAsia="zh-CN"/>
                    </w:rPr>
                  </w:pPr>
                  <w:r>
                    <w:rPr>
                      <w:rFonts w:hint="eastAsia"/>
                      <w:sz w:val="18"/>
                      <w:szCs w:val="18"/>
                      <w:lang w:eastAsia="zh-CN"/>
                    </w:rPr>
                    <w:t>固废</w:t>
                  </w:r>
                </w:p>
              </w:tc>
              <w:tc>
                <w:tcPr>
                  <w:tcW w:w="3254" w:type="dxa"/>
                  <w:vAlign w:val="center"/>
                </w:tcPr>
                <w:p>
                  <w:pPr>
                    <w:spacing w:line="260" w:lineRule="exact"/>
                    <w:contextualSpacing/>
                    <w:jc w:val="center"/>
                    <w:rPr>
                      <w:rFonts w:hint="eastAsia"/>
                      <w:sz w:val="18"/>
                      <w:szCs w:val="18"/>
                    </w:rPr>
                  </w:pPr>
                  <w:r>
                    <w:rPr>
                      <w:rFonts w:hint="eastAsia"/>
                      <w:sz w:val="18"/>
                      <w:szCs w:val="18"/>
                    </w:rPr>
                    <w:t>防渗的</w:t>
                  </w:r>
                  <w:r>
                    <w:rPr>
                      <w:sz w:val="18"/>
                      <w:szCs w:val="18"/>
                    </w:rPr>
                    <w:t>固废堆场</w:t>
                  </w:r>
                  <w:r>
                    <w:rPr>
                      <w:rFonts w:hint="eastAsia"/>
                      <w:sz w:val="18"/>
                      <w:szCs w:val="18"/>
                    </w:rPr>
                    <w:t>，</w:t>
                  </w:r>
                  <w:r>
                    <w:rPr>
                      <w:sz w:val="18"/>
                      <w:szCs w:val="18"/>
                    </w:rPr>
                    <w:t>危废暂存间</w:t>
                  </w:r>
                </w:p>
              </w:tc>
              <w:tc>
                <w:tcPr>
                  <w:tcW w:w="1352" w:type="dxa"/>
                  <w:vAlign w:val="center"/>
                </w:tcPr>
                <w:p>
                  <w:pPr>
                    <w:spacing w:line="260" w:lineRule="exact"/>
                    <w:contextualSpacing/>
                    <w:jc w:val="center"/>
                    <w:rPr>
                      <w:rFonts w:hint="default" w:eastAsia="宋体"/>
                      <w:sz w:val="18"/>
                      <w:szCs w:val="18"/>
                      <w:lang w:val="en-US" w:eastAsia="zh-CN"/>
                    </w:rPr>
                  </w:pPr>
                  <w:r>
                    <w:rPr>
                      <w:rFonts w:hint="eastAsia"/>
                      <w:sz w:val="18"/>
                      <w:szCs w:val="18"/>
                      <w:lang w:val="en-US" w:eastAsia="zh-CN"/>
                    </w:rPr>
                    <w:t>--</w:t>
                  </w:r>
                </w:p>
              </w:tc>
            </w:tr>
          </w:tbl>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rPr>
              <w:t>8、工</w:t>
            </w:r>
            <w:r>
              <w:rPr>
                <w:rFonts w:hint="default" w:ascii="Times New Roman" w:hAnsi="Times New Roman" w:cs="Times New Roman"/>
                <w:szCs w:val="21"/>
              </w:rPr>
              <w:t>程总投资及环保投资：工程总投资</w:t>
            </w:r>
            <w:r>
              <w:rPr>
                <w:rFonts w:hint="eastAsia" w:cs="Times New Roman"/>
                <w:szCs w:val="21"/>
                <w:lang w:val="en-US" w:eastAsia="zh-CN"/>
              </w:rPr>
              <w:t>3000</w:t>
            </w:r>
            <w:r>
              <w:rPr>
                <w:rFonts w:hint="default" w:ascii="Times New Roman" w:hAnsi="Times New Roman" w:cs="Times New Roman"/>
                <w:szCs w:val="21"/>
              </w:rPr>
              <w:t>万元，其中环保投</w:t>
            </w:r>
            <w:r>
              <w:rPr>
                <w:rFonts w:hint="default" w:ascii="Times New Roman" w:hAnsi="Times New Roman" w:cs="Times New Roman"/>
                <w:szCs w:val="21"/>
                <w:highlight w:val="none"/>
              </w:rPr>
              <w:t>资</w:t>
            </w:r>
            <w:r>
              <w:rPr>
                <w:rFonts w:hint="eastAsia" w:cs="Times New Roman"/>
                <w:szCs w:val="21"/>
                <w:highlight w:val="none"/>
                <w:lang w:val="en-US" w:eastAsia="zh-CN"/>
              </w:rPr>
              <w:t>5</w:t>
            </w:r>
            <w:r>
              <w:rPr>
                <w:rFonts w:hint="default" w:ascii="Times New Roman" w:hAnsi="Times New Roman" w:cs="Times New Roman"/>
                <w:szCs w:val="21"/>
                <w:highlight w:val="none"/>
                <w:lang w:val="en-US" w:eastAsia="zh-CN"/>
              </w:rPr>
              <w:t>0</w:t>
            </w:r>
            <w:r>
              <w:rPr>
                <w:rFonts w:hint="default" w:ascii="Times New Roman" w:hAnsi="Times New Roman" w:cs="Times New Roman"/>
                <w:szCs w:val="21"/>
                <w:highlight w:val="none"/>
              </w:rPr>
              <w:t>万元，占总投资的</w:t>
            </w:r>
            <w:r>
              <w:rPr>
                <w:rFonts w:hint="eastAsia" w:cs="Times New Roman"/>
                <w:szCs w:val="21"/>
                <w:highlight w:val="none"/>
                <w:lang w:val="en-US" w:eastAsia="zh-CN"/>
              </w:rPr>
              <w:t>1.7</w:t>
            </w:r>
            <w:r>
              <w:rPr>
                <w:rFonts w:hint="default" w:ascii="Times New Roman" w:hAnsi="Times New Roman" w:cs="Times New Roman"/>
                <w:szCs w:val="21"/>
                <w:highlight w:val="none"/>
              </w:rPr>
              <w:t>%。</w:t>
            </w:r>
          </w:p>
          <w:p>
            <w:pPr>
              <w:spacing w:line="360" w:lineRule="auto"/>
              <w:ind w:firstLine="420" w:firstLineChars="200"/>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rPr>
              <w:t>9、动制度</w:t>
            </w:r>
            <w:r>
              <w:rPr>
                <w:rFonts w:hint="default" w:ascii="Times New Roman" w:hAnsi="Times New Roman" w:cs="Times New Roman"/>
                <w:kern w:val="0"/>
                <w:sz w:val="21"/>
                <w:szCs w:val="21"/>
                <w:highlight w:val="none"/>
              </w:rPr>
              <w:t>及定员：本项目</w:t>
            </w:r>
            <w:r>
              <w:rPr>
                <w:rFonts w:hint="eastAsia" w:cs="Times New Roman"/>
                <w:kern w:val="0"/>
                <w:sz w:val="21"/>
                <w:szCs w:val="21"/>
                <w:highlight w:val="none"/>
                <w:lang w:eastAsia="zh-CN"/>
              </w:rPr>
              <w:t>新增</w:t>
            </w:r>
            <w:r>
              <w:rPr>
                <w:rFonts w:hint="default" w:ascii="Times New Roman" w:hAnsi="Times New Roman" w:cs="Times New Roman"/>
                <w:kern w:val="0"/>
                <w:sz w:val="21"/>
                <w:szCs w:val="21"/>
                <w:highlight w:val="none"/>
              </w:rPr>
              <w:t>职工</w:t>
            </w:r>
            <w:r>
              <w:rPr>
                <w:rFonts w:hint="eastAsia" w:cs="Times New Roman"/>
                <w:kern w:val="0"/>
                <w:sz w:val="21"/>
                <w:szCs w:val="21"/>
                <w:highlight w:val="none"/>
                <w:lang w:val="en-US" w:eastAsia="zh-CN"/>
              </w:rPr>
              <w:t>38人</w:t>
            </w:r>
            <w:r>
              <w:rPr>
                <w:rFonts w:hint="default" w:ascii="Times New Roman" w:hAnsi="Times New Roman" w:cs="Times New Roman"/>
                <w:kern w:val="0"/>
                <w:sz w:val="21"/>
                <w:szCs w:val="21"/>
                <w:highlight w:val="none"/>
              </w:rPr>
              <w:t>，项目年运行3</w:t>
            </w:r>
            <w:r>
              <w:rPr>
                <w:rFonts w:hint="eastAsia" w:cs="Times New Roman"/>
                <w:kern w:val="0"/>
                <w:sz w:val="21"/>
                <w:szCs w:val="21"/>
                <w:highlight w:val="none"/>
                <w:lang w:val="en-US" w:eastAsia="zh-CN"/>
              </w:rPr>
              <w:t>0</w:t>
            </w:r>
            <w:r>
              <w:rPr>
                <w:rFonts w:hint="default" w:ascii="Times New Roman" w:hAnsi="Times New Roman" w:cs="Times New Roman"/>
                <w:kern w:val="0"/>
                <w:sz w:val="21"/>
                <w:szCs w:val="21"/>
                <w:highlight w:val="none"/>
              </w:rPr>
              <w:t>0天，</w:t>
            </w:r>
            <w:r>
              <w:rPr>
                <w:rFonts w:hint="eastAsia" w:cs="Times New Roman"/>
                <w:kern w:val="0"/>
                <w:sz w:val="21"/>
                <w:szCs w:val="21"/>
                <w:highlight w:val="none"/>
                <w:lang w:eastAsia="zh-CN"/>
              </w:rPr>
              <w:t>固化、切割工序两班制生产，其余工序白班</w:t>
            </w:r>
            <w:r>
              <w:rPr>
                <w:rFonts w:hint="eastAsia" w:cs="Times New Roman"/>
                <w:kern w:val="0"/>
                <w:sz w:val="21"/>
                <w:szCs w:val="21"/>
                <w:highlight w:val="none"/>
                <w:lang w:val="en-US" w:eastAsia="zh-CN"/>
              </w:rPr>
              <w:t>8小时生产</w:t>
            </w:r>
            <w:r>
              <w:rPr>
                <w:rFonts w:hint="eastAsia" w:cs="Times New Roman"/>
                <w:kern w:val="0"/>
                <w:sz w:val="21"/>
                <w:szCs w:val="21"/>
                <w:highlight w:val="none"/>
                <w:lang w:eastAsia="zh-CN"/>
              </w:rPr>
              <w:t>，年工作时间</w:t>
            </w:r>
            <w:r>
              <w:rPr>
                <w:rFonts w:hint="eastAsia" w:cs="Times New Roman"/>
                <w:kern w:val="0"/>
                <w:sz w:val="21"/>
                <w:szCs w:val="21"/>
                <w:highlight w:val="none"/>
                <w:lang w:val="en-US" w:eastAsia="zh-CN"/>
              </w:rPr>
              <w:t>7200小时。</w:t>
            </w:r>
          </w:p>
          <w:p>
            <w:pPr>
              <w:spacing w:line="360" w:lineRule="auto"/>
              <w:ind w:firstLine="420" w:firstLineChars="200"/>
              <w:jc w:val="left"/>
              <w:rPr>
                <w:rFonts w:hint="default" w:ascii="Times New Roman" w:hAnsi="Times New Roman" w:cs="Times New Roman"/>
                <w:szCs w:val="21"/>
                <w:highlight w:val="none"/>
              </w:rPr>
            </w:pPr>
            <w:r>
              <w:rPr>
                <w:rFonts w:hint="default" w:ascii="Times New Roman" w:hAnsi="Times New Roman" w:cs="Times New Roman"/>
                <w:kern w:val="0"/>
                <w:szCs w:val="21"/>
                <w:highlight w:val="none"/>
              </w:rPr>
              <w:t>10、生产日期：本项目拟于202</w:t>
            </w:r>
            <w:r>
              <w:rPr>
                <w:rFonts w:hint="eastAsia" w:cs="Times New Roman"/>
                <w:kern w:val="0"/>
                <w:szCs w:val="21"/>
                <w:highlight w:val="none"/>
                <w:lang w:val="en-US" w:eastAsia="zh-CN"/>
              </w:rPr>
              <w:t>3</w:t>
            </w:r>
            <w:r>
              <w:rPr>
                <w:rFonts w:hint="default" w:ascii="Times New Roman" w:hAnsi="Times New Roman" w:cs="Times New Roman"/>
                <w:kern w:val="0"/>
                <w:szCs w:val="21"/>
                <w:highlight w:val="none"/>
              </w:rPr>
              <w:t>年</w:t>
            </w:r>
            <w:r>
              <w:rPr>
                <w:rFonts w:hint="eastAsia" w:cs="Times New Roman"/>
                <w:kern w:val="0"/>
                <w:szCs w:val="21"/>
                <w:highlight w:val="none"/>
                <w:lang w:val="en-US" w:eastAsia="zh-CN"/>
              </w:rPr>
              <w:t>5</w:t>
            </w:r>
            <w:r>
              <w:rPr>
                <w:rFonts w:hint="default" w:ascii="Times New Roman" w:hAnsi="Times New Roman" w:cs="Times New Roman"/>
                <w:kern w:val="0"/>
                <w:szCs w:val="21"/>
                <w:highlight w:val="none"/>
              </w:rPr>
              <w:t>月投产。</w:t>
            </w:r>
          </w:p>
          <w:p>
            <w:pPr>
              <w:spacing w:line="360" w:lineRule="auto"/>
              <w:ind w:firstLine="420" w:firstLineChars="200"/>
              <w:rPr>
                <w:rFonts w:hint="default" w:ascii="Times New Roman" w:hAnsi="Times New Roman" w:cs="Times New Roman"/>
                <w:snapToGrid w:val="0"/>
                <w:kern w:val="0"/>
                <w:szCs w:val="21"/>
              </w:rPr>
            </w:pPr>
            <w:r>
              <w:rPr>
                <w:rFonts w:hint="default" w:ascii="Times New Roman" w:hAnsi="Times New Roman" w:cs="Times New Roman"/>
                <w:kern w:val="0"/>
                <w:szCs w:val="21"/>
              </w:rPr>
              <w:t>11、</w:t>
            </w:r>
            <w:r>
              <w:rPr>
                <w:rFonts w:hint="default" w:ascii="Times New Roman" w:hAnsi="Times New Roman" w:cs="Times New Roman"/>
                <w:snapToGrid w:val="0"/>
                <w:kern w:val="0"/>
                <w:szCs w:val="21"/>
              </w:rPr>
              <w:t>原辅材料及能源消耗</w:t>
            </w:r>
          </w:p>
          <w:p>
            <w:pPr>
              <w:pStyle w:val="2"/>
              <w:ind w:left="0" w:leftChars="0" w:firstLine="31680"/>
              <w:rPr>
                <w:rFonts w:hint="default" w:ascii="Times New Roman" w:hAnsi="Times New Roman" w:cs="Times New Roman"/>
              </w:rPr>
            </w:pPr>
            <w:r>
              <w:rPr>
                <w:rFonts w:hint="default" w:ascii="Times New Roman" w:hAnsi="Times New Roman" w:cs="Times New Roman"/>
              </w:rPr>
              <w:t>（1）主要原辅材料及能源消耗用量</w:t>
            </w:r>
          </w:p>
          <w:p>
            <w:pPr>
              <w:spacing w:line="360" w:lineRule="auto"/>
              <w:ind w:firstLine="420" w:firstLineChars="200"/>
              <w:rPr>
                <w:rFonts w:hint="default" w:ascii="Times New Roman" w:hAnsi="Times New Roman" w:cs="Times New Roman"/>
                <w:snapToGrid w:val="0"/>
                <w:kern w:val="0"/>
                <w:szCs w:val="21"/>
              </w:rPr>
            </w:pPr>
            <w:r>
              <w:rPr>
                <w:rFonts w:hint="default" w:ascii="Times New Roman" w:hAnsi="Times New Roman" w:cs="Times New Roman"/>
                <w:snapToGrid w:val="0"/>
                <w:kern w:val="0"/>
                <w:szCs w:val="21"/>
              </w:rPr>
              <w:t>本项目主要原辅材料及能源消耗，具体情况见表2-</w:t>
            </w:r>
            <w:r>
              <w:rPr>
                <w:rFonts w:hint="eastAsia" w:cs="Times New Roman"/>
                <w:snapToGrid w:val="0"/>
                <w:kern w:val="0"/>
                <w:szCs w:val="21"/>
                <w:lang w:val="en-US" w:eastAsia="zh-CN"/>
              </w:rPr>
              <w:t>3</w:t>
            </w:r>
            <w:r>
              <w:rPr>
                <w:rFonts w:hint="default" w:ascii="Times New Roman" w:hAnsi="Times New Roman" w:cs="Times New Roman"/>
                <w:snapToGrid w:val="0"/>
                <w:kern w:val="0"/>
                <w:szCs w:val="21"/>
              </w:rPr>
              <w:t>。</w:t>
            </w:r>
          </w:p>
          <w:p>
            <w:pPr>
              <w:spacing w:line="360" w:lineRule="auto"/>
              <w:ind w:firstLine="420" w:firstLineChars="200"/>
              <w:jc w:val="center"/>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表2-3  主要原辅料及能源消耗</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852"/>
              <w:gridCol w:w="1424"/>
              <w:gridCol w:w="1281"/>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78" w:type="pct"/>
                  <w:vAlign w:val="center"/>
                </w:tcPr>
                <w:p>
                  <w:pPr>
                    <w:tabs>
                      <w:tab w:val="left" w:pos="1680"/>
                    </w:tabs>
                    <w:spacing w:line="0" w:lineRule="atLeast"/>
                    <w:ind w:right="-108"/>
                    <w:jc w:val="center"/>
                    <w:rPr>
                      <w:b/>
                      <w:sz w:val="18"/>
                      <w:szCs w:val="18"/>
                    </w:rPr>
                  </w:pPr>
                  <w:r>
                    <w:rPr>
                      <w:b/>
                      <w:sz w:val="18"/>
                      <w:szCs w:val="18"/>
                    </w:rPr>
                    <w:t>序号</w:t>
                  </w:r>
                </w:p>
              </w:tc>
              <w:tc>
                <w:tcPr>
                  <w:tcW w:w="1137" w:type="pct"/>
                  <w:vAlign w:val="center"/>
                </w:tcPr>
                <w:p>
                  <w:pPr>
                    <w:tabs>
                      <w:tab w:val="left" w:pos="1680"/>
                    </w:tabs>
                    <w:spacing w:line="0" w:lineRule="atLeast"/>
                    <w:ind w:right="-108"/>
                    <w:jc w:val="center"/>
                    <w:rPr>
                      <w:b/>
                      <w:sz w:val="18"/>
                      <w:szCs w:val="18"/>
                    </w:rPr>
                  </w:pPr>
                  <w:r>
                    <w:rPr>
                      <w:b/>
                      <w:sz w:val="18"/>
                      <w:szCs w:val="18"/>
                    </w:rPr>
                    <w:t>名称</w:t>
                  </w:r>
                </w:p>
              </w:tc>
              <w:tc>
                <w:tcPr>
                  <w:tcW w:w="874" w:type="pct"/>
                  <w:vAlign w:val="center"/>
                </w:tcPr>
                <w:p>
                  <w:pPr>
                    <w:tabs>
                      <w:tab w:val="left" w:pos="1680"/>
                    </w:tabs>
                    <w:spacing w:line="0" w:lineRule="atLeast"/>
                    <w:ind w:right="-108"/>
                    <w:jc w:val="center"/>
                    <w:rPr>
                      <w:b/>
                      <w:sz w:val="18"/>
                      <w:szCs w:val="18"/>
                    </w:rPr>
                  </w:pPr>
                  <w:r>
                    <w:rPr>
                      <w:b/>
                      <w:sz w:val="18"/>
                      <w:szCs w:val="18"/>
                    </w:rPr>
                    <w:t>用量</w:t>
                  </w:r>
                </w:p>
              </w:tc>
              <w:tc>
                <w:tcPr>
                  <w:tcW w:w="786" w:type="pct"/>
                  <w:vAlign w:val="center"/>
                </w:tcPr>
                <w:p>
                  <w:pPr>
                    <w:tabs>
                      <w:tab w:val="left" w:pos="1680"/>
                    </w:tabs>
                    <w:spacing w:line="0" w:lineRule="atLeast"/>
                    <w:ind w:right="-108"/>
                    <w:jc w:val="center"/>
                    <w:rPr>
                      <w:b/>
                      <w:sz w:val="18"/>
                      <w:szCs w:val="18"/>
                    </w:rPr>
                  </w:pPr>
                  <w:r>
                    <w:rPr>
                      <w:b/>
                      <w:sz w:val="18"/>
                      <w:szCs w:val="18"/>
                    </w:rPr>
                    <w:t>单位</w:t>
                  </w:r>
                </w:p>
              </w:tc>
              <w:tc>
                <w:tcPr>
                  <w:tcW w:w="1726" w:type="pct"/>
                  <w:vAlign w:val="center"/>
                </w:tcPr>
                <w:p>
                  <w:pPr>
                    <w:tabs>
                      <w:tab w:val="left" w:pos="1680"/>
                    </w:tabs>
                    <w:spacing w:line="0" w:lineRule="atLeast"/>
                    <w:ind w:right="-108"/>
                    <w:jc w:val="center"/>
                    <w:rPr>
                      <w:b/>
                      <w:sz w:val="18"/>
                      <w:szCs w:val="18"/>
                    </w:rPr>
                  </w:pPr>
                  <w:r>
                    <w:rPr>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8" w:type="pct"/>
                  <w:vAlign w:val="center"/>
                </w:tcPr>
                <w:p>
                  <w:pPr>
                    <w:jc w:val="center"/>
                    <w:rPr>
                      <w:sz w:val="18"/>
                      <w:szCs w:val="18"/>
                    </w:rPr>
                  </w:pPr>
                  <w:r>
                    <w:rPr>
                      <w:sz w:val="18"/>
                      <w:szCs w:val="18"/>
                    </w:rPr>
                    <w:t>1</w:t>
                  </w:r>
                </w:p>
              </w:tc>
              <w:tc>
                <w:tcPr>
                  <w:tcW w:w="1137" w:type="pct"/>
                  <w:vAlign w:val="center"/>
                </w:tcPr>
                <w:p>
                  <w:pPr>
                    <w:jc w:val="center"/>
                    <w:rPr>
                      <w:sz w:val="18"/>
                      <w:szCs w:val="18"/>
                    </w:rPr>
                  </w:pPr>
                  <w:r>
                    <w:rPr>
                      <w:rFonts w:hint="eastAsia"/>
                      <w:sz w:val="18"/>
                      <w:szCs w:val="18"/>
                    </w:rPr>
                    <w:t>涤纶布</w:t>
                  </w:r>
                </w:p>
              </w:tc>
              <w:tc>
                <w:tcPr>
                  <w:tcW w:w="874" w:type="pct"/>
                  <w:vAlign w:val="center"/>
                </w:tcPr>
                <w:p>
                  <w:pPr>
                    <w:jc w:val="center"/>
                    <w:rPr>
                      <w:sz w:val="18"/>
                      <w:szCs w:val="18"/>
                    </w:rPr>
                  </w:pPr>
                  <w:r>
                    <w:rPr>
                      <w:rFonts w:hint="eastAsia"/>
                      <w:spacing w:val="-2"/>
                      <w:kern w:val="0"/>
                      <w:sz w:val="18"/>
                      <w:szCs w:val="18"/>
                    </w:rPr>
                    <w:t>20</w:t>
                  </w:r>
                </w:p>
              </w:tc>
              <w:tc>
                <w:tcPr>
                  <w:tcW w:w="786" w:type="pct"/>
                  <w:vAlign w:val="center"/>
                </w:tcPr>
                <w:p>
                  <w:pPr>
                    <w:spacing w:line="360" w:lineRule="auto"/>
                    <w:jc w:val="center"/>
                    <w:rPr>
                      <w:sz w:val="18"/>
                      <w:szCs w:val="18"/>
                    </w:rPr>
                  </w:pPr>
                  <w:r>
                    <w:rPr>
                      <w:rFonts w:hint="eastAsia"/>
                      <w:sz w:val="18"/>
                      <w:szCs w:val="18"/>
                    </w:rPr>
                    <w:t>万m</w:t>
                  </w:r>
                  <w:r>
                    <w:rPr>
                      <w:rFonts w:hint="eastAsia"/>
                      <w:sz w:val="18"/>
                      <w:szCs w:val="18"/>
                      <w:vertAlign w:val="superscript"/>
                    </w:rPr>
                    <w:t>2</w:t>
                  </w:r>
                  <w:r>
                    <w:rPr>
                      <w:sz w:val="18"/>
                      <w:szCs w:val="18"/>
                    </w:rPr>
                    <w:t>/a</w:t>
                  </w:r>
                </w:p>
              </w:tc>
              <w:tc>
                <w:tcPr>
                  <w:tcW w:w="1726" w:type="pct"/>
                  <w:vAlign w:val="center"/>
                </w:tcPr>
                <w:p>
                  <w:pPr>
                    <w:tabs>
                      <w:tab w:val="left" w:pos="1680"/>
                    </w:tabs>
                    <w:spacing w:line="0" w:lineRule="atLeast"/>
                    <w:ind w:right="-108"/>
                    <w:jc w:val="center"/>
                    <w:rPr>
                      <w:bCs/>
                      <w:sz w:val="18"/>
                      <w:szCs w:val="18"/>
                    </w:rPr>
                  </w:pPr>
                  <w:r>
                    <w:rPr>
                      <w:bCs/>
                      <w:sz w:val="18"/>
                      <w:szCs w:val="18"/>
                    </w:rPr>
                    <w:t xml:space="preserve">外购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8" w:type="pct"/>
                  <w:vAlign w:val="center"/>
                </w:tcPr>
                <w:p>
                  <w:pPr>
                    <w:jc w:val="center"/>
                    <w:rPr>
                      <w:sz w:val="18"/>
                      <w:szCs w:val="18"/>
                    </w:rPr>
                  </w:pPr>
                  <w:r>
                    <w:rPr>
                      <w:rFonts w:hint="eastAsia"/>
                      <w:sz w:val="18"/>
                      <w:szCs w:val="18"/>
                    </w:rPr>
                    <w:t>2</w:t>
                  </w:r>
                </w:p>
              </w:tc>
              <w:tc>
                <w:tcPr>
                  <w:tcW w:w="1137" w:type="pct"/>
                  <w:vAlign w:val="center"/>
                </w:tcPr>
                <w:p>
                  <w:pPr>
                    <w:jc w:val="center"/>
                    <w:rPr>
                      <w:sz w:val="18"/>
                      <w:szCs w:val="18"/>
                    </w:rPr>
                  </w:pPr>
                  <w:r>
                    <w:rPr>
                      <w:rFonts w:hint="eastAsia"/>
                      <w:sz w:val="18"/>
                      <w:szCs w:val="18"/>
                    </w:rPr>
                    <w:t>酚醛树脂胶</w:t>
                  </w:r>
                </w:p>
              </w:tc>
              <w:tc>
                <w:tcPr>
                  <w:tcW w:w="874" w:type="pct"/>
                  <w:vAlign w:val="center"/>
                </w:tcPr>
                <w:p>
                  <w:pPr>
                    <w:jc w:val="center"/>
                    <w:rPr>
                      <w:spacing w:val="-2"/>
                      <w:kern w:val="0"/>
                      <w:sz w:val="18"/>
                      <w:szCs w:val="18"/>
                    </w:rPr>
                  </w:pPr>
                  <w:r>
                    <w:rPr>
                      <w:rFonts w:hint="eastAsia"/>
                      <w:spacing w:val="-2"/>
                      <w:kern w:val="0"/>
                      <w:sz w:val="18"/>
                      <w:szCs w:val="18"/>
                    </w:rPr>
                    <w:t>70</w:t>
                  </w:r>
                </w:p>
              </w:tc>
              <w:tc>
                <w:tcPr>
                  <w:tcW w:w="786" w:type="pct"/>
                  <w:vAlign w:val="center"/>
                </w:tcPr>
                <w:p>
                  <w:pPr>
                    <w:jc w:val="center"/>
                    <w:rPr>
                      <w:sz w:val="18"/>
                      <w:szCs w:val="18"/>
                    </w:rPr>
                  </w:pPr>
                  <w:r>
                    <w:rPr>
                      <w:rFonts w:hint="eastAsia" w:eastAsiaTheme="minorEastAsia"/>
                      <w:spacing w:val="10"/>
                      <w:sz w:val="18"/>
                      <w:szCs w:val="18"/>
                    </w:rPr>
                    <w:t>t/a</w:t>
                  </w:r>
                </w:p>
              </w:tc>
              <w:tc>
                <w:tcPr>
                  <w:tcW w:w="1726" w:type="pct"/>
                  <w:vAlign w:val="center"/>
                </w:tcPr>
                <w:p>
                  <w:pPr>
                    <w:jc w:val="center"/>
                    <w:rPr>
                      <w:rFonts w:eastAsiaTheme="minorEastAsia"/>
                      <w:bCs/>
                      <w:sz w:val="18"/>
                      <w:szCs w:val="18"/>
                    </w:rPr>
                  </w:pPr>
                  <w:r>
                    <w:rPr>
                      <w:rFonts w:eastAsiaTheme="minorEastAsia"/>
                      <w:sz w:val="18"/>
                      <w:szCs w:val="18"/>
                    </w:rPr>
                    <w:t>外购</w:t>
                  </w:r>
                  <w:r>
                    <w:rPr>
                      <w:rFonts w:hint="eastAsia" w:eastAsiaTheme="minorEastAsia"/>
                      <w:sz w:val="18"/>
                      <w:szCs w:val="18"/>
                    </w:rPr>
                    <w:t>（桶装</w:t>
                  </w:r>
                  <w:r>
                    <w:rPr>
                      <w:rFonts w:hint="eastAsia" w:eastAsiaTheme="minorEastAsia"/>
                      <w:sz w:val="18"/>
                      <w:szCs w:val="18"/>
                      <w:lang w:eastAsia="zh-CN"/>
                    </w:rPr>
                    <w:t>，</w:t>
                  </w:r>
                  <w:r>
                    <w:rPr>
                      <w:rFonts w:hint="eastAsia" w:eastAsiaTheme="minorEastAsia"/>
                      <w:sz w:val="18"/>
                      <w:szCs w:val="18"/>
                      <w:lang w:val="en-US" w:eastAsia="zh-CN"/>
                    </w:rPr>
                    <w:t>200L</w:t>
                  </w:r>
                  <w:r>
                    <w:rPr>
                      <w:rFonts w:hint="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8" w:type="pct"/>
                  <w:vAlign w:val="center"/>
                </w:tcPr>
                <w:p>
                  <w:pPr>
                    <w:jc w:val="center"/>
                    <w:rPr>
                      <w:sz w:val="18"/>
                      <w:szCs w:val="18"/>
                    </w:rPr>
                  </w:pPr>
                  <w:r>
                    <w:rPr>
                      <w:rFonts w:hint="eastAsia"/>
                      <w:sz w:val="18"/>
                      <w:szCs w:val="18"/>
                    </w:rPr>
                    <w:t>3</w:t>
                  </w:r>
                </w:p>
              </w:tc>
              <w:tc>
                <w:tcPr>
                  <w:tcW w:w="1137" w:type="pct"/>
                  <w:vAlign w:val="center"/>
                </w:tcPr>
                <w:p>
                  <w:pPr>
                    <w:jc w:val="center"/>
                    <w:rPr>
                      <w:sz w:val="18"/>
                      <w:szCs w:val="18"/>
                    </w:rPr>
                  </w:pPr>
                  <w:r>
                    <w:rPr>
                      <w:rFonts w:hint="eastAsia"/>
                      <w:sz w:val="18"/>
                      <w:szCs w:val="18"/>
                    </w:rPr>
                    <w:t>聚丙烯</w:t>
                  </w:r>
                </w:p>
              </w:tc>
              <w:tc>
                <w:tcPr>
                  <w:tcW w:w="874" w:type="pct"/>
                  <w:vAlign w:val="center"/>
                </w:tcPr>
                <w:p>
                  <w:pPr>
                    <w:jc w:val="center"/>
                    <w:rPr>
                      <w:spacing w:val="-2"/>
                      <w:kern w:val="0"/>
                      <w:sz w:val="18"/>
                      <w:szCs w:val="18"/>
                    </w:rPr>
                  </w:pPr>
                  <w:r>
                    <w:rPr>
                      <w:rFonts w:hint="eastAsia"/>
                      <w:spacing w:val="-2"/>
                      <w:kern w:val="0"/>
                      <w:sz w:val="18"/>
                      <w:szCs w:val="18"/>
                    </w:rPr>
                    <w:t>10</w:t>
                  </w:r>
                </w:p>
              </w:tc>
              <w:tc>
                <w:tcPr>
                  <w:tcW w:w="786" w:type="pct"/>
                  <w:vAlign w:val="center"/>
                </w:tcPr>
                <w:p>
                  <w:pPr>
                    <w:jc w:val="center"/>
                    <w:rPr>
                      <w:rFonts w:eastAsiaTheme="minorEastAsia"/>
                      <w:spacing w:val="10"/>
                      <w:sz w:val="18"/>
                      <w:szCs w:val="18"/>
                    </w:rPr>
                  </w:pPr>
                  <w:r>
                    <w:rPr>
                      <w:rFonts w:hint="eastAsia" w:eastAsiaTheme="minorEastAsia"/>
                      <w:spacing w:val="10"/>
                      <w:sz w:val="18"/>
                      <w:szCs w:val="18"/>
                    </w:rPr>
                    <w:t>t/a</w:t>
                  </w:r>
                </w:p>
              </w:tc>
              <w:tc>
                <w:tcPr>
                  <w:tcW w:w="1726" w:type="pct"/>
                  <w:vAlign w:val="center"/>
                </w:tcPr>
                <w:p>
                  <w:pPr>
                    <w:jc w:val="center"/>
                    <w:rPr>
                      <w:rFonts w:eastAsiaTheme="minorEastAsia"/>
                      <w:sz w:val="18"/>
                      <w:szCs w:val="18"/>
                    </w:rPr>
                  </w:pPr>
                  <w:r>
                    <w:rPr>
                      <w:rFonts w:eastAsiaTheme="minorEastAsia"/>
                      <w:sz w:val="18"/>
                      <w:szCs w:val="18"/>
                    </w:rPr>
                    <w:t>外购</w:t>
                  </w:r>
                  <w:r>
                    <w:rPr>
                      <w:rFonts w:hint="eastAsia" w:eastAsiaTheme="minorEastAsia"/>
                      <w:sz w:val="18"/>
                      <w:szCs w:val="18"/>
                    </w:rPr>
                    <w:t>（颗粒）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8" w:type="pct"/>
                  <w:vAlign w:val="center"/>
                </w:tcPr>
                <w:p>
                  <w:pPr>
                    <w:jc w:val="center"/>
                    <w:rPr>
                      <w:sz w:val="18"/>
                      <w:szCs w:val="18"/>
                    </w:rPr>
                  </w:pPr>
                  <w:r>
                    <w:rPr>
                      <w:rFonts w:hint="eastAsia"/>
                      <w:sz w:val="18"/>
                      <w:szCs w:val="18"/>
                    </w:rPr>
                    <w:t>4</w:t>
                  </w:r>
                </w:p>
              </w:tc>
              <w:tc>
                <w:tcPr>
                  <w:tcW w:w="1137" w:type="pct"/>
                  <w:vAlign w:val="center"/>
                </w:tcPr>
                <w:p>
                  <w:pPr>
                    <w:jc w:val="center"/>
                    <w:rPr>
                      <w:sz w:val="18"/>
                      <w:szCs w:val="18"/>
                    </w:rPr>
                  </w:pPr>
                  <w:r>
                    <w:rPr>
                      <w:rFonts w:hint="eastAsia"/>
                      <w:sz w:val="18"/>
                      <w:szCs w:val="18"/>
                    </w:rPr>
                    <w:t>铜片</w:t>
                  </w:r>
                </w:p>
              </w:tc>
              <w:tc>
                <w:tcPr>
                  <w:tcW w:w="874" w:type="pct"/>
                  <w:vAlign w:val="center"/>
                </w:tcPr>
                <w:p>
                  <w:pPr>
                    <w:jc w:val="center"/>
                    <w:rPr>
                      <w:spacing w:val="-2"/>
                      <w:kern w:val="0"/>
                      <w:sz w:val="18"/>
                      <w:szCs w:val="18"/>
                    </w:rPr>
                  </w:pPr>
                  <w:r>
                    <w:rPr>
                      <w:rFonts w:hint="eastAsia"/>
                      <w:spacing w:val="-2"/>
                      <w:kern w:val="0"/>
                      <w:sz w:val="18"/>
                      <w:szCs w:val="18"/>
                    </w:rPr>
                    <w:t>20</w:t>
                  </w:r>
                </w:p>
              </w:tc>
              <w:tc>
                <w:tcPr>
                  <w:tcW w:w="786" w:type="pct"/>
                  <w:vAlign w:val="center"/>
                </w:tcPr>
                <w:p>
                  <w:pPr>
                    <w:jc w:val="center"/>
                    <w:rPr>
                      <w:rFonts w:eastAsiaTheme="minorEastAsia"/>
                      <w:spacing w:val="10"/>
                      <w:sz w:val="18"/>
                      <w:szCs w:val="18"/>
                    </w:rPr>
                  </w:pPr>
                  <w:r>
                    <w:rPr>
                      <w:rFonts w:hint="eastAsia" w:eastAsiaTheme="minorEastAsia"/>
                      <w:spacing w:val="10"/>
                      <w:sz w:val="18"/>
                      <w:szCs w:val="18"/>
                    </w:rPr>
                    <w:t>万片/a</w:t>
                  </w:r>
                </w:p>
              </w:tc>
              <w:tc>
                <w:tcPr>
                  <w:tcW w:w="1726" w:type="pct"/>
                  <w:vAlign w:val="center"/>
                </w:tcPr>
                <w:p>
                  <w:pPr>
                    <w:jc w:val="center"/>
                    <w:rPr>
                      <w:rFonts w:eastAsiaTheme="minorEastAsia"/>
                      <w:sz w:val="18"/>
                      <w:szCs w:val="18"/>
                    </w:rPr>
                  </w:pPr>
                  <w:r>
                    <w:rPr>
                      <w:rFonts w:eastAsiaTheme="minor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8" w:type="pct"/>
                  <w:vAlign w:val="center"/>
                </w:tcPr>
                <w:p>
                  <w:pPr>
                    <w:jc w:val="center"/>
                    <w:rPr>
                      <w:sz w:val="18"/>
                      <w:szCs w:val="18"/>
                    </w:rPr>
                  </w:pPr>
                  <w:r>
                    <w:rPr>
                      <w:rFonts w:hint="eastAsia"/>
                      <w:sz w:val="18"/>
                      <w:szCs w:val="18"/>
                    </w:rPr>
                    <w:t>5</w:t>
                  </w:r>
                </w:p>
              </w:tc>
              <w:tc>
                <w:tcPr>
                  <w:tcW w:w="1137" w:type="pct"/>
                  <w:vAlign w:val="center"/>
                </w:tcPr>
                <w:p>
                  <w:pPr>
                    <w:jc w:val="center"/>
                    <w:rPr>
                      <w:sz w:val="18"/>
                      <w:szCs w:val="18"/>
                    </w:rPr>
                  </w:pPr>
                  <w:r>
                    <w:rPr>
                      <w:rFonts w:hint="eastAsia"/>
                      <w:sz w:val="18"/>
                      <w:szCs w:val="18"/>
                    </w:rPr>
                    <w:t>铜线</w:t>
                  </w:r>
                </w:p>
              </w:tc>
              <w:tc>
                <w:tcPr>
                  <w:tcW w:w="874" w:type="pct"/>
                  <w:vAlign w:val="center"/>
                </w:tcPr>
                <w:p>
                  <w:pPr>
                    <w:jc w:val="center"/>
                    <w:rPr>
                      <w:spacing w:val="-2"/>
                      <w:kern w:val="0"/>
                      <w:sz w:val="18"/>
                      <w:szCs w:val="18"/>
                    </w:rPr>
                  </w:pPr>
                  <w:r>
                    <w:rPr>
                      <w:rFonts w:hint="eastAsia"/>
                      <w:spacing w:val="-2"/>
                      <w:kern w:val="0"/>
                      <w:sz w:val="18"/>
                      <w:szCs w:val="18"/>
                    </w:rPr>
                    <w:t>10</w:t>
                  </w:r>
                </w:p>
              </w:tc>
              <w:tc>
                <w:tcPr>
                  <w:tcW w:w="786" w:type="pct"/>
                  <w:vAlign w:val="center"/>
                </w:tcPr>
                <w:p>
                  <w:pPr>
                    <w:jc w:val="center"/>
                    <w:rPr>
                      <w:rFonts w:eastAsiaTheme="minorEastAsia"/>
                      <w:spacing w:val="10"/>
                      <w:sz w:val="18"/>
                      <w:szCs w:val="18"/>
                    </w:rPr>
                  </w:pPr>
                  <w:r>
                    <w:rPr>
                      <w:rFonts w:hint="eastAsia" w:eastAsiaTheme="minorEastAsia"/>
                      <w:spacing w:val="10"/>
                      <w:sz w:val="18"/>
                      <w:szCs w:val="18"/>
                    </w:rPr>
                    <w:t>万条/a</w:t>
                  </w:r>
                </w:p>
              </w:tc>
              <w:tc>
                <w:tcPr>
                  <w:tcW w:w="1726" w:type="pct"/>
                  <w:vAlign w:val="center"/>
                </w:tcPr>
                <w:p>
                  <w:pPr>
                    <w:jc w:val="center"/>
                    <w:rPr>
                      <w:rFonts w:eastAsiaTheme="minorEastAsia"/>
                      <w:sz w:val="18"/>
                      <w:szCs w:val="18"/>
                    </w:rPr>
                  </w:pPr>
                  <w:r>
                    <w:rPr>
                      <w:rFonts w:eastAsiaTheme="minorEastAsia"/>
                      <w:sz w:val="18"/>
                      <w:szCs w:val="18"/>
                    </w:rPr>
                    <w:t>外购</w:t>
                  </w:r>
                  <w:r>
                    <w:rPr>
                      <w:rFonts w:hint="eastAsia" w:eastAsiaTheme="minorEastAsia"/>
                      <w:sz w:val="18"/>
                      <w:szCs w:val="18"/>
                    </w:rPr>
                    <w:t>（电缆）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78" w:type="pct"/>
                  <w:vAlign w:val="center"/>
                </w:tcPr>
                <w:p>
                  <w:pPr>
                    <w:jc w:val="center"/>
                    <w:rPr>
                      <w:sz w:val="18"/>
                      <w:szCs w:val="18"/>
                    </w:rPr>
                  </w:pPr>
                  <w:r>
                    <w:rPr>
                      <w:rFonts w:hint="eastAsia"/>
                      <w:sz w:val="18"/>
                      <w:szCs w:val="18"/>
                    </w:rPr>
                    <w:t>6</w:t>
                  </w:r>
                </w:p>
              </w:tc>
              <w:tc>
                <w:tcPr>
                  <w:tcW w:w="1137" w:type="pct"/>
                  <w:vAlign w:val="center"/>
                </w:tcPr>
                <w:p>
                  <w:pPr>
                    <w:jc w:val="center"/>
                    <w:rPr>
                      <w:sz w:val="18"/>
                      <w:szCs w:val="18"/>
                    </w:rPr>
                  </w:pPr>
                  <w:r>
                    <w:rPr>
                      <w:rFonts w:hint="eastAsia"/>
                      <w:sz w:val="18"/>
                      <w:szCs w:val="18"/>
                    </w:rPr>
                    <w:t>纯水</w:t>
                  </w:r>
                </w:p>
              </w:tc>
              <w:tc>
                <w:tcPr>
                  <w:tcW w:w="874" w:type="pct"/>
                  <w:vAlign w:val="center"/>
                </w:tcPr>
                <w:p>
                  <w:pPr>
                    <w:jc w:val="center"/>
                    <w:rPr>
                      <w:spacing w:val="-2"/>
                      <w:kern w:val="0"/>
                      <w:sz w:val="18"/>
                      <w:szCs w:val="18"/>
                    </w:rPr>
                  </w:pPr>
                  <w:r>
                    <w:rPr>
                      <w:rFonts w:hint="eastAsia"/>
                      <w:spacing w:val="-2"/>
                      <w:kern w:val="0"/>
                      <w:sz w:val="18"/>
                      <w:szCs w:val="18"/>
                    </w:rPr>
                    <w:t>5</w:t>
                  </w:r>
                  <w:r>
                    <w:rPr>
                      <w:spacing w:val="-2"/>
                      <w:kern w:val="0"/>
                      <w:sz w:val="18"/>
                      <w:szCs w:val="18"/>
                    </w:rPr>
                    <w:t>0</w:t>
                  </w:r>
                </w:p>
              </w:tc>
              <w:tc>
                <w:tcPr>
                  <w:tcW w:w="786" w:type="pct"/>
                  <w:vAlign w:val="center"/>
                </w:tcPr>
                <w:p>
                  <w:pPr>
                    <w:jc w:val="center"/>
                    <w:rPr>
                      <w:rFonts w:eastAsiaTheme="minorEastAsia"/>
                      <w:spacing w:val="10"/>
                      <w:sz w:val="18"/>
                      <w:szCs w:val="18"/>
                    </w:rPr>
                  </w:pPr>
                  <w:r>
                    <w:rPr>
                      <w:sz w:val="18"/>
                      <w:szCs w:val="18"/>
                    </w:rPr>
                    <w:t>m</w:t>
                  </w:r>
                  <w:r>
                    <w:rPr>
                      <w:sz w:val="18"/>
                      <w:szCs w:val="18"/>
                      <w:vertAlign w:val="superscript"/>
                    </w:rPr>
                    <w:t>3</w:t>
                  </w:r>
                  <w:r>
                    <w:rPr>
                      <w:sz w:val="18"/>
                      <w:szCs w:val="18"/>
                    </w:rPr>
                    <w:t>/a</w:t>
                  </w:r>
                </w:p>
              </w:tc>
              <w:tc>
                <w:tcPr>
                  <w:tcW w:w="1726" w:type="pct"/>
                  <w:vAlign w:val="center"/>
                </w:tcPr>
                <w:p>
                  <w:pPr>
                    <w:jc w:val="center"/>
                    <w:rPr>
                      <w:rFonts w:eastAsiaTheme="minorEastAsia"/>
                      <w:sz w:val="18"/>
                      <w:szCs w:val="18"/>
                    </w:rPr>
                  </w:pPr>
                  <w:r>
                    <w:rPr>
                      <w:rFonts w:hint="eastAsia" w:eastAsiaTheme="minor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jc w:val="center"/>
                    <w:rPr>
                      <w:sz w:val="18"/>
                      <w:szCs w:val="18"/>
                    </w:rPr>
                  </w:pPr>
                  <w:r>
                    <w:rPr>
                      <w:rFonts w:hint="eastAsia"/>
                      <w:sz w:val="18"/>
                      <w:szCs w:val="18"/>
                    </w:rPr>
                    <w:t>6</w:t>
                  </w:r>
                </w:p>
              </w:tc>
              <w:tc>
                <w:tcPr>
                  <w:tcW w:w="1137" w:type="pct"/>
                  <w:vAlign w:val="center"/>
                </w:tcPr>
                <w:p>
                  <w:pPr>
                    <w:jc w:val="center"/>
                    <w:rPr>
                      <w:sz w:val="18"/>
                      <w:szCs w:val="18"/>
                    </w:rPr>
                  </w:pPr>
                  <w:r>
                    <w:rPr>
                      <w:sz w:val="18"/>
                      <w:szCs w:val="18"/>
                    </w:rPr>
                    <w:t>水</w:t>
                  </w:r>
                </w:p>
              </w:tc>
              <w:tc>
                <w:tcPr>
                  <w:tcW w:w="874" w:type="pct"/>
                  <w:vAlign w:val="center"/>
                </w:tcPr>
                <w:p>
                  <w:pPr>
                    <w:jc w:val="center"/>
                    <w:rPr>
                      <w:rFonts w:hint="eastAsia" w:eastAsia="宋体"/>
                      <w:sz w:val="18"/>
                      <w:szCs w:val="18"/>
                      <w:lang w:eastAsia="zh-CN"/>
                    </w:rPr>
                  </w:pPr>
                  <w:r>
                    <w:rPr>
                      <w:sz w:val="18"/>
                      <w:szCs w:val="18"/>
                    </w:rPr>
                    <w:t>4</w:t>
                  </w:r>
                  <w:r>
                    <w:rPr>
                      <w:rFonts w:hint="eastAsia"/>
                      <w:sz w:val="18"/>
                      <w:szCs w:val="18"/>
                      <w:lang w:val="en-US" w:eastAsia="zh-CN"/>
                    </w:rPr>
                    <w:t>76</w:t>
                  </w:r>
                </w:p>
              </w:tc>
              <w:tc>
                <w:tcPr>
                  <w:tcW w:w="786" w:type="pct"/>
                  <w:vAlign w:val="center"/>
                </w:tcPr>
                <w:p>
                  <w:pPr>
                    <w:spacing w:line="360" w:lineRule="auto"/>
                    <w:jc w:val="center"/>
                    <w:rPr>
                      <w:sz w:val="18"/>
                      <w:szCs w:val="18"/>
                    </w:rPr>
                  </w:pPr>
                  <w:r>
                    <w:rPr>
                      <w:sz w:val="18"/>
                      <w:szCs w:val="18"/>
                    </w:rPr>
                    <w:t>m</w:t>
                  </w:r>
                  <w:r>
                    <w:rPr>
                      <w:sz w:val="18"/>
                      <w:szCs w:val="18"/>
                      <w:vertAlign w:val="superscript"/>
                    </w:rPr>
                    <w:t>3</w:t>
                  </w:r>
                  <w:r>
                    <w:rPr>
                      <w:sz w:val="18"/>
                      <w:szCs w:val="18"/>
                    </w:rPr>
                    <w:t>/a</w:t>
                  </w:r>
                </w:p>
              </w:tc>
              <w:tc>
                <w:tcPr>
                  <w:tcW w:w="1726" w:type="pct"/>
                  <w:vAlign w:val="center"/>
                </w:tcPr>
                <w:p>
                  <w:pPr>
                    <w:tabs>
                      <w:tab w:val="left" w:pos="1680"/>
                    </w:tabs>
                    <w:spacing w:line="0" w:lineRule="atLeast"/>
                    <w:ind w:right="-108"/>
                    <w:jc w:val="center"/>
                    <w:rPr>
                      <w:rFonts w:eastAsiaTheme="minorEastAsia"/>
                      <w:sz w:val="18"/>
                      <w:szCs w:val="18"/>
                    </w:rPr>
                  </w:pPr>
                  <w:r>
                    <w:rPr>
                      <w:rFonts w:eastAsiaTheme="minorEastAsia"/>
                      <w:sz w:val="18"/>
                      <w:szCs w:val="18"/>
                    </w:rPr>
                    <w:t>由淄川区自来水管网提供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jc w:val="center"/>
                    <w:rPr>
                      <w:sz w:val="18"/>
                      <w:szCs w:val="18"/>
                    </w:rPr>
                  </w:pPr>
                  <w:r>
                    <w:rPr>
                      <w:rFonts w:hint="eastAsia"/>
                      <w:sz w:val="18"/>
                      <w:szCs w:val="18"/>
                    </w:rPr>
                    <w:t>7</w:t>
                  </w:r>
                </w:p>
              </w:tc>
              <w:tc>
                <w:tcPr>
                  <w:tcW w:w="1137" w:type="pct"/>
                  <w:vAlign w:val="center"/>
                </w:tcPr>
                <w:p>
                  <w:pPr>
                    <w:jc w:val="center"/>
                    <w:rPr>
                      <w:sz w:val="18"/>
                      <w:szCs w:val="18"/>
                    </w:rPr>
                  </w:pPr>
                  <w:r>
                    <w:rPr>
                      <w:sz w:val="18"/>
                      <w:szCs w:val="18"/>
                    </w:rPr>
                    <w:t>电</w:t>
                  </w:r>
                </w:p>
              </w:tc>
              <w:tc>
                <w:tcPr>
                  <w:tcW w:w="874" w:type="pct"/>
                  <w:vAlign w:val="center"/>
                </w:tcPr>
                <w:p>
                  <w:pPr>
                    <w:jc w:val="center"/>
                    <w:rPr>
                      <w:sz w:val="18"/>
                      <w:szCs w:val="18"/>
                    </w:rPr>
                  </w:pPr>
                  <w:r>
                    <w:rPr>
                      <w:rFonts w:hint="eastAsia"/>
                      <w:sz w:val="18"/>
                      <w:szCs w:val="18"/>
                    </w:rPr>
                    <w:t>30</w:t>
                  </w:r>
                </w:p>
              </w:tc>
              <w:tc>
                <w:tcPr>
                  <w:tcW w:w="786" w:type="pct"/>
                  <w:vAlign w:val="center"/>
                </w:tcPr>
                <w:p>
                  <w:pPr>
                    <w:spacing w:line="360" w:lineRule="auto"/>
                    <w:jc w:val="center"/>
                    <w:rPr>
                      <w:sz w:val="18"/>
                      <w:szCs w:val="18"/>
                    </w:rPr>
                  </w:pPr>
                  <w:r>
                    <w:rPr>
                      <w:sz w:val="18"/>
                      <w:szCs w:val="18"/>
                    </w:rPr>
                    <w:t>万kwh/a</w:t>
                  </w:r>
                </w:p>
              </w:tc>
              <w:tc>
                <w:tcPr>
                  <w:tcW w:w="1726" w:type="pct"/>
                  <w:vAlign w:val="center"/>
                </w:tcPr>
                <w:p>
                  <w:pPr>
                    <w:tabs>
                      <w:tab w:val="left" w:pos="1680"/>
                    </w:tabs>
                    <w:spacing w:line="0" w:lineRule="atLeast"/>
                    <w:ind w:right="-108"/>
                    <w:jc w:val="center"/>
                    <w:rPr>
                      <w:bCs/>
                      <w:sz w:val="18"/>
                      <w:szCs w:val="18"/>
                    </w:rPr>
                  </w:pPr>
                  <w:r>
                    <w:rPr>
                      <w:rFonts w:eastAsiaTheme="minorEastAsia"/>
                      <w:sz w:val="18"/>
                      <w:szCs w:val="18"/>
                    </w:rPr>
                    <w:t>由淄川区</w:t>
                  </w:r>
                  <w:r>
                    <w:rPr>
                      <w:rFonts w:eastAsiaTheme="minorEastAsia"/>
                      <w:bCs/>
                      <w:sz w:val="18"/>
                      <w:szCs w:val="18"/>
                      <w:lang w:val="de-DE"/>
                    </w:rPr>
                    <w:t>供电局提供</w:t>
                  </w:r>
                </w:p>
              </w:tc>
            </w:tr>
          </w:tbl>
          <w:p>
            <w:pPr>
              <w:spacing w:line="480" w:lineRule="exact"/>
              <w:ind w:firstLine="420" w:firstLineChars="200"/>
              <w:rPr>
                <w:rFonts w:eastAsiaTheme="minorEastAsia"/>
                <w:kern w:val="0"/>
                <w:szCs w:val="21"/>
              </w:rPr>
            </w:pPr>
            <w:bookmarkStart w:id="3" w:name="_Hlk90379484"/>
            <w:r>
              <w:rPr>
                <w:rFonts w:ascii="Arial" w:hAnsi="Arial" w:cs="Arial"/>
                <w:szCs w:val="21"/>
                <w:shd w:val="clear" w:color="auto" w:fill="FFFFFF"/>
              </w:rPr>
              <w:t>酚醛树脂</w:t>
            </w:r>
            <w:r>
              <w:rPr>
                <w:rFonts w:hint="eastAsia" w:ascii="Arial" w:hAnsi="Arial" w:cs="Arial"/>
                <w:szCs w:val="21"/>
                <w:shd w:val="clear" w:color="auto" w:fill="FFFFFF"/>
                <w:lang w:eastAsia="zh-CN"/>
              </w:rPr>
              <w:t>胶</w:t>
            </w:r>
            <w:r>
              <w:rPr>
                <w:rFonts w:hint="eastAsia" w:ascii="Arial" w:hAnsi="Arial" w:cs="Arial"/>
                <w:szCs w:val="21"/>
                <w:shd w:val="clear" w:color="auto" w:fill="FFFFFF"/>
              </w:rPr>
              <w:t>：</w:t>
            </w:r>
            <w:r>
              <w:rPr>
                <w:rFonts w:ascii="Arial" w:hAnsi="Arial" w:cs="Arial"/>
                <w:szCs w:val="21"/>
                <w:shd w:val="clear" w:color="auto" w:fill="FFFFFF"/>
              </w:rPr>
              <w:t>对金属和多数非金属都有良好的粘接性，粘接强度较高。由于酚醛树脂中存在着大量的苯环，又能交联成体形结构，刚性较大，因而耐热性高，抗蠕变，耐烧蚀，尺寸稳定性好。耐水、耐油、耐磨、耐化学介质、耐霉菌、耐老化等，电绝缘性能优良。本身易于改性，也能对其他胶粘剂改性。脆性大，剥离强度低，不耐冲击，震动。需要高温高压较长时间固化，收缩率较大，胶层颜色较深。</w:t>
            </w:r>
          </w:p>
          <w:p>
            <w:pPr>
              <w:spacing w:line="360" w:lineRule="auto"/>
              <w:jc w:val="center"/>
              <w:rPr>
                <w:rFonts w:hint="default" w:ascii="Times New Roman" w:hAnsi="Times New Roman" w:eastAsia="黑体" w:cs="Times New Roman"/>
                <w:bCs/>
                <w:kern w:val="0"/>
                <w:szCs w:val="21"/>
                <w:highlight w:val="none"/>
              </w:rPr>
            </w:pPr>
            <w:r>
              <w:rPr>
                <w:rFonts w:hint="default" w:ascii="Times New Roman" w:hAnsi="Times New Roman" w:eastAsia="黑体" w:cs="Times New Roman"/>
                <w:bCs/>
                <w:kern w:val="0"/>
                <w:szCs w:val="21"/>
                <w:highlight w:val="none"/>
              </w:rPr>
              <w:t xml:space="preserve">表2-4  </w:t>
            </w:r>
            <w:r>
              <w:rPr>
                <w:rFonts w:hint="eastAsia" w:eastAsia="黑体" w:cs="Times New Roman"/>
                <w:bCs/>
                <w:kern w:val="0"/>
                <w:szCs w:val="21"/>
                <w:highlight w:val="none"/>
                <w:lang w:eastAsia="zh-CN"/>
              </w:rPr>
              <w:t>酚醛树脂胶</w:t>
            </w:r>
            <w:r>
              <w:rPr>
                <w:rFonts w:hint="default" w:ascii="Times New Roman" w:hAnsi="Times New Roman" w:eastAsia="黑体" w:cs="Times New Roman"/>
                <w:bCs/>
                <w:kern w:val="0"/>
                <w:szCs w:val="21"/>
                <w:highlight w:val="none"/>
              </w:rPr>
              <w:t>主要成分一览表</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615"/>
              <w:gridCol w:w="3545"/>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noWrap w:val="0"/>
                  <w:vAlign w:val="center"/>
                </w:tcPr>
                <w:p>
                  <w:pPr>
                    <w:spacing w:line="240" w:lineRule="auto"/>
                    <w:jc w:val="center"/>
                    <w:outlineLvl w:val="0"/>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型号</w:t>
                  </w:r>
                </w:p>
              </w:tc>
              <w:tc>
                <w:tcPr>
                  <w:tcW w:w="1615" w:type="dxa"/>
                  <w:noWrap w:val="0"/>
                  <w:vAlign w:val="center"/>
                </w:tcPr>
                <w:p>
                  <w:pPr>
                    <w:spacing w:line="240" w:lineRule="auto"/>
                    <w:jc w:val="center"/>
                    <w:outlineLvl w:val="0"/>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序号</w:t>
                  </w:r>
                </w:p>
              </w:tc>
              <w:tc>
                <w:tcPr>
                  <w:tcW w:w="3545" w:type="dxa"/>
                  <w:noWrap w:val="0"/>
                  <w:vAlign w:val="center"/>
                </w:tcPr>
                <w:p>
                  <w:pPr>
                    <w:spacing w:line="240" w:lineRule="auto"/>
                    <w:jc w:val="center"/>
                    <w:outlineLvl w:val="0"/>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成分名称</w:t>
                  </w:r>
                </w:p>
              </w:tc>
              <w:tc>
                <w:tcPr>
                  <w:tcW w:w="2037" w:type="dxa"/>
                  <w:noWrap w:val="0"/>
                  <w:vAlign w:val="center"/>
                </w:tcPr>
                <w:p>
                  <w:pPr>
                    <w:spacing w:line="240" w:lineRule="auto"/>
                    <w:jc w:val="center"/>
                    <w:outlineLvl w:val="0"/>
                    <w:rPr>
                      <w:rFonts w:hint="default" w:ascii="Times New Roman" w:hAnsi="Times New Roman" w:cs="Times New Roman"/>
                      <w:b/>
                      <w:bCs/>
                      <w:sz w:val="18"/>
                      <w:szCs w:val="18"/>
                      <w:highlight w:val="none"/>
                    </w:rPr>
                  </w:pPr>
                  <w:r>
                    <w:rPr>
                      <w:rFonts w:hint="eastAsia" w:cs="Times New Roman"/>
                      <w:b/>
                      <w:bCs/>
                      <w:sz w:val="18"/>
                      <w:szCs w:val="18"/>
                      <w:highlight w:val="none"/>
                      <w:lang w:eastAsia="zh-CN"/>
                    </w:rPr>
                    <w:t>质量</w:t>
                  </w:r>
                  <w:r>
                    <w:rPr>
                      <w:rFonts w:hint="default" w:ascii="Times New Roman" w:hAnsi="Times New Roman" w:cs="Times New Roman"/>
                      <w:b/>
                      <w:bCs/>
                      <w:sz w:val="18"/>
                      <w:szCs w:val="18"/>
                      <w:highlight w:val="none"/>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restart"/>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eastAsia="zh-CN"/>
                    </w:rPr>
                    <w:t>液体</w:t>
                  </w:r>
                </w:p>
              </w:tc>
              <w:tc>
                <w:tcPr>
                  <w:tcW w:w="1615"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w:t>
                  </w:r>
                </w:p>
              </w:tc>
              <w:tc>
                <w:tcPr>
                  <w:tcW w:w="3545" w:type="dxa"/>
                  <w:noWrap w:val="0"/>
                  <w:vAlign w:val="center"/>
                </w:tcPr>
                <w:p>
                  <w:pPr>
                    <w:spacing w:line="240" w:lineRule="auto"/>
                    <w:jc w:val="center"/>
                    <w:outlineLvl w:val="0"/>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酚醛树脂</w:t>
                  </w:r>
                </w:p>
              </w:tc>
              <w:tc>
                <w:tcPr>
                  <w:tcW w:w="2037"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noWrap w:val="0"/>
                  <w:vAlign w:val="center"/>
                </w:tcPr>
                <w:p>
                  <w:pPr>
                    <w:spacing w:line="240" w:lineRule="auto"/>
                    <w:jc w:val="center"/>
                    <w:outlineLvl w:val="0"/>
                    <w:rPr>
                      <w:rFonts w:hint="default" w:ascii="Times New Roman" w:hAnsi="Times New Roman" w:cs="Times New Roman"/>
                      <w:sz w:val="18"/>
                      <w:szCs w:val="18"/>
                      <w:highlight w:val="none"/>
                    </w:rPr>
                  </w:pPr>
                </w:p>
              </w:tc>
              <w:tc>
                <w:tcPr>
                  <w:tcW w:w="1615" w:type="dxa"/>
                  <w:noWrap w:val="0"/>
                  <w:vAlign w:val="center"/>
                </w:tcPr>
                <w:p>
                  <w:pPr>
                    <w:spacing w:line="240" w:lineRule="auto"/>
                    <w:jc w:val="center"/>
                    <w:outlineLvl w:val="0"/>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w:t>
                  </w:r>
                </w:p>
              </w:tc>
              <w:tc>
                <w:tcPr>
                  <w:tcW w:w="3545" w:type="dxa"/>
                  <w:noWrap w:val="0"/>
                  <w:vAlign w:val="center"/>
                </w:tcPr>
                <w:p>
                  <w:pPr>
                    <w:spacing w:line="240" w:lineRule="auto"/>
                    <w:jc w:val="center"/>
                    <w:outlineLvl w:val="0"/>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苯酚</w:t>
                  </w:r>
                </w:p>
              </w:tc>
              <w:tc>
                <w:tcPr>
                  <w:tcW w:w="2037"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noWrap w:val="0"/>
                  <w:vAlign w:val="center"/>
                </w:tcPr>
                <w:p>
                  <w:pPr>
                    <w:spacing w:line="240" w:lineRule="auto"/>
                    <w:jc w:val="center"/>
                    <w:outlineLvl w:val="0"/>
                    <w:rPr>
                      <w:rFonts w:hint="default" w:ascii="Times New Roman" w:hAnsi="Times New Roman" w:cs="Times New Roman"/>
                      <w:sz w:val="18"/>
                      <w:szCs w:val="18"/>
                      <w:highlight w:val="none"/>
                    </w:rPr>
                  </w:pPr>
                </w:p>
              </w:tc>
              <w:tc>
                <w:tcPr>
                  <w:tcW w:w="1615" w:type="dxa"/>
                  <w:noWrap w:val="0"/>
                  <w:vAlign w:val="center"/>
                </w:tcPr>
                <w:p>
                  <w:pPr>
                    <w:spacing w:line="240" w:lineRule="auto"/>
                    <w:jc w:val="center"/>
                    <w:outlineLvl w:val="0"/>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w:t>
                  </w:r>
                </w:p>
              </w:tc>
              <w:tc>
                <w:tcPr>
                  <w:tcW w:w="3545" w:type="dxa"/>
                  <w:noWrap w:val="0"/>
                  <w:vAlign w:val="center"/>
                </w:tcPr>
                <w:p>
                  <w:pPr>
                    <w:spacing w:line="240" w:lineRule="auto"/>
                    <w:jc w:val="center"/>
                    <w:outlineLvl w:val="0"/>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甲醛</w:t>
                  </w:r>
                </w:p>
              </w:tc>
              <w:tc>
                <w:tcPr>
                  <w:tcW w:w="2037"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dxa"/>
                  <w:vMerge w:val="continue"/>
                  <w:noWrap w:val="0"/>
                  <w:vAlign w:val="center"/>
                </w:tcPr>
                <w:p>
                  <w:pPr>
                    <w:spacing w:line="240" w:lineRule="auto"/>
                    <w:jc w:val="center"/>
                    <w:outlineLvl w:val="0"/>
                    <w:rPr>
                      <w:rFonts w:hint="default" w:ascii="Times New Roman" w:hAnsi="Times New Roman" w:cs="Times New Roman"/>
                      <w:sz w:val="18"/>
                      <w:szCs w:val="18"/>
                      <w:highlight w:val="none"/>
                    </w:rPr>
                  </w:pPr>
                </w:p>
              </w:tc>
              <w:tc>
                <w:tcPr>
                  <w:tcW w:w="1615" w:type="dxa"/>
                  <w:noWrap w:val="0"/>
                  <w:vAlign w:val="center"/>
                </w:tcPr>
                <w:p>
                  <w:pPr>
                    <w:spacing w:line="240" w:lineRule="auto"/>
                    <w:jc w:val="center"/>
                    <w:outlineLvl w:val="0"/>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w:t>
                  </w:r>
                </w:p>
              </w:tc>
              <w:tc>
                <w:tcPr>
                  <w:tcW w:w="3545" w:type="dxa"/>
                  <w:noWrap w:val="0"/>
                  <w:vAlign w:val="center"/>
                </w:tcPr>
                <w:p>
                  <w:pPr>
                    <w:spacing w:line="240" w:lineRule="auto"/>
                    <w:jc w:val="center"/>
                    <w:outlineLvl w:val="0"/>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水分</w:t>
                  </w:r>
                </w:p>
              </w:tc>
              <w:tc>
                <w:tcPr>
                  <w:tcW w:w="2037"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1.7</w:t>
                  </w:r>
                </w:p>
              </w:tc>
            </w:tr>
            <w:bookmarkEnd w:id="3"/>
          </w:tbl>
          <w:p>
            <w:pPr>
              <w:spacing w:line="480" w:lineRule="exact"/>
              <w:ind w:firstLine="420" w:firstLineChars="200"/>
              <w:rPr>
                <w:kern w:val="0"/>
                <w:szCs w:val="21"/>
              </w:rPr>
            </w:pPr>
            <w:r>
              <w:rPr>
                <w:rFonts w:hint="eastAsia" w:ascii="Arial" w:hAnsi="Arial" w:cs="Arial"/>
                <w:szCs w:val="21"/>
                <w:shd w:val="clear" w:color="auto" w:fill="FFFFFF"/>
              </w:rPr>
              <w:t>聚丙烯</w:t>
            </w:r>
            <w:r>
              <w:rPr>
                <w:rFonts w:hint="eastAsia" w:ascii="Arial" w:hAnsi="Arial" w:cs="Arial"/>
                <w:szCs w:val="21"/>
                <w:shd w:val="clear" w:color="auto" w:fill="FFFFFF"/>
                <w:lang w:eastAsia="zh-CN"/>
              </w:rPr>
              <w:t>：</w:t>
            </w:r>
            <w:r>
              <w:rPr>
                <w:rFonts w:hint="eastAsia" w:ascii="Arial" w:hAnsi="Arial" w:cs="Arial"/>
                <w:szCs w:val="21"/>
                <w:shd w:val="clear" w:color="auto" w:fill="FFFFFF"/>
              </w:rPr>
              <w:t>是由</w:t>
            </w:r>
            <w:r>
              <w:rPr>
                <w:rFonts w:ascii="Arial" w:hAnsi="Arial" w:cs="Arial"/>
                <w:szCs w:val="21"/>
                <w:shd w:val="clear" w:color="auto" w:fill="FFFFFF"/>
              </w:rPr>
              <w:fldChar w:fldCharType="begin"/>
            </w:r>
            <w:r>
              <w:rPr>
                <w:rFonts w:ascii="Arial" w:hAnsi="Arial" w:cs="Arial"/>
                <w:szCs w:val="21"/>
                <w:shd w:val="clear" w:color="auto" w:fill="FFFFFF"/>
              </w:rPr>
              <w:instrText xml:space="preserve"> HYPERLINK "https://baike.baidu.com/item/%E4%B8%99%E7%83%AF/2276398" \t "https://baike.baidu.com/item/%E8%81%9A%E4%B8%99%E7%83%AF/_blank" </w:instrText>
            </w:r>
            <w:r>
              <w:rPr>
                <w:rFonts w:ascii="Arial" w:hAnsi="Arial" w:cs="Arial"/>
                <w:szCs w:val="21"/>
                <w:shd w:val="clear" w:color="auto" w:fill="FFFFFF"/>
              </w:rPr>
              <w:fldChar w:fldCharType="separate"/>
            </w:r>
            <w:r>
              <w:rPr>
                <w:rStyle w:val="97"/>
                <w:rFonts w:ascii="Arial" w:hAnsi="Arial" w:cs="Arial"/>
                <w:color w:val="auto"/>
                <w:szCs w:val="21"/>
                <w:u w:val="none"/>
                <w:shd w:val="clear" w:color="auto" w:fill="FFFFFF"/>
              </w:rPr>
              <w:t>丙烯</w:t>
            </w:r>
            <w:r>
              <w:rPr>
                <w:rFonts w:ascii="Arial" w:hAnsi="Arial" w:cs="Arial"/>
                <w:szCs w:val="21"/>
                <w:shd w:val="clear" w:color="auto" w:fill="FFFFFF"/>
              </w:rPr>
              <w:fldChar w:fldCharType="end"/>
            </w:r>
            <w:r>
              <w:rPr>
                <w:rFonts w:ascii="Arial" w:hAnsi="Arial" w:cs="Arial"/>
                <w:szCs w:val="21"/>
                <w:shd w:val="clear" w:color="auto" w:fill="FFFFFF"/>
              </w:rPr>
              <w:t>聚合而制得的一种热塑性树脂。</w:t>
            </w:r>
            <w:r>
              <w:rPr>
                <w:rFonts w:hint="eastAsia" w:ascii="Arial" w:hAnsi="Arial" w:cs="Arial"/>
                <w:szCs w:val="21"/>
                <w:shd w:val="clear" w:color="auto" w:fill="FFFFFF"/>
              </w:rPr>
              <w:t>共聚物型的PP材料有较低的热变形温度（100℃）、低透明度、低光泽度、低刚性。聚丙烯为无毒、无臭、无味的乳白色高结晶的聚合物，成型性好，但因收缩率大(为1%~2.5%）.厚壁制品易凹陷，对一些尺寸精度较高零件，很难于达到要求，制品表面光泽好。</w:t>
            </w:r>
          </w:p>
          <w:p>
            <w:pPr>
              <w:spacing w:line="360" w:lineRule="auto"/>
              <w:ind w:firstLine="420" w:firstLineChars="200"/>
              <w:rPr>
                <w:rFonts w:hint="default" w:ascii="Times New Roman" w:hAnsi="Times New Roman" w:cs="Times New Roman"/>
                <w:szCs w:val="21"/>
              </w:rPr>
            </w:pP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12、主要生产设备</w:t>
            </w:r>
          </w:p>
          <w:p>
            <w:pPr>
              <w:spacing w:line="360" w:lineRule="auto"/>
              <w:ind w:firstLine="420" w:firstLineChars="200"/>
              <w:rPr>
                <w:rFonts w:hint="default" w:ascii="Times New Roman" w:hAnsi="Times New Roman" w:cs="Times New Roman"/>
                <w:kern w:val="0"/>
                <w:szCs w:val="21"/>
              </w:rPr>
            </w:pPr>
            <w:r>
              <w:rPr>
                <w:rFonts w:hint="default" w:ascii="Times New Roman" w:hAnsi="Times New Roman" w:cs="Times New Roman"/>
                <w:kern w:val="0"/>
                <w:szCs w:val="21"/>
              </w:rPr>
              <w:t>主要生产设备见表2-</w:t>
            </w:r>
            <w:r>
              <w:rPr>
                <w:rFonts w:hint="eastAsia" w:cs="Times New Roman"/>
                <w:kern w:val="0"/>
                <w:szCs w:val="21"/>
                <w:lang w:val="en-US" w:eastAsia="zh-CN"/>
              </w:rPr>
              <w:t>5</w:t>
            </w:r>
            <w:r>
              <w:rPr>
                <w:rFonts w:hint="default" w:ascii="Times New Roman" w:hAnsi="Times New Roman" w:cs="Times New Roman"/>
                <w:kern w:val="0"/>
                <w:szCs w:val="21"/>
              </w:rPr>
              <w:t>。</w:t>
            </w:r>
          </w:p>
          <w:p>
            <w:pPr>
              <w:spacing w:line="360" w:lineRule="auto"/>
              <w:ind w:firstLine="420" w:firstLineChars="200"/>
              <w:jc w:val="center"/>
              <w:rPr>
                <w:rFonts w:hint="default" w:ascii="Times New Roman" w:hAnsi="Times New Roman" w:eastAsia="黑体" w:cs="Times New Roman"/>
                <w:szCs w:val="21"/>
              </w:rPr>
            </w:pPr>
            <w:r>
              <w:rPr>
                <w:rFonts w:hint="default" w:ascii="Times New Roman" w:hAnsi="Times New Roman" w:eastAsia="黑体" w:cs="Times New Roman"/>
                <w:szCs w:val="21"/>
              </w:rPr>
              <w:t>表2-</w:t>
            </w:r>
            <w:r>
              <w:rPr>
                <w:rFonts w:hint="eastAsia" w:eastAsia="黑体" w:cs="Times New Roman"/>
                <w:szCs w:val="21"/>
                <w:lang w:val="en-US" w:eastAsia="zh-CN"/>
              </w:rPr>
              <w:t>5</w:t>
            </w:r>
            <w:r>
              <w:rPr>
                <w:rFonts w:hint="default" w:ascii="Times New Roman" w:hAnsi="Times New Roman" w:eastAsia="黑体" w:cs="Times New Roman"/>
                <w:szCs w:val="21"/>
              </w:rPr>
              <w:t xml:space="preserve">  项目主要生产设备</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666"/>
              <w:gridCol w:w="1666"/>
              <w:gridCol w:w="1666"/>
              <w:gridCol w:w="939"/>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51" w:type="pct"/>
                  <w:vAlign w:val="center"/>
                </w:tcPr>
                <w:p>
                  <w:pPr>
                    <w:tabs>
                      <w:tab w:val="left" w:pos="1680"/>
                    </w:tabs>
                    <w:spacing w:line="0" w:lineRule="atLeast"/>
                    <w:ind w:right="-108"/>
                    <w:jc w:val="center"/>
                    <w:rPr>
                      <w:b/>
                      <w:sz w:val="18"/>
                      <w:szCs w:val="18"/>
                    </w:rPr>
                  </w:pPr>
                  <w:r>
                    <w:rPr>
                      <w:b/>
                      <w:sz w:val="18"/>
                      <w:szCs w:val="18"/>
                    </w:rPr>
                    <w:t>序号</w:t>
                  </w:r>
                </w:p>
              </w:tc>
              <w:tc>
                <w:tcPr>
                  <w:tcW w:w="1022" w:type="pct"/>
                  <w:vAlign w:val="center"/>
                </w:tcPr>
                <w:p>
                  <w:pPr>
                    <w:tabs>
                      <w:tab w:val="left" w:pos="1680"/>
                    </w:tabs>
                    <w:spacing w:line="0" w:lineRule="atLeast"/>
                    <w:ind w:right="-108"/>
                    <w:jc w:val="center"/>
                    <w:rPr>
                      <w:rFonts w:hint="eastAsia" w:eastAsia="宋体"/>
                      <w:b/>
                      <w:sz w:val="18"/>
                      <w:szCs w:val="18"/>
                      <w:lang w:val="en-US" w:eastAsia="zh-CN"/>
                    </w:rPr>
                  </w:pPr>
                  <w:r>
                    <w:rPr>
                      <w:rFonts w:hint="eastAsia"/>
                      <w:b/>
                      <w:sz w:val="18"/>
                      <w:szCs w:val="18"/>
                      <w:lang w:val="en-US" w:eastAsia="zh-CN"/>
                    </w:rPr>
                    <w:t>主要生产单元</w:t>
                  </w:r>
                </w:p>
              </w:tc>
              <w:tc>
                <w:tcPr>
                  <w:tcW w:w="1022" w:type="pct"/>
                  <w:vAlign w:val="center"/>
                </w:tcPr>
                <w:p>
                  <w:pPr>
                    <w:tabs>
                      <w:tab w:val="left" w:pos="1680"/>
                    </w:tabs>
                    <w:spacing w:line="0" w:lineRule="atLeast"/>
                    <w:ind w:right="-108"/>
                    <w:jc w:val="center"/>
                    <w:rPr>
                      <w:rFonts w:hint="eastAsia" w:eastAsia="宋体"/>
                      <w:b/>
                      <w:sz w:val="18"/>
                      <w:szCs w:val="18"/>
                      <w:lang w:eastAsia="zh-CN"/>
                    </w:rPr>
                  </w:pPr>
                  <w:r>
                    <w:rPr>
                      <w:rFonts w:hint="eastAsia"/>
                      <w:b/>
                      <w:sz w:val="18"/>
                      <w:szCs w:val="18"/>
                      <w:lang w:eastAsia="zh-CN"/>
                    </w:rPr>
                    <w:t>主要工艺</w:t>
                  </w:r>
                </w:p>
              </w:tc>
              <w:tc>
                <w:tcPr>
                  <w:tcW w:w="1022" w:type="pct"/>
                  <w:vAlign w:val="center"/>
                </w:tcPr>
                <w:p>
                  <w:pPr>
                    <w:tabs>
                      <w:tab w:val="left" w:pos="1680"/>
                    </w:tabs>
                    <w:spacing w:line="0" w:lineRule="atLeast"/>
                    <w:ind w:right="-108"/>
                    <w:jc w:val="center"/>
                    <w:rPr>
                      <w:b/>
                      <w:sz w:val="18"/>
                      <w:szCs w:val="18"/>
                    </w:rPr>
                  </w:pPr>
                  <w:r>
                    <w:rPr>
                      <w:b/>
                      <w:sz w:val="18"/>
                      <w:szCs w:val="18"/>
                    </w:rPr>
                    <w:t>设备名称</w:t>
                  </w:r>
                </w:p>
              </w:tc>
              <w:tc>
                <w:tcPr>
                  <w:tcW w:w="576" w:type="pct"/>
                  <w:vAlign w:val="center"/>
                </w:tcPr>
                <w:p>
                  <w:pPr>
                    <w:tabs>
                      <w:tab w:val="left" w:pos="1680"/>
                    </w:tabs>
                    <w:spacing w:line="0" w:lineRule="atLeast"/>
                    <w:ind w:right="-108"/>
                    <w:jc w:val="center"/>
                    <w:rPr>
                      <w:b/>
                      <w:sz w:val="18"/>
                      <w:szCs w:val="18"/>
                    </w:rPr>
                  </w:pPr>
                  <w:r>
                    <w:rPr>
                      <w:b/>
                      <w:sz w:val="18"/>
                      <w:szCs w:val="18"/>
                    </w:rPr>
                    <w:t>规格</w:t>
                  </w:r>
                </w:p>
              </w:tc>
              <w:tc>
                <w:tcPr>
                  <w:tcW w:w="904" w:type="pct"/>
                  <w:vAlign w:val="center"/>
                </w:tcPr>
                <w:p>
                  <w:pPr>
                    <w:tabs>
                      <w:tab w:val="left" w:pos="1680"/>
                    </w:tabs>
                    <w:spacing w:line="0" w:lineRule="atLeast"/>
                    <w:ind w:right="-108"/>
                    <w:jc w:val="center"/>
                    <w:rPr>
                      <w:b/>
                      <w:sz w:val="18"/>
                      <w:szCs w:val="18"/>
                    </w:rPr>
                  </w:pPr>
                  <w:r>
                    <w:rPr>
                      <w:b/>
                      <w:sz w:val="18"/>
                      <w:szCs w:val="18"/>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bCs/>
                      <w:sz w:val="18"/>
                      <w:szCs w:val="18"/>
                    </w:rPr>
                  </w:pPr>
                  <w:r>
                    <w:rPr>
                      <w:bCs/>
                      <w:sz w:val="18"/>
                      <w:szCs w:val="18"/>
                    </w:rPr>
                    <w:t>1</w:t>
                  </w:r>
                </w:p>
              </w:tc>
              <w:tc>
                <w:tcPr>
                  <w:tcW w:w="1022" w:type="pct"/>
                  <w:vMerge w:val="restart"/>
                  <w:vAlign w:val="center"/>
                </w:tcPr>
                <w:p>
                  <w:pPr>
                    <w:widowControl/>
                    <w:jc w:val="center"/>
                    <w:textAlignment w:val="center"/>
                    <w:rPr>
                      <w:rFonts w:hint="eastAsia" w:eastAsia="宋体"/>
                      <w:bCs/>
                      <w:sz w:val="18"/>
                      <w:szCs w:val="18"/>
                      <w:lang w:eastAsia="zh-CN"/>
                    </w:rPr>
                  </w:pPr>
                  <w:r>
                    <w:rPr>
                      <w:rFonts w:hint="eastAsia"/>
                      <w:bCs/>
                      <w:sz w:val="18"/>
                      <w:szCs w:val="18"/>
                      <w:lang w:eastAsia="zh-CN"/>
                    </w:rPr>
                    <w:t>生产单元</w:t>
                  </w:r>
                </w:p>
              </w:tc>
              <w:tc>
                <w:tcPr>
                  <w:tcW w:w="1022" w:type="pct"/>
                  <w:vAlign w:val="center"/>
                </w:tcPr>
                <w:p>
                  <w:pPr>
                    <w:widowControl/>
                    <w:jc w:val="center"/>
                    <w:textAlignment w:val="center"/>
                    <w:rPr>
                      <w:rFonts w:hint="eastAsia" w:eastAsia="宋体"/>
                      <w:bCs/>
                      <w:sz w:val="18"/>
                      <w:szCs w:val="18"/>
                      <w:lang w:eastAsia="zh-CN"/>
                    </w:rPr>
                  </w:pPr>
                  <w:r>
                    <w:rPr>
                      <w:rFonts w:hint="eastAsia"/>
                      <w:bCs/>
                      <w:sz w:val="18"/>
                      <w:szCs w:val="18"/>
                      <w:lang w:eastAsia="zh-CN"/>
                    </w:rPr>
                    <w:t>缝制</w:t>
                  </w:r>
                </w:p>
              </w:tc>
              <w:tc>
                <w:tcPr>
                  <w:tcW w:w="1022" w:type="pct"/>
                  <w:vAlign w:val="center"/>
                </w:tcPr>
                <w:p>
                  <w:pPr>
                    <w:widowControl/>
                    <w:jc w:val="center"/>
                    <w:textAlignment w:val="center"/>
                    <w:rPr>
                      <w:bCs/>
                      <w:sz w:val="18"/>
                      <w:szCs w:val="18"/>
                    </w:rPr>
                  </w:pPr>
                  <w:r>
                    <w:rPr>
                      <w:rFonts w:hint="eastAsia"/>
                      <w:bCs/>
                      <w:sz w:val="18"/>
                      <w:szCs w:val="18"/>
                    </w:rPr>
                    <w:t>缝纫机</w:t>
                  </w:r>
                </w:p>
              </w:tc>
              <w:tc>
                <w:tcPr>
                  <w:tcW w:w="576" w:type="pct"/>
                  <w:vAlign w:val="center"/>
                </w:tcPr>
                <w:p>
                  <w:pPr>
                    <w:widowControl/>
                    <w:jc w:val="center"/>
                    <w:textAlignment w:val="center"/>
                    <w:rPr>
                      <w:bCs/>
                      <w:sz w:val="18"/>
                      <w:szCs w:val="18"/>
                    </w:rPr>
                  </w:pPr>
                  <w:r>
                    <w:rPr>
                      <w:rFonts w:hint="eastAsia"/>
                      <w:bCs/>
                      <w:sz w:val="18"/>
                      <w:szCs w:val="18"/>
                    </w:rPr>
                    <w:t>--</w:t>
                  </w:r>
                </w:p>
              </w:tc>
              <w:tc>
                <w:tcPr>
                  <w:tcW w:w="904" w:type="pct"/>
                  <w:vAlign w:val="center"/>
                </w:tcPr>
                <w:p>
                  <w:pPr>
                    <w:widowControl/>
                    <w:jc w:val="center"/>
                    <w:textAlignment w:val="center"/>
                    <w:rPr>
                      <w:bCs/>
                      <w:sz w:val="18"/>
                      <w:szCs w:val="18"/>
                    </w:rPr>
                  </w:pPr>
                  <w:r>
                    <w:rPr>
                      <w:rFonts w:hint="eastAsia"/>
                      <w:bCs/>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bCs/>
                      <w:sz w:val="18"/>
                      <w:szCs w:val="18"/>
                    </w:rPr>
                  </w:pPr>
                  <w:r>
                    <w:rPr>
                      <w:bCs/>
                      <w:sz w:val="18"/>
                      <w:szCs w:val="18"/>
                    </w:rPr>
                    <w:t>2</w:t>
                  </w:r>
                </w:p>
              </w:tc>
              <w:tc>
                <w:tcPr>
                  <w:tcW w:w="1022" w:type="pct"/>
                  <w:vMerge w:val="continue"/>
                  <w:vAlign w:val="center"/>
                </w:tcPr>
                <w:p>
                  <w:pPr>
                    <w:widowControl/>
                    <w:jc w:val="center"/>
                    <w:textAlignment w:val="center"/>
                    <w:rPr>
                      <w:bCs/>
                      <w:color w:val="000000"/>
                      <w:kern w:val="0"/>
                      <w:sz w:val="18"/>
                      <w:szCs w:val="18"/>
                      <w:lang w:bidi="ar"/>
                    </w:rPr>
                  </w:pPr>
                </w:p>
              </w:tc>
              <w:tc>
                <w:tcPr>
                  <w:tcW w:w="1022" w:type="pct"/>
                  <w:vAlign w:val="center"/>
                </w:tcPr>
                <w:p>
                  <w:pPr>
                    <w:widowControl/>
                    <w:jc w:val="center"/>
                    <w:textAlignment w:val="center"/>
                    <w:rPr>
                      <w:rFonts w:hint="eastAsia" w:eastAsia="宋体"/>
                      <w:bCs/>
                      <w:color w:val="000000"/>
                      <w:kern w:val="0"/>
                      <w:sz w:val="18"/>
                      <w:szCs w:val="18"/>
                      <w:lang w:eastAsia="zh-CN" w:bidi="ar"/>
                    </w:rPr>
                  </w:pPr>
                  <w:r>
                    <w:rPr>
                      <w:rFonts w:hint="eastAsia"/>
                      <w:bCs/>
                      <w:color w:val="000000"/>
                      <w:kern w:val="0"/>
                      <w:sz w:val="18"/>
                      <w:szCs w:val="18"/>
                      <w:lang w:eastAsia="zh-CN" w:bidi="ar"/>
                    </w:rPr>
                    <w:t>固化</w:t>
                  </w:r>
                </w:p>
              </w:tc>
              <w:tc>
                <w:tcPr>
                  <w:tcW w:w="1022" w:type="pct"/>
                  <w:vAlign w:val="center"/>
                </w:tcPr>
                <w:p>
                  <w:pPr>
                    <w:widowControl/>
                    <w:jc w:val="center"/>
                    <w:textAlignment w:val="center"/>
                    <w:rPr>
                      <w:bCs/>
                      <w:sz w:val="18"/>
                      <w:szCs w:val="18"/>
                    </w:rPr>
                  </w:pPr>
                  <w:r>
                    <w:rPr>
                      <w:bCs/>
                      <w:color w:val="000000"/>
                      <w:kern w:val="0"/>
                      <w:sz w:val="18"/>
                      <w:szCs w:val="18"/>
                      <w:lang w:bidi="ar"/>
                    </w:rPr>
                    <w:t>固化</w:t>
                  </w:r>
                  <w:r>
                    <w:rPr>
                      <w:rFonts w:hint="eastAsia"/>
                      <w:bCs/>
                      <w:color w:val="000000"/>
                      <w:kern w:val="0"/>
                      <w:sz w:val="18"/>
                      <w:szCs w:val="18"/>
                      <w:lang w:bidi="ar"/>
                    </w:rPr>
                    <w:t>机</w:t>
                  </w:r>
                </w:p>
              </w:tc>
              <w:tc>
                <w:tcPr>
                  <w:tcW w:w="576" w:type="pct"/>
                  <w:vAlign w:val="center"/>
                </w:tcPr>
                <w:p>
                  <w:pPr>
                    <w:widowControl/>
                    <w:jc w:val="center"/>
                    <w:textAlignment w:val="center"/>
                    <w:rPr>
                      <w:bCs/>
                      <w:sz w:val="18"/>
                      <w:szCs w:val="18"/>
                    </w:rPr>
                  </w:pPr>
                  <w:r>
                    <w:rPr>
                      <w:rFonts w:hint="eastAsia"/>
                      <w:bCs/>
                      <w:sz w:val="18"/>
                      <w:szCs w:val="18"/>
                    </w:rPr>
                    <w:t>--</w:t>
                  </w:r>
                </w:p>
              </w:tc>
              <w:tc>
                <w:tcPr>
                  <w:tcW w:w="904" w:type="pct"/>
                  <w:vAlign w:val="center"/>
                </w:tcPr>
                <w:p>
                  <w:pPr>
                    <w:widowControl/>
                    <w:jc w:val="center"/>
                    <w:textAlignment w:val="center"/>
                    <w:rPr>
                      <w:bCs/>
                      <w:sz w:val="18"/>
                      <w:szCs w:val="18"/>
                    </w:rPr>
                  </w:pPr>
                  <w:r>
                    <w:rPr>
                      <w:rFonts w:hint="eastAsia"/>
                      <w:bCs/>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bCs/>
                      <w:sz w:val="18"/>
                      <w:szCs w:val="18"/>
                    </w:rPr>
                  </w:pPr>
                  <w:r>
                    <w:rPr>
                      <w:bCs/>
                      <w:sz w:val="18"/>
                      <w:szCs w:val="18"/>
                    </w:rPr>
                    <w:t>3</w:t>
                  </w:r>
                </w:p>
              </w:tc>
              <w:tc>
                <w:tcPr>
                  <w:tcW w:w="1022" w:type="pct"/>
                  <w:vMerge w:val="continue"/>
                  <w:vAlign w:val="center"/>
                </w:tcPr>
                <w:p>
                  <w:pPr>
                    <w:widowControl/>
                    <w:jc w:val="center"/>
                    <w:textAlignment w:val="center"/>
                    <w:rPr>
                      <w:rFonts w:hint="eastAsia"/>
                      <w:bCs/>
                      <w:color w:val="000000"/>
                      <w:kern w:val="0"/>
                      <w:sz w:val="18"/>
                      <w:szCs w:val="18"/>
                      <w:lang w:bidi="ar"/>
                    </w:rPr>
                  </w:pPr>
                </w:p>
              </w:tc>
              <w:tc>
                <w:tcPr>
                  <w:tcW w:w="1022" w:type="pct"/>
                  <w:vAlign w:val="center"/>
                </w:tcPr>
                <w:p>
                  <w:pPr>
                    <w:widowControl/>
                    <w:jc w:val="center"/>
                    <w:textAlignment w:val="center"/>
                    <w:rPr>
                      <w:rFonts w:hint="eastAsia" w:eastAsia="宋体"/>
                      <w:bCs/>
                      <w:color w:val="000000"/>
                      <w:kern w:val="0"/>
                      <w:sz w:val="18"/>
                      <w:szCs w:val="18"/>
                      <w:lang w:eastAsia="zh-CN" w:bidi="ar"/>
                    </w:rPr>
                  </w:pPr>
                  <w:r>
                    <w:rPr>
                      <w:rFonts w:hint="eastAsia"/>
                      <w:bCs/>
                      <w:color w:val="000000"/>
                      <w:kern w:val="0"/>
                      <w:sz w:val="18"/>
                      <w:szCs w:val="18"/>
                      <w:lang w:eastAsia="zh-CN" w:bidi="ar"/>
                    </w:rPr>
                    <w:t>切割</w:t>
                  </w:r>
                </w:p>
              </w:tc>
              <w:tc>
                <w:tcPr>
                  <w:tcW w:w="1022" w:type="pct"/>
                  <w:vAlign w:val="center"/>
                </w:tcPr>
                <w:p>
                  <w:pPr>
                    <w:widowControl/>
                    <w:jc w:val="center"/>
                    <w:textAlignment w:val="center"/>
                    <w:rPr>
                      <w:bCs/>
                      <w:sz w:val="18"/>
                      <w:szCs w:val="18"/>
                    </w:rPr>
                  </w:pPr>
                  <w:r>
                    <w:rPr>
                      <w:rFonts w:hint="eastAsia"/>
                      <w:bCs/>
                      <w:color w:val="000000"/>
                      <w:kern w:val="0"/>
                      <w:sz w:val="18"/>
                      <w:szCs w:val="18"/>
                      <w:lang w:bidi="ar"/>
                    </w:rPr>
                    <w:t>切割</w:t>
                  </w:r>
                  <w:r>
                    <w:rPr>
                      <w:bCs/>
                      <w:color w:val="000000"/>
                      <w:kern w:val="0"/>
                      <w:sz w:val="18"/>
                      <w:szCs w:val="18"/>
                      <w:lang w:bidi="ar"/>
                    </w:rPr>
                    <w:t>机</w:t>
                  </w:r>
                </w:p>
              </w:tc>
              <w:tc>
                <w:tcPr>
                  <w:tcW w:w="576" w:type="pct"/>
                  <w:vAlign w:val="center"/>
                </w:tcPr>
                <w:p>
                  <w:pPr>
                    <w:widowControl/>
                    <w:jc w:val="center"/>
                    <w:textAlignment w:val="center"/>
                    <w:rPr>
                      <w:bCs/>
                      <w:sz w:val="18"/>
                      <w:szCs w:val="18"/>
                    </w:rPr>
                  </w:pPr>
                  <w:r>
                    <w:rPr>
                      <w:rFonts w:hint="eastAsia"/>
                      <w:bCs/>
                      <w:sz w:val="18"/>
                      <w:szCs w:val="18"/>
                    </w:rPr>
                    <w:t>--</w:t>
                  </w:r>
                </w:p>
              </w:tc>
              <w:tc>
                <w:tcPr>
                  <w:tcW w:w="904" w:type="pct"/>
                  <w:vAlign w:val="center"/>
                </w:tcPr>
                <w:p>
                  <w:pPr>
                    <w:widowControl/>
                    <w:jc w:val="center"/>
                    <w:textAlignment w:val="center"/>
                    <w:rPr>
                      <w:bCs/>
                      <w:sz w:val="18"/>
                      <w:szCs w:val="18"/>
                    </w:rPr>
                  </w:pPr>
                  <w:r>
                    <w:rPr>
                      <w:rFonts w:hint="eastAsia"/>
                      <w:bCs/>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bCs/>
                      <w:sz w:val="18"/>
                      <w:szCs w:val="18"/>
                    </w:rPr>
                  </w:pPr>
                  <w:r>
                    <w:rPr>
                      <w:bCs/>
                      <w:sz w:val="18"/>
                      <w:szCs w:val="18"/>
                    </w:rPr>
                    <w:t>4</w:t>
                  </w:r>
                </w:p>
              </w:tc>
              <w:tc>
                <w:tcPr>
                  <w:tcW w:w="1022" w:type="pct"/>
                  <w:vMerge w:val="continue"/>
                  <w:vAlign w:val="center"/>
                </w:tcPr>
                <w:p>
                  <w:pPr>
                    <w:widowControl/>
                    <w:jc w:val="center"/>
                    <w:textAlignment w:val="center"/>
                    <w:rPr>
                      <w:bCs/>
                      <w:spacing w:val="-2"/>
                      <w:kern w:val="0"/>
                      <w:sz w:val="18"/>
                      <w:szCs w:val="18"/>
                    </w:rPr>
                  </w:pPr>
                </w:p>
              </w:tc>
              <w:tc>
                <w:tcPr>
                  <w:tcW w:w="1022" w:type="pct"/>
                  <w:vAlign w:val="center"/>
                </w:tcPr>
                <w:p>
                  <w:pPr>
                    <w:widowControl/>
                    <w:jc w:val="center"/>
                    <w:textAlignment w:val="center"/>
                    <w:rPr>
                      <w:rFonts w:hint="eastAsia" w:eastAsia="宋体"/>
                      <w:bCs/>
                      <w:spacing w:val="-2"/>
                      <w:kern w:val="0"/>
                      <w:sz w:val="18"/>
                      <w:szCs w:val="18"/>
                      <w:lang w:eastAsia="zh-CN"/>
                    </w:rPr>
                  </w:pPr>
                  <w:r>
                    <w:rPr>
                      <w:rFonts w:hint="eastAsia"/>
                      <w:bCs/>
                      <w:spacing w:val="-2"/>
                      <w:kern w:val="0"/>
                      <w:sz w:val="18"/>
                      <w:szCs w:val="18"/>
                      <w:lang w:eastAsia="zh-CN"/>
                    </w:rPr>
                    <w:t>烘干</w:t>
                  </w:r>
                </w:p>
              </w:tc>
              <w:tc>
                <w:tcPr>
                  <w:tcW w:w="1022" w:type="pct"/>
                  <w:vAlign w:val="center"/>
                </w:tcPr>
                <w:p>
                  <w:pPr>
                    <w:widowControl/>
                    <w:jc w:val="center"/>
                    <w:textAlignment w:val="center"/>
                    <w:rPr>
                      <w:rFonts w:hint="eastAsia" w:eastAsia="宋体"/>
                      <w:bCs/>
                      <w:spacing w:val="-2"/>
                      <w:kern w:val="0"/>
                      <w:sz w:val="18"/>
                      <w:szCs w:val="18"/>
                      <w:lang w:eastAsia="zh-CN"/>
                    </w:rPr>
                  </w:pPr>
                  <w:r>
                    <w:rPr>
                      <w:bCs/>
                      <w:spacing w:val="-2"/>
                      <w:kern w:val="0"/>
                      <w:sz w:val="18"/>
                      <w:szCs w:val="18"/>
                    </w:rPr>
                    <w:t>涂胶烘干炉</w:t>
                  </w:r>
                  <w:r>
                    <w:rPr>
                      <w:rFonts w:hint="eastAsia"/>
                      <w:bCs/>
                      <w:spacing w:val="-2"/>
                      <w:kern w:val="0"/>
                      <w:sz w:val="18"/>
                      <w:szCs w:val="18"/>
                      <w:lang w:eastAsia="zh-CN"/>
                    </w:rPr>
                    <w:t>（电）</w:t>
                  </w:r>
                </w:p>
              </w:tc>
              <w:tc>
                <w:tcPr>
                  <w:tcW w:w="576" w:type="pct"/>
                  <w:vAlign w:val="center"/>
                </w:tcPr>
                <w:p>
                  <w:pPr>
                    <w:widowControl/>
                    <w:jc w:val="center"/>
                    <w:textAlignment w:val="center"/>
                    <w:rPr>
                      <w:bCs/>
                      <w:spacing w:val="-2"/>
                      <w:kern w:val="0"/>
                      <w:sz w:val="18"/>
                      <w:szCs w:val="18"/>
                    </w:rPr>
                  </w:pPr>
                  <w:r>
                    <w:rPr>
                      <w:rFonts w:hint="eastAsia"/>
                      <w:bCs/>
                      <w:sz w:val="18"/>
                      <w:szCs w:val="18"/>
                    </w:rPr>
                    <w:t>--</w:t>
                  </w:r>
                </w:p>
              </w:tc>
              <w:tc>
                <w:tcPr>
                  <w:tcW w:w="904" w:type="pct"/>
                  <w:vAlign w:val="center"/>
                </w:tcPr>
                <w:p>
                  <w:pPr>
                    <w:widowControl/>
                    <w:jc w:val="center"/>
                    <w:textAlignment w:val="center"/>
                    <w:rPr>
                      <w:bCs/>
                      <w:sz w:val="18"/>
                      <w:szCs w:val="18"/>
                    </w:rPr>
                  </w:pPr>
                  <w:r>
                    <w:rPr>
                      <w:rFonts w:hint="eastAsia"/>
                      <w:bCs/>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51" w:type="pct"/>
                  <w:vAlign w:val="center"/>
                </w:tcPr>
                <w:p>
                  <w:pPr>
                    <w:tabs>
                      <w:tab w:val="left" w:pos="1680"/>
                    </w:tabs>
                    <w:spacing w:line="0" w:lineRule="atLeast"/>
                    <w:ind w:right="-108"/>
                    <w:jc w:val="center"/>
                    <w:rPr>
                      <w:bCs/>
                      <w:sz w:val="18"/>
                      <w:szCs w:val="18"/>
                    </w:rPr>
                  </w:pPr>
                  <w:r>
                    <w:rPr>
                      <w:rFonts w:hint="eastAsia"/>
                      <w:bCs/>
                      <w:sz w:val="18"/>
                      <w:szCs w:val="18"/>
                    </w:rPr>
                    <w:t>5</w:t>
                  </w:r>
                </w:p>
              </w:tc>
              <w:tc>
                <w:tcPr>
                  <w:tcW w:w="1022" w:type="pct"/>
                  <w:vMerge w:val="continue"/>
                  <w:vAlign w:val="center"/>
                </w:tcPr>
                <w:p>
                  <w:pPr>
                    <w:widowControl/>
                    <w:jc w:val="center"/>
                    <w:textAlignment w:val="center"/>
                    <w:rPr>
                      <w:bCs/>
                      <w:color w:val="000000"/>
                      <w:kern w:val="0"/>
                      <w:sz w:val="18"/>
                      <w:szCs w:val="18"/>
                      <w:lang w:bidi="ar"/>
                    </w:rPr>
                  </w:pPr>
                </w:p>
              </w:tc>
              <w:tc>
                <w:tcPr>
                  <w:tcW w:w="1022" w:type="pct"/>
                  <w:vAlign w:val="center"/>
                </w:tcPr>
                <w:p>
                  <w:pPr>
                    <w:widowControl/>
                    <w:jc w:val="center"/>
                    <w:textAlignment w:val="center"/>
                    <w:rPr>
                      <w:rFonts w:hint="eastAsia" w:eastAsia="宋体"/>
                      <w:bCs/>
                      <w:color w:val="000000"/>
                      <w:kern w:val="0"/>
                      <w:sz w:val="18"/>
                      <w:szCs w:val="18"/>
                      <w:lang w:eastAsia="zh-CN" w:bidi="ar"/>
                    </w:rPr>
                  </w:pPr>
                  <w:r>
                    <w:rPr>
                      <w:rFonts w:hint="eastAsia"/>
                      <w:bCs/>
                      <w:color w:val="000000"/>
                      <w:kern w:val="0"/>
                      <w:sz w:val="18"/>
                      <w:szCs w:val="18"/>
                      <w:lang w:eastAsia="zh-CN" w:bidi="ar"/>
                    </w:rPr>
                    <w:t>搅拌</w:t>
                  </w:r>
                </w:p>
              </w:tc>
              <w:tc>
                <w:tcPr>
                  <w:tcW w:w="1022" w:type="pct"/>
                  <w:vAlign w:val="center"/>
                </w:tcPr>
                <w:p>
                  <w:pPr>
                    <w:widowControl/>
                    <w:jc w:val="center"/>
                    <w:textAlignment w:val="center"/>
                    <w:rPr>
                      <w:rFonts w:eastAsiaTheme="minorEastAsia"/>
                      <w:bCs/>
                      <w:sz w:val="18"/>
                      <w:szCs w:val="18"/>
                    </w:rPr>
                  </w:pPr>
                  <w:r>
                    <w:rPr>
                      <w:bCs/>
                      <w:color w:val="000000"/>
                      <w:kern w:val="0"/>
                      <w:sz w:val="18"/>
                      <w:szCs w:val="18"/>
                      <w:lang w:bidi="ar"/>
                    </w:rPr>
                    <w:t>胶搅拌机</w:t>
                  </w:r>
                </w:p>
              </w:tc>
              <w:tc>
                <w:tcPr>
                  <w:tcW w:w="576" w:type="pct"/>
                  <w:vAlign w:val="center"/>
                </w:tcPr>
                <w:p>
                  <w:pPr>
                    <w:widowControl/>
                    <w:jc w:val="center"/>
                    <w:textAlignment w:val="center"/>
                    <w:rPr>
                      <w:rFonts w:eastAsiaTheme="minorEastAsia"/>
                      <w:bCs/>
                      <w:sz w:val="18"/>
                      <w:szCs w:val="18"/>
                    </w:rPr>
                  </w:pPr>
                  <w:r>
                    <w:rPr>
                      <w:rFonts w:hint="eastAsia"/>
                      <w:bCs/>
                      <w:sz w:val="18"/>
                      <w:szCs w:val="18"/>
                    </w:rPr>
                    <w:t>--</w:t>
                  </w:r>
                </w:p>
              </w:tc>
              <w:tc>
                <w:tcPr>
                  <w:tcW w:w="904" w:type="pct"/>
                  <w:vAlign w:val="center"/>
                </w:tcPr>
                <w:p>
                  <w:pPr>
                    <w:widowControl/>
                    <w:jc w:val="center"/>
                    <w:textAlignment w:val="center"/>
                    <w:rPr>
                      <w:rFonts w:eastAsiaTheme="minorEastAsia"/>
                      <w:bCs/>
                      <w:sz w:val="18"/>
                      <w:szCs w:val="18"/>
                    </w:rPr>
                  </w:pPr>
                  <w:r>
                    <w:rPr>
                      <w:rFonts w:hint="eastAsia" w:eastAsiaTheme="minorEastAsia"/>
                      <w:bCs/>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rFonts w:hint="eastAsia" w:eastAsia="宋体"/>
                      <w:bCs/>
                      <w:sz w:val="18"/>
                      <w:szCs w:val="18"/>
                      <w:lang w:eastAsia="zh-CN"/>
                    </w:rPr>
                  </w:pPr>
                  <w:r>
                    <w:rPr>
                      <w:rFonts w:hint="eastAsia"/>
                      <w:bCs/>
                      <w:sz w:val="18"/>
                      <w:szCs w:val="18"/>
                      <w:lang w:val="en-US" w:eastAsia="zh-CN"/>
                    </w:rPr>
                    <w:t>6</w:t>
                  </w:r>
                </w:p>
              </w:tc>
              <w:tc>
                <w:tcPr>
                  <w:tcW w:w="1022" w:type="pct"/>
                  <w:vMerge w:val="continue"/>
                  <w:vAlign w:val="center"/>
                </w:tcPr>
                <w:p>
                  <w:pPr>
                    <w:widowControl/>
                    <w:jc w:val="center"/>
                    <w:textAlignment w:val="center"/>
                    <w:rPr>
                      <w:rFonts w:hint="eastAsia"/>
                      <w:bCs/>
                      <w:color w:val="000000"/>
                      <w:kern w:val="0"/>
                      <w:sz w:val="18"/>
                      <w:szCs w:val="18"/>
                      <w:lang w:bidi="ar"/>
                    </w:rPr>
                  </w:pPr>
                </w:p>
              </w:tc>
              <w:tc>
                <w:tcPr>
                  <w:tcW w:w="1022" w:type="pct"/>
                  <w:vAlign w:val="center"/>
                </w:tcPr>
                <w:p>
                  <w:pPr>
                    <w:widowControl/>
                    <w:jc w:val="center"/>
                    <w:textAlignment w:val="center"/>
                    <w:rPr>
                      <w:rFonts w:hint="eastAsia" w:eastAsia="宋体"/>
                      <w:bCs/>
                      <w:color w:val="000000"/>
                      <w:kern w:val="0"/>
                      <w:sz w:val="18"/>
                      <w:szCs w:val="18"/>
                      <w:lang w:eastAsia="zh-CN" w:bidi="ar"/>
                    </w:rPr>
                  </w:pPr>
                  <w:r>
                    <w:rPr>
                      <w:rFonts w:hint="eastAsia"/>
                      <w:bCs/>
                      <w:color w:val="000000"/>
                      <w:kern w:val="0"/>
                      <w:sz w:val="18"/>
                      <w:szCs w:val="18"/>
                      <w:lang w:eastAsia="zh-CN" w:bidi="ar"/>
                    </w:rPr>
                    <w:t>注塑</w:t>
                  </w:r>
                </w:p>
              </w:tc>
              <w:tc>
                <w:tcPr>
                  <w:tcW w:w="1022" w:type="pct"/>
                  <w:vAlign w:val="center"/>
                </w:tcPr>
                <w:p>
                  <w:pPr>
                    <w:widowControl/>
                    <w:jc w:val="center"/>
                    <w:textAlignment w:val="center"/>
                    <w:rPr>
                      <w:bCs/>
                      <w:color w:val="000000"/>
                      <w:kern w:val="0"/>
                      <w:sz w:val="18"/>
                      <w:szCs w:val="18"/>
                      <w:lang w:bidi="ar"/>
                    </w:rPr>
                  </w:pPr>
                  <w:r>
                    <w:rPr>
                      <w:rFonts w:hint="eastAsia"/>
                      <w:bCs/>
                      <w:color w:val="000000"/>
                      <w:kern w:val="0"/>
                      <w:sz w:val="18"/>
                      <w:szCs w:val="18"/>
                      <w:lang w:bidi="ar"/>
                    </w:rPr>
                    <w:t>注塑机</w:t>
                  </w:r>
                </w:p>
              </w:tc>
              <w:tc>
                <w:tcPr>
                  <w:tcW w:w="576" w:type="pct"/>
                  <w:vAlign w:val="center"/>
                </w:tcPr>
                <w:p>
                  <w:pPr>
                    <w:widowControl/>
                    <w:jc w:val="center"/>
                    <w:textAlignment w:val="center"/>
                    <w:rPr>
                      <w:rFonts w:eastAsiaTheme="minorEastAsia"/>
                      <w:bCs/>
                      <w:sz w:val="18"/>
                      <w:szCs w:val="18"/>
                    </w:rPr>
                  </w:pPr>
                  <w:r>
                    <w:rPr>
                      <w:rFonts w:hint="eastAsia"/>
                      <w:bCs/>
                      <w:sz w:val="18"/>
                      <w:szCs w:val="18"/>
                    </w:rPr>
                    <w:t>--</w:t>
                  </w:r>
                </w:p>
              </w:tc>
              <w:tc>
                <w:tcPr>
                  <w:tcW w:w="904" w:type="pct"/>
                  <w:vAlign w:val="center"/>
                </w:tcPr>
                <w:p>
                  <w:pPr>
                    <w:widowControl/>
                    <w:jc w:val="center"/>
                    <w:textAlignment w:val="center"/>
                    <w:rPr>
                      <w:rFonts w:eastAsiaTheme="minorEastAsia"/>
                      <w:bCs/>
                      <w:sz w:val="18"/>
                      <w:szCs w:val="18"/>
                    </w:rPr>
                  </w:pPr>
                  <w:r>
                    <w:rPr>
                      <w:rFonts w:hint="eastAsia" w:eastAsiaTheme="minorEastAsia"/>
                      <w:bCs/>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rFonts w:hint="eastAsia" w:eastAsia="宋体"/>
                      <w:bCs/>
                      <w:sz w:val="18"/>
                      <w:szCs w:val="18"/>
                      <w:lang w:eastAsia="zh-CN"/>
                    </w:rPr>
                  </w:pPr>
                  <w:r>
                    <w:rPr>
                      <w:rFonts w:hint="eastAsia"/>
                      <w:bCs/>
                      <w:sz w:val="18"/>
                      <w:szCs w:val="18"/>
                      <w:lang w:val="en-US" w:eastAsia="zh-CN"/>
                    </w:rPr>
                    <w:t>7</w:t>
                  </w:r>
                </w:p>
              </w:tc>
              <w:tc>
                <w:tcPr>
                  <w:tcW w:w="1022" w:type="pct"/>
                  <w:vMerge w:val="continue"/>
                  <w:vAlign w:val="center"/>
                </w:tcPr>
                <w:p>
                  <w:pPr>
                    <w:widowControl/>
                    <w:jc w:val="center"/>
                    <w:textAlignment w:val="center"/>
                    <w:rPr>
                      <w:rFonts w:hint="eastAsia"/>
                      <w:bCs/>
                      <w:color w:val="000000"/>
                      <w:kern w:val="0"/>
                      <w:sz w:val="18"/>
                      <w:szCs w:val="18"/>
                      <w:lang w:bidi="ar"/>
                    </w:rPr>
                  </w:pPr>
                </w:p>
              </w:tc>
              <w:tc>
                <w:tcPr>
                  <w:tcW w:w="1022" w:type="pct"/>
                  <w:vAlign w:val="center"/>
                </w:tcPr>
                <w:p>
                  <w:pPr>
                    <w:widowControl/>
                    <w:jc w:val="center"/>
                    <w:textAlignment w:val="center"/>
                    <w:rPr>
                      <w:rFonts w:hint="eastAsia" w:eastAsia="宋体"/>
                      <w:bCs/>
                      <w:color w:val="000000"/>
                      <w:kern w:val="0"/>
                      <w:sz w:val="18"/>
                      <w:szCs w:val="18"/>
                      <w:lang w:eastAsia="zh-CN" w:bidi="ar"/>
                    </w:rPr>
                  </w:pPr>
                  <w:r>
                    <w:rPr>
                      <w:rFonts w:hint="eastAsia"/>
                      <w:bCs/>
                      <w:color w:val="000000"/>
                      <w:kern w:val="0"/>
                      <w:sz w:val="18"/>
                      <w:szCs w:val="18"/>
                      <w:lang w:eastAsia="zh-CN" w:bidi="ar"/>
                    </w:rPr>
                    <w:t>组合</w:t>
                  </w:r>
                </w:p>
              </w:tc>
              <w:tc>
                <w:tcPr>
                  <w:tcW w:w="1022" w:type="pct"/>
                  <w:vAlign w:val="center"/>
                </w:tcPr>
                <w:p>
                  <w:pPr>
                    <w:widowControl/>
                    <w:jc w:val="center"/>
                    <w:textAlignment w:val="center"/>
                    <w:rPr>
                      <w:bCs/>
                      <w:color w:val="000000"/>
                      <w:kern w:val="0"/>
                      <w:sz w:val="18"/>
                      <w:szCs w:val="18"/>
                      <w:lang w:bidi="ar"/>
                    </w:rPr>
                  </w:pPr>
                  <w:r>
                    <w:rPr>
                      <w:rFonts w:hint="eastAsia"/>
                      <w:bCs/>
                      <w:color w:val="000000"/>
                      <w:kern w:val="0"/>
                      <w:sz w:val="18"/>
                      <w:szCs w:val="18"/>
                      <w:lang w:bidi="ar"/>
                    </w:rPr>
                    <w:t>压力机</w:t>
                  </w:r>
                </w:p>
              </w:tc>
              <w:tc>
                <w:tcPr>
                  <w:tcW w:w="576" w:type="pct"/>
                  <w:vAlign w:val="center"/>
                </w:tcPr>
                <w:p>
                  <w:pPr>
                    <w:widowControl/>
                    <w:jc w:val="center"/>
                    <w:textAlignment w:val="center"/>
                    <w:rPr>
                      <w:rFonts w:eastAsiaTheme="minorEastAsia"/>
                      <w:bCs/>
                      <w:sz w:val="18"/>
                      <w:szCs w:val="18"/>
                    </w:rPr>
                  </w:pPr>
                  <w:r>
                    <w:rPr>
                      <w:rFonts w:hint="eastAsia"/>
                      <w:bCs/>
                      <w:sz w:val="18"/>
                      <w:szCs w:val="18"/>
                    </w:rPr>
                    <w:t>--</w:t>
                  </w:r>
                </w:p>
              </w:tc>
              <w:tc>
                <w:tcPr>
                  <w:tcW w:w="904" w:type="pct"/>
                  <w:vAlign w:val="center"/>
                </w:tcPr>
                <w:p>
                  <w:pPr>
                    <w:widowControl/>
                    <w:jc w:val="center"/>
                    <w:textAlignment w:val="center"/>
                    <w:rPr>
                      <w:rFonts w:eastAsiaTheme="minorEastAsia"/>
                      <w:bCs/>
                      <w:sz w:val="18"/>
                      <w:szCs w:val="18"/>
                    </w:rPr>
                  </w:pPr>
                  <w:r>
                    <w:rPr>
                      <w:rFonts w:hint="eastAsia" w:eastAsiaTheme="minorEastAsia"/>
                      <w:bCs/>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51" w:type="pct"/>
                  <w:vAlign w:val="center"/>
                </w:tcPr>
                <w:p>
                  <w:pPr>
                    <w:tabs>
                      <w:tab w:val="left" w:pos="1680"/>
                    </w:tabs>
                    <w:spacing w:line="0" w:lineRule="atLeast"/>
                    <w:ind w:right="-108"/>
                    <w:jc w:val="center"/>
                    <w:rPr>
                      <w:rFonts w:hint="eastAsia" w:eastAsia="宋体"/>
                      <w:bCs/>
                      <w:sz w:val="18"/>
                      <w:szCs w:val="18"/>
                      <w:lang w:eastAsia="zh-CN"/>
                    </w:rPr>
                  </w:pPr>
                  <w:r>
                    <w:rPr>
                      <w:rFonts w:hint="eastAsia"/>
                      <w:bCs/>
                      <w:sz w:val="18"/>
                      <w:szCs w:val="18"/>
                      <w:lang w:val="en-US" w:eastAsia="zh-CN"/>
                    </w:rPr>
                    <w:t>8</w:t>
                  </w:r>
                </w:p>
              </w:tc>
              <w:tc>
                <w:tcPr>
                  <w:tcW w:w="1022" w:type="pct"/>
                  <w:vAlign w:val="center"/>
                </w:tcPr>
                <w:p>
                  <w:pPr>
                    <w:widowControl/>
                    <w:jc w:val="center"/>
                    <w:textAlignment w:val="center"/>
                    <w:rPr>
                      <w:rFonts w:hint="eastAsia"/>
                      <w:bCs/>
                      <w:color w:val="000000"/>
                      <w:kern w:val="0"/>
                      <w:sz w:val="18"/>
                      <w:szCs w:val="18"/>
                      <w:lang w:eastAsia="zh-CN" w:bidi="ar"/>
                    </w:rPr>
                  </w:pPr>
                  <w:r>
                    <w:rPr>
                      <w:rFonts w:hint="eastAsia"/>
                      <w:bCs/>
                      <w:color w:val="000000"/>
                      <w:kern w:val="0"/>
                      <w:sz w:val="18"/>
                      <w:szCs w:val="18"/>
                      <w:lang w:eastAsia="zh-CN" w:bidi="ar"/>
                    </w:rPr>
                    <w:t>公共单元</w:t>
                  </w:r>
                </w:p>
              </w:tc>
              <w:tc>
                <w:tcPr>
                  <w:tcW w:w="1022" w:type="pct"/>
                  <w:vAlign w:val="center"/>
                </w:tcPr>
                <w:p>
                  <w:pPr>
                    <w:widowControl/>
                    <w:jc w:val="center"/>
                    <w:textAlignment w:val="center"/>
                    <w:rPr>
                      <w:rFonts w:hint="eastAsia"/>
                      <w:bCs/>
                      <w:color w:val="000000"/>
                      <w:kern w:val="0"/>
                      <w:sz w:val="18"/>
                      <w:szCs w:val="18"/>
                      <w:lang w:eastAsia="zh-CN" w:bidi="ar"/>
                    </w:rPr>
                  </w:pPr>
                  <w:r>
                    <w:rPr>
                      <w:rFonts w:hint="eastAsia"/>
                      <w:bCs/>
                      <w:color w:val="000000"/>
                      <w:kern w:val="0"/>
                      <w:sz w:val="18"/>
                      <w:szCs w:val="18"/>
                      <w:lang w:eastAsia="zh-CN" w:bidi="ar"/>
                    </w:rPr>
                    <w:t>废气处理</w:t>
                  </w:r>
                </w:p>
              </w:tc>
              <w:tc>
                <w:tcPr>
                  <w:tcW w:w="1022" w:type="pct"/>
                  <w:vAlign w:val="center"/>
                </w:tcPr>
                <w:p>
                  <w:pPr>
                    <w:widowControl/>
                    <w:jc w:val="center"/>
                    <w:textAlignment w:val="center"/>
                    <w:rPr>
                      <w:bCs/>
                      <w:color w:val="000000"/>
                      <w:kern w:val="0"/>
                      <w:sz w:val="18"/>
                      <w:szCs w:val="18"/>
                      <w:lang w:bidi="ar"/>
                    </w:rPr>
                  </w:pPr>
                  <w:r>
                    <w:rPr>
                      <w:rFonts w:hint="eastAsia"/>
                      <w:bCs/>
                      <w:color w:val="000000"/>
                      <w:kern w:val="0"/>
                      <w:sz w:val="18"/>
                      <w:szCs w:val="18"/>
                      <w:lang w:eastAsia="zh-CN" w:bidi="ar"/>
                    </w:rPr>
                    <w:t>两级活性炭吸附装置</w:t>
                  </w:r>
                </w:p>
              </w:tc>
              <w:tc>
                <w:tcPr>
                  <w:tcW w:w="576" w:type="pct"/>
                  <w:vAlign w:val="center"/>
                </w:tcPr>
                <w:p>
                  <w:pPr>
                    <w:jc w:val="center"/>
                    <w:rPr>
                      <w:rFonts w:eastAsia="Tahoma"/>
                      <w:bCs/>
                      <w:kern w:val="0"/>
                      <w:sz w:val="18"/>
                      <w:szCs w:val="18"/>
                      <w:lang w:bidi="ar"/>
                    </w:rPr>
                  </w:pPr>
                  <w:r>
                    <w:rPr>
                      <w:rFonts w:hint="eastAsia"/>
                      <w:bCs/>
                      <w:sz w:val="18"/>
                      <w:szCs w:val="18"/>
                    </w:rPr>
                    <w:t>--</w:t>
                  </w:r>
                </w:p>
              </w:tc>
              <w:tc>
                <w:tcPr>
                  <w:tcW w:w="904" w:type="pct"/>
                  <w:vAlign w:val="center"/>
                </w:tcPr>
                <w:p>
                  <w:pPr>
                    <w:widowControl/>
                    <w:jc w:val="center"/>
                    <w:textAlignment w:val="center"/>
                    <w:rPr>
                      <w:rFonts w:hint="eastAsia" w:eastAsia="宋体"/>
                      <w:bCs/>
                      <w:color w:val="000000"/>
                      <w:kern w:val="0"/>
                      <w:sz w:val="18"/>
                      <w:szCs w:val="18"/>
                      <w:lang w:eastAsia="zh-CN" w:bidi="ar"/>
                    </w:rPr>
                  </w:pPr>
                  <w:r>
                    <w:rPr>
                      <w:rFonts w:hint="eastAsia"/>
                      <w:bCs/>
                      <w:color w:val="000000"/>
                      <w:kern w:val="0"/>
                      <w:sz w:val="18"/>
                      <w:szCs w:val="18"/>
                      <w:lang w:val="en-US" w:eastAsia="zh-CN" w:bidi="ar"/>
                    </w:rPr>
                    <w:t>1</w:t>
                  </w:r>
                </w:p>
              </w:tc>
            </w:tr>
          </w:tbl>
          <w:p>
            <w:pPr>
              <w:spacing w:line="360" w:lineRule="auto"/>
              <w:rPr>
                <w:rFonts w:hint="default" w:ascii="Times New Roman" w:hAnsi="Times New Roman" w:eastAsia="黑体" w:cs="Times New Roman"/>
                <w:b/>
                <w:bCs/>
                <w:szCs w:val="21"/>
              </w:rPr>
            </w:pPr>
            <w:r>
              <w:rPr>
                <w:rFonts w:hint="default" w:ascii="Times New Roman" w:hAnsi="Times New Roman" w:cs="Times New Roman"/>
                <w:b/>
                <w:kern w:val="0"/>
                <w:sz w:val="18"/>
                <w:szCs w:val="18"/>
              </w:rPr>
              <w:t xml:space="preserve">  </w:t>
            </w:r>
            <w:r>
              <w:rPr>
                <w:rFonts w:hint="default" w:ascii="Times New Roman" w:hAnsi="Times New Roman" w:cs="Times New Roman"/>
                <w:b/>
                <w:sz w:val="18"/>
                <w:szCs w:val="18"/>
              </w:rPr>
              <w:t>以上设备均不属于</w:t>
            </w:r>
            <w:r>
              <w:rPr>
                <w:rFonts w:hint="default" w:ascii="Times New Roman" w:hAnsi="Times New Roman" w:cs="Times New Roman"/>
                <w:b/>
                <w:kern w:val="0"/>
                <w:sz w:val="18"/>
                <w:szCs w:val="18"/>
              </w:rPr>
              <w:t>《产业结构调整指导目录（2019年本）》中规定淘汰类、限制类设备。</w:t>
            </w:r>
          </w:p>
          <w:p>
            <w:pPr>
              <w:tabs>
                <w:tab w:val="left" w:pos="1800"/>
              </w:tabs>
              <w:adjustRightInd w:val="0"/>
              <w:snapToGrid w:val="0"/>
              <w:spacing w:line="360" w:lineRule="auto"/>
              <w:ind w:firstLine="420" w:firstLineChars="200"/>
              <w:rPr>
                <w:rFonts w:hint="default" w:ascii="Times New Roman" w:hAnsi="Times New Roman" w:cs="Times New Roman"/>
                <w:kern w:val="24"/>
                <w:szCs w:val="21"/>
              </w:rPr>
            </w:pPr>
            <w:r>
              <w:rPr>
                <w:rFonts w:hint="default" w:ascii="Times New Roman" w:hAnsi="Times New Roman" w:cs="Times New Roman"/>
                <w:kern w:val="24"/>
                <w:szCs w:val="21"/>
              </w:rPr>
              <w:t>13、给排水、供电</w:t>
            </w:r>
            <w:r>
              <w:rPr>
                <w:rFonts w:hint="eastAsia" w:cs="Times New Roman"/>
                <w:kern w:val="24"/>
                <w:szCs w:val="21"/>
                <w:lang w:eastAsia="zh-CN"/>
              </w:rPr>
              <w:t>、</w:t>
            </w:r>
            <w:r>
              <w:rPr>
                <w:rFonts w:hint="default" w:ascii="Times New Roman" w:hAnsi="Times New Roman" w:cs="Times New Roman"/>
                <w:kern w:val="24"/>
                <w:szCs w:val="21"/>
              </w:rPr>
              <w:t>供热</w:t>
            </w:r>
            <w:r>
              <w:rPr>
                <w:rFonts w:hint="eastAsia" w:cs="Times New Roman"/>
                <w:kern w:val="24"/>
                <w:szCs w:val="21"/>
                <w:lang w:eastAsia="zh-CN"/>
              </w:rPr>
              <w:t>及供气</w:t>
            </w:r>
            <w:r>
              <w:rPr>
                <w:rFonts w:hint="default" w:ascii="Times New Roman" w:hAnsi="Times New Roman" w:cs="Times New Roman"/>
                <w:kern w:val="24"/>
                <w:szCs w:val="21"/>
              </w:rPr>
              <w:t>：</w:t>
            </w:r>
          </w:p>
          <w:p>
            <w:pPr>
              <w:tabs>
                <w:tab w:val="left" w:pos="1800"/>
              </w:tabs>
              <w:adjustRightInd w:val="0"/>
              <w:snapToGrid w:val="0"/>
              <w:spacing w:line="360" w:lineRule="auto"/>
              <w:ind w:firstLine="420" w:firstLineChars="200"/>
              <w:rPr>
                <w:rFonts w:hint="default" w:ascii="Times New Roman" w:hAnsi="Times New Roman" w:cs="Times New Roman"/>
                <w:color w:val="000000"/>
                <w:kern w:val="24"/>
                <w:szCs w:val="21"/>
              </w:rPr>
            </w:pPr>
            <w:r>
              <w:rPr>
                <w:rFonts w:hint="default" w:ascii="Times New Roman" w:hAnsi="Times New Roman" w:cs="Times New Roman"/>
                <w:color w:val="000000"/>
                <w:kern w:val="24"/>
                <w:szCs w:val="21"/>
              </w:rPr>
              <w:t>（1）给水：</w:t>
            </w:r>
            <w:r>
              <w:rPr>
                <w:rFonts w:hint="eastAsia" w:cs="Times New Roman"/>
                <w:color w:val="000000"/>
                <w:kern w:val="24"/>
                <w:szCs w:val="21"/>
                <w:lang w:eastAsia="zh-CN"/>
              </w:rPr>
              <w:t>本</w:t>
            </w:r>
            <w:r>
              <w:rPr>
                <w:rFonts w:hint="default" w:ascii="Times New Roman" w:hAnsi="Times New Roman" w:cs="Times New Roman"/>
                <w:color w:val="000000"/>
                <w:kern w:val="24"/>
                <w:szCs w:val="21"/>
              </w:rPr>
              <w:t>项目用水由淄川自来水管网提供</w:t>
            </w:r>
            <w:r>
              <w:rPr>
                <w:rFonts w:hint="eastAsia" w:cs="Times New Roman"/>
                <w:color w:val="000000"/>
                <w:kern w:val="24"/>
                <w:szCs w:val="21"/>
                <w:lang w:eastAsia="zh-CN"/>
              </w:rPr>
              <w:t>，兑胶用水为外购纯水，年总用水量</w:t>
            </w:r>
            <w:r>
              <w:rPr>
                <w:rFonts w:hint="eastAsia" w:cs="Times New Roman"/>
                <w:color w:val="000000"/>
                <w:kern w:val="24"/>
                <w:szCs w:val="21"/>
                <w:lang w:val="en-US" w:eastAsia="zh-CN"/>
              </w:rPr>
              <w:t>526</w:t>
            </w:r>
            <w:r>
              <w:rPr>
                <w:rFonts w:hint="default" w:ascii="Times New Roman" w:hAnsi="Times New Roman" w:cs="Times New Roman" w:eastAsiaTheme="minorEastAsia"/>
                <w:kern w:val="24"/>
                <w:sz w:val="21"/>
                <w:szCs w:val="21"/>
              </w:rPr>
              <w:t>m</w:t>
            </w:r>
            <w:r>
              <w:rPr>
                <w:rFonts w:hint="default" w:ascii="Times New Roman" w:hAnsi="Times New Roman" w:cs="Times New Roman" w:eastAsiaTheme="minorEastAsia"/>
                <w:kern w:val="24"/>
                <w:sz w:val="21"/>
                <w:szCs w:val="21"/>
                <w:vertAlign w:val="superscript"/>
              </w:rPr>
              <w:t>3</w:t>
            </w:r>
            <w:r>
              <w:rPr>
                <w:rFonts w:hint="default" w:ascii="Times New Roman" w:hAnsi="Times New Roman" w:cs="Times New Roman" w:eastAsiaTheme="minorEastAsia"/>
                <w:kern w:val="24"/>
                <w:sz w:val="21"/>
                <w:szCs w:val="21"/>
              </w:rPr>
              <w:t>/a。</w:t>
            </w:r>
          </w:p>
          <w:p>
            <w:pPr>
              <w:tabs>
                <w:tab w:val="left" w:pos="1800"/>
              </w:tabs>
              <w:adjustRightInd w:val="0"/>
              <w:snapToGrid w:val="0"/>
              <w:spacing w:line="360" w:lineRule="auto"/>
              <w:ind w:firstLine="420" w:firstLineChars="200"/>
              <w:rPr>
                <w:rFonts w:hint="default" w:ascii="Times New Roman" w:hAnsi="Times New Roman" w:cs="Times New Roman" w:eastAsiaTheme="minorEastAsia"/>
                <w:kern w:val="24"/>
                <w:sz w:val="21"/>
                <w:szCs w:val="21"/>
              </w:rPr>
            </w:pPr>
            <w:r>
              <w:rPr>
                <w:rFonts w:hint="default" w:ascii="Times New Roman" w:hAnsi="Times New Roman" w:cs="Times New Roman" w:eastAsiaTheme="minorEastAsia"/>
                <w:kern w:val="24"/>
                <w:sz w:val="21"/>
                <w:szCs w:val="21"/>
              </w:rPr>
              <w:t>本项目用水包括生产用水和职工生活用水。</w:t>
            </w:r>
          </w:p>
          <w:p>
            <w:pPr>
              <w:tabs>
                <w:tab w:val="left" w:pos="1800"/>
              </w:tabs>
              <w:adjustRightInd w:val="0"/>
              <w:snapToGrid w:val="0"/>
              <w:spacing w:line="360" w:lineRule="auto"/>
              <w:ind w:firstLine="420" w:firstLineChars="200"/>
              <w:rPr>
                <w:rFonts w:hint="eastAsia" w:ascii="Times New Roman" w:hAnsi="Times New Roman" w:cs="Times New Roman" w:eastAsiaTheme="minorEastAsia"/>
                <w:kern w:val="24"/>
                <w:sz w:val="21"/>
                <w:szCs w:val="21"/>
                <w:lang w:val="en-US" w:eastAsia="zh-CN"/>
              </w:rPr>
            </w:pPr>
            <w:r>
              <w:rPr>
                <w:rFonts w:hint="default" w:ascii="Times New Roman" w:hAnsi="Times New Roman" w:cs="Times New Roman" w:eastAsiaTheme="minorEastAsia"/>
                <w:kern w:val="24"/>
                <w:sz w:val="21"/>
                <w:szCs w:val="21"/>
              </w:rPr>
              <w:t>生产用水：生产用水主要是酚醛树脂胶兑水</w:t>
            </w:r>
            <w:r>
              <w:rPr>
                <w:rFonts w:hint="eastAsia" w:cs="Times New Roman" w:eastAsiaTheme="minorEastAsia"/>
                <w:kern w:val="24"/>
                <w:sz w:val="21"/>
                <w:szCs w:val="21"/>
                <w:lang w:eastAsia="zh-CN"/>
              </w:rPr>
              <w:t>及循环冷却水。酚醛树脂胶</w:t>
            </w:r>
            <w:r>
              <w:rPr>
                <w:rFonts w:hint="default" w:ascii="Times New Roman" w:hAnsi="Times New Roman" w:cs="Times New Roman" w:eastAsiaTheme="minorEastAsia"/>
                <w:kern w:val="24"/>
                <w:sz w:val="21"/>
                <w:szCs w:val="21"/>
              </w:rPr>
              <w:t>根据产品需要兑水比例不同，年用水量约为50m</w:t>
            </w:r>
            <w:r>
              <w:rPr>
                <w:rFonts w:hint="default" w:ascii="Times New Roman" w:hAnsi="Times New Roman" w:cs="Times New Roman" w:eastAsiaTheme="minorEastAsia"/>
                <w:kern w:val="24"/>
                <w:sz w:val="21"/>
                <w:szCs w:val="21"/>
                <w:vertAlign w:val="superscript"/>
              </w:rPr>
              <w:t>3</w:t>
            </w:r>
            <w:r>
              <w:rPr>
                <w:rFonts w:hint="default" w:ascii="Times New Roman" w:hAnsi="Times New Roman" w:cs="Times New Roman" w:eastAsiaTheme="minorEastAsia"/>
                <w:kern w:val="24"/>
                <w:sz w:val="21"/>
                <w:szCs w:val="21"/>
              </w:rPr>
              <w:t>/a，该</w:t>
            </w:r>
            <w:r>
              <w:rPr>
                <w:rFonts w:hint="eastAsia" w:ascii="Times New Roman" w:hAnsi="Times New Roman" w:cs="Times New Roman" w:eastAsiaTheme="minorEastAsia"/>
                <w:kern w:val="24"/>
                <w:sz w:val="21"/>
                <w:szCs w:val="21"/>
                <w:lang w:eastAsia="zh-CN"/>
              </w:rPr>
              <w:t>部分</w:t>
            </w:r>
            <w:r>
              <w:rPr>
                <w:rFonts w:hint="default" w:ascii="Times New Roman" w:hAnsi="Times New Roman" w:cs="Times New Roman" w:eastAsiaTheme="minorEastAsia"/>
                <w:kern w:val="24"/>
                <w:sz w:val="21"/>
                <w:szCs w:val="21"/>
              </w:rPr>
              <w:t>用水使用外购的纯水。</w:t>
            </w:r>
            <w:r>
              <w:rPr>
                <w:rFonts w:hint="eastAsia" w:cs="Times New Roman" w:eastAsiaTheme="minorEastAsia"/>
                <w:kern w:val="24"/>
                <w:sz w:val="21"/>
                <w:szCs w:val="21"/>
                <w:lang w:eastAsia="zh-CN"/>
              </w:rPr>
              <w:t>注塑过程使用循环水进行冷却，仅定期添加补充损耗，不外排，年补充量约</w:t>
            </w:r>
            <w:r>
              <w:rPr>
                <w:rFonts w:hint="eastAsia" w:cs="Times New Roman" w:eastAsiaTheme="minorEastAsia"/>
                <w:kern w:val="24"/>
                <w:sz w:val="21"/>
                <w:szCs w:val="21"/>
                <w:lang w:val="en-US" w:eastAsia="zh-CN"/>
              </w:rPr>
              <w:t>20</w:t>
            </w:r>
            <w:r>
              <w:rPr>
                <w:rFonts w:hint="default" w:ascii="Times New Roman" w:hAnsi="Times New Roman" w:cs="Times New Roman" w:eastAsiaTheme="minorEastAsia"/>
                <w:kern w:val="24"/>
                <w:sz w:val="21"/>
                <w:szCs w:val="21"/>
              </w:rPr>
              <w:t>m</w:t>
            </w:r>
            <w:r>
              <w:rPr>
                <w:rFonts w:hint="default" w:ascii="Times New Roman" w:hAnsi="Times New Roman" w:cs="Times New Roman" w:eastAsiaTheme="minorEastAsia"/>
                <w:kern w:val="24"/>
                <w:sz w:val="21"/>
                <w:szCs w:val="21"/>
                <w:vertAlign w:val="superscript"/>
              </w:rPr>
              <w:t>3</w:t>
            </w:r>
            <w:r>
              <w:rPr>
                <w:rFonts w:hint="default" w:ascii="Times New Roman" w:hAnsi="Times New Roman" w:cs="Times New Roman" w:eastAsiaTheme="minorEastAsia"/>
                <w:kern w:val="24"/>
                <w:sz w:val="21"/>
                <w:szCs w:val="21"/>
              </w:rPr>
              <w:t>/a</w:t>
            </w:r>
            <w:r>
              <w:rPr>
                <w:rFonts w:hint="eastAsia" w:cs="Times New Roman" w:eastAsiaTheme="minorEastAsia"/>
                <w:kern w:val="24"/>
                <w:sz w:val="21"/>
                <w:szCs w:val="21"/>
                <w:lang w:eastAsia="zh-CN"/>
              </w:rPr>
              <w:t>。</w:t>
            </w:r>
          </w:p>
          <w:p>
            <w:pPr>
              <w:tabs>
                <w:tab w:val="left" w:pos="1800"/>
              </w:tabs>
              <w:adjustRightInd w:val="0"/>
              <w:snapToGrid w:val="0"/>
              <w:spacing w:line="360" w:lineRule="auto"/>
              <w:ind w:firstLine="420" w:firstLineChars="200"/>
              <w:rPr>
                <w:rFonts w:hint="default" w:ascii="Times New Roman" w:hAnsi="Times New Roman" w:cs="Times New Roman" w:eastAsiaTheme="minorEastAsia"/>
                <w:kern w:val="24"/>
                <w:sz w:val="21"/>
                <w:szCs w:val="21"/>
              </w:rPr>
            </w:pPr>
            <w:r>
              <w:rPr>
                <w:rFonts w:hint="default" w:ascii="Times New Roman" w:hAnsi="Times New Roman" w:cs="Times New Roman" w:eastAsiaTheme="minorEastAsia"/>
                <w:kern w:val="24"/>
                <w:sz w:val="21"/>
                <w:szCs w:val="21"/>
              </w:rPr>
              <w:t>生活用水：项目职工人员38人，年工作300天，</w:t>
            </w:r>
            <w:r>
              <w:rPr>
                <w:rFonts w:hint="default" w:ascii="Times New Roman" w:hAnsi="Times New Roman" w:cs="Times New Roman"/>
                <w:color w:val="000000"/>
                <w:kern w:val="24"/>
                <w:sz w:val="21"/>
                <w:szCs w:val="21"/>
              </w:rPr>
              <w:t>厂内无食堂、无宿舍，参照《建筑给水排水设计标准》（GB50015-2019），“表3.2.2坐班式办公，每人每日平均用水量为25～40L”</w:t>
            </w:r>
            <w:r>
              <w:rPr>
                <w:rFonts w:hint="default" w:ascii="Times New Roman" w:hAnsi="Times New Roman" w:cs="Times New Roman" w:eastAsiaTheme="minorEastAsia"/>
                <w:kern w:val="24"/>
                <w:sz w:val="21"/>
                <w:szCs w:val="21"/>
              </w:rPr>
              <w:t>，职工生活用水量按照40L/人·天计，则本项目生活用水量为456m</w:t>
            </w:r>
            <w:r>
              <w:rPr>
                <w:rFonts w:hint="default" w:ascii="Times New Roman" w:hAnsi="Times New Roman" w:cs="Times New Roman" w:eastAsiaTheme="minorEastAsia"/>
                <w:kern w:val="24"/>
                <w:sz w:val="21"/>
                <w:szCs w:val="21"/>
                <w:vertAlign w:val="superscript"/>
              </w:rPr>
              <w:t>3</w:t>
            </w:r>
            <w:r>
              <w:rPr>
                <w:rFonts w:hint="default" w:ascii="Times New Roman" w:hAnsi="Times New Roman" w:cs="Times New Roman" w:eastAsiaTheme="minorEastAsia"/>
                <w:kern w:val="24"/>
                <w:sz w:val="21"/>
                <w:szCs w:val="21"/>
              </w:rPr>
              <w:t>/a。</w:t>
            </w:r>
          </w:p>
          <w:p>
            <w:pPr>
              <w:tabs>
                <w:tab w:val="left" w:pos="1800"/>
              </w:tabs>
              <w:adjustRightInd w:val="0"/>
              <w:snapToGrid w:val="0"/>
              <w:spacing w:line="360" w:lineRule="auto"/>
              <w:ind w:firstLine="420" w:firstLineChars="200"/>
              <w:rPr>
                <w:rFonts w:hint="default" w:ascii="Times New Roman" w:hAnsi="Times New Roman" w:cs="Times New Roman"/>
                <w:kern w:val="24"/>
                <w:szCs w:val="21"/>
              </w:rPr>
            </w:pPr>
            <w:r>
              <w:rPr>
                <w:rFonts w:hint="default" w:ascii="Times New Roman" w:hAnsi="Times New Roman" w:cs="Times New Roman"/>
                <w:kern w:val="24"/>
                <w:szCs w:val="21"/>
              </w:rPr>
              <w:t>（2）排水</w:t>
            </w:r>
          </w:p>
          <w:p>
            <w:pPr>
              <w:spacing w:line="360" w:lineRule="auto"/>
              <w:ind w:firstLine="420" w:firstLineChars="200"/>
              <w:rPr>
                <w:rFonts w:hint="default" w:ascii="Times New Roman" w:hAnsi="Times New Roman" w:cs="Times New Roman" w:eastAsiaTheme="minorEastAsia"/>
                <w:bCs/>
                <w:kern w:val="24"/>
                <w:sz w:val="21"/>
                <w:szCs w:val="21"/>
              </w:rPr>
            </w:pPr>
            <w:r>
              <w:rPr>
                <w:rFonts w:hint="default" w:ascii="Times New Roman" w:hAnsi="Times New Roman" w:cs="Times New Roman" w:eastAsiaTheme="minorEastAsia"/>
                <w:kern w:val="24"/>
                <w:sz w:val="21"/>
                <w:szCs w:val="21"/>
              </w:rPr>
              <w:t>兑胶用水在使用过程中损耗，项目废水主要为生活污水</w:t>
            </w:r>
            <w:r>
              <w:rPr>
                <w:rFonts w:hint="default" w:ascii="Times New Roman" w:hAnsi="Times New Roman" w:cs="Times New Roman" w:eastAsiaTheme="minorEastAsia"/>
                <w:bCs/>
                <w:kern w:val="24"/>
                <w:sz w:val="21"/>
                <w:szCs w:val="21"/>
              </w:rPr>
              <w:t>。产生量按职工生活用水量80%计算，则生活污水量为364.8m</w:t>
            </w:r>
            <w:r>
              <w:rPr>
                <w:rFonts w:hint="default" w:ascii="Times New Roman" w:hAnsi="Times New Roman" w:cs="Times New Roman" w:eastAsiaTheme="minorEastAsia"/>
                <w:kern w:val="24"/>
                <w:sz w:val="21"/>
                <w:szCs w:val="21"/>
                <w:vertAlign w:val="superscript"/>
              </w:rPr>
              <w:t>3</w:t>
            </w:r>
            <w:r>
              <w:rPr>
                <w:rFonts w:hint="default" w:ascii="Times New Roman" w:hAnsi="Times New Roman" w:cs="Times New Roman" w:eastAsiaTheme="minorEastAsia"/>
                <w:bCs/>
                <w:kern w:val="24"/>
                <w:sz w:val="21"/>
                <w:szCs w:val="21"/>
              </w:rPr>
              <w:t>/a，主要污染因子为COD、BOD</w:t>
            </w:r>
            <w:r>
              <w:rPr>
                <w:rFonts w:hint="default" w:ascii="Times New Roman" w:hAnsi="Times New Roman" w:cs="Times New Roman" w:eastAsiaTheme="minorEastAsia"/>
                <w:bCs/>
                <w:kern w:val="24"/>
                <w:sz w:val="21"/>
                <w:szCs w:val="21"/>
                <w:vertAlign w:val="subscript"/>
              </w:rPr>
              <w:t>5</w:t>
            </w:r>
            <w:r>
              <w:rPr>
                <w:rFonts w:hint="default" w:ascii="Times New Roman" w:hAnsi="Times New Roman" w:cs="Times New Roman" w:eastAsiaTheme="minorEastAsia"/>
                <w:bCs/>
                <w:kern w:val="24"/>
                <w:sz w:val="21"/>
                <w:szCs w:val="21"/>
              </w:rPr>
              <w:t>、NH</w:t>
            </w:r>
            <w:r>
              <w:rPr>
                <w:rFonts w:hint="default" w:ascii="Times New Roman" w:hAnsi="Times New Roman" w:cs="Times New Roman" w:eastAsiaTheme="minorEastAsia"/>
                <w:bCs/>
                <w:kern w:val="24"/>
                <w:sz w:val="21"/>
                <w:szCs w:val="21"/>
                <w:vertAlign w:val="subscript"/>
              </w:rPr>
              <w:t>3</w:t>
            </w:r>
            <w:r>
              <w:rPr>
                <w:rFonts w:hint="default" w:ascii="Times New Roman" w:hAnsi="Times New Roman" w:cs="Times New Roman" w:eastAsiaTheme="minorEastAsia"/>
                <w:bCs/>
                <w:kern w:val="24"/>
                <w:sz w:val="21"/>
                <w:szCs w:val="21"/>
              </w:rPr>
              <w:t>-N、SS等。职工生活污水经化粪池预处理后，经污水管网排入淄博市利民净化水有限公司进行处理。</w:t>
            </w:r>
          </w:p>
          <w:p>
            <w:pPr>
              <w:spacing w:line="360" w:lineRule="auto"/>
              <w:ind w:firstLine="420" w:firstLineChars="200"/>
              <w:rPr>
                <w:rFonts w:hint="default"/>
                <w:lang w:val="en-US" w:eastAsia="zh-CN"/>
              </w:rPr>
            </w:pPr>
            <w:r>
              <w:rPr>
                <w:rFonts w:hint="eastAsia" w:ascii="Times New Roman" w:hAnsi="Times New Roman" w:cs="Times New Roman" w:eastAsiaTheme="minorEastAsia"/>
                <w:bCs/>
                <w:kern w:val="24"/>
                <w:sz w:val="21"/>
                <w:szCs w:val="21"/>
                <w:lang w:eastAsia="zh-CN"/>
              </w:rPr>
              <w:t>搬迁</w:t>
            </w:r>
            <w:r>
              <w:rPr>
                <w:rFonts w:hint="eastAsia" w:cs="Times New Roman"/>
                <w:kern w:val="24"/>
                <w:szCs w:val="21"/>
                <w:lang w:val="en-US" w:eastAsia="zh-CN"/>
              </w:rPr>
              <w:t>技改项目完成后全厂水平衡图见图2-1。</w:t>
            </w:r>
          </w:p>
          <w:p>
            <w:pPr>
              <w:rPr>
                <w:rFonts w:hint="eastAsia" w:ascii="Times New Roman" w:hAnsi="Times New Roman" w:cs="Times New Roman"/>
                <w:kern w:val="24"/>
                <w:szCs w:val="21"/>
                <w:lang w:eastAsia="zh-CN"/>
              </w:rPr>
            </w:pPr>
          </w:p>
          <w:p>
            <w:pPr>
              <w:pStyle w:val="2"/>
              <w:ind w:left="0" w:leftChars="0" w:firstLine="0" w:firstLineChars="0"/>
              <w:jc w:val="center"/>
              <w:rPr>
                <w:rFonts w:hint="default" w:ascii="Times New Roman" w:hAnsi="Times New Roman" w:cs="Times New Roman"/>
                <w:highlight w:val="none"/>
              </w:rPr>
            </w:pPr>
            <w:r>
              <w:rPr>
                <w:rFonts w:hint="default" w:ascii="Times New Roman" w:hAnsi="Times New Roman" w:eastAsia="黑体" w:cs="Times New Roman"/>
                <w:color w:val="auto"/>
                <w:highlight w:val="none"/>
              </w:rPr>
              <w:object>
                <v:shape id="_x0000_i1025" o:spt="75" type="#_x0000_t75" style="height:126.65pt;width:407.4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r>
              <w:rPr>
                <w:rFonts w:hint="default" w:ascii="Times New Roman" w:hAnsi="Times New Roman" w:eastAsia="黑体" w:cs="Times New Roman"/>
                <w:color w:val="auto"/>
                <w:highlight w:val="none"/>
              </w:rPr>
              <w:t>图2-1 项目水平衡图</w:t>
            </w:r>
          </w:p>
          <w:p>
            <w:pPr>
              <w:tabs>
                <w:tab w:val="left" w:pos="1800"/>
              </w:tabs>
              <w:adjustRightInd w:val="0"/>
              <w:snapToGrid w:val="0"/>
              <w:spacing w:line="360" w:lineRule="auto"/>
              <w:ind w:firstLine="460" w:firstLineChars="200"/>
              <w:rPr>
                <w:rFonts w:hint="default" w:ascii="Times New Roman" w:hAnsi="Times New Roman" w:cs="Times New Roman"/>
                <w:spacing w:val="10"/>
                <w:szCs w:val="21"/>
                <w:highlight w:val="none"/>
              </w:rPr>
            </w:pPr>
            <w:r>
              <w:rPr>
                <w:rFonts w:hint="default" w:ascii="Times New Roman" w:hAnsi="Times New Roman" w:cs="Times New Roman"/>
                <w:spacing w:val="10"/>
                <w:szCs w:val="21"/>
              </w:rPr>
              <w:t>（3）供电：项目用电</w:t>
            </w:r>
            <w:r>
              <w:rPr>
                <w:rFonts w:hint="default" w:ascii="Times New Roman" w:hAnsi="Times New Roman" w:cs="Times New Roman"/>
                <w:spacing w:val="10"/>
                <w:szCs w:val="21"/>
                <w:highlight w:val="none"/>
              </w:rPr>
              <w:t>由</w:t>
            </w:r>
            <w:r>
              <w:rPr>
                <w:rFonts w:hint="eastAsia" w:cs="Times New Roman"/>
                <w:szCs w:val="21"/>
                <w:highlight w:val="none"/>
                <w:lang w:eastAsia="zh-CN"/>
              </w:rPr>
              <w:t>淄川区供电局</w:t>
            </w:r>
            <w:r>
              <w:rPr>
                <w:rFonts w:hint="default" w:ascii="Times New Roman" w:hAnsi="Times New Roman" w:cs="Times New Roman"/>
                <w:spacing w:val="10"/>
                <w:szCs w:val="21"/>
                <w:highlight w:val="none"/>
              </w:rPr>
              <w:t>供给，用电量约</w:t>
            </w:r>
            <w:r>
              <w:rPr>
                <w:rFonts w:hint="eastAsia" w:cs="Times New Roman"/>
                <w:spacing w:val="10"/>
                <w:szCs w:val="21"/>
                <w:highlight w:val="none"/>
                <w:lang w:val="en-US" w:eastAsia="zh-CN"/>
              </w:rPr>
              <w:t>4</w:t>
            </w:r>
            <w:r>
              <w:rPr>
                <w:rFonts w:hint="default" w:ascii="Times New Roman" w:hAnsi="Times New Roman" w:cs="Times New Roman"/>
                <w:spacing w:val="10"/>
                <w:szCs w:val="21"/>
                <w:highlight w:val="none"/>
              </w:rPr>
              <w:t>0万kWh/a。</w:t>
            </w:r>
          </w:p>
          <w:p>
            <w:pPr>
              <w:tabs>
                <w:tab w:val="left" w:pos="1800"/>
              </w:tabs>
              <w:adjustRightInd w:val="0"/>
              <w:snapToGrid w:val="0"/>
              <w:spacing w:line="360" w:lineRule="auto"/>
              <w:ind w:firstLine="460" w:firstLineChars="200"/>
              <w:rPr>
                <w:rFonts w:hint="default" w:ascii="Times New Roman" w:hAnsi="Times New Roman" w:cs="Times New Roman"/>
                <w:spacing w:val="10"/>
                <w:szCs w:val="21"/>
              </w:rPr>
            </w:pPr>
            <w:r>
              <w:rPr>
                <w:rFonts w:hint="default" w:ascii="Times New Roman" w:hAnsi="Times New Roman" w:cs="Times New Roman"/>
                <w:spacing w:val="10"/>
                <w:szCs w:val="21"/>
              </w:rPr>
              <w:t>（4）供热：该项目厂区内不设燃煤</w:t>
            </w:r>
            <w:r>
              <w:rPr>
                <w:rFonts w:hint="default" w:ascii="Times New Roman" w:hAnsi="Times New Roman" w:cs="Times New Roman"/>
                <w:color w:val="auto"/>
                <w:spacing w:val="10"/>
                <w:szCs w:val="21"/>
              </w:rPr>
              <w:t>锅炉，办公室冬季取暖使用空调。</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14、项目选址及总平面布置</w:t>
            </w:r>
          </w:p>
          <w:p>
            <w:pPr>
              <w:tabs>
                <w:tab w:val="left" w:pos="1800"/>
              </w:tabs>
              <w:adjustRightInd w:val="0"/>
              <w:snapToGrid w:val="0"/>
              <w:spacing w:line="360" w:lineRule="auto"/>
              <w:ind w:firstLine="460" w:firstLineChars="200"/>
              <w:rPr>
                <w:rFonts w:hint="default" w:ascii="Times New Roman" w:hAnsi="Times New Roman" w:cs="Times New Roman"/>
                <w:spacing w:val="10"/>
                <w:szCs w:val="21"/>
              </w:rPr>
            </w:pPr>
            <w:r>
              <w:rPr>
                <w:rFonts w:hint="default" w:ascii="Times New Roman" w:hAnsi="Times New Roman" w:cs="Times New Roman"/>
                <w:spacing w:val="10"/>
                <w:szCs w:val="21"/>
              </w:rPr>
              <w:t>①地理位置：</w:t>
            </w:r>
          </w:p>
          <w:p>
            <w:pPr>
              <w:spacing w:line="360" w:lineRule="auto"/>
              <w:ind w:firstLine="420" w:firstLineChars="200"/>
              <w:jc w:val="left"/>
              <w:rPr>
                <w:rFonts w:hint="default" w:ascii="Times New Roman" w:hAnsi="Times New Roman" w:cs="Times New Roman"/>
                <w:szCs w:val="21"/>
                <w:highlight w:val="none"/>
              </w:rPr>
            </w:pPr>
            <w:r>
              <w:rPr>
                <w:rFonts w:hint="default" w:ascii="Times New Roman" w:hAnsi="Times New Roman" w:cs="Times New Roman"/>
                <w:szCs w:val="21"/>
              </w:rPr>
              <w:t>淄博市</w:t>
            </w:r>
            <w:r>
              <w:rPr>
                <w:rFonts w:hint="eastAsia" w:cs="Times New Roman"/>
                <w:szCs w:val="21"/>
                <w:lang w:eastAsia="zh-CN"/>
              </w:rPr>
              <w:t>淄川经济开发区钟楼社区鑫威路与金晶川路交叉路口北50米现有厂区内</w:t>
            </w:r>
            <w:r>
              <w:rPr>
                <w:rFonts w:hint="default" w:ascii="Times New Roman" w:hAnsi="Times New Roman" w:cs="Times New Roman"/>
                <w:szCs w:val="21"/>
              </w:rPr>
              <w:t>，</w:t>
            </w:r>
            <w:r>
              <w:rPr>
                <w:rFonts w:hint="default" w:ascii="Times New Roman" w:hAnsi="Times New Roman" w:cs="Times New Roman"/>
                <w:szCs w:val="21"/>
                <w:highlight w:val="none"/>
              </w:rPr>
              <w:t>中心坐</w:t>
            </w:r>
            <w:r>
              <w:rPr>
                <w:rFonts w:hint="default" w:ascii="Times New Roman" w:hAnsi="Times New Roman" w:cs="Times New Roman"/>
                <w:szCs w:val="21"/>
                <w:highlight w:val="none"/>
                <w:u w:val="none"/>
              </w:rPr>
              <w:t>标36度40分</w:t>
            </w:r>
            <w:r>
              <w:rPr>
                <w:rFonts w:hint="eastAsia" w:cs="Times New Roman"/>
                <w:szCs w:val="21"/>
                <w:highlight w:val="none"/>
                <w:u w:val="none"/>
                <w:lang w:val="en-US" w:eastAsia="zh-CN"/>
              </w:rPr>
              <w:t>7.647</w:t>
            </w:r>
            <w:r>
              <w:rPr>
                <w:rFonts w:hint="default" w:ascii="Times New Roman" w:hAnsi="Times New Roman" w:cs="Times New Roman"/>
                <w:szCs w:val="21"/>
                <w:highlight w:val="none"/>
                <w:u w:val="none"/>
              </w:rPr>
              <w:t>秒，117度</w:t>
            </w:r>
            <w:r>
              <w:rPr>
                <w:rFonts w:hint="eastAsia" w:cs="Times New Roman"/>
                <w:szCs w:val="21"/>
                <w:highlight w:val="none"/>
                <w:u w:val="none"/>
                <w:lang w:eastAsia="zh-CN"/>
              </w:rPr>
              <w:t>56分18.561秒</w:t>
            </w:r>
            <w:r>
              <w:rPr>
                <w:rFonts w:hint="default" w:ascii="Times New Roman" w:hAnsi="Times New Roman" w:cs="Times New Roman"/>
                <w:szCs w:val="21"/>
                <w:highlight w:val="none"/>
              </w:rPr>
              <w:t>。地理位置图详见附图1。</w:t>
            </w:r>
          </w:p>
          <w:p>
            <w:pPr>
              <w:spacing w:line="360" w:lineRule="auto"/>
              <w:ind w:firstLine="460" w:firstLineChars="200"/>
              <w:jc w:val="left"/>
              <w:rPr>
                <w:rFonts w:hint="default" w:ascii="Times New Roman" w:hAnsi="Times New Roman" w:cs="Times New Roman"/>
                <w:spacing w:val="10"/>
                <w:szCs w:val="21"/>
                <w:highlight w:val="none"/>
                <w:lang w:val="de-DE"/>
              </w:rPr>
            </w:pPr>
            <w:r>
              <w:rPr>
                <w:rFonts w:hint="default" w:ascii="Times New Roman" w:hAnsi="Times New Roman" w:cs="Times New Roman"/>
                <w:spacing w:val="10"/>
                <w:szCs w:val="21"/>
                <w:highlight w:val="none"/>
                <w:lang w:val="de-DE"/>
              </w:rPr>
              <w:t>②周边关系：</w:t>
            </w:r>
          </w:p>
          <w:p>
            <w:pPr>
              <w:spacing w:line="360" w:lineRule="auto"/>
              <w:ind w:firstLine="420" w:firstLineChars="200"/>
              <w:jc w:val="left"/>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rPr>
              <w:t>项目</w:t>
            </w:r>
            <w:r>
              <w:rPr>
                <w:rFonts w:hint="default" w:ascii="Times New Roman" w:hAnsi="Times New Roman" w:eastAsia="宋体" w:cs="Times New Roman"/>
                <w:bCs/>
                <w:sz w:val="21"/>
                <w:szCs w:val="21"/>
                <w:lang w:val="de-DE"/>
              </w:rPr>
              <w:t>位于</w:t>
            </w:r>
            <w:r>
              <w:rPr>
                <w:rFonts w:hint="eastAsia" w:cs="Times New Roman"/>
                <w:bCs/>
                <w:sz w:val="21"/>
                <w:szCs w:val="21"/>
                <w:lang w:eastAsia="zh-CN"/>
              </w:rPr>
              <w:t>淄川经济开发区钟楼社区鑫威路与金晶川路交叉路口北50米</w:t>
            </w:r>
            <w:r>
              <w:rPr>
                <w:rFonts w:hint="default" w:ascii="Times New Roman" w:hAnsi="Times New Roman" w:eastAsia="宋体" w:cs="Times New Roman"/>
                <w:bCs/>
                <w:sz w:val="21"/>
                <w:szCs w:val="21"/>
                <w:lang w:val="de-DE"/>
              </w:rPr>
              <w:t>。</w:t>
            </w:r>
            <w:r>
              <w:rPr>
                <w:rFonts w:hint="default" w:ascii="Times New Roman" w:hAnsi="Times New Roman" w:eastAsia="宋体" w:cs="Times New Roman"/>
                <w:bCs/>
                <w:sz w:val="21"/>
                <w:szCs w:val="21"/>
                <w:highlight w:val="none"/>
                <w:lang w:val="de-DE"/>
              </w:rPr>
              <w:t>厂区南侧为淄博艺豪包装制品有限公司，北侧为淄川经济开发区</w:t>
            </w:r>
            <w:r>
              <w:rPr>
                <w:rFonts w:hint="eastAsia" w:cs="Times New Roman"/>
                <w:bCs/>
                <w:sz w:val="21"/>
                <w:szCs w:val="21"/>
                <w:highlight w:val="none"/>
                <w:lang w:val="de-DE" w:eastAsia="zh-CN"/>
              </w:rPr>
              <w:t>众美路</w:t>
            </w:r>
            <w:r>
              <w:rPr>
                <w:rFonts w:hint="default" w:ascii="Times New Roman" w:hAnsi="Times New Roman" w:eastAsia="宋体" w:cs="Times New Roman"/>
                <w:bCs/>
                <w:sz w:val="21"/>
                <w:szCs w:val="21"/>
                <w:highlight w:val="none"/>
                <w:lang w:val="de-DE"/>
              </w:rPr>
              <w:t>，东侧为</w:t>
            </w:r>
            <w:r>
              <w:rPr>
                <w:rFonts w:hint="eastAsia" w:ascii="Times New Roman" w:hAnsi="Times New Roman" w:eastAsia="宋体" w:cs="Times New Roman"/>
                <w:bCs/>
                <w:sz w:val="21"/>
                <w:szCs w:val="21"/>
                <w:highlight w:val="none"/>
                <w:lang w:val="de-DE" w:eastAsia="zh-CN"/>
              </w:rPr>
              <w:t>淄博信嘉包装制品有限公司</w:t>
            </w:r>
            <w:r>
              <w:rPr>
                <w:rFonts w:hint="default" w:ascii="Times New Roman" w:hAnsi="Times New Roman" w:eastAsia="宋体" w:cs="Times New Roman"/>
                <w:bCs/>
                <w:sz w:val="21"/>
                <w:szCs w:val="21"/>
                <w:highlight w:val="none"/>
                <w:lang w:val="de-DE"/>
              </w:rPr>
              <w:t>，西侧为淄川经济开发区</w:t>
            </w:r>
            <w:r>
              <w:rPr>
                <w:rFonts w:hint="eastAsia" w:cs="Times New Roman"/>
                <w:bCs/>
                <w:sz w:val="21"/>
                <w:szCs w:val="21"/>
                <w:highlight w:val="none"/>
                <w:lang w:val="de-DE" w:eastAsia="zh-CN"/>
              </w:rPr>
              <w:t>华鲁路</w:t>
            </w:r>
            <w:r>
              <w:rPr>
                <w:rFonts w:hint="default" w:ascii="Times New Roman" w:hAnsi="Times New Roman" w:eastAsia="宋体" w:cs="Times New Roman"/>
                <w:bCs/>
                <w:sz w:val="21"/>
                <w:szCs w:val="21"/>
                <w:highlight w:val="none"/>
                <w:lang w:val="de-DE"/>
              </w:rPr>
              <w:t>。</w:t>
            </w:r>
            <w:r>
              <w:rPr>
                <w:rFonts w:hint="eastAsia" w:cs="Times New Roman"/>
                <w:bCs/>
                <w:sz w:val="21"/>
                <w:szCs w:val="21"/>
                <w:highlight w:val="none"/>
                <w:lang w:val="de-DE" w:eastAsia="zh-CN"/>
              </w:rPr>
              <w:t>南</w:t>
            </w:r>
            <w:r>
              <w:rPr>
                <w:rFonts w:hint="default" w:ascii="Times New Roman" w:hAnsi="Times New Roman" w:eastAsia="宋体" w:cs="Times New Roman"/>
                <w:bCs/>
                <w:sz w:val="21"/>
                <w:szCs w:val="21"/>
                <w:highlight w:val="none"/>
                <w:lang w:val="de-DE"/>
              </w:rPr>
              <w:t>侧距</w:t>
            </w:r>
            <w:r>
              <w:rPr>
                <w:rFonts w:hint="eastAsia" w:cs="Times New Roman"/>
                <w:bCs/>
                <w:sz w:val="21"/>
                <w:szCs w:val="21"/>
                <w:highlight w:val="none"/>
                <w:lang w:val="de-DE" w:eastAsia="zh-CN"/>
              </w:rPr>
              <w:t>淄博延强医院</w:t>
            </w:r>
            <w:r>
              <w:rPr>
                <w:rFonts w:hint="eastAsia" w:cs="Times New Roman"/>
                <w:bCs/>
                <w:sz w:val="21"/>
                <w:szCs w:val="21"/>
                <w:highlight w:val="none"/>
                <w:lang w:val="en-US" w:eastAsia="zh-CN"/>
              </w:rPr>
              <w:t>336</w:t>
            </w:r>
            <w:r>
              <w:rPr>
                <w:rFonts w:hint="default" w:ascii="Times New Roman" w:hAnsi="Times New Roman" w:eastAsia="宋体" w:cs="Times New Roman"/>
                <w:bCs/>
                <w:sz w:val="21"/>
                <w:szCs w:val="21"/>
                <w:highlight w:val="none"/>
                <w:lang w:val="de-DE"/>
              </w:rPr>
              <w:t>m</w:t>
            </w:r>
            <w:r>
              <w:rPr>
                <w:rFonts w:hint="eastAsia" w:cs="Times New Roman"/>
                <w:bCs/>
                <w:sz w:val="21"/>
                <w:szCs w:val="21"/>
                <w:highlight w:val="none"/>
                <w:lang w:val="de-DE" w:eastAsia="zh-CN"/>
              </w:rPr>
              <w:t>，东南侧距淄川明圣医院</w:t>
            </w:r>
            <w:r>
              <w:rPr>
                <w:rFonts w:hint="eastAsia" w:cs="Times New Roman"/>
                <w:bCs/>
                <w:sz w:val="21"/>
                <w:szCs w:val="21"/>
                <w:highlight w:val="none"/>
                <w:lang w:val="en-US" w:eastAsia="zh-CN"/>
              </w:rPr>
              <w:t>448m</w:t>
            </w:r>
            <w:r>
              <w:rPr>
                <w:rFonts w:hint="default" w:ascii="Times New Roman" w:hAnsi="Times New Roman" w:eastAsia="宋体" w:cs="Times New Roman"/>
                <w:bCs/>
                <w:sz w:val="21"/>
                <w:szCs w:val="21"/>
                <w:highlight w:val="none"/>
                <w:lang w:val="de-DE"/>
              </w:rPr>
              <w:t>。项目所在地位置优越，交通运输便利</w:t>
            </w:r>
            <w:r>
              <w:rPr>
                <w:rFonts w:hint="default" w:ascii="Times New Roman" w:hAnsi="Times New Roman" w:eastAsia="宋体" w:cs="Times New Roman"/>
                <w:bCs/>
                <w:sz w:val="21"/>
                <w:szCs w:val="21"/>
                <w:highlight w:val="none"/>
              </w:rPr>
              <w:t>。周边关系详见附图2。</w:t>
            </w:r>
          </w:p>
          <w:p>
            <w:pPr>
              <w:spacing w:line="360" w:lineRule="auto"/>
              <w:ind w:firstLine="460" w:firstLineChars="200"/>
              <w:jc w:val="left"/>
              <w:rPr>
                <w:rFonts w:hint="default" w:ascii="Times New Roman" w:hAnsi="Times New Roman" w:cs="Times New Roman"/>
                <w:spacing w:val="10"/>
                <w:sz w:val="21"/>
                <w:szCs w:val="21"/>
                <w:highlight w:val="none"/>
                <w:lang w:val="de-DE"/>
              </w:rPr>
            </w:pPr>
            <w:r>
              <w:rPr>
                <w:rFonts w:hint="default" w:ascii="Times New Roman" w:hAnsi="Times New Roman" w:cs="Times New Roman"/>
                <w:spacing w:val="10"/>
                <w:sz w:val="21"/>
                <w:szCs w:val="21"/>
                <w:highlight w:val="none"/>
                <w:lang w:val="de-DE"/>
              </w:rPr>
              <w:t>③平面布置：</w:t>
            </w:r>
          </w:p>
          <w:p>
            <w:pPr>
              <w:keepNext w:val="0"/>
              <w:keepLines w:val="0"/>
              <w:pageBreakBefore w:val="0"/>
              <w:widowControl w:val="0"/>
              <w:tabs>
                <w:tab w:val="left" w:pos="1800"/>
              </w:tabs>
              <w:kinsoku/>
              <w:wordWrap/>
              <w:overflowPunct/>
              <w:topLinePunct w:val="0"/>
              <w:autoSpaceDE/>
              <w:autoSpaceDN/>
              <w:bidi w:val="0"/>
              <w:adjustRightInd w:val="0"/>
              <w:snapToGrid/>
              <w:spacing w:line="360" w:lineRule="exact"/>
              <w:ind w:firstLine="420" w:firstLineChars="200"/>
              <w:textAlignment w:val="auto"/>
              <w:rPr>
                <w:sz w:val="21"/>
                <w:szCs w:val="21"/>
              </w:rPr>
            </w:pPr>
            <w:r>
              <w:rPr>
                <w:rFonts w:hint="eastAsia"/>
                <w:sz w:val="21"/>
                <w:szCs w:val="21"/>
              </w:rPr>
              <w:t>厂区</w:t>
            </w:r>
            <w:r>
              <w:rPr>
                <w:rFonts w:hint="eastAsia"/>
                <w:sz w:val="21"/>
                <w:szCs w:val="21"/>
                <w:lang w:eastAsia="zh-CN"/>
              </w:rPr>
              <w:t>租赁</w:t>
            </w:r>
            <w:r>
              <w:rPr>
                <w:rFonts w:hint="eastAsia" w:ascii="Times New Roman" w:hAnsi="Times New Roman" w:eastAsia="宋体" w:cs="Times New Roman"/>
                <w:sz w:val="21"/>
                <w:szCs w:val="21"/>
                <w:lang w:val="de-DE" w:eastAsia="zh-CN"/>
              </w:rPr>
              <w:t>淄博信嘉包装制品有限公司已建成闲置车间一座</w:t>
            </w:r>
            <w:r>
              <w:rPr>
                <w:sz w:val="21"/>
                <w:szCs w:val="21"/>
              </w:rPr>
              <w:t>。办公楼</w:t>
            </w:r>
            <w:r>
              <w:rPr>
                <w:rFonts w:hint="eastAsia"/>
                <w:sz w:val="21"/>
                <w:szCs w:val="21"/>
                <w:lang w:eastAsia="zh-CN"/>
              </w:rPr>
              <w:t>位于生产车间内，</w:t>
            </w:r>
            <w:r>
              <w:rPr>
                <w:rFonts w:hint="eastAsia"/>
                <w:sz w:val="21"/>
                <w:szCs w:val="21"/>
              </w:rPr>
              <w:t>在</w:t>
            </w:r>
            <w:r>
              <w:rPr>
                <w:sz w:val="21"/>
                <w:szCs w:val="21"/>
              </w:rPr>
              <w:t>厂区的南偏西侧，门口在厂区的</w:t>
            </w:r>
            <w:r>
              <w:rPr>
                <w:rFonts w:hint="eastAsia"/>
                <w:sz w:val="21"/>
                <w:szCs w:val="21"/>
                <w:lang w:eastAsia="zh-CN"/>
              </w:rPr>
              <w:t>北</w:t>
            </w:r>
            <w:r>
              <w:rPr>
                <w:sz w:val="21"/>
                <w:szCs w:val="21"/>
              </w:rPr>
              <w:t>侧。</w:t>
            </w:r>
          </w:p>
          <w:p>
            <w:pPr>
              <w:keepNext w:val="0"/>
              <w:keepLines w:val="0"/>
              <w:pageBreakBefore w:val="0"/>
              <w:widowControl w:val="0"/>
              <w:kinsoku/>
              <w:wordWrap/>
              <w:overflowPunct/>
              <w:topLinePunct w:val="0"/>
              <w:autoSpaceDE/>
              <w:autoSpaceDN/>
              <w:bidi w:val="0"/>
              <w:snapToGrid/>
              <w:spacing w:line="360" w:lineRule="exact"/>
              <w:ind w:firstLine="460" w:firstLineChars="200"/>
              <w:textAlignment w:val="auto"/>
              <w:rPr>
                <w:rFonts w:hint="default" w:ascii="Times New Roman" w:hAnsi="Times New Roman" w:cs="Times New Roman"/>
                <w:szCs w:val="21"/>
              </w:rPr>
            </w:pPr>
            <w:r>
              <w:rPr>
                <w:rFonts w:hint="default" w:ascii="Times New Roman" w:hAnsi="Times New Roman" w:cs="Times New Roman"/>
                <w:spacing w:val="10"/>
                <w:szCs w:val="21"/>
                <w:highlight w:val="none"/>
                <w:lang w:val="de-DE"/>
              </w:rPr>
              <w:t>本</w:t>
            </w:r>
            <w:r>
              <w:rPr>
                <w:rFonts w:hint="default" w:ascii="Times New Roman" w:hAnsi="Times New Roman" w:cs="Times New Roman"/>
                <w:szCs w:val="21"/>
                <w:highlight w:val="none"/>
              </w:rPr>
              <w:t>项目生</w:t>
            </w:r>
            <w:r>
              <w:rPr>
                <w:rFonts w:hint="default" w:ascii="Times New Roman" w:hAnsi="Times New Roman" w:cs="Times New Roman"/>
                <w:szCs w:val="21"/>
              </w:rPr>
              <w:t>产总平面布置较好的满足了工艺流程的顺畅性，体现了物料输送的便捷性，使物料的输送简单化，方便了生产，厂区平面布置基本合理。厂区平面布置图详见附图</w:t>
            </w:r>
            <w:r>
              <w:rPr>
                <w:rFonts w:hint="eastAsia" w:cs="Times New Roman"/>
                <w:szCs w:val="21"/>
                <w:lang w:val="en-US" w:eastAsia="zh-CN"/>
              </w:rPr>
              <w:t>3</w:t>
            </w: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96" w:type="dxa"/>
            <w:vAlign w:val="center"/>
          </w:tcPr>
          <w:p>
            <w:pPr>
              <w:pStyle w:val="80"/>
              <w:adjustRightInd w:val="0"/>
              <w:snapToGrid w:val="0"/>
              <w:spacing w:before="0" w:beforeAutospacing="0" w:after="0" w:afterAutospacing="0" w:line="360" w:lineRule="auto"/>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8372" w:type="dxa"/>
          </w:tcPr>
          <w:p>
            <w:pPr>
              <w:pStyle w:val="995"/>
              <w:keepNext w:val="0"/>
              <w:keepLines w:val="0"/>
              <w:pageBreakBefore w:val="0"/>
              <w:widowControl w:val="0"/>
              <w:kinsoku/>
              <w:wordWrap/>
              <w:overflowPunct/>
              <w:topLinePunct w:val="0"/>
              <w:autoSpaceDE/>
              <w:autoSpaceDN/>
              <w:bidi w:val="0"/>
              <w:snapToGrid/>
              <w:spacing w:line="340" w:lineRule="exact"/>
              <w:ind w:firstLine="31680"/>
              <w:textAlignment w:val="auto"/>
              <w:rPr>
                <w:rFonts w:hint="default" w:ascii="Times New Roman" w:hAnsi="Times New Roman" w:eastAsia="黑体" w:cs="Times New Roman"/>
                <w:bCs/>
                <w:szCs w:val="21"/>
                <w:lang w:val="de-DE"/>
              </w:rPr>
            </w:pPr>
            <w:r>
              <w:rPr>
                <w:rFonts w:hint="default" w:ascii="Times New Roman" w:hAnsi="Times New Roman" w:eastAsia="黑体" w:cs="Times New Roman"/>
                <w:bCs/>
                <w:szCs w:val="21"/>
                <w:lang w:val="de-DE"/>
              </w:rPr>
              <w:t>一、工艺流程</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本项目工程主要分为施工期和营运期。</w:t>
            </w:r>
          </w:p>
          <w:p>
            <w:pPr>
              <w:pStyle w:val="995"/>
              <w:keepNext w:val="0"/>
              <w:keepLines w:val="0"/>
              <w:pageBreakBefore w:val="0"/>
              <w:widowControl w:val="0"/>
              <w:numPr>
                <w:ilvl w:val="0"/>
                <w:numId w:val="17"/>
              </w:numPr>
              <w:kinsoku/>
              <w:wordWrap/>
              <w:overflowPunct/>
              <w:topLinePunct w:val="0"/>
              <w:autoSpaceDE/>
              <w:autoSpaceDN/>
              <w:bidi w:val="0"/>
              <w:snapToGrid/>
              <w:spacing w:line="360" w:lineRule="auto"/>
              <w:ind w:left="0" w:firstLine="31680"/>
              <w:textAlignment w:val="auto"/>
              <w:rPr>
                <w:rFonts w:hint="default" w:ascii="Times New Roman" w:hAnsi="Times New Roman" w:eastAsia="黑体" w:cs="Times New Roman"/>
                <w:bCs/>
                <w:szCs w:val="21"/>
              </w:rPr>
            </w:pPr>
            <w:r>
              <w:rPr>
                <w:rFonts w:hint="default" w:ascii="Times New Roman" w:hAnsi="Times New Roman" w:eastAsia="黑体" w:cs="Times New Roman"/>
                <w:bCs/>
                <w:szCs w:val="21"/>
              </w:rPr>
              <w:t>施工期</w:t>
            </w:r>
          </w:p>
          <w:p>
            <w:pPr>
              <w:keepNext w:val="0"/>
              <w:keepLines w:val="0"/>
              <w:pageBreakBefore w:val="0"/>
              <w:widowControl w:val="0"/>
              <w:kinsoku/>
              <w:wordWrap/>
              <w:overflowPunct/>
              <w:topLinePunct w:val="0"/>
              <w:autoSpaceDE/>
              <w:autoSpaceDN/>
              <w:bidi w:val="0"/>
              <w:adjustRightInd w:val="0"/>
              <w:snapToGrid/>
              <w:spacing w:line="360" w:lineRule="auto"/>
              <w:ind w:firstLine="420" w:firstLineChars="200"/>
              <w:textAlignment w:val="auto"/>
              <w:rPr>
                <w:rFonts w:hint="default" w:ascii="Times New Roman" w:hAnsi="Times New Roman" w:eastAsia="宋体" w:cs="Times New Roman"/>
                <w:szCs w:val="21"/>
                <w:lang w:eastAsia="zh-CN"/>
              </w:rPr>
            </w:pPr>
            <w:r>
              <w:rPr>
                <w:rFonts w:hint="default" w:ascii="Times New Roman" w:hAnsi="Times New Roman" w:cs="Times New Roman"/>
                <w:szCs w:val="21"/>
              </w:rPr>
              <w:t>该项目为</w:t>
            </w:r>
            <w:r>
              <w:rPr>
                <w:rFonts w:hint="eastAsia" w:cs="Times New Roman"/>
                <w:szCs w:val="21"/>
                <w:lang w:eastAsia="zh-CN"/>
              </w:rPr>
              <w:t>新建（搬迁）</w:t>
            </w:r>
            <w:r>
              <w:rPr>
                <w:rFonts w:hint="default" w:ascii="Times New Roman" w:hAnsi="Times New Roman" w:cs="Times New Roman"/>
                <w:szCs w:val="21"/>
              </w:rPr>
              <w:t>项目，</w:t>
            </w:r>
            <w:r>
              <w:rPr>
                <w:rFonts w:hint="eastAsia" w:cs="Times New Roman"/>
                <w:szCs w:val="21"/>
                <w:lang w:eastAsia="zh-CN"/>
              </w:rPr>
              <w:t>利用现有厂区内</w:t>
            </w:r>
            <w:r>
              <w:rPr>
                <w:rFonts w:hint="default" w:ascii="Times New Roman" w:hAnsi="Times New Roman" w:cs="Times New Roman"/>
                <w:szCs w:val="21"/>
                <w:lang w:eastAsia="zh-CN"/>
              </w:rPr>
              <w:t>已建成厂房</w:t>
            </w:r>
            <w:r>
              <w:rPr>
                <w:rFonts w:hint="eastAsia" w:cs="Times New Roman"/>
                <w:szCs w:val="21"/>
                <w:lang w:eastAsia="zh-CN"/>
              </w:rPr>
              <w:t>进行生产</w:t>
            </w:r>
            <w:r>
              <w:rPr>
                <w:rFonts w:hint="default" w:ascii="Times New Roman" w:hAnsi="Times New Roman" w:cs="Times New Roman"/>
                <w:szCs w:val="21"/>
                <w:lang w:eastAsia="zh-CN"/>
              </w:rPr>
              <w:t>，不需进行土木建设，</w:t>
            </w:r>
            <w:r>
              <w:rPr>
                <w:rFonts w:hint="eastAsia"/>
                <w:sz w:val="21"/>
                <w:szCs w:val="21"/>
              </w:rPr>
              <w:t>仅进行新的设备及管线、零部件的安装，施工期工程量小，对周围环境影响较小，且随着施工期的结束而结束，故本环评对其不做主要分析。</w:t>
            </w:r>
          </w:p>
          <w:p>
            <w:pPr>
              <w:pStyle w:val="995"/>
              <w:keepNext w:val="0"/>
              <w:keepLines w:val="0"/>
              <w:pageBreakBefore w:val="0"/>
              <w:widowControl w:val="0"/>
              <w:kinsoku/>
              <w:wordWrap/>
              <w:overflowPunct/>
              <w:topLinePunct w:val="0"/>
              <w:autoSpaceDE/>
              <w:autoSpaceDN/>
              <w:bidi w:val="0"/>
              <w:snapToGrid/>
              <w:spacing w:line="360" w:lineRule="auto"/>
              <w:ind w:firstLine="31680"/>
              <w:textAlignment w:val="auto"/>
              <w:rPr>
                <w:rFonts w:hint="default" w:ascii="Times New Roman" w:hAnsi="Times New Roman" w:eastAsia="黑体" w:cs="Times New Roman"/>
                <w:bCs/>
                <w:szCs w:val="21"/>
              </w:rPr>
            </w:pPr>
            <w:r>
              <w:rPr>
                <w:rFonts w:hint="default" w:ascii="Times New Roman" w:hAnsi="Times New Roman" w:eastAsia="黑体" w:cs="Times New Roman"/>
                <w:bCs/>
                <w:szCs w:val="21"/>
              </w:rPr>
              <w:t>2、运营期</w:t>
            </w:r>
          </w:p>
          <w:p>
            <w:pPr>
              <w:pStyle w:val="995"/>
              <w:keepNext w:val="0"/>
              <w:keepLines w:val="0"/>
              <w:pageBreakBefore w:val="0"/>
              <w:widowControl w:val="0"/>
              <w:kinsoku/>
              <w:wordWrap/>
              <w:overflowPunct/>
              <w:topLinePunct w:val="0"/>
              <w:autoSpaceDE/>
              <w:autoSpaceDN/>
              <w:bidi w:val="0"/>
              <w:snapToGrid/>
              <w:spacing w:line="360" w:lineRule="auto"/>
              <w:ind w:firstLine="31680"/>
              <w:textAlignment w:val="auto"/>
              <w:rPr>
                <w:rFonts w:hint="default" w:ascii="Times New Roman" w:hAnsi="Times New Roman" w:eastAsia="黑体" w:cs="Times New Roman"/>
                <w:bCs/>
                <w:szCs w:val="21"/>
              </w:rPr>
            </w:pPr>
            <w:r>
              <w:rPr>
                <w:rFonts w:hint="default" w:ascii="Times New Roman" w:hAnsi="Times New Roman" w:eastAsia="黑体" w:cs="Times New Roman"/>
                <w:bCs/>
                <w:szCs w:val="21"/>
              </w:rPr>
              <w:t>（1）主要生产工艺</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default" w:ascii="Times New Roman" w:hAnsi="Times New Roman" w:cs="Times New Roman"/>
                <w:szCs w:val="21"/>
                <w:lang w:val="de-DE"/>
              </w:rPr>
            </w:pPr>
            <w:r>
              <w:rPr>
                <w:rFonts w:hint="default" w:ascii="Times New Roman" w:hAnsi="Times New Roman" w:cs="Times New Roman"/>
                <w:szCs w:val="21"/>
              </w:rPr>
              <w:t>项目主要生产</w:t>
            </w:r>
            <w:r>
              <w:rPr>
                <w:rFonts w:hint="default" w:ascii="Times New Roman" w:hAnsi="Times New Roman" w:cs="Times New Roman"/>
                <w:szCs w:val="21"/>
                <w:lang w:val="de-DE"/>
              </w:rPr>
              <w:t>工艺流程见图2-</w:t>
            </w:r>
            <w:r>
              <w:rPr>
                <w:rFonts w:hint="eastAsia" w:cs="Times New Roman"/>
                <w:szCs w:val="21"/>
                <w:lang w:val="en-US" w:eastAsia="zh-CN"/>
              </w:rPr>
              <w:t>2</w:t>
            </w:r>
            <w:r>
              <w:rPr>
                <w:rFonts w:hint="default" w:ascii="Times New Roman" w:hAnsi="Times New Roman" w:cs="Times New Roman"/>
                <w:szCs w:val="21"/>
                <w:lang w:val="de-DE"/>
              </w:rPr>
              <w:t>。</w:t>
            </w:r>
          </w:p>
          <w:p>
            <w:pPr>
              <w:pStyle w:val="2"/>
              <w:spacing w:after="0" w:line="360" w:lineRule="auto"/>
              <w:ind w:left="0" w:leftChars="0" w:firstLine="0" w:firstLineChars="0"/>
              <w:jc w:val="center"/>
              <w:rPr>
                <w:rFonts w:hint="default" w:ascii="Times New Roman" w:hAnsi="Times New Roman" w:cs="Times New Roman"/>
              </w:rPr>
            </w:pPr>
            <w:r>
              <w:rPr>
                <w:rFonts w:hint="default" w:ascii="Times New Roman" w:hAnsi="Times New Roman" w:cs="Times New Roman"/>
              </w:rPr>
              <w:object>
                <v:shape id="_x0000_i1026" o:spt="75" type="#_x0000_t75" style="height:86.05pt;width:407.6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pPr>
              <w:spacing w:line="240" w:lineRule="auto"/>
              <w:ind w:firstLine="420" w:firstLineChars="200"/>
              <w:jc w:val="center"/>
              <w:rPr>
                <w:rFonts w:hint="default" w:ascii="Times New Roman" w:hAnsi="Times New Roman" w:eastAsia="黑体" w:cs="Times New Roman"/>
                <w:lang w:val="de-DE"/>
              </w:rPr>
            </w:pPr>
            <w:r>
              <w:rPr>
                <w:rFonts w:hint="default" w:ascii="Times New Roman" w:hAnsi="Times New Roman" w:eastAsia="黑体" w:cs="Times New Roman"/>
                <w:lang w:val="de-DE"/>
              </w:rPr>
              <w:t>图2-</w:t>
            </w:r>
            <w:r>
              <w:rPr>
                <w:rFonts w:hint="eastAsia" w:eastAsia="黑体" w:cs="Times New Roman"/>
                <w:lang w:val="en-US" w:eastAsia="zh-CN"/>
              </w:rPr>
              <w:t>2.1涤纶排管</w:t>
            </w:r>
            <w:r>
              <w:rPr>
                <w:rFonts w:hint="default" w:ascii="Times New Roman" w:hAnsi="Times New Roman" w:eastAsia="黑体" w:cs="Times New Roman"/>
                <w:lang w:val="de-DE"/>
              </w:rPr>
              <w:t>工艺流程及产污环节图</w:t>
            </w:r>
          </w:p>
          <w:p>
            <w:pPr>
              <w:adjustRightInd w:val="0"/>
              <w:spacing w:line="360" w:lineRule="auto"/>
              <w:ind w:firstLine="420" w:firstLineChars="200"/>
              <w:jc w:val="center"/>
              <w:rPr>
                <w:rFonts w:hint="default" w:ascii="Times New Roman" w:hAnsi="Times New Roman" w:eastAsia="黑体" w:cs="Times New Roman"/>
                <w:szCs w:val="21"/>
              </w:rPr>
            </w:pPr>
            <w:r>
              <w:rPr>
                <w:rFonts w:hint="default" w:ascii="Times New Roman" w:hAnsi="Times New Roman" w:eastAsia="黑体" w:cs="Times New Roman"/>
                <w:szCs w:val="21"/>
              </w:rPr>
              <w:object>
                <v:shape id="_x0000_i1027" o:spt="75" type="#_x0000_t75" style="height:135.25pt;width:208.55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pPr>
              <w:spacing w:line="240" w:lineRule="auto"/>
              <w:ind w:firstLine="420" w:firstLineChars="200"/>
              <w:jc w:val="center"/>
              <w:rPr>
                <w:rFonts w:hint="default" w:ascii="Times New Roman" w:hAnsi="Times New Roman" w:eastAsia="黑体" w:cs="Times New Roman"/>
                <w:lang w:val="de-DE"/>
              </w:rPr>
            </w:pPr>
            <w:r>
              <w:rPr>
                <w:rFonts w:hint="default" w:ascii="Times New Roman" w:hAnsi="Times New Roman" w:eastAsia="黑体" w:cs="Times New Roman"/>
                <w:lang w:val="de-DE"/>
              </w:rPr>
              <w:t>图2-</w:t>
            </w:r>
            <w:r>
              <w:rPr>
                <w:rFonts w:hint="eastAsia" w:eastAsia="黑体" w:cs="Times New Roman"/>
                <w:lang w:val="en-US" w:eastAsia="zh-CN"/>
              </w:rPr>
              <w:t>2.2电源连接线</w:t>
            </w:r>
            <w:r>
              <w:rPr>
                <w:rFonts w:hint="default" w:ascii="Times New Roman" w:hAnsi="Times New Roman" w:eastAsia="黑体" w:cs="Times New Roman"/>
                <w:lang w:val="de-DE"/>
              </w:rPr>
              <w:t>工艺流程及产污环节图</w:t>
            </w:r>
          </w:p>
          <w:p>
            <w:pPr>
              <w:adjustRightInd w:val="0"/>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工艺简述：</w:t>
            </w:r>
          </w:p>
          <w:p>
            <w:pPr>
              <w:spacing w:line="360" w:lineRule="auto"/>
              <w:ind w:firstLine="420" w:firstLineChars="200"/>
              <w:rPr>
                <w:rFonts w:hint="default" w:ascii="Times New Roman" w:hAnsi="Times New Roman" w:eastAsia="宋体" w:cs="Times New Roman"/>
                <w:sz w:val="21"/>
                <w:szCs w:val="21"/>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项目涤纶排管生产工艺简述：本项目外购的涤纶布进厂后先进行检布，检布后利用缝纫机进行缝制（两层布缝制成排管），同时将酚醛树脂胶用胶搅拌机搅拌一下使其均匀后，利用涂胶烘干炉对缝制后布进行涂胶并烘干（电加热，烘干温度110°C），烘干后使用固化炉进行固化（电加热，固化温</w:t>
            </w:r>
            <w:r>
              <w:rPr>
                <w:rFonts w:hint="default" w:ascii="Times New Roman" w:hAnsi="Times New Roman" w:eastAsia="宋体" w:cs="Times New Roman"/>
                <w:sz w:val="21"/>
                <w:szCs w:val="21"/>
              </w:rPr>
              <w:t>度220°C），再利用切割机切割，切割后包装入库即为成品。</w:t>
            </w:r>
          </w:p>
          <w:p>
            <w:pPr>
              <w:spacing w:line="360" w:lineRule="auto"/>
              <w:ind w:firstLine="420" w:firstLineChars="200"/>
              <w:rPr>
                <w:rFonts w:eastAsiaTheme="minorEastAsia"/>
                <w:sz w:val="24"/>
              </w:rPr>
            </w:pPr>
            <w:r>
              <w:rPr>
                <w:rFonts w:hint="eastAsia" w:cs="Times New Roman"/>
                <w:lang w:eastAsia="zh-CN"/>
              </w:rPr>
              <w:t>产污工序：搅拌、涂胶、烘干、固化、切割工序有</w:t>
            </w:r>
            <w:r>
              <w:rPr>
                <w:rFonts w:hint="eastAsia" w:cs="Times New Roman"/>
                <w:lang w:val="en-US" w:eastAsia="zh-CN"/>
              </w:rPr>
              <w:t>VOCs（含苯酚、甲醛）</w:t>
            </w:r>
            <w:r>
              <w:rPr>
                <w:rFonts w:hint="eastAsia" w:cs="Times New Roman"/>
                <w:lang w:eastAsia="zh-CN"/>
              </w:rPr>
              <w:t>产生；缝制、搅拌、涂胶、烘干、固化、切割工序会有噪声产生；切割工序有不合格品产生。</w:t>
            </w:r>
            <w:r>
              <w:rPr>
                <w:rFonts w:hint="eastAsia" w:ascii="宋体" w:hAnsi="宋体" w:eastAsia="宋体" w:cs="宋体"/>
                <w:sz w:val="21"/>
                <w:szCs w:val="21"/>
              </w:rPr>
              <w:br w:type="textWrapping"/>
            </w:r>
            <w:r>
              <w:rPr>
                <w:rFonts w:hint="eastAsia" w:ascii="宋体" w:hAnsi="宋体" w:eastAsia="宋体" w:cs="宋体"/>
                <w:sz w:val="21"/>
                <w:szCs w:val="21"/>
              </w:rPr>
              <w:t xml:space="preserve">   </w:t>
            </w:r>
            <w:r>
              <w:rPr>
                <w:rFonts w:hint="eastAsia" w:ascii="宋体" w:hAnsi="宋体" w:cs="宋体"/>
                <w:sz w:val="21"/>
                <w:szCs w:val="21"/>
                <w:lang w:val="en-US" w:eastAsia="zh-CN"/>
              </w:rPr>
              <w:t>2）</w:t>
            </w:r>
            <w:r>
              <w:rPr>
                <w:rFonts w:hint="eastAsia" w:ascii="宋体" w:hAnsi="宋体" w:eastAsia="宋体" w:cs="宋体"/>
                <w:sz w:val="21"/>
                <w:szCs w:val="21"/>
              </w:rPr>
              <w:t xml:space="preserve"> 电源连接线生产工艺简述：将外购的铜片和铜线通过压力机冲压在一起，然后利用注塑机将聚丙烯与铜线铜片一次注塑成型（注塑温度180-210</w:t>
            </w:r>
            <w:r>
              <w:rPr>
                <w:rFonts w:hint="eastAsia" w:ascii="宋体" w:hAnsi="宋体" w:cs="宋体"/>
                <w:sz w:val="21"/>
                <w:szCs w:val="21"/>
                <w:lang w:eastAsia="zh-CN"/>
              </w:rPr>
              <w:t>℃</w:t>
            </w:r>
            <w:r>
              <w:rPr>
                <w:rFonts w:hint="eastAsia" w:ascii="宋体" w:hAnsi="宋体" w:eastAsia="宋体" w:cs="宋体"/>
                <w:sz w:val="21"/>
                <w:szCs w:val="21"/>
              </w:rPr>
              <w:t>），并以聚丙烯为原料利用注塑机将电源连接线的盖子注塑成型，冷却后将电源线及盖子组合即为成品。</w:t>
            </w:r>
          </w:p>
          <w:p>
            <w:pPr>
              <w:pStyle w:val="995"/>
              <w:spacing w:line="360" w:lineRule="auto"/>
              <w:ind w:firstLine="31680"/>
              <w:rPr>
                <w:rFonts w:hint="eastAsia" w:ascii="宋体" w:hAnsi="宋体" w:eastAsia="宋体" w:cs="宋体"/>
                <w:bCs/>
                <w:szCs w:val="21"/>
                <w:lang w:val="en-US" w:eastAsia="zh-CN"/>
              </w:rPr>
            </w:pPr>
            <w:r>
              <w:rPr>
                <w:rFonts w:hint="eastAsia" w:ascii="宋体" w:hAnsi="宋体" w:eastAsia="宋体" w:cs="宋体"/>
                <w:bCs/>
                <w:szCs w:val="21"/>
                <w:lang w:eastAsia="zh-CN"/>
              </w:rPr>
              <w:t>产污工序：</w:t>
            </w:r>
            <w:r>
              <w:rPr>
                <w:rFonts w:hint="default" w:ascii="Times New Roman" w:hAnsi="Times New Roman" w:eastAsia="宋体" w:cs="Times New Roman"/>
                <w:bCs/>
                <w:szCs w:val="21"/>
                <w:lang w:eastAsia="zh-CN"/>
              </w:rPr>
              <w:t>注塑工序有</w:t>
            </w:r>
            <w:r>
              <w:rPr>
                <w:rFonts w:hint="default" w:ascii="Times New Roman" w:hAnsi="Times New Roman" w:eastAsia="宋体" w:cs="Times New Roman"/>
                <w:bCs/>
                <w:szCs w:val="21"/>
                <w:lang w:val="en-US" w:eastAsia="zh-CN"/>
              </w:rPr>
              <w:t>VOCs、不合格品产生，注塑工序、组合工序有</w:t>
            </w:r>
            <w:r>
              <w:rPr>
                <w:rFonts w:hint="eastAsia" w:ascii="宋体" w:hAnsi="宋体" w:eastAsia="宋体" w:cs="宋体"/>
                <w:bCs/>
                <w:szCs w:val="21"/>
                <w:lang w:val="en-US" w:eastAsia="zh-CN"/>
              </w:rPr>
              <w:t>噪声产生。</w:t>
            </w:r>
          </w:p>
          <w:p>
            <w:pPr>
              <w:pStyle w:val="995"/>
              <w:spacing w:line="360" w:lineRule="auto"/>
              <w:ind w:firstLine="31680"/>
              <w:rPr>
                <w:rFonts w:hint="default" w:ascii="Times New Roman" w:hAnsi="Times New Roman" w:eastAsia="黑体" w:cs="Times New Roman"/>
                <w:bCs/>
                <w:szCs w:val="21"/>
              </w:rPr>
            </w:pPr>
            <w:r>
              <w:rPr>
                <w:rFonts w:hint="default" w:ascii="Times New Roman" w:hAnsi="Times New Roman" w:eastAsia="黑体" w:cs="Times New Roman"/>
                <w:bCs/>
                <w:szCs w:val="21"/>
              </w:rPr>
              <w:t>（2）</w:t>
            </w:r>
            <w:r>
              <w:rPr>
                <w:rFonts w:hint="eastAsia" w:eastAsia="黑体" w:cs="Times New Roman"/>
                <w:bCs/>
                <w:szCs w:val="21"/>
                <w:lang w:eastAsia="zh-CN"/>
              </w:rPr>
              <w:t>项目</w:t>
            </w:r>
            <w:r>
              <w:rPr>
                <w:rFonts w:hint="default" w:ascii="Times New Roman" w:hAnsi="Times New Roman" w:eastAsia="黑体" w:cs="Times New Roman"/>
                <w:bCs/>
                <w:szCs w:val="21"/>
              </w:rPr>
              <w:t>废气处理工艺</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31680"/>
              <w:textAlignment w:val="auto"/>
              <w:rPr>
                <w:rFonts w:hint="eastAsia" w:cs="Times New Roman"/>
                <w:lang w:val="en-US" w:eastAsia="zh-CN"/>
              </w:rPr>
            </w:pPr>
            <w:r>
              <w:rPr>
                <w:rFonts w:hint="eastAsia" w:cs="Times New Roman"/>
                <w:lang w:eastAsia="zh-CN"/>
              </w:rPr>
              <w:t>本项目搅拌、涂胶、烘干、固化、切割、注塑工序产生的有机废气经集气罩收集后，进入两级活性炭吸附装置处理后经</w:t>
            </w:r>
            <w:r>
              <w:rPr>
                <w:rFonts w:hint="eastAsia" w:cs="Times New Roman"/>
                <w:lang w:val="en-US" w:eastAsia="zh-CN"/>
              </w:rPr>
              <w:t>15m1#排气筒有组织排放。</w:t>
            </w:r>
          </w:p>
          <w:p>
            <w:pPr>
              <w:spacing w:line="360" w:lineRule="auto"/>
              <w:rPr>
                <w:rFonts w:hint="default"/>
                <w:lang w:val="en-US" w:eastAsia="zh-CN"/>
              </w:rPr>
            </w:pPr>
            <w:r>
              <w:rPr>
                <w:rFonts w:hint="eastAsia" w:cs="Times New Roman"/>
                <w:lang w:val="en-US" w:eastAsia="zh-CN"/>
              </w:rPr>
              <w:t xml:space="preserve">        集气罩未收集的有机废气无组织排放。</w:t>
            </w:r>
          </w:p>
          <w:p>
            <w:pPr>
              <w:pStyle w:val="2"/>
              <w:spacing w:line="360" w:lineRule="auto"/>
              <w:ind w:left="0" w:leftChars="0" w:firstLine="31680"/>
              <w:rPr>
                <w:rFonts w:hint="eastAsia" w:cs="Times New Roman"/>
                <w:lang w:val="en-US" w:eastAsia="zh-CN"/>
              </w:rPr>
            </w:pPr>
            <w:r>
              <w:rPr>
                <w:rFonts w:hint="default" w:ascii="Times New Roman" w:hAnsi="Times New Roman" w:cs="Times New Roman"/>
              </w:rPr>
              <w:t>本项目废气产污工序及废气治理走向图见图2-</w:t>
            </w:r>
            <w:r>
              <w:rPr>
                <w:rFonts w:hint="eastAsia" w:cs="Times New Roman"/>
                <w:lang w:val="en-US" w:eastAsia="zh-CN"/>
              </w:rPr>
              <w:t>3。</w:t>
            </w:r>
          </w:p>
          <w:p>
            <w:pPr>
              <w:rPr>
                <w:rFonts w:hint="eastAsia" w:cs="Times New Roman"/>
                <w:lang w:val="en-US" w:eastAsia="zh-CN"/>
              </w:rPr>
            </w:pPr>
            <w:r>
              <w:rPr>
                <w:rFonts w:hint="eastAsia" w:cs="Times New Roman"/>
                <w:lang w:val="en-US" w:eastAsia="zh-CN"/>
              </w:rPr>
              <w:object>
                <v:shape id="_x0000_i1028" o:spt="75" type="#_x0000_t75" style="height:105.3pt;width:407.8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pPr>
              <w:jc w:val="both"/>
              <w:rPr>
                <w:rFonts w:hint="default" w:ascii="Times New Roman" w:hAnsi="Times New Roman" w:cs="Times New Roman"/>
              </w:rPr>
            </w:pPr>
          </w:p>
          <w:p>
            <w:pPr>
              <w:tabs>
                <w:tab w:val="left" w:pos="1800"/>
              </w:tabs>
              <w:adjustRightInd w:val="0"/>
              <w:snapToGrid w:val="0"/>
              <w:spacing w:line="360" w:lineRule="auto"/>
              <w:jc w:val="center"/>
              <w:rPr>
                <w:rFonts w:hint="default" w:ascii="Times New Roman" w:hAnsi="Times New Roman" w:eastAsia="黑体" w:cs="Times New Roman"/>
                <w:kern w:val="24"/>
                <w:szCs w:val="21"/>
                <w:highlight w:val="none"/>
              </w:rPr>
            </w:pPr>
            <w:r>
              <w:rPr>
                <w:rFonts w:hint="default" w:ascii="Times New Roman" w:hAnsi="Times New Roman" w:eastAsia="黑体" w:cs="Times New Roman"/>
                <w:kern w:val="24"/>
                <w:szCs w:val="21"/>
                <w:highlight w:val="none"/>
              </w:rPr>
              <w:t>图2-</w:t>
            </w:r>
            <w:r>
              <w:rPr>
                <w:rFonts w:hint="eastAsia" w:eastAsia="黑体" w:cs="Times New Roman"/>
                <w:kern w:val="24"/>
                <w:szCs w:val="21"/>
                <w:highlight w:val="none"/>
                <w:lang w:val="en-US" w:eastAsia="zh-CN"/>
              </w:rPr>
              <w:t>3</w:t>
            </w:r>
            <w:r>
              <w:rPr>
                <w:rFonts w:hint="default" w:ascii="Times New Roman" w:hAnsi="Times New Roman" w:eastAsia="黑体" w:cs="Times New Roman"/>
                <w:kern w:val="24"/>
                <w:szCs w:val="21"/>
                <w:highlight w:val="none"/>
              </w:rPr>
              <w:t>本项目废气产污工序及废气治理走向图</w:t>
            </w:r>
          </w:p>
          <w:p>
            <w:pPr>
              <w:autoSpaceDE w:val="0"/>
              <w:autoSpaceDN w:val="0"/>
              <w:adjustRightInd w:val="0"/>
              <w:spacing w:line="360" w:lineRule="auto"/>
              <w:ind w:firstLine="420" w:firstLineChars="200"/>
              <w:jc w:val="left"/>
              <w:rPr>
                <w:rFonts w:hint="default" w:ascii="Times New Roman" w:hAnsi="Times New Roman" w:eastAsia="黑体" w:cs="Times New Roman"/>
                <w:szCs w:val="21"/>
              </w:rPr>
            </w:pPr>
            <w:r>
              <w:rPr>
                <w:rFonts w:hint="default" w:ascii="Times New Roman" w:hAnsi="Times New Roman" w:eastAsia="黑体" w:cs="Times New Roman"/>
                <w:szCs w:val="21"/>
              </w:rPr>
              <w:t>二、主要产排污环节</w:t>
            </w:r>
          </w:p>
          <w:p>
            <w:pPr>
              <w:autoSpaceDE w:val="0"/>
              <w:autoSpaceDN w:val="0"/>
              <w:adjustRightInd w:val="0"/>
              <w:spacing w:line="360" w:lineRule="auto"/>
              <w:ind w:firstLine="420" w:firstLineChars="200"/>
              <w:jc w:val="left"/>
              <w:rPr>
                <w:rFonts w:ascii="黑体" w:hAnsi="黑体" w:eastAsia="黑体"/>
                <w:b/>
                <w:bCs/>
                <w:szCs w:val="21"/>
              </w:rPr>
            </w:pPr>
            <w:r>
              <w:rPr>
                <w:rFonts w:hint="eastAsia" w:eastAsia="黑体" w:cs="Times New Roman"/>
                <w:szCs w:val="21"/>
                <w:lang w:val="en-US" w:eastAsia="zh-CN"/>
              </w:rPr>
              <w:t>1</w:t>
            </w:r>
            <w:r>
              <w:rPr>
                <w:rFonts w:hint="default" w:ascii="Times New Roman" w:hAnsi="Times New Roman" w:eastAsia="黑体" w:cs="Times New Roman"/>
                <w:szCs w:val="21"/>
              </w:rPr>
              <w:t>、</w:t>
            </w:r>
            <w:r>
              <w:rPr>
                <w:rFonts w:ascii="Times New Roman" w:hAnsi="Times New Roman" w:eastAsia="黑体" w:cs="Times New Roman"/>
                <w:szCs w:val="21"/>
              </w:rPr>
              <w:t>施工期</w:t>
            </w:r>
            <w:r>
              <w:rPr>
                <w:rFonts w:hint="eastAsia" w:ascii="Times New Roman" w:hAnsi="Times New Roman" w:eastAsia="黑体" w:cs="Times New Roman"/>
                <w:szCs w:val="21"/>
              </w:rPr>
              <w:t>产排污环节</w:t>
            </w:r>
          </w:p>
          <w:p>
            <w:pPr>
              <w:adjustRightInd w:val="0"/>
              <w:spacing w:line="360" w:lineRule="auto"/>
              <w:ind w:firstLine="420" w:firstLineChars="200"/>
              <w:rPr>
                <w:rFonts w:ascii="宋体" w:hAnsi="宋体"/>
                <w:szCs w:val="21"/>
              </w:rPr>
            </w:pPr>
            <w:r>
              <w:rPr>
                <w:rFonts w:hint="eastAsia" w:ascii="宋体" w:hAnsi="宋体"/>
                <w:szCs w:val="21"/>
              </w:rPr>
              <w:t>本项目</w:t>
            </w:r>
            <w:r>
              <w:rPr>
                <w:rFonts w:hint="eastAsia" w:ascii="宋体" w:hAnsi="宋体"/>
                <w:szCs w:val="21"/>
                <w:lang w:eastAsia="zh-CN"/>
              </w:rPr>
              <w:t>在现有</w:t>
            </w:r>
            <w:r>
              <w:rPr>
                <w:rFonts w:hint="eastAsia" w:ascii="宋体" w:hAnsi="宋体"/>
                <w:szCs w:val="21"/>
              </w:rPr>
              <w:t>已建成车间组织生产经营活动，施工期</w:t>
            </w:r>
            <w:r>
              <w:rPr>
                <w:rFonts w:hint="eastAsia" w:ascii="宋体" w:hAnsi="宋体"/>
                <w:szCs w:val="21"/>
                <w:lang w:eastAsia="zh-CN"/>
              </w:rPr>
              <w:t>仅</w:t>
            </w:r>
            <w:r>
              <w:rPr>
                <w:rFonts w:hint="eastAsia" w:ascii="宋体" w:hAnsi="宋体"/>
                <w:szCs w:val="21"/>
              </w:rPr>
              <w:t>进行设备安装，不进行土木施工，施工期主要污染情况为设备安装的焊接烟尘</w:t>
            </w:r>
            <w:r>
              <w:rPr>
                <w:rFonts w:hint="eastAsia" w:ascii="宋体" w:hAnsi="宋体"/>
                <w:szCs w:val="21"/>
                <w:lang w:eastAsia="zh-CN"/>
              </w:rPr>
              <w:t>等</w:t>
            </w:r>
            <w:r>
              <w:rPr>
                <w:rFonts w:hint="eastAsia" w:ascii="宋体" w:hAnsi="宋体"/>
                <w:szCs w:val="21"/>
              </w:rPr>
              <w:t>。由于施工期较短，施工范围和内容较简单，本项目不做主要分析。</w:t>
            </w:r>
          </w:p>
          <w:p>
            <w:pPr>
              <w:spacing w:line="360" w:lineRule="auto"/>
              <w:ind w:firstLine="420" w:firstLineChars="200"/>
              <w:rPr>
                <w:rFonts w:hint="default" w:ascii="Times New Roman" w:hAnsi="Times New Roman" w:eastAsia="黑体" w:cs="Times New Roman"/>
                <w:szCs w:val="21"/>
              </w:rPr>
            </w:pPr>
            <w:r>
              <w:rPr>
                <w:rFonts w:hint="eastAsia" w:eastAsia="黑体" w:cs="Times New Roman"/>
                <w:szCs w:val="21"/>
                <w:lang w:val="en-US" w:eastAsia="zh-CN"/>
              </w:rPr>
              <w:t>2、</w:t>
            </w:r>
            <w:r>
              <w:rPr>
                <w:rFonts w:hint="default" w:ascii="Times New Roman" w:hAnsi="Times New Roman" w:eastAsia="黑体" w:cs="Times New Roman"/>
                <w:szCs w:val="21"/>
              </w:rPr>
              <w:t>运营期产排污环节</w:t>
            </w:r>
          </w:p>
          <w:p>
            <w:pPr>
              <w:tabs>
                <w:tab w:val="left" w:pos="1680"/>
              </w:tabs>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（1）大气污染物</w:t>
            </w:r>
          </w:p>
          <w:p>
            <w:pPr>
              <w:spacing w:line="360" w:lineRule="auto"/>
              <w:ind w:firstLine="420" w:firstLineChars="200"/>
              <w:rPr>
                <w:rFonts w:hint="default" w:ascii="Times New Roman" w:hAnsi="Times New Roman" w:eastAsia="宋体" w:cs="Times New Roman"/>
                <w:bCs/>
                <w:szCs w:val="21"/>
                <w:lang w:val="en-US" w:eastAsia="zh-CN"/>
              </w:rPr>
            </w:pPr>
            <w:r>
              <w:rPr>
                <w:rFonts w:hint="default" w:ascii="Times New Roman" w:hAnsi="Times New Roman" w:cs="Times New Roman"/>
                <w:bCs/>
                <w:szCs w:val="21"/>
              </w:rPr>
              <w:t>本项目废气主要为</w:t>
            </w:r>
            <w:r>
              <w:rPr>
                <w:rFonts w:hint="eastAsia" w:cs="Times New Roman"/>
                <w:lang w:eastAsia="zh-CN"/>
              </w:rPr>
              <w:t>搅拌、涂胶、烘干、固化、切割、注塑工序产生的有机废气。</w:t>
            </w:r>
          </w:p>
          <w:p>
            <w:pPr>
              <w:tabs>
                <w:tab w:val="left" w:pos="1680"/>
              </w:tabs>
              <w:spacing w:line="360" w:lineRule="auto"/>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（2）废水</w:t>
            </w:r>
          </w:p>
          <w:p>
            <w:pPr>
              <w:tabs>
                <w:tab w:val="left" w:pos="1800"/>
              </w:tabs>
              <w:adjustRightInd w:val="0"/>
              <w:snapToGrid w:val="0"/>
              <w:spacing w:line="360" w:lineRule="auto"/>
              <w:ind w:firstLine="420" w:firstLineChars="200"/>
              <w:rPr>
                <w:rFonts w:hint="default" w:ascii="Times New Roman" w:hAnsi="Times New Roman" w:cs="Times New Roman"/>
                <w:kern w:val="24"/>
                <w:szCs w:val="21"/>
                <w:highlight w:val="none"/>
              </w:rPr>
            </w:pPr>
            <w:r>
              <w:rPr>
                <w:rFonts w:hint="default" w:ascii="Times New Roman" w:hAnsi="Times New Roman" w:cs="Times New Roman"/>
                <w:kern w:val="24"/>
                <w:szCs w:val="21"/>
                <w:highlight w:val="none"/>
              </w:rPr>
              <w:t>项目</w:t>
            </w:r>
            <w:r>
              <w:rPr>
                <w:rFonts w:hint="eastAsia" w:cs="Times New Roman"/>
                <w:kern w:val="24"/>
                <w:szCs w:val="21"/>
                <w:highlight w:val="none"/>
                <w:lang w:eastAsia="zh-CN"/>
              </w:rPr>
              <w:t>生产过程用水全部损耗，职工生活过程产生的生活污水经化粪池预处理后经市政污水管网排入淄博市利民净化水有限公司处理</w:t>
            </w:r>
            <w:r>
              <w:rPr>
                <w:rFonts w:hint="default" w:ascii="Times New Roman" w:hAnsi="Times New Roman" w:cs="Times New Roman"/>
                <w:kern w:val="24"/>
                <w:szCs w:val="21"/>
                <w:highlight w:val="none"/>
              </w:rPr>
              <w:t>。</w:t>
            </w:r>
          </w:p>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（3）噪声：</w:t>
            </w:r>
          </w:p>
          <w:p>
            <w:pPr>
              <w:spacing w:line="360" w:lineRule="auto"/>
              <w:ind w:firstLine="420" w:firstLineChars="200"/>
              <w:rPr>
                <w:rFonts w:hint="default" w:ascii="Times New Roman" w:hAnsi="Times New Roman" w:cs="Times New Roman"/>
                <w:szCs w:val="21"/>
                <w:lang w:val="de-DE"/>
              </w:rPr>
            </w:pPr>
            <w:r>
              <w:rPr>
                <w:rFonts w:hint="default" w:ascii="Times New Roman" w:hAnsi="Times New Roman" w:cs="Times New Roman"/>
                <w:bCs/>
                <w:szCs w:val="21"/>
              </w:rPr>
              <w:t>本</w:t>
            </w:r>
            <w:r>
              <w:rPr>
                <w:rFonts w:hint="default" w:ascii="Times New Roman" w:hAnsi="Times New Roman" w:cs="Times New Roman"/>
                <w:szCs w:val="21"/>
              </w:rPr>
              <w:t>项目</w:t>
            </w:r>
            <w:r>
              <w:rPr>
                <w:rFonts w:hint="eastAsia" w:cs="Times New Roman"/>
                <w:szCs w:val="21"/>
                <w:lang w:eastAsia="zh-CN"/>
              </w:rPr>
              <w:t>噪</w:t>
            </w:r>
            <w:r>
              <w:rPr>
                <w:rFonts w:hint="default" w:ascii="Times New Roman" w:hAnsi="Times New Roman" w:cs="Times New Roman"/>
                <w:szCs w:val="21"/>
              </w:rPr>
              <w:t>声源主要是</w:t>
            </w:r>
            <w:r>
              <w:rPr>
                <w:rFonts w:hint="eastAsia" w:cs="Times New Roman"/>
                <w:szCs w:val="21"/>
                <w:lang w:eastAsia="zh-CN"/>
              </w:rPr>
              <w:t>缝纫机、固化炉、注塑机、压力机、风机</w:t>
            </w:r>
            <w:r>
              <w:rPr>
                <w:rFonts w:hint="default" w:ascii="Times New Roman" w:hAnsi="Times New Roman" w:cs="Times New Roman"/>
                <w:szCs w:val="21"/>
              </w:rPr>
              <w:t>等设备</w:t>
            </w:r>
            <w:r>
              <w:rPr>
                <w:rFonts w:hint="default" w:ascii="Times New Roman" w:hAnsi="Times New Roman" w:cs="Times New Roman"/>
                <w:szCs w:val="21"/>
                <w:lang w:val="de-DE"/>
              </w:rPr>
              <w:t>产生的噪声，根据国内同类行业的车间内噪声值的经验数据，其噪声级一般在80～95dB（A）之间。</w:t>
            </w:r>
          </w:p>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（4）固废</w:t>
            </w:r>
          </w:p>
          <w:p>
            <w:pPr>
              <w:spacing w:line="360" w:lineRule="auto"/>
              <w:ind w:firstLine="420" w:firstLineChars="200"/>
              <w:rPr>
                <w:rFonts w:ascii="宋体"/>
              </w:rPr>
            </w:pPr>
            <w:r>
              <w:rPr>
                <w:rFonts w:hint="default" w:ascii="Times New Roman" w:hAnsi="Times New Roman" w:cs="Times New Roman"/>
              </w:rPr>
              <w:t>本项目</w:t>
            </w:r>
            <w:r>
              <w:rPr>
                <w:rFonts w:hint="eastAsia" w:cs="Times New Roman"/>
                <w:lang w:eastAsia="zh-CN"/>
              </w:rPr>
              <w:t>酚醛树脂胶</w:t>
            </w:r>
            <w:r>
              <w:rPr>
                <w:rFonts w:hint="default" w:ascii="Times New Roman" w:hAnsi="Times New Roman" w:cs="Times New Roman"/>
              </w:rPr>
              <w:t>桶使用完毕后由生产厂家回收直接罐装后运回。根据《工业固体废物鉴别标准 通则》（GB34330-2017），本</w:t>
            </w:r>
            <w:r>
              <w:rPr>
                <w:rFonts w:hint="eastAsia" w:ascii="宋体" w:hAnsi="宋体"/>
              </w:rPr>
              <w:t>项目</w:t>
            </w:r>
            <w:r>
              <w:rPr>
                <w:rFonts w:hint="eastAsia" w:ascii="宋体" w:hAnsi="宋体"/>
                <w:lang w:eastAsia="zh-CN"/>
              </w:rPr>
              <w:t>酚醛树脂包装</w:t>
            </w:r>
            <w:r>
              <w:rPr>
                <w:rFonts w:hint="eastAsia" w:ascii="宋体" w:hAnsi="宋体"/>
              </w:rPr>
              <w:t>桶作为原始用途使用时不作为固体废物进行管理</w:t>
            </w:r>
            <w:r>
              <w:rPr>
                <w:rFonts w:hint="eastAsia" w:ascii="宋体" w:hAnsi="宋体"/>
                <w:lang w:eastAsia="zh-CN"/>
              </w:rPr>
              <w:t>，仅厂区内储存时按照危险废物进行储存管理，</w:t>
            </w:r>
            <w:r>
              <w:rPr>
                <w:rFonts w:hint="eastAsia" w:ascii="宋体" w:hAnsi="宋体"/>
              </w:rPr>
              <w:t>当</w:t>
            </w:r>
            <w:r>
              <w:rPr>
                <w:rFonts w:hint="eastAsia" w:ascii="宋体" w:hAnsi="宋体"/>
                <w:lang w:eastAsia="zh-CN"/>
              </w:rPr>
              <w:t>包装</w:t>
            </w:r>
            <w:r>
              <w:rPr>
                <w:rFonts w:hint="eastAsia" w:ascii="宋体" w:hAnsi="宋体"/>
              </w:rPr>
              <w:t>桶破损不能再使用时需按照危险废物进行处置。</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本</w:t>
            </w:r>
            <w:r>
              <w:rPr>
                <w:rFonts w:hint="default" w:ascii="Times New Roman" w:hAnsi="Times New Roman" w:cs="Times New Roman"/>
                <w:color w:val="auto"/>
                <w:szCs w:val="21"/>
              </w:rPr>
              <w:t>项目产生的固体废物主要为</w:t>
            </w:r>
            <w:r>
              <w:rPr>
                <w:rFonts w:hint="eastAsia" w:cs="Times New Roman"/>
                <w:color w:val="auto"/>
                <w:szCs w:val="21"/>
                <w:lang w:eastAsia="zh-CN"/>
              </w:rPr>
              <w:t>配套环保设备定期更换产生的废活性炭、生产过程中产生的涤纶排管不合格产品、涤纶排管下脚料，注塑过程产生的不合格产品，废原料包装袋及职工生活垃圾</w:t>
            </w: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6" w:type="dxa"/>
            <w:vAlign w:val="center"/>
          </w:tcPr>
          <w:p>
            <w:pPr>
              <w:pStyle w:val="80"/>
              <w:adjustRightInd w:val="0"/>
              <w:snapToGrid w:val="0"/>
              <w:spacing w:before="0" w:beforeAutospacing="0" w:after="0" w:afterAutospacing="0" w:line="360" w:lineRule="auto"/>
              <w:rPr>
                <w:rFonts w:hint="default" w:ascii="Times New Roman" w:hAnsi="Times New Roman" w:cs="Times New Roman"/>
                <w:sz w:val="21"/>
                <w:szCs w:val="21"/>
              </w:rPr>
            </w:pPr>
            <w:r>
              <w:rPr>
                <w:rFonts w:hint="default" w:ascii="Times New Roman" w:hAnsi="Times New Roman" w:cs="Times New Roman"/>
                <w:bCs/>
                <w:kern w:val="2"/>
                <w:sz w:val="21"/>
                <w:szCs w:val="21"/>
              </w:rPr>
              <w:t>与项目有关的原有环境污染问题</w:t>
            </w:r>
          </w:p>
        </w:tc>
        <w:tc>
          <w:tcPr>
            <w:tcW w:w="8372" w:type="dxa"/>
          </w:tcPr>
          <w:p>
            <w:pPr>
              <w:spacing w:line="360" w:lineRule="auto"/>
              <w:ind w:firstLine="420" w:firstLineChars="200"/>
            </w:pPr>
            <w:r>
              <w:t>一、现有工程履行环境影响评价及竣工环境保护验收情况</w:t>
            </w:r>
          </w:p>
          <w:p>
            <w:pPr>
              <w:spacing w:line="360" w:lineRule="auto"/>
              <w:ind w:firstLine="420" w:firstLineChars="200"/>
              <w:contextualSpacing/>
              <w:rPr>
                <w:color w:val="auto"/>
                <w:sz w:val="21"/>
                <w:szCs w:val="21"/>
              </w:rPr>
            </w:pPr>
            <w:r>
              <w:rPr>
                <w:rFonts w:hint="eastAsia"/>
                <w:bCs/>
                <w:kern w:val="0"/>
                <w:sz w:val="21"/>
                <w:szCs w:val="21"/>
                <w:lang w:val="de-DE" w:eastAsia="zh-CN"/>
              </w:rPr>
              <w:t>淄博龙昊电源科技有限公司</w:t>
            </w:r>
            <w:r>
              <w:rPr>
                <w:rFonts w:eastAsiaTheme="minorEastAsia"/>
                <w:kern w:val="0"/>
                <w:sz w:val="21"/>
                <w:szCs w:val="21"/>
              </w:rPr>
              <w:t>20</w:t>
            </w:r>
            <w:r>
              <w:rPr>
                <w:rFonts w:hint="eastAsia" w:eastAsiaTheme="minorEastAsia"/>
                <w:kern w:val="0"/>
                <w:sz w:val="21"/>
                <w:szCs w:val="21"/>
              </w:rPr>
              <w:t>10年9月编制《</w:t>
            </w:r>
            <w:r>
              <w:rPr>
                <w:rFonts w:hint="eastAsia" w:ascii="宋体" w:hAnsi="宋体" w:eastAsiaTheme="minorEastAsia"/>
                <w:sz w:val="21"/>
                <w:szCs w:val="21"/>
              </w:rPr>
              <w:t>淄博市淄川龙昊电源器材厂</w:t>
            </w:r>
            <w:r>
              <w:rPr>
                <w:rFonts w:hint="eastAsia" w:eastAsiaTheme="minorEastAsia"/>
                <w:kern w:val="0"/>
                <w:sz w:val="21"/>
                <w:szCs w:val="21"/>
              </w:rPr>
              <w:t>年产20万m</w:t>
            </w:r>
            <w:r>
              <w:rPr>
                <w:rFonts w:hint="eastAsia" w:eastAsiaTheme="minorEastAsia"/>
                <w:kern w:val="0"/>
                <w:sz w:val="21"/>
                <w:szCs w:val="21"/>
                <w:vertAlign w:val="superscript"/>
              </w:rPr>
              <w:t>2</w:t>
            </w:r>
            <w:r>
              <w:rPr>
                <w:rFonts w:hint="eastAsia" w:eastAsiaTheme="minorEastAsia"/>
                <w:kern w:val="0"/>
                <w:sz w:val="21"/>
                <w:szCs w:val="21"/>
              </w:rPr>
              <w:t>涤纶丝排管项目环境影响评价报告表》，2010年10月</w:t>
            </w:r>
            <w:r>
              <w:rPr>
                <w:rFonts w:hint="eastAsia" w:eastAsiaTheme="minorEastAsia"/>
                <w:kern w:val="0"/>
                <w:sz w:val="21"/>
                <w:szCs w:val="21"/>
                <w:lang w:eastAsia="zh-CN"/>
              </w:rPr>
              <w:t>取得原</w:t>
            </w:r>
            <w:r>
              <w:rPr>
                <w:rFonts w:hint="eastAsia" w:eastAsiaTheme="minorEastAsia"/>
                <w:kern w:val="0"/>
                <w:sz w:val="21"/>
                <w:szCs w:val="21"/>
              </w:rPr>
              <w:t>淄博市环境保护局淄川分局出具的审批意见（川环报告表[2010]55号）</w:t>
            </w:r>
            <w:r>
              <w:rPr>
                <w:rFonts w:hint="eastAsia" w:eastAsiaTheme="minorEastAsia"/>
                <w:kern w:val="0"/>
                <w:sz w:val="21"/>
                <w:szCs w:val="21"/>
                <w:lang w:eastAsia="zh-CN"/>
              </w:rPr>
              <w:t>，</w:t>
            </w:r>
            <w:r>
              <w:rPr>
                <w:rFonts w:hint="eastAsia" w:eastAsiaTheme="minorEastAsia"/>
                <w:kern w:val="0"/>
                <w:sz w:val="21"/>
                <w:szCs w:val="21"/>
              </w:rPr>
              <w:t>2011年5月23日获得</w:t>
            </w:r>
            <w:r>
              <w:rPr>
                <w:rFonts w:hint="eastAsia" w:eastAsiaTheme="minorEastAsia"/>
                <w:kern w:val="0"/>
                <w:sz w:val="21"/>
                <w:szCs w:val="21"/>
                <w:lang w:eastAsia="zh-CN"/>
              </w:rPr>
              <w:t>原</w:t>
            </w:r>
            <w:r>
              <w:rPr>
                <w:rFonts w:hint="eastAsia" w:eastAsiaTheme="minorEastAsia"/>
                <w:kern w:val="0"/>
                <w:sz w:val="21"/>
                <w:szCs w:val="21"/>
              </w:rPr>
              <w:t>淄博市环境保护局淄川分局出具的验收意见。2018年6月编制</w:t>
            </w:r>
            <w:r>
              <w:rPr>
                <w:rFonts w:hint="eastAsia" w:eastAsiaTheme="minorEastAsia"/>
                <w:kern w:val="0"/>
                <w:sz w:val="21"/>
                <w:szCs w:val="21"/>
                <w:lang w:eastAsia="zh-CN"/>
              </w:rPr>
              <w:t>完成</w:t>
            </w:r>
            <w:r>
              <w:rPr>
                <w:rFonts w:hint="eastAsia" w:eastAsiaTheme="minorEastAsia"/>
                <w:kern w:val="0"/>
                <w:sz w:val="21"/>
                <w:szCs w:val="21"/>
              </w:rPr>
              <w:t>《</w:t>
            </w:r>
            <w:r>
              <w:rPr>
                <w:rFonts w:hint="eastAsia" w:ascii="宋体" w:hAnsi="宋体" w:eastAsiaTheme="minorEastAsia"/>
                <w:sz w:val="21"/>
                <w:szCs w:val="21"/>
              </w:rPr>
              <w:t>淄博市淄川龙昊电源器材厂</w:t>
            </w:r>
            <w:r>
              <w:rPr>
                <w:rFonts w:hint="eastAsia" w:eastAsiaTheme="minorEastAsia"/>
                <w:kern w:val="0"/>
                <w:sz w:val="21"/>
                <w:szCs w:val="21"/>
              </w:rPr>
              <w:t>年产20万m</w:t>
            </w:r>
            <w:r>
              <w:rPr>
                <w:rFonts w:hint="eastAsia" w:eastAsiaTheme="minorEastAsia"/>
                <w:kern w:val="0"/>
                <w:sz w:val="21"/>
                <w:szCs w:val="21"/>
                <w:vertAlign w:val="superscript"/>
              </w:rPr>
              <w:t>2</w:t>
            </w:r>
            <w:r>
              <w:rPr>
                <w:rFonts w:hint="eastAsia" w:eastAsiaTheme="minorEastAsia"/>
                <w:kern w:val="0"/>
                <w:sz w:val="21"/>
                <w:szCs w:val="21"/>
              </w:rPr>
              <w:t>涤纶丝排管项目环境影响后评价报告表》，2018年6月</w:t>
            </w:r>
            <w:r>
              <w:rPr>
                <w:rFonts w:hint="eastAsia" w:eastAsiaTheme="minorEastAsia"/>
                <w:kern w:val="0"/>
                <w:sz w:val="21"/>
                <w:szCs w:val="21"/>
                <w:lang w:eastAsia="zh-CN"/>
              </w:rPr>
              <w:t>取得原</w:t>
            </w:r>
            <w:r>
              <w:rPr>
                <w:rFonts w:hint="eastAsia" w:eastAsiaTheme="minorEastAsia"/>
                <w:kern w:val="0"/>
                <w:sz w:val="21"/>
                <w:szCs w:val="21"/>
              </w:rPr>
              <w:t>淄博市环境保护局淄川分局出具的备案意见（川环备案[2018]24号）</w:t>
            </w:r>
            <w:r>
              <w:rPr>
                <w:rFonts w:hint="eastAsia" w:eastAsiaTheme="minorEastAsia"/>
                <w:kern w:val="0"/>
                <w:sz w:val="21"/>
                <w:szCs w:val="21"/>
                <w:highlight w:val="none"/>
              </w:rPr>
              <w:t>。</w:t>
            </w:r>
            <w:r>
              <w:rPr>
                <w:rFonts w:hint="eastAsia"/>
                <w:bCs/>
                <w:color w:val="auto"/>
                <w:kern w:val="0"/>
                <w:sz w:val="21"/>
                <w:szCs w:val="21"/>
                <w:highlight w:val="none"/>
                <w:lang w:val="en-US" w:eastAsia="zh-CN"/>
              </w:rPr>
              <w:t>2020年2月编制完成《</w:t>
            </w:r>
            <w:bookmarkStart w:id="4" w:name="_Hlk33432220"/>
            <w:r>
              <w:rPr>
                <w:rFonts w:hint="eastAsia" w:eastAsiaTheme="minorEastAsia"/>
                <w:color w:val="000000" w:themeColor="text1"/>
                <w:kern w:val="24"/>
                <w:sz w:val="21"/>
                <w:szCs w:val="21"/>
                <w:highlight w:val="none"/>
                <w14:textFill>
                  <w14:solidFill>
                    <w14:schemeClr w14:val="tx1"/>
                  </w14:solidFill>
                </w14:textFill>
              </w:rPr>
              <w:t>年产20万平方米涤纶排管及电源连接线项目</w:t>
            </w:r>
            <w:bookmarkEnd w:id="4"/>
            <w:r>
              <w:rPr>
                <w:rFonts w:hint="eastAsia"/>
                <w:bCs/>
                <w:color w:val="auto"/>
                <w:kern w:val="0"/>
                <w:sz w:val="21"/>
                <w:szCs w:val="21"/>
                <w:highlight w:val="none"/>
                <w:lang w:eastAsia="zh-CN"/>
              </w:rPr>
              <w:t>环境影响报告表</w:t>
            </w:r>
            <w:r>
              <w:rPr>
                <w:rFonts w:hint="eastAsia"/>
                <w:bCs/>
                <w:color w:val="auto"/>
                <w:kern w:val="0"/>
                <w:sz w:val="21"/>
                <w:szCs w:val="21"/>
                <w:highlight w:val="none"/>
                <w:lang w:val="en-US" w:eastAsia="zh-CN"/>
              </w:rPr>
              <w:t>》，2020年4月23日取得</w:t>
            </w:r>
            <w:r>
              <w:rPr>
                <w:rFonts w:hint="eastAsia"/>
                <w:bCs/>
                <w:color w:val="auto"/>
                <w:kern w:val="0"/>
                <w:sz w:val="21"/>
                <w:szCs w:val="21"/>
                <w:highlight w:val="none"/>
                <w:lang w:val="de-DE"/>
              </w:rPr>
              <w:t>淄</w:t>
            </w:r>
            <w:r>
              <w:rPr>
                <w:rFonts w:hint="eastAsia"/>
                <w:bCs/>
                <w:color w:val="auto"/>
                <w:kern w:val="0"/>
                <w:sz w:val="21"/>
                <w:szCs w:val="21"/>
                <w:lang w:val="de-DE"/>
              </w:rPr>
              <w:t>博市</w:t>
            </w:r>
            <w:r>
              <w:rPr>
                <w:rFonts w:hint="eastAsia"/>
                <w:bCs/>
                <w:color w:val="auto"/>
                <w:kern w:val="0"/>
                <w:sz w:val="21"/>
                <w:szCs w:val="21"/>
                <w:lang w:val="de-DE" w:eastAsia="zh-CN"/>
              </w:rPr>
              <w:t>生态环境</w:t>
            </w:r>
            <w:r>
              <w:rPr>
                <w:rFonts w:hint="eastAsia"/>
                <w:bCs/>
                <w:color w:val="auto"/>
                <w:kern w:val="0"/>
                <w:sz w:val="21"/>
                <w:szCs w:val="21"/>
                <w:lang w:val="de-DE"/>
              </w:rPr>
              <w:t>局淄川分局</w:t>
            </w:r>
            <w:r>
              <w:rPr>
                <w:rFonts w:hint="eastAsia"/>
                <w:bCs/>
                <w:color w:val="auto"/>
                <w:kern w:val="0"/>
                <w:sz w:val="21"/>
                <w:szCs w:val="21"/>
                <w:lang w:val="en-US" w:eastAsia="zh-CN"/>
              </w:rPr>
              <w:t>出具的审批意见（川环报告表</w:t>
            </w:r>
            <w:r>
              <w:rPr>
                <w:rFonts w:hint="eastAsia" w:eastAsiaTheme="minorEastAsia"/>
                <w:kern w:val="0"/>
                <w:sz w:val="21"/>
                <w:szCs w:val="21"/>
              </w:rPr>
              <w:t>[20</w:t>
            </w:r>
            <w:r>
              <w:rPr>
                <w:rFonts w:hint="eastAsia" w:eastAsiaTheme="minorEastAsia"/>
                <w:kern w:val="0"/>
                <w:sz w:val="21"/>
                <w:szCs w:val="21"/>
                <w:lang w:val="en-US" w:eastAsia="zh-CN"/>
              </w:rPr>
              <w:t>2</w:t>
            </w:r>
            <w:r>
              <w:rPr>
                <w:rFonts w:hint="eastAsia" w:eastAsiaTheme="minorEastAsia"/>
                <w:kern w:val="0"/>
                <w:sz w:val="21"/>
                <w:szCs w:val="21"/>
              </w:rPr>
              <w:t>0]</w:t>
            </w:r>
            <w:r>
              <w:rPr>
                <w:rFonts w:hint="eastAsia" w:eastAsiaTheme="minorEastAsia"/>
                <w:kern w:val="0"/>
                <w:sz w:val="21"/>
                <w:szCs w:val="21"/>
                <w:lang w:val="en-US" w:eastAsia="zh-CN"/>
              </w:rPr>
              <w:t>62</w:t>
            </w:r>
            <w:r>
              <w:rPr>
                <w:rFonts w:hint="eastAsia" w:eastAsiaTheme="minorEastAsia"/>
                <w:kern w:val="0"/>
                <w:sz w:val="21"/>
                <w:szCs w:val="21"/>
              </w:rPr>
              <w:t>号</w:t>
            </w:r>
            <w:r>
              <w:rPr>
                <w:rFonts w:hint="eastAsia"/>
                <w:bCs/>
                <w:color w:val="auto"/>
                <w:kern w:val="0"/>
                <w:sz w:val="21"/>
                <w:szCs w:val="21"/>
                <w:lang w:val="en-US" w:eastAsia="zh-CN"/>
              </w:rPr>
              <w:t>），</w:t>
            </w:r>
            <w:r>
              <w:rPr>
                <w:rFonts w:hint="eastAsia" w:eastAsiaTheme="minorEastAsia"/>
                <w:color w:val="000000" w:themeColor="text1"/>
                <w:kern w:val="24"/>
                <w:sz w:val="21"/>
                <w:szCs w:val="21"/>
                <w14:textFill>
                  <w14:solidFill>
                    <w14:schemeClr w14:val="tx1"/>
                  </w14:solidFill>
                </w14:textFill>
              </w:rPr>
              <w:t>年产20万平方米涤纶排管及电源连接线项目</w:t>
            </w:r>
            <w:r>
              <w:rPr>
                <w:rFonts w:hint="eastAsia" w:eastAsiaTheme="minorEastAsia"/>
                <w:color w:val="000000" w:themeColor="text1"/>
                <w:kern w:val="24"/>
                <w:sz w:val="21"/>
                <w:szCs w:val="21"/>
                <w:lang w:eastAsia="zh-CN"/>
                <w14:textFill>
                  <w14:solidFill>
                    <w14:schemeClr w14:val="tx1"/>
                  </w14:solidFill>
                </w14:textFill>
              </w:rPr>
              <w:t>（一期）</w:t>
            </w:r>
            <w:r>
              <w:rPr>
                <w:rFonts w:hint="eastAsia"/>
                <w:bCs/>
                <w:color w:val="auto"/>
                <w:kern w:val="0"/>
                <w:sz w:val="21"/>
                <w:szCs w:val="21"/>
                <w:lang w:val="en-US" w:eastAsia="zh-CN"/>
              </w:rPr>
              <w:t>2021年10月24日完成自主验收，因车间场地问题，二期项目未安装。</w:t>
            </w:r>
            <w:r>
              <w:rPr>
                <w:rFonts w:hint="eastAsia"/>
                <w:color w:val="auto"/>
                <w:sz w:val="21"/>
                <w:szCs w:val="21"/>
              </w:rPr>
              <w:t>项目环保手续履行情况见表</w:t>
            </w:r>
            <w:r>
              <w:rPr>
                <w:rFonts w:hint="eastAsia"/>
                <w:color w:val="auto"/>
                <w:sz w:val="21"/>
                <w:szCs w:val="21"/>
                <w:lang w:val="en-US" w:eastAsia="zh-CN"/>
              </w:rPr>
              <w:t>2-6</w:t>
            </w:r>
            <w:r>
              <w:rPr>
                <w:rFonts w:hint="eastAsia"/>
                <w:color w:val="auto"/>
                <w:sz w:val="21"/>
                <w:szCs w:val="21"/>
              </w:rPr>
              <w:t>。</w:t>
            </w:r>
          </w:p>
          <w:p>
            <w:pPr>
              <w:pStyle w:val="216"/>
              <w:ind w:left="0" w:leftChars="0" w:firstLine="0" w:firstLineChars="0"/>
              <w:jc w:val="center"/>
              <w:rPr>
                <w:color w:val="auto"/>
              </w:rPr>
            </w:pPr>
            <w:r>
              <w:rPr>
                <w:rFonts w:hint="eastAsia"/>
                <w:color w:val="auto"/>
                <w:lang w:eastAsia="zh-CN"/>
              </w:rPr>
              <w:t>表</w:t>
            </w:r>
            <w:r>
              <w:rPr>
                <w:rFonts w:hint="eastAsia"/>
                <w:color w:val="auto"/>
                <w:lang w:val="en-US" w:eastAsia="zh-CN"/>
              </w:rPr>
              <w:t xml:space="preserve"> 2-6 </w:t>
            </w:r>
            <w:r>
              <w:rPr>
                <w:rFonts w:hint="eastAsia"/>
                <w:color w:val="auto"/>
              </w:rPr>
              <w:t>项目环保手续履行情况</w:t>
            </w:r>
            <w:r>
              <w:rPr>
                <w:color w:val="auto"/>
              </w:rPr>
              <w:t>一览表</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623"/>
              <w:gridCol w:w="2356"/>
              <w:gridCol w:w="3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 w:hRule="atLeast"/>
                <w:jc w:val="center"/>
              </w:trPr>
              <w:tc>
                <w:tcPr>
                  <w:tcW w:w="2253" w:type="dxa"/>
                  <w:shd w:val="clear" w:color="auto" w:fill="auto"/>
                  <w:tcMar>
                    <w:left w:w="28" w:type="dxa"/>
                    <w:right w:w="28" w:type="dxa"/>
                  </w:tcMar>
                  <w:vAlign w:val="center"/>
                </w:tcPr>
                <w:p>
                  <w:pPr>
                    <w:spacing w:line="240" w:lineRule="exact"/>
                    <w:jc w:val="center"/>
                    <w:rPr>
                      <w:rFonts w:ascii="宋体" w:hAnsi="宋体"/>
                      <w:b/>
                      <w:color w:val="auto"/>
                      <w:sz w:val="18"/>
                      <w:szCs w:val="18"/>
                    </w:rPr>
                  </w:pPr>
                  <w:r>
                    <w:rPr>
                      <w:rFonts w:hint="eastAsia" w:ascii="宋体" w:hAnsi="宋体"/>
                      <w:b/>
                      <w:color w:val="auto"/>
                      <w:sz w:val="18"/>
                      <w:szCs w:val="18"/>
                    </w:rPr>
                    <w:t>项目名称</w:t>
                  </w:r>
                </w:p>
              </w:tc>
              <w:tc>
                <w:tcPr>
                  <w:tcW w:w="2024" w:type="dxa"/>
                  <w:shd w:val="clear" w:color="auto" w:fill="auto"/>
                  <w:tcMar>
                    <w:left w:w="28" w:type="dxa"/>
                    <w:right w:w="28" w:type="dxa"/>
                  </w:tcMar>
                  <w:vAlign w:val="center"/>
                </w:tcPr>
                <w:p>
                  <w:pPr>
                    <w:spacing w:line="240" w:lineRule="exact"/>
                    <w:jc w:val="center"/>
                    <w:rPr>
                      <w:rFonts w:ascii="宋体" w:hAnsi="宋体"/>
                      <w:b/>
                      <w:color w:val="auto"/>
                      <w:sz w:val="18"/>
                      <w:szCs w:val="18"/>
                    </w:rPr>
                  </w:pPr>
                  <w:r>
                    <w:rPr>
                      <w:rFonts w:hint="eastAsia" w:ascii="宋体" w:hAnsi="宋体"/>
                      <w:b/>
                      <w:color w:val="auto"/>
                      <w:sz w:val="18"/>
                      <w:szCs w:val="18"/>
                    </w:rPr>
                    <w:t>环评批复情况</w:t>
                  </w:r>
                </w:p>
              </w:tc>
              <w:tc>
                <w:tcPr>
                  <w:tcW w:w="2720" w:type="dxa"/>
                  <w:shd w:val="clear" w:color="auto" w:fill="auto"/>
                  <w:vAlign w:val="center"/>
                </w:tcPr>
                <w:p>
                  <w:pPr>
                    <w:spacing w:line="240" w:lineRule="exact"/>
                    <w:jc w:val="center"/>
                    <w:rPr>
                      <w:rFonts w:ascii="宋体" w:hAnsi="宋体"/>
                      <w:b/>
                      <w:color w:val="auto"/>
                      <w:sz w:val="18"/>
                      <w:szCs w:val="18"/>
                    </w:rPr>
                  </w:pPr>
                  <w:r>
                    <w:rPr>
                      <w:rFonts w:hint="eastAsia" w:ascii="宋体" w:hAnsi="宋体"/>
                      <w:b/>
                      <w:color w:val="auto"/>
                      <w:sz w:val="18"/>
                      <w:szCs w:val="18"/>
                    </w:rPr>
                    <w:t>竣工环保验收情况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2253" w:type="dxa"/>
                  <w:shd w:val="clear" w:color="auto" w:fill="auto"/>
                  <w:tcMar>
                    <w:left w:w="28" w:type="dxa"/>
                    <w:right w:w="28" w:type="dxa"/>
                  </w:tcMar>
                  <w:vAlign w:val="center"/>
                </w:tcPr>
                <w:p>
                  <w:pPr>
                    <w:spacing w:line="240" w:lineRule="exact"/>
                    <w:jc w:val="center"/>
                    <w:rPr>
                      <w:rFonts w:ascii="宋体" w:hAnsi="宋体"/>
                      <w:color w:val="auto"/>
                      <w:sz w:val="18"/>
                      <w:szCs w:val="18"/>
                    </w:rPr>
                  </w:pPr>
                  <w:r>
                    <w:rPr>
                      <w:rFonts w:hint="eastAsia" w:eastAsiaTheme="minorEastAsia"/>
                      <w:kern w:val="0"/>
                      <w:sz w:val="18"/>
                      <w:szCs w:val="18"/>
                    </w:rPr>
                    <w:t>年产20万m</w:t>
                  </w:r>
                  <w:r>
                    <w:rPr>
                      <w:rFonts w:hint="eastAsia" w:eastAsiaTheme="minorEastAsia"/>
                      <w:kern w:val="0"/>
                      <w:sz w:val="18"/>
                      <w:szCs w:val="18"/>
                      <w:vertAlign w:val="superscript"/>
                    </w:rPr>
                    <w:t>2</w:t>
                  </w:r>
                  <w:r>
                    <w:rPr>
                      <w:rFonts w:hint="eastAsia" w:eastAsiaTheme="minorEastAsia"/>
                      <w:kern w:val="0"/>
                      <w:sz w:val="18"/>
                      <w:szCs w:val="18"/>
                    </w:rPr>
                    <w:t>涤纶丝排管项目</w:t>
                  </w:r>
                </w:p>
              </w:tc>
              <w:tc>
                <w:tcPr>
                  <w:tcW w:w="2024" w:type="dxa"/>
                  <w:shd w:val="clear" w:color="auto" w:fill="auto"/>
                  <w:tcMar>
                    <w:left w:w="28" w:type="dxa"/>
                    <w:right w:w="28" w:type="dxa"/>
                  </w:tcMar>
                  <w:vAlign w:val="center"/>
                </w:tcPr>
                <w:p>
                  <w:pPr>
                    <w:spacing w:line="240" w:lineRule="exact"/>
                    <w:jc w:val="center"/>
                    <w:rPr>
                      <w:rFonts w:ascii="宋体" w:hAnsi="宋体"/>
                      <w:color w:val="auto"/>
                      <w:sz w:val="18"/>
                      <w:szCs w:val="18"/>
                    </w:rPr>
                  </w:pPr>
                  <w:r>
                    <w:rPr>
                      <w:rFonts w:hint="eastAsia" w:ascii="宋体" w:hAnsi="宋体"/>
                      <w:color w:val="auto"/>
                      <w:sz w:val="18"/>
                      <w:szCs w:val="18"/>
                      <w:lang w:eastAsia="zh-CN"/>
                    </w:rPr>
                    <w:t>原</w:t>
                  </w:r>
                  <w:r>
                    <w:rPr>
                      <w:rFonts w:hint="eastAsia" w:ascii="宋体" w:hAnsi="宋体"/>
                      <w:color w:val="auto"/>
                      <w:sz w:val="18"/>
                      <w:szCs w:val="18"/>
                    </w:rPr>
                    <w:t>淄博市环境保护局淄川分局</w:t>
                  </w:r>
                  <w:r>
                    <w:rPr>
                      <w:rFonts w:ascii="宋体" w:hAnsi="宋体"/>
                      <w:color w:val="auto"/>
                      <w:sz w:val="18"/>
                      <w:szCs w:val="18"/>
                    </w:rPr>
                    <w:t>20</w:t>
                  </w:r>
                  <w:r>
                    <w:rPr>
                      <w:rFonts w:hint="eastAsia" w:ascii="宋体" w:hAnsi="宋体"/>
                      <w:color w:val="auto"/>
                      <w:sz w:val="18"/>
                      <w:szCs w:val="18"/>
                      <w:lang w:val="en-US" w:eastAsia="zh-CN"/>
                    </w:rPr>
                    <w:t>10</w:t>
                  </w:r>
                  <w:r>
                    <w:rPr>
                      <w:rFonts w:hint="eastAsia" w:ascii="宋体" w:hAnsi="宋体"/>
                      <w:color w:val="auto"/>
                      <w:sz w:val="18"/>
                      <w:szCs w:val="18"/>
                    </w:rPr>
                    <w:t>年</w:t>
                  </w:r>
                  <w:r>
                    <w:rPr>
                      <w:rFonts w:hint="eastAsia" w:ascii="宋体" w:hAnsi="宋体"/>
                      <w:color w:val="auto"/>
                      <w:sz w:val="18"/>
                      <w:szCs w:val="18"/>
                      <w:lang w:val="en-US" w:eastAsia="zh-CN"/>
                    </w:rPr>
                    <w:t>10</w:t>
                  </w:r>
                  <w:r>
                    <w:rPr>
                      <w:rFonts w:hint="eastAsia" w:ascii="宋体" w:hAnsi="宋体"/>
                      <w:color w:val="auto"/>
                      <w:sz w:val="18"/>
                      <w:szCs w:val="18"/>
                    </w:rPr>
                    <w:t>日予以审批</w:t>
                  </w:r>
                  <w:r>
                    <w:rPr>
                      <w:rFonts w:hint="eastAsia" w:ascii="宋体" w:hAnsi="宋体"/>
                      <w:color w:val="auto"/>
                      <w:sz w:val="18"/>
                      <w:szCs w:val="18"/>
                      <w:lang w:eastAsia="zh-CN"/>
                    </w:rPr>
                    <w:t>（</w:t>
                  </w:r>
                  <w:r>
                    <w:rPr>
                      <w:rFonts w:hint="eastAsia" w:eastAsiaTheme="minorEastAsia"/>
                      <w:kern w:val="0"/>
                      <w:sz w:val="18"/>
                      <w:szCs w:val="18"/>
                    </w:rPr>
                    <w:t>川环报告表[2010]55号</w:t>
                  </w:r>
                  <w:r>
                    <w:rPr>
                      <w:rFonts w:hint="eastAsia" w:ascii="宋体" w:hAnsi="宋体"/>
                      <w:color w:val="auto"/>
                      <w:sz w:val="18"/>
                      <w:szCs w:val="18"/>
                      <w:lang w:eastAsia="zh-CN"/>
                    </w:rPr>
                    <w:t>）</w:t>
                  </w:r>
                </w:p>
              </w:tc>
              <w:tc>
                <w:tcPr>
                  <w:tcW w:w="2720" w:type="dxa"/>
                  <w:shd w:val="clear" w:color="auto" w:fill="auto"/>
                  <w:vAlign w:val="center"/>
                </w:tcPr>
                <w:p>
                  <w:pPr>
                    <w:spacing w:line="240" w:lineRule="exact"/>
                    <w:jc w:val="center"/>
                    <w:rPr>
                      <w:rFonts w:hint="default" w:ascii="宋体" w:hAnsi="宋体" w:eastAsia="宋体"/>
                      <w:color w:val="auto"/>
                      <w:sz w:val="18"/>
                      <w:szCs w:val="18"/>
                      <w:lang w:val="en-US" w:eastAsia="zh-CN"/>
                    </w:rPr>
                  </w:pPr>
                  <w:r>
                    <w:rPr>
                      <w:rFonts w:hint="eastAsia" w:ascii="宋体" w:hAnsi="宋体"/>
                      <w:color w:val="auto"/>
                      <w:sz w:val="18"/>
                      <w:szCs w:val="18"/>
                      <w:lang w:eastAsia="zh-CN"/>
                    </w:rPr>
                    <w:t>预案淄博市环境保护局淄川分局</w:t>
                  </w:r>
                  <w:r>
                    <w:rPr>
                      <w:rFonts w:hint="eastAsia" w:ascii="宋体" w:hAnsi="宋体"/>
                      <w:color w:val="auto"/>
                      <w:sz w:val="18"/>
                      <w:szCs w:val="18"/>
                      <w:lang w:val="en-US" w:eastAsia="zh-CN"/>
                    </w:rPr>
                    <w:t>2011年5月23日验收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2253" w:type="dxa"/>
                  <w:shd w:val="clear" w:color="auto" w:fill="auto"/>
                  <w:tcMar>
                    <w:left w:w="28" w:type="dxa"/>
                    <w:right w:w="28" w:type="dxa"/>
                  </w:tcMar>
                  <w:vAlign w:val="center"/>
                </w:tcPr>
                <w:p>
                  <w:pPr>
                    <w:spacing w:line="240" w:lineRule="exact"/>
                    <w:jc w:val="center"/>
                    <w:rPr>
                      <w:rFonts w:hint="eastAsia" w:eastAsiaTheme="minorEastAsia"/>
                      <w:bCs/>
                      <w:color w:val="auto"/>
                      <w:kern w:val="0"/>
                      <w:sz w:val="18"/>
                      <w:szCs w:val="18"/>
                      <w:lang w:val="de-DE" w:eastAsia="zh-CN"/>
                    </w:rPr>
                  </w:pPr>
                  <w:r>
                    <w:rPr>
                      <w:rFonts w:hint="eastAsia" w:eastAsiaTheme="minorEastAsia"/>
                      <w:kern w:val="0"/>
                      <w:sz w:val="18"/>
                      <w:szCs w:val="18"/>
                    </w:rPr>
                    <w:t>年产20万m</w:t>
                  </w:r>
                  <w:r>
                    <w:rPr>
                      <w:rFonts w:hint="eastAsia" w:eastAsiaTheme="minorEastAsia"/>
                      <w:kern w:val="0"/>
                      <w:sz w:val="18"/>
                      <w:szCs w:val="18"/>
                      <w:vertAlign w:val="superscript"/>
                    </w:rPr>
                    <w:t>2</w:t>
                  </w:r>
                  <w:r>
                    <w:rPr>
                      <w:rFonts w:hint="eastAsia" w:eastAsiaTheme="minorEastAsia"/>
                      <w:kern w:val="0"/>
                      <w:sz w:val="18"/>
                      <w:szCs w:val="18"/>
                    </w:rPr>
                    <w:t>涤纶丝排管项目</w:t>
                  </w:r>
                  <w:r>
                    <w:rPr>
                      <w:rFonts w:hint="eastAsia" w:eastAsiaTheme="minorEastAsia"/>
                      <w:kern w:val="0"/>
                      <w:sz w:val="18"/>
                      <w:szCs w:val="18"/>
                      <w:lang w:eastAsia="zh-CN"/>
                    </w:rPr>
                    <w:t>（后评价）</w:t>
                  </w:r>
                </w:p>
              </w:tc>
              <w:tc>
                <w:tcPr>
                  <w:tcW w:w="2024" w:type="dxa"/>
                  <w:shd w:val="clear" w:color="auto" w:fill="auto"/>
                  <w:tcMar>
                    <w:left w:w="28" w:type="dxa"/>
                    <w:right w:w="28" w:type="dxa"/>
                  </w:tcMar>
                  <w:vAlign w:val="center"/>
                </w:tcPr>
                <w:p>
                  <w:pPr>
                    <w:spacing w:line="240" w:lineRule="exact"/>
                    <w:jc w:val="center"/>
                    <w:rPr>
                      <w:rFonts w:hint="eastAsia" w:ascii="宋体" w:hAnsi="宋体" w:eastAsia="宋体"/>
                      <w:color w:val="auto"/>
                      <w:sz w:val="18"/>
                      <w:szCs w:val="18"/>
                      <w:lang w:eastAsia="zh-CN"/>
                    </w:rPr>
                  </w:pPr>
                  <w:r>
                    <w:rPr>
                      <w:rFonts w:hint="eastAsia" w:ascii="宋体" w:hAnsi="宋体"/>
                      <w:color w:val="auto"/>
                      <w:sz w:val="18"/>
                      <w:szCs w:val="18"/>
                      <w:lang w:eastAsia="zh-CN"/>
                    </w:rPr>
                    <w:t>原</w:t>
                  </w:r>
                  <w:r>
                    <w:rPr>
                      <w:rFonts w:hint="eastAsia" w:ascii="宋体" w:hAnsi="宋体"/>
                      <w:color w:val="auto"/>
                      <w:sz w:val="18"/>
                      <w:szCs w:val="18"/>
                    </w:rPr>
                    <w:t>淄博市环境保护局淄川分局于</w:t>
                  </w:r>
                  <w:r>
                    <w:rPr>
                      <w:rFonts w:ascii="宋体" w:hAnsi="宋体"/>
                      <w:color w:val="auto"/>
                      <w:sz w:val="18"/>
                      <w:szCs w:val="18"/>
                    </w:rPr>
                    <w:t>201</w:t>
                  </w:r>
                  <w:r>
                    <w:rPr>
                      <w:rFonts w:hint="eastAsia" w:ascii="宋体" w:hAnsi="宋体"/>
                      <w:color w:val="auto"/>
                      <w:sz w:val="18"/>
                      <w:szCs w:val="18"/>
                      <w:lang w:val="en-US" w:eastAsia="zh-CN"/>
                    </w:rPr>
                    <w:t>8</w:t>
                  </w:r>
                  <w:r>
                    <w:rPr>
                      <w:rFonts w:hint="eastAsia" w:ascii="宋体" w:hAnsi="宋体"/>
                      <w:color w:val="auto"/>
                      <w:sz w:val="18"/>
                      <w:szCs w:val="18"/>
                    </w:rPr>
                    <w:t>年</w:t>
                  </w:r>
                  <w:r>
                    <w:rPr>
                      <w:rFonts w:hint="eastAsia" w:ascii="宋体" w:hAnsi="宋体"/>
                      <w:color w:val="auto"/>
                      <w:sz w:val="18"/>
                      <w:szCs w:val="18"/>
                      <w:lang w:val="en-US" w:eastAsia="zh-CN"/>
                    </w:rPr>
                    <w:t>6</w:t>
                  </w:r>
                  <w:r>
                    <w:rPr>
                      <w:rFonts w:hint="eastAsia" w:ascii="宋体" w:hAnsi="宋体"/>
                      <w:color w:val="auto"/>
                      <w:sz w:val="18"/>
                      <w:szCs w:val="18"/>
                    </w:rPr>
                    <w:t>月</w:t>
                  </w:r>
                  <w:r>
                    <w:rPr>
                      <w:rFonts w:hint="eastAsia" w:ascii="宋体" w:hAnsi="宋体"/>
                      <w:color w:val="auto"/>
                      <w:sz w:val="18"/>
                      <w:szCs w:val="18"/>
                      <w:lang w:eastAsia="zh-CN"/>
                    </w:rPr>
                    <w:t>出具备案意见（</w:t>
                  </w:r>
                  <w:r>
                    <w:rPr>
                      <w:rFonts w:hint="eastAsia" w:eastAsiaTheme="minorEastAsia"/>
                      <w:kern w:val="0"/>
                      <w:sz w:val="18"/>
                      <w:szCs w:val="18"/>
                    </w:rPr>
                    <w:t>川环备案[2018]24号</w:t>
                  </w:r>
                  <w:r>
                    <w:rPr>
                      <w:rFonts w:hint="eastAsia" w:ascii="宋体" w:hAnsi="宋体"/>
                      <w:color w:val="auto"/>
                      <w:sz w:val="18"/>
                      <w:szCs w:val="18"/>
                      <w:lang w:eastAsia="zh-CN"/>
                    </w:rPr>
                    <w:t>）</w:t>
                  </w:r>
                </w:p>
              </w:tc>
              <w:tc>
                <w:tcPr>
                  <w:tcW w:w="2720" w:type="dxa"/>
                  <w:shd w:val="clear" w:color="auto" w:fill="auto"/>
                  <w:vAlign w:val="center"/>
                </w:tcPr>
                <w:p>
                  <w:pPr>
                    <w:spacing w:line="240" w:lineRule="exact"/>
                    <w:jc w:val="center"/>
                    <w:rPr>
                      <w:rFonts w:ascii="宋体" w:hAnsi="宋体"/>
                      <w:color w:val="auto"/>
                      <w:sz w:val="18"/>
                      <w:szCs w:val="18"/>
                    </w:rPr>
                  </w:pPr>
                  <w:r>
                    <w:rPr>
                      <w:rFonts w:hint="eastAsia" w:ascii="宋体" w:hAnsi="宋体"/>
                      <w:color w:val="auto"/>
                      <w:sz w:val="18"/>
                      <w:szCs w:val="18"/>
                      <w:lang w:eastAsia="zh-CN"/>
                    </w:rPr>
                    <w:t>后</w:t>
                  </w:r>
                  <w:r>
                    <w:rPr>
                      <w:rFonts w:hint="eastAsia" w:ascii="宋体" w:hAnsi="宋体"/>
                      <w:color w:val="auto"/>
                      <w:sz w:val="18"/>
                      <w:szCs w:val="18"/>
                    </w:rPr>
                    <w:t>评价</w:t>
                  </w:r>
                  <w:r>
                    <w:rPr>
                      <w:rFonts w:ascii="宋体" w:hAnsi="宋体"/>
                      <w:color w:val="auto"/>
                      <w:sz w:val="18"/>
                      <w:szCs w:val="18"/>
                    </w:rPr>
                    <w:t>，不进行验收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2253" w:type="dxa"/>
                  <w:shd w:val="clear" w:color="auto" w:fill="auto"/>
                  <w:tcMar>
                    <w:left w:w="28" w:type="dxa"/>
                    <w:right w:w="28" w:type="dxa"/>
                  </w:tcMar>
                  <w:vAlign w:val="center"/>
                </w:tcPr>
                <w:p>
                  <w:pPr>
                    <w:spacing w:line="240" w:lineRule="exact"/>
                    <w:jc w:val="center"/>
                    <w:rPr>
                      <w:rFonts w:hint="eastAsia"/>
                      <w:bCs/>
                      <w:color w:val="auto"/>
                      <w:kern w:val="0"/>
                      <w:sz w:val="18"/>
                      <w:szCs w:val="18"/>
                    </w:rPr>
                  </w:pPr>
                  <w:r>
                    <w:rPr>
                      <w:rFonts w:hint="eastAsia" w:eastAsiaTheme="minorEastAsia"/>
                      <w:color w:val="000000" w:themeColor="text1"/>
                      <w:kern w:val="24"/>
                      <w:sz w:val="18"/>
                      <w:szCs w:val="18"/>
                      <w14:textFill>
                        <w14:solidFill>
                          <w14:schemeClr w14:val="tx1"/>
                        </w14:solidFill>
                      </w14:textFill>
                    </w:rPr>
                    <w:t>年产20万平方米涤纶排管及电源连接线项目</w:t>
                  </w:r>
                </w:p>
              </w:tc>
              <w:tc>
                <w:tcPr>
                  <w:tcW w:w="2024" w:type="dxa"/>
                  <w:shd w:val="clear" w:color="auto" w:fill="auto"/>
                  <w:tcMar>
                    <w:left w:w="28" w:type="dxa"/>
                    <w:right w:w="28" w:type="dxa"/>
                  </w:tcMar>
                  <w:vAlign w:val="center"/>
                </w:tcPr>
                <w:p>
                  <w:pPr>
                    <w:spacing w:line="240" w:lineRule="exact"/>
                    <w:jc w:val="center"/>
                    <w:rPr>
                      <w:rFonts w:hint="eastAsia" w:ascii="宋体" w:hAnsi="宋体"/>
                      <w:color w:val="auto"/>
                      <w:sz w:val="18"/>
                      <w:szCs w:val="18"/>
                    </w:rPr>
                  </w:pPr>
                  <w:r>
                    <w:rPr>
                      <w:rFonts w:hint="eastAsia"/>
                      <w:bCs/>
                      <w:color w:val="auto"/>
                      <w:kern w:val="0"/>
                      <w:sz w:val="18"/>
                      <w:szCs w:val="18"/>
                      <w:lang w:val="de-DE"/>
                    </w:rPr>
                    <w:t>淄博市</w:t>
                  </w:r>
                  <w:r>
                    <w:rPr>
                      <w:rFonts w:hint="eastAsia"/>
                      <w:bCs/>
                      <w:color w:val="auto"/>
                      <w:kern w:val="0"/>
                      <w:sz w:val="18"/>
                      <w:szCs w:val="18"/>
                      <w:lang w:val="de-DE" w:eastAsia="zh-CN"/>
                    </w:rPr>
                    <w:t>生态环境</w:t>
                  </w:r>
                  <w:r>
                    <w:rPr>
                      <w:rFonts w:hint="eastAsia"/>
                      <w:bCs/>
                      <w:color w:val="auto"/>
                      <w:kern w:val="0"/>
                      <w:sz w:val="18"/>
                      <w:szCs w:val="18"/>
                      <w:lang w:val="de-DE"/>
                    </w:rPr>
                    <w:t>局淄川分局</w:t>
                  </w:r>
                  <w:r>
                    <w:rPr>
                      <w:rFonts w:hint="eastAsia"/>
                      <w:bCs/>
                      <w:color w:val="auto"/>
                      <w:kern w:val="0"/>
                      <w:sz w:val="18"/>
                      <w:szCs w:val="18"/>
                      <w:lang w:val="en-US" w:eastAsia="zh-CN"/>
                    </w:rPr>
                    <w:t>202</w:t>
                  </w:r>
                  <w:r>
                    <w:rPr>
                      <w:rFonts w:hint="eastAsia"/>
                      <w:bCs/>
                      <w:color w:val="auto"/>
                      <w:kern w:val="0"/>
                      <w:sz w:val="18"/>
                      <w:szCs w:val="18"/>
                      <w:highlight w:val="none"/>
                      <w:lang w:val="en-US" w:eastAsia="zh-CN"/>
                    </w:rPr>
                    <w:t>0年4月23日</w:t>
                  </w:r>
                  <w:r>
                    <w:rPr>
                      <w:rFonts w:hint="eastAsia"/>
                      <w:bCs/>
                      <w:color w:val="auto"/>
                      <w:kern w:val="0"/>
                      <w:sz w:val="18"/>
                      <w:szCs w:val="18"/>
                      <w:lang w:val="en-US" w:eastAsia="zh-CN"/>
                    </w:rPr>
                    <w:t>出具审批意见（川环报告表</w:t>
                  </w:r>
                  <w:r>
                    <w:rPr>
                      <w:rFonts w:hint="eastAsia" w:eastAsiaTheme="minorEastAsia"/>
                      <w:kern w:val="0"/>
                      <w:sz w:val="18"/>
                      <w:szCs w:val="18"/>
                    </w:rPr>
                    <w:t>[20</w:t>
                  </w:r>
                  <w:r>
                    <w:rPr>
                      <w:rFonts w:hint="eastAsia" w:eastAsiaTheme="minorEastAsia"/>
                      <w:kern w:val="0"/>
                      <w:sz w:val="18"/>
                      <w:szCs w:val="18"/>
                      <w:lang w:val="en-US" w:eastAsia="zh-CN"/>
                    </w:rPr>
                    <w:t>2</w:t>
                  </w:r>
                  <w:r>
                    <w:rPr>
                      <w:rFonts w:hint="eastAsia" w:eastAsiaTheme="minorEastAsia"/>
                      <w:kern w:val="0"/>
                      <w:sz w:val="18"/>
                      <w:szCs w:val="18"/>
                    </w:rPr>
                    <w:t>0]</w:t>
                  </w:r>
                  <w:r>
                    <w:rPr>
                      <w:rFonts w:hint="eastAsia" w:eastAsiaTheme="minorEastAsia"/>
                      <w:kern w:val="0"/>
                      <w:sz w:val="18"/>
                      <w:szCs w:val="18"/>
                      <w:lang w:val="en-US" w:eastAsia="zh-CN"/>
                    </w:rPr>
                    <w:t>62</w:t>
                  </w:r>
                  <w:r>
                    <w:rPr>
                      <w:rFonts w:hint="eastAsia" w:eastAsiaTheme="minorEastAsia"/>
                      <w:kern w:val="0"/>
                      <w:sz w:val="18"/>
                      <w:szCs w:val="18"/>
                    </w:rPr>
                    <w:t>号</w:t>
                  </w:r>
                  <w:r>
                    <w:rPr>
                      <w:rFonts w:hint="eastAsia"/>
                      <w:bCs/>
                      <w:color w:val="auto"/>
                      <w:kern w:val="0"/>
                      <w:sz w:val="18"/>
                      <w:szCs w:val="18"/>
                      <w:lang w:val="en-US" w:eastAsia="zh-CN"/>
                    </w:rPr>
                    <w:t>）</w:t>
                  </w:r>
                </w:p>
              </w:tc>
              <w:tc>
                <w:tcPr>
                  <w:tcW w:w="2720" w:type="dxa"/>
                  <w:shd w:val="clear" w:color="auto" w:fill="auto"/>
                  <w:vAlign w:val="center"/>
                </w:tcPr>
                <w:p>
                  <w:pPr>
                    <w:spacing w:line="240" w:lineRule="exact"/>
                    <w:jc w:val="center"/>
                    <w:rPr>
                      <w:rFonts w:hint="default" w:ascii="宋体" w:hAnsi="宋体" w:eastAsia="宋体"/>
                      <w:color w:val="auto"/>
                      <w:sz w:val="18"/>
                      <w:szCs w:val="18"/>
                      <w:lang w:val="en-US" w:eastAsia="zh-CN"/>
                    </w:rPr>
                  </w:pPr>
                  <w:r>
                    <w:rPr>
                      <w:rFonts w:hint="eastAsia" w:ascii="宋体" w:hAnsi="宋体"/>
                      <w:color w:val="auto"/>
                      <w:sz w:val="18"/>
                      <w:szCs w:val="18"/>
                      <w:lang w:eastAsia="zh-CN"/>
                    </w:rPr>
                    <w:t>一期项目</w:t>
                  </w:r>
                  <w:r>
                    <w:rPr>
                      <w:rFonts w:hint="eastAsia" w:ascii="宋体" w:hAnsi="宋体"/>
                      <w:color w:val="auto"/>
                      <w:sz w:val="18"/>
                      <w:szCs w:val="18"/>
                      <w:lang w:val="en-US" w:eastAsia="zh-CN"/>
                    </w:rPr>
                    <w:t>2021年10月24日完成自主验收（产能为</w:t>
                  </w:r>
                  <w:r>
                    <w:rPr>
                      <w:rFonts w:hint="eastAsia" w:eastAsiaTheme="minorEastAsia"/>
                      <w:color w:val="000000" w:themeColor="text1"/>
                      <w:kern w:val="24"/>
                      <w:sz w:val="18"/>
                      <w:szCs w:val="18"/>
                      <w14:textFill>
                        <w14:solidFill>
                          <w14:schemeClr w14:val="tx1"/>
                        </w14:solidFill>
                      </w14:textFill>
                    </w:rPr>
                    <w:t>年产</w:t>
                  </w:r>
                  <w:r>
                    <w:rPr>
                      <w:rFonts w:hint="eastAsia" w:eastAsiaTheme="minorEastAsia"/>
                      <w:color w:val="000000" w:themeColor="text1"/>
                      <w:kern w:val="24"/>
                      <w:sz w:val="18"/>
                      <w:szCs w:val="18"/>
                      <w:lang w:val="en-US" w:eastAsia="zh-CN"/>
                      <w14:textFill>
                        <w14:solidFill>
                          <w14:schemeClr w14:val="tx1"/>
                        </w14:solidFill>
                      </w14:textFill>
                    </w:rPr>
                    <w:t>1</w:t>
                  </w:r>
                  <w:r>
                    <w:rPr>
                      <w:rFonts w:hint="eastAsia" w:eastAsiaTheme="minorEastAsia"/>
                      <w:color w:val="000000" w:themeColor="text1"/>
                      <w:kern w:val="24"/>
                      <w:sz w:val="18"/>
                      <w:szCs w:val="18"/>
                      <w14:textFill>
                        <w14:solidFill>
                          <w14:schemeClr w14:val="tx1"/>
                        </w14:solidFill>
                      </w14:textFill>
                    </w:rPr>
                    <w:t>0万平方米涤纶排管及电源连接线</w:t>
                  </w:r>
                  <w:r>
                    <w:rPr>
                      <w:rFonts w:hint="eastAsia" w:ascii="宋体" w:hAnsi="宋体"/>
                      <w:color w:val="auto"/>
                      <w:sz w:val="18"/>
                      <w:szCs w:val="18"/>
                      <w:lang w:val="en-US" w:eastAsia="zh-CN"/>
                    </w:rPr>
                    <w:t>）；二期项目未安装（产能为</w:t>
                  </w:r>
                  <w:r>
                    <w:rPr>
                      <w:rFonts w:hint="eastAsia" w:eastAsiaTheme="minorEastAsia"/>
                      <w:color w:val="000000" w:themeColor="text1"/>
                      <w:kern w:val="24"/>
                      <w:sz w:val="18"/>
                      <w:szCs w:val="18"/>
                      <w14:textFill>
                        <w14:solidFill>
                          <w14:schemeClr w14:val="tx1"/>
                        </w14:solidFill>
                      </w14:textFill>
                    </w:rPr>
                    <w:t>年产</w:t>
                  </w:r>
                  <w:r>
                    <w:rPr>
                      <w:rFonts w:hint="eastAsia" w:eastAsiaTheme="minorEastAsia"/>
                      <w:color w:val="000000" w:themeColor="text1"/>
                      <w:kern w:val="24"/>
                      <w:sz w:val="18"/>
                      <w:szCs w:val="18"/>
                      <w:lang w:val="en-US" w:eastAsia="zh-CN"/>
                      <w14:textFill>
                        <w14:solidFill>
                          <w14:schemeClr w14:val="tx1"/>
                        </w14:solidFill>
                      </w14:textFill>
                    </w:rPr>
                    <w:t>1</w:t>
                  </w:r>
                  <w:r>
                    <w:rPr>
                      <w:rFonts w:hint="eastAsia" w:eastAsiaTheme="minorEastAsia"/>
                      <w:color w:val="000000" w:themeColor="text1"/>
                      <w:kern w:val="24"/>
                      <w:sz w:val="18"/>
                      <w:szCs w:val="18"/>
                      <w14:textFill>
                        <w14:solidFill>
                          <w14:schemeClr w14:val="tx1"/>
                        </w14:solidFill>
                      </w14:textFill>
                    </w:rPr>
                    <w:t>0万平方米涤纶排管及电源连接线</w:t>
                  </w:r>
                  <w:r>
                    <w:rPr>
                      <w:rFonts w:hint="eastAsia" w:ascii="宋体" w:hAnsi="宋体"/>
                      <w:color w:val="auto"/>
                      <w:sz w:val="18"/>
                      <w:szCs w:val="18"/>
                      <w:lang w:val="en-US" w:eastAsia="zh-CN"/>
                    </w:rPr>
                    <w:t>）。</w:t>
                  </w:r>
                </w:p>
              </w:tc>
            </w:tr>
          </w:tbl>
          <w:p>
            <w:pPr>
              <w:spacing w:line="360" w:lineRule="auto"/>
              <w:ind w:firstLine="420" w:firstLineChars="200"/>
            </w:pPr>
            <w:r>
              <w:t>二、排污许可手续办理情况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sz w:val="21"/>
                <w:szCs w:val="21"/>
                <w:lang w:val="en-US" w:eastAsia="zh-CN"/>
              </w:rPr>
            </w:pPr>
            <w:r>
              <w:rPr>
                <w:rFonts w:hint="eastAsia"/>
                <w:bCs/>
                <w:kern w:val="0"/>
                <w:sz w:val="21"/>
                <w:szCs w:val="21"/>
                <w:lang w:val="de-DE" w:eastAsia="zh-CN"/>
              </w:rPr>
              <w:t>淄博龙昊电源科技有限公司于</w:t>
            </w:r>
            <w:r>
              <w:rPr>
                <w:rFonts w:hint="eastAsia"/>
                <w:bCs/>
                <w:kern w:val="0"/>
                <w:sz w:val="21"/>
                <w:szCs w:val="21"/>
                <w:lang w:val="en-US" w:eastAsia="zh-CN"/>
              </w:rPr>
              <w:t>2020年10月30日完成排污登记并取得排污登记回执（登记回执编号：</w:t>
            </w:r>
            <w:r>
              <w:rPr>
                <w:rFonts w:hint="eastAsia" w:ascii="Times New Roman" w:hAnsi="Times New Roman" w:eastAsia="宋体" w:cs="Times New Roman"/>
                <w:bCs/>
                <w:kern w:val="0"/>
                <w:sz w:val="21"/>
                <w:szCs w:val="21"/>
                <w:lang w:val="de-DE" w:eastAsia="zh-CN"/>
              </w:rPr>
              <w:t>91370302747806870Q001Y</w:t>
            </w:r>
            <w:r>
              <w:rPr>
                <w:rFonts w:hint="eastAsia"/>
                <w:bCs/>
                <w:kern w:val="0"/>
                <w:sz w:val="21"/>
                <w:szCs w:val="21"/>
                <w:lang w:val="en-US" w:eastAsia="zh-CN"/>
              </w:rPr>
              <w:t>）</w:t>
            </w:r>
            <w:r>
              <w:rPr>
                <w:rFonts w:hint="eastAsia"/>
                <w:bCs/>
                <w:kern w:val="0"/>
                <w:sz w:val="21"/>
                <w:szCs w:val="21"/>
                <w:lang w:val="de-DE" w:eastAsia="zh-CN"/>
              </w:rPr>
              <w:t>。</w:t>
            </w:r>
          </w:p>
          <w:p>
            <w:pPr>
              <w:spacing w:line="360" w:lineRule="auto"/>
              <w:ind w:firstLine="420" w:firstLineChars="200"/>
            </w:pPr>
            <w:r>
              <w:t>三、现有项目污染物产生及排放情况：</w:t>
            </w:r>
          </w:p>
          <w:p>
            <w:pPr>
              <w:spacing w:line="360" w:lineRule="auto"/>
              <w:ind w:firstLine="420" w:firstLineChars="200"/>
              <w:rPr>
                <w:rFonts w:hint="eastAsia" w:eastAsiaTheme="minorEastAsia"/>
                <w:lang w:eastAsia="zh-CN"/>
              </w:rPr>
            </w:pPr>
            <w:r>
              <w:rPr>
                <w:rFonts w:hint="eastAsia"/>
                <w:lang w:eastAsia="zh-CN"/>
              </w:rPr>
              <w:t>现</w:t>
            </w:r>
            <w:r>
              <w:rPr>
                <w:rFonts w:hint="eastAsia"/>
                <w:sz w:val="21"/>
                <w:szCs w:val="21"/>
                <w:lang w:eastAsia="zh-CN"/>
              </w:rPr>
              <w:t>有已建成项目为</w:t>
            </w:r>
            <w:r>
              <w:rPr>
                <w:rFonts w:hint="eastAsia" w:eastAsiaTheme="minorEastAsia"/>
                <w:color w:val="000000" w:themeColor="text1"/>
                <w:kern w:val="24"/>
                <w:sz w:val="21"/>
                <w:szCs w:val="21"/>
                <w14:textFill>
                  <w14:solidFill>
                    <w14:schemeClr w14:val="tx1"/>
                  </w14:solidFill>
                </w14:textFill>
              </w:rPr>
              <w:t>年产20万平方米涤纶排管及电源连接线项目</w:t>
            </w:r>
            <w:r>
              <w:rPr>
                <w:rFonts w:hint="eastAsia" w:eastAsiaTheme="minorEastAsia"/>
                <w:color w:val="000000" w:themeColor="text1"/>
                <w:kern w:val="24"/>
                <w:sz w:val="21"/>
                <w:szCs w:val="21"/>
                <w:lang w:eastAsia="zh-CN"/>
                <w14:textFill>
                  <w14:solidFill>
                    <w14:schemeClr w14:val="tx1"/>
                  </w14:solidFill>
                </w14:textFill>
              </w:rPr>
              <w:t>（一期），已停产，待搬迁。</w:t>
            </w:r>
          </w:p>
          <w:p>
            <w:pPr>
              <w:spacing w:line="360" w:lineRule="auto"/>
              <w:ind w:firstLine="420" w:firstLineChars="200"/>
            </w:pPr>
            <w:r>
              <w:t>1、废气</w:t>
            </w:r>
          </w:p>
          <w:p>
            <w:pPr>
              <w:spacing w:line="360" w:lineRule="auto"/>
              <w:ind w:firstLine="420" w:firstLineChars="200"/>
            </w:pPr>
            <w:r>
              <w:t>（1）废气排放达标情况分析</w:t>
            </w:r>
          </w:p>
          <w:p>
            <w:pPr>
              <w:spacing w:line="360" w:lineRule="auto"/>
              <w:ind w:firstLine="420" w:firstLineChars="200"/>
            </w:pPr>
            <w:r>
              <w:t>现有项目废气主要为有组织废气及无组织废气。</w:t>
            </w:r>
          </w:p>
          <w:p>
            <w:pPr>
              <w:spacing w:line="360" w:lineRule="auto"/>
              <w:ind w:firstLine="420" w:firstLineChars="200"/>
              <w:rPr>
                <w:rFonts w:hint="eastAsia"/>
                <w:lang w:eastAsia="zh-CN"/>
              </w:rPr>
            </w:pPr>
            <w:r>
              <w:t>有组织废气主要为</w:t>
            </w:r>
            <w:r>
              <w:rPr>
                <w:rFonts w:hint="eastAsia"/>
                <w:lang w:eastAsia="zh-CN"/>
              </w:rPr>
              <w:t>胶搅拌、涂胶、烘干、固化、切割及注塑工序产生的苯酚、甲醛、</w:t>
            </w:r>
            <w:r>
              <w:rPr>
                <w:rFonts w:hint="eastAsia"/>
                <w:lang w:val="en-US" w:eastAsia="zh-CN"/>
              </w:rPr>
              <w:t>VOCs及</w:t>
            </w:r>
            <w:r>
              <w:rPr>
                <w:rFonts w:hint="eastAsia"/>
                <w:lang w:eastAsia="zh-CN"/>
              </w:rPr>
              <w:t>注塑工序产生的</w:t>
            </w:r>
            <w:r>
              <w:rPr>
                <w:rFonts w:hint="eastAsia"/>
                <w:lang w:val="en-US" w:eastAsia="zh-CN"/>
              </w:rPr>
              <w:t>VOCs，经集气罩收集后经水喷淋+UV光氧催化装置处理，通过15m高P1排气筒有组织排放。</w:t>
            </w:r>
          </w:p>
          <w:p>
            <w:pPr>
              <w:spacing w:line="360" w:lineRule="auto"/>
              <w:ind w:firstLine="420" w:firstLineChars="200"/>
            </w:pPr>
            <w:r>
              <w:t>无组织废气主要为</w:t>
            </w:r>
            <w:r>
              <w:rPr>
                <w:rFonts w:hint="eastAsia"/>
                <w:lang w:eastAsia="zh-CN"/>
              </w:rPr>
              <w:t>集气罩未收集的苯酚、甲醛、</w:t>
            </w:r>
            <w:r>
              <w:rPr>
                <w:rFonts w:hint="eastAsia"/>
                <w:lang w:val="en-US" w:eastAsia="zh-CN"/>
              </w:rPr>
              <w:t>VOCs</w:t>
            </w:r>
            <w:r>
              <w:t>。</w:t>
            </w:r>
          </w:p>
          <w:p>
            <w:pPr>
              <w:spacing w:line="360" w:lineRule="auto"/>
              <w:ind w:firstLine="420" w:firstLineChars="200"/>
            </w:pPr>
            <w:r>
              <w:t>1）有组织废气</w:t>
            </w:r>
          </w:p>
          <w:p>
            <w:pPr>
              <w:spacing w:line="360" w:lineRule="auto"/>
              <w:ind w:firstLine="420" w:firstLineChars="200"/>
            </w:pPr>
            <w:r>
              <w:t>根据</w:t>
            </w:r>
            <w:r>
              <w:rPr>
                <w:rFonts w:hint="eastAsia"/>
                <w:lang w:eastAsia="zh-CN"/>
              </w:rPr>
              <w:t>山东方信环境</w:t>
            </w:r>
            <w:r>
              <w:t>检测有限公司202</w:t>
            </w:r>
            <w:r>
              <w:rPr>
                <w:rFonts w:hint="eastAsia"/>
                <w:lang w:val="en-US" w:eastAsia="zh-CN"/>
              </w:rPr>
              <w:t>1</w:t>
            </w:r>
            <w:r>
              <w:t>年</w:t>
            </w:r>
            <w:r>
              <w:rPr>
                <w:rFonts w:hint="eastAsia"/>
                <w:lang w:val="en-US" w:eastAsia="zh-CN"/>
              </w:rPr>
              <w:t>9</w:t>
            </w:r>
            <w:r>
              <w:t>月</w:t>
            </w:r>
            <w:r>
              <w:rPr>
                <w:rFonts w:hint="eastAsia"/>
                <w:lang w:val="en-US" w:eastAsia="zh-CN"/>
              </w:rPr>
              <w:t>29日</w:t>
            </w:r>
            <w:r>
              <w:t>出具的</w:t>
            </w:r>
            <w:r>
              <w:rPr>
                <w:sz w:val="21"/>
                <w:szCs w:val="21"/>
              </w:rPr>
              <w:t>《</w:t>
            </w:r>
            <w:r>
              <w:rPr>
                <w:rFonts w:hint="eastAsia"/>
                <w:bCs/>
                <w:kern w:val="0"/>
                <w:sz w:val="21"/>
                <w:szCs w:val="21"/>
                <w:lang w:val="de-DE" w:eastAsia="zh-CN"/>
              </w:rPr>
              <w:t>淄博市淄川龙昊电源器材厂验收检</w:t>
            </w:r>
            <w:r>
              <w:rPr>
                <w:rFonts w:hint="eastAsia" w:eastAsia="宋体"/>
                <w:lang w:eastAsia="zh-CN"/>
              </w:rPr>
              <w:t>测</w:t>
            </w:r>
            <w:r>
              <w:t>报告》（报告编号：</w:t>
            </w:r>
            <w:r>
              <w:rPr>
                <w:rFonts w:hint="eastAsia"/>
                <w:lang w:val="en-US" w:eastAsia="zh-CN"/>
              </w:rPr>
              <w:t>FXH2021090805</w:t>
            </w:r>
            <w:r>
              <w:t>），排气筒检测结果具体见表2-</w:t>
            </w:r>
            <w:r>
              <w:rPr>
                <w:rFonts w:hint="eastAsia"/>
                <w:lang w:val="en-US" w:eastAsia="zh-CN"/>
              </w:rPr>
              <w:t>7</w:t>
            </w:r>
            <w:r>
              <w:t>。</w:t>
            </w:r>
          </w:p>
          <w:p>
            <w:pPr>
              <w:spacing w:line="360" w:lineRule="auto"/>
              <w:ind w:firstLine="422" w:firstLineChars="200"/>
              <w:jc w:val="center"/>
              <w:rPr>
                <w:b/>
                <w:bCs/>
              </w:rPr>
            </w:pPr>
            <w:r>
              <w:rPr>
                <w:b/>
                <w:bCs/>
              </w:rPr>
              <w:t>表2-</w:t>
            </w:r>
            <w:r>
              <w:rPr>
                <w:rFonts w:hint="eastAsia"/>
                <w:b/>
                <w:bCs/>
                <w:lang w:val="en-US" w:eastAsia="zh-CN"/>
              </w:rPr>
              <w:t>7</w:t>
            </w:r>
            <w:r>
              <w:rPr>
                <w:b/>
                <w:bCs/>
              </w:rPr>
              <w:t xml:space="preserve"> 现有项目</w:t>
            </w:r>
            <w:r>
              <w:rPr>
                <w:rFonts w:hint="eastAsia"/>
                <w:b/>
                <w:bCs/>
                <w:lang w:val="en-US" w:eastAsia="zh-CN"/>
              </w:rPr>
              <w:t>1#排气筒</w:t>
            </w:r>
            <w:r>
              <w:rPr>
                <w:b/>
                <w:bCs/>
              </w:rPr>
              <w:t>例行检测结果</w:t>
            </w:r>
          </w:p>
          <w:tbl>
            <w:tblPr>
              <w:tblStyle w:val="86"/>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141"/>
              <w:gridCol w:w="1024"/>
              <w:gridCol w:w="1026"/>
              <w:gridCol w:w="1026"/>
              <w:gridCol w:w="963"/>
              <w:gridCol w:w="963"/>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tcBorders>
                    <w:top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检测点位</w:t>
                  </w:r>
                </w:p>
              </w:tc>
              <w:tc>
                <w:tcPr>
                  <w:tcW w:w="3076" w:type="dxa"/>
                  <w:gridSpan w:val="3"/>
                  <w:tcBorders>
                    <w:top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eastAsia="宋体" w:cs="Times New Roman"/>
                      <w:sz w:val="18"/>
                      <w:szCs w:val="18"/>
                      <w:lang w:val="en-US" w:eastAsia="zh-CN"/>
                    </w:rPr>
                    <w:t>#</w:t>
                  </w:r>
                  <w:r>
                    <w:rPr>
                      <w:rFonts w:ascii="Times New Roman" w:hAnsi="Times New Roman" w:eastAsia="宋体" w:cs="Times New Roman"/>
                      <w:sz w:val="18"/>
                      <w:szCs w:val="18"/>
                    </w:rPr>
                    <w:t>排气筒</w:t>
                  </w:r>
                  <w:r>
                    <w:rPr>
                      <w:rFonts w:hint="eastAsia" w:cs="Times New Roman"/>
                      <w:sz w:val="18"/>
                      <w:szCs w:val="18"/>
                      <w:lang w:eastAsia="zh-CN"/>
                    </w:rPr>
                    <w:t>出</w:t>
                  </w:r>
                  <w:r>
                    <w:rPr>
                      <w:rFonts w:ascii="Times New Roman" w:hAnsi="Times New Roman" w:eastAsia="宋体" w:cs="Times New Roman"/>
                      <w:sz w:val="18"/>
                      <w:szCs w:val="18"/>
                    </w:rPr>
                    <w:t>口</w:t>
                  </w:r>
                </w:p>
              </w:tc>
              <w:tc>
                <w:tcPr>
                  <w:tcW w:w="2890" w:type="dxa"/>
                  <w:gridSpan w:val="3"/>
                  <w:tcBorders>
                    <w:top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eastAsia="宋体" w:cs="Times New Roman"/>
                      <w:sz w:val="18"/>
                      <w:szCs w:val="18"/>
                      <w:lang w:val="en-US" w:eastAsia="zh-CN"/>
                    </w:rPr>
                    <w:t>#</w:t>
                  </w:r>
                  <w:r>
                    <w:rPr>
                      <w:rFonts w:ascii="Times New Roman" w:hAnsi="Times New Roman" w:eastAsia="宋体" w:cs="Times New Roman"/>
                      <w:sz w:val="18"/>
                      <w:szCs w:val="18"/>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vAlign w:val="center"/>
                </w:tcPr>
                <w:p>
                  <w:pPr>
                    <w:jc w:val="center"/>
                    <w:outlineLvl w:val="0"/>
                    <w:rPr>
                      <w:rFonts w:ascii="Times New Roman" w:hAnsi="Times New Roman" w:eastAsia="宋体" w:cs="Times New Roman"/>
                      <w:sz w:val="18"/>
                      <w:szCs w:val="18"/>
                    </w:rPr>
                  </w:pPr>
                  <w:r>
                    <w:rPr>
                      <w:rFonts w:hint="eastAsia" w:ascii="Times New Roman" w:hAnsi="Times New Roman" w:eastAsia="宋体" w:cs="Times New Roman"/>
                      <w:sz w:val="18"/>
                      <w:szCs w:val="18"/>
                    </w:rPr>
                    <w:t>检测</w:t>
                  </w:r>
                  <w:r>
                    <w:rPr>
                      <w:rFonts w:ascii="Times New Roman" w:hAnsi="Times New Roman" w:eastAsia="宋体" w:cs="Times New Roman"/>
                      <w:sz w:val="18"/>
                      <w:szCs w:val="18"/>
                    </w:rPr>
                    <w:t>日期</w:t>
                  </w:r>
                </w:p>
              </w:tc>
              <w:tc>
                <w:tcPr>
                  <w:tcW w:w="3076" w:type="dxa"/>
                  <w:gridSpan w:val="3"/>
                  <w:vAlign w:val="center"/>
                </w:tcPr>
                <w:p>
                  <w:pPr>
                    <w:jc w:val="center"/>
                    <w:outlineLvl w:val="0"/>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202</w:t>
                  </w:r>
                  <w:r>
                    <w:rPr>
                      <w:rFonts w:hint="eastAsia" w:cs="Times New Roman"/>
                      <w:sz w:val="18"/>
                      <w:szCs w:val="18"/>
                      <w:lang w:val="en-US" w:eastAsia="zh-CN"/>
                    </w:rPr>
                    <w:t>1.09.09</w:t>
                  </w:r>
                </w:p>
              </w:tc>
              <w:tc>
                <w:tcPr>
                  <w:tcW w:w="2890" w:type="dxa"/>
                  <w:gridSpan w:val="3"/>
                  <w:vAlign w:val="center"/>
                </w:tcPr>
                <w:p>
                  <w:pPr>
                    <w:jc w:val="center"/>
                    <w:outlineLvl w:val="0"/>
                    <w:rPr>
                      <w:rFonts w:hint="default" w:ascii="Times New Roman" w:hAnsi="Times New Roman" w:eastAsia="宋体" w:cs="Times New Roman"/>
                      <w:sz w:val="18"/>
                      <w:szCs w:val="18"/>
                      <w:lang w:val="en-US" w:eastAsia="zh-CN"/>
                    </w:rPr>
                  </w:pPr>
                  <w:r>
                    <w:rPr>
                      <w:rFonts w:ascii="Times New Roman" w:hAnsi="Times New Roman" w:eastAsia="宋体" w:cs="Times New Roman"/>
                      <w:sz w:val="18"/>
                      <w:szCs w:val="18"/>
                    </w:rPr>
                    <w:t>202</w:t>
                  </w:r>
                  <w:r>
                    <w:rPr>
                      <w:rFonts w:hint="eastAsia" w:cs="Times New Roman"/>
                      <w:sz w:val="18"/>
                      <w:szCs w:val="18"/>
                      <w:lang w:val="en-US" w:eastAsia="zh-CN"/>
                    </w:rPr>
                    <w:t>1.09.10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内径</w:t>
                  </w:r>
                  <w:r>
                    <w:rPr>
                      <w:rFonts w:hint="eastAsia" w:ascii="Times New Roman" w:hAnsi="Times New Roman" w:eastAsia="宋体" w:cs="Times New Roman"/>
                      <w:sz w:val="18"/>
                      <w:szCs w:val="18"/>
                    </w:rPr>
                    <w:t>（m）</w:t>
                  </w:r>
                </w:p>
              </w:tc>
              <w:tc>
                <w:tcPr>
                  <w:tcW w:w="3076" w:type="dxa"/>
                  <w:gridSpan w:val="3"/>
                  <w:vAlign w:val="center"/>
                </w:tcPr>
                <w:p>
                  <w:pPr>
                    <w:jc w:val="center"/>
                    <w:outlineLvl w:val="0"/>
                    <w:rPr>
                      <w:rFonts w:hint="eastAsia" w:ascii="Times New Roman" w:hAnsi="Times New Roman" w:eastAsia="宋体" w:cs="Times New Roman"/>
                      <w:sz w:val="18"/>
                      <w:szCs w:val="18"/>
                      <w:lang w:eastAsia="zh-CN"/>
                    </w:rPr>
                  </w:pPr>
                  <w:r>
                    <w:rPr>
                      <w:rFonts w:ascii="Times New Roman" w:hAnsi="Times New Roman" w:eastAsia="宋体" w:cs="Times New Roman"/>
                      <w:sz w:val="18"/>
                      <w:szCs w:val="18"/>
                    </w:rPr>
                    <w:t>0.</w:t>
                  </w:r>
                  <w:r>
                    <w:rPr>
                      <w:rFonts w:hint="eastAsia" w:cs="Times New Roman"/>
                      <w:sz w:val="18"/>
                      <w:szCs w:val="18"/>
                      <w:lang w:val="en-US" w:eastAsia="zh-CN"/>
                    </w:rPr>
                    <w:t>4</w:t>
                  </w:r>
                </w:p>
              </w:tc>
              <w:tc>
                <w:tcPr>
                  <w:tcW w:w="2890" w:type="dxa"/>
                  <w:gridSpan w:val="3"/>
                  <w:vAlign w:val="center"/>
                </w:tcPr>
                <w:p>
                  <w:pPr>
                    <w:jc w:val="center"/>
                    <w:outlineLvl w:val="0"/>
                    <w:rPr>
                      <w:rFonts w:hint="eastAsia" w:ascii="Times New Roman" w:hAnsi="Times New Roman" w:eastAsia="宋体" w:cs="Times New Roman"/>
                      <w:sz w:val="18"/>
                      <w:szCs w:val="18"/>
                      <w:lang w:eastAsia="zh-CN"/>
                    </w:rPr>
                  </w:pPr>
                  <w:r>
                    <w:rPr>
                      <w:rFonts w:ascii="Times New Roman" w:hAnsi="Times New Roman" w:eastAsia="宋体" w:cs="Times New Roman"/>
                      <w:sz w:val="18"/>
                      <w:szCs w:val="18"/>
                    </w:rPr>
                    <w:t>0.</w:t>
                  </w:r>
                  <w:r>
                    <w:rPr>
                      <w:rFonts w:hint="eastAsia" w:cs="Times New Roman"/>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高度</w:t>
                  </w:r>
                  <w:r>
                    <w:rPr>
                      <w:rFonts w:hint="eastAsia" w:ascii="Times New Roman" w:hAnsi="Times New Roman" w:eastAsia="宋体" w:cs="Times New Roman"/>
                      <w:sz w:val="18"/>
                      <w:szCs w:val="18"/>
                    </w:rPr>
                    <w:t>（m）</w:t>
                  </w:r>
                </w:p>
              </w:tc>
              <w:tc>
                <w:tcPr>
                  <w:tcW w:w="3076" w:type="dxa"/>
                  <w:gridSpan w:val="3"/>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w:t>
                  </w:r>
                </w:p>
              </w:tc>
              <w:tc>
                <w:tcPr>
                  <w:tcW w:w="2890" w:type="dxa"/>
                  <w:gridSpan w:val="3"/>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检测频次</w:t>
                  </w:r>
                </w:p>
              </w:tc>
              <w:tc>
                <w:tcPr>
                  <w:tcW w:w="1024" w:type="dxa"/>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第一次</w:t>
                  </w:r>
                </w:p>
              </w:tc>
              <w:tc>
                <w:tcPr>
                  <w:tcW w:w="1026" w:type="dxa"/>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第二次</w:t>
                  </w:r>
                </w:p>
              </w:tc>
              <w:tc>
                <w:tcPr>
                  <w:tcW w:w="1026" w:type="dxa"/>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第三次</w:t>
                  </w:r>
                </w:p>
              </w:tc>
              <w:tc>
                <w:tcPr>
                  <w:tcW w:w="963" w:type="dxa"/>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第一次</w:t>
                  </w:r>
                </w:p>
              </w:tc>
              <w:tc>
                <w:tcPr>
                  <w:tcW w:w="963" w:type="dxa"/>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第二次</w:t>
                  </w:r>
                </w:p>
              </w:tc>
              <w:tc>
                <w:tcPr>
                  <w:tcW w:w="964" w:type="dxa"/>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vAlign w:val="center"/>
                </w:tcPr>
                <w:p>
                  <w:pPr>
                    <w:jc w:val="center"/>
                    <w:outlineLvl w:val="0"/>
                    <w:rPr>
                      <w:rFonts w:ascii="Times New Roman" w:hAnsi="Times New Roman" w:eastAsia="宋体" w:cs="Times New Roman"/>
                      <w:sz w:val="18"/>
                      <w:szCs w:val="18"/>
                    </w:rPr>
                  </w:pPr>
                  <w:r>
                    <w:rPr>
                      <w:rFonts w:hint="eastAsia" w:cs="Times New Roman"/>
                      <w:sz w:val="18"/>
                      <w:szCs w:val="18"/>
                      <w:lang w:eastAsia="zh-CN"/>
                    </w:rPr>
                    <w:t>烟温</w:t>
                  </w:r>
                  <w:r>
                    <w:rPr>
                      <w:rFonts w:ascii="Times New Roman" w:hAnsi="Times New Roman" w:eastAsia="宋体" w:cs="Times New Roman"/>
                      <w:sz w:val="18"/>
                      <w:szCs w:val="18"/>
                    </w:rPr>
                    <w:t>（℃）</w:t>
                  </w:r>
                </w:p>
              </w:tc>
              <w:tc>
                <w:tcPr>
                  <w:tcW w:w="1024"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29</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27</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30</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32</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33</w:t>
                  </w:r>
                </w:p>
              </w:tc>
              <w:tc>
                <w:tcPr>
                  <w:tcW w:w="964"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tcBorders>
                    <w:bottom w:val="single" w:color="auto" w:sz="4" w:space="0"/>
                  </w:tcBorders>
                  <w:vAlign w:val="center"/>
                </w:tcPr>
                <w:p>
                  <w:pPr>
                    <w:jc w:val="center"/>
                    <w:outlineLvl w:val="0"/>
                    <w:rPr>
                      <w:rFonts w:ascii="Times New Roman" w:hAnsi="Times New Roman" w:eastAsia="宋体" w:cs="Times New Roman"/>
                      <w:sz w:val="18"/>
                      <w:szCs w:val="18"/>
                    </w:rPr>
                  </w:pPr>
                  <w:r>
                    <w:rPr>
                      <w:rFonts w:hint="eastAsia" w:cs="Times New Roman"/>
                      <w:sz w:val="18"/>
                      <w:szCs w:val="18"/>
                      <w:lang w:eastAsia="zh-CN"/>
                    </w:rPr>
                    <w:t>废气量</w:t>
                  </w:r>
                  <w:r>
                    <w:rPr>
                      <w:rFonts w:ascii="Times New Roman" w:hAnsi="Times New Roman" w:eastAsia="宋体" w:cs="Times New Roman"/>
                      <w:sz w:val="18"/>
                      <w:szCs w:val="18"/>
                    </w:rPr>
                    <w:t>（m³/h）</w:t>
                  </w:r>
                </w:p>
              </w:tc>
              <w:tc>
                <w:tcPr>
                  <w:tcW w:w="1024"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5921</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5703</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5426</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5815</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5883</w:t>
                  </w:r>
                </w:p>
              </w:tc>
              <w:tc>
                <w:tcPr>
                  <w:tcW w:w="964"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0"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甲醛</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实测浓度（mg/m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w:t>
                  </w:r>
                </w:p>
              </w:tc>
              <w:tc>
                <w:tcPr>
                  <w:tcW w:w="1024" w:type="dxa"/>
                  <w:tcBorders>
                    <w:left w:val="single" w:color="auto" w:sz="4" w:space="0"/>
                  </w:tcBorders>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0.88</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0.92</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0.97</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0.85</w:t>
                  </w:r>
                </w:p>
              </w:tc>
              <w:tc>
                <w:tcPr>
                  <w:tcW w:w="963"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0.89</w:t>
                  </w:r>
                </w:p>
              </w:tc>
              <w:tc>
                <w:tcPr>
                  <w:tcW w:w="964"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0"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甲醛</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排放速率（kg/h）</w:t>
                  </w:r>
                </w:p>
              </w:tc>
              <w:tc>
                <w:tcPr>
                  <w:tcW w:w="1024" w:type="dxa"/>
                  <w:tcBorders>
                    <w:left w:val="single" w:color="auto" w:sz="4" w:space="0"/>
                  </w:tcBorders>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0.00521</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0.00525</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0.00526</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0.00494</w:t>
                  </w:r>
                </w:p>
              </w:tc>
              <w:tc>
                <w:tcPr>
                  <w:tcW w:w="963"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0.00524</w:t>
                  </w:r>
                </w:p>
              </w:tc>
              <w:tc>
                <w:tcPr>
                  <w:tcW w:w="964"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0" w:type="dxa"/>
                  <w:tcBorders>
                    <w:top w:val="single" w:color="auto" w:sz="4" w:space="0"/>
                    <w:left w:val="single" w:color="auto" w:sz="4" w:space="0"/>
                    <w:bottom w:val="single" w:color="auto" w:sz="4" w:space="0"/>
                    <w:right w:val="single" w:color="auto" w:sz="4" w:space="0"/>
                  </w:tcBorders>
                  <w:vAlign w:val="center"/>
                </w:tcPr>
                <w:p>
                  <w:pPr>
                    <w:jc w:val="center"/>
                    <w:outlineLvl w:val="0"/>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酚类化合物</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实测浓度（mg/m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w:t>
                  </w:r>
                </w:p>
              </w:tc>
              <w:tc>
                <w:tcPr>
                  <w:tcW w:w="1024" w:type="dxa"/>
                  <w:tcBorders>
                    <w:left w:val="single" w:color="auto" w:sz="4" w:space="0"/>
                  </w:tcBorders>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1.02</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1.15</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1.03</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0.91</w:t>
                  </w:r>
                </w:p>
              </w:tc>
              <w:tc>
                <w:tcPr>
                  <w:tcW w:w="963"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0.96</w:t>
                  </w:r>
                </w:p>
              </w:tc>
              <w:tc>
                <w:tcPr>
                  <w:tcW w:w="964"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0"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酚类化合物</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排放速率（kg/h）</w:t>
                  </w:r>
                </w:p>
              </w:tc>
              <w:tc>
                <w:tcPr>
                  <w:tcW w:w="1024" w:type="dxa"/>
                  <w:tcBorders>
                    <w:left w:val="single" w:color="auto" w:sz="4" w:space="0"/>
                  </w:tcBorders>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0.00604</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0.00656</w:t>
                  </w:r>
                </w:p>
              </w:tc>
              <w:tc>
                <w:tcPr>
                  <w:tcW w:w="1026" w:type="dxa"/>
                  <w:vAlign w:val="center"/>
                </w:tcPr>
                <w:p>
                  <w:pPr>
                    <w:jc w:val="center"/>
                    <w:rPr>
                      <w:rFonts w:hint="default" w:eastAsia="宋体"/>
                      <w:sz w:val="18"/>
                      <w:szCs w:val="18"/>
                      <w:lang w:val="en-US" w:eastAsia="zh-CN"/>
                    </w:rPr>
                  </w:pPr>
                  <w:r>
                    <w:rPr>
                      <w:rFonts w:hint="eastAsia"/>
                      <w:sz w:val="18"/>
                      <w:szCs w:val="18"/>
                      <w:lang w:val="en-US" w:eastAsia="zh-CN"/>
                    </w:rPr>
                    <w:t>0.00559</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0.00529</w:t>
                  </w:r>
                </w:p>
              </w:tc>
              <w:tc>
                <w:tcPr>
                  <w:tcW w:w="963"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0.00565</w:t>
                  </w:r>
                </w:p>
              </w:tc>
              <w:tc>
                <w:tcPr>
                  <w:tcW w:w="964" w:type="dxa"/>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hint="eastAsia" w:cs="Times New Roman"/>
                      <w:sz w:val="18"/>
                      <w:szCs w:val="18"/>
                      <w:lang w:eastAsia="zh-CN"/>
                    </w:rPr>
                    <w:t>烟温</w:t>
                  </w:r>
                  <w:r>
                    <w:rPr>
                      <w:rFonts w:ascii="Times New Roman" w:hAnsi="Times New Roman" w:eastAsia="宋体" w:cs="Times New Roman"/>
                      <w:sz w:val="18"/>
                      <w:szCs w:val="18"/>
                    </w:rPr>
                    <w:t>（℃）</w:t>
                  </w:r>
                </w:p>
              </w:tc>
              <w:tc>
                <w:tcPr>
                  <w:tcW w:w="1024" w:type="dxa"/>
                  <w:tcBorders>
                    <w:left w:val="single" w:color="auto" w:sz="4" w:space="0"/>
                  </w:tcBorders>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29</w:t>
                  </w:r>
                </w:p>
              </w:tc>
              <w:tc>
                <w:tcPr>
                  <w:tcW w:w="1026"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29</w:t>
                  </w:r>
                </w:p>
              </w:tc>
              <w:tc>
                <w:tcPr>
                  <w:tcW w:w="1026"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29</w:t>
                  </w:r>
                </w:p>
              </w:tc>
              <w:tc>
                <w:tcPr>
                  <w:tcW w:w="963"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32</w:t>
                  </w:r>
                </w:p>
              </w:tc>
              <w:tc>
                <w:tcPr>
                  <w:tcW w:w="963"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32</w:t>
                  </w:r>
                </w:p>
              </w:tc>
              <w:tc>
                <w:tcPr>
                  <w:tcW w:w="964"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81" w:type="dxa"/>
                  <w:gridSpan w:val="2"/>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hint="eastAsia" w:cs="Times New Roman"/>
                      <w:sz w:val="18"/>
                      <w:szCs w:val="18"/>
                      <w:lang w:eastAsia="zh-CN"/>
                    </w:rPr>
                    <w:t>废气量</w:t>
                  </w:r>
                  <w:r>
                    <w:rPr>
                      <w:rFonts w:ascii="Times New Roman" w:hAnsi="Times New Roman" w:eastAsia="宋体" w:cs="Times New Roman"/>
                      <w:sz w:val="18"/>
                      <w:szCs w:val="18"/>
                    </w:rPr>
                    <w:t>（m³/h）</w:t>
                  </w:r>
                </w:p>
              </w:tc>
              <w:tc>
                <w:tcPr>
                  <w:tcW w:w="1024" w:type="dxa"/>
                  <w:tcBorders>
                    <w:left w:val="single" w:color="auto" w:sz="4" w:space="0"/>
                  </w:tcBorders>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5709</w:t>
                  </w:r>
                </w:p>
              </w:tc>
              <w:tc>
                <w:tcPr>
                  <w:tcW w:w="1026"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5574</w:t>
                  </w:r>
                </w:p>
              </w:tc>
              <w:tc>
                <w:tcPr>
                  <w:tcW w:w="1026"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5598</w:t>
                  </w:r>
                </w:p>
              </w:tc>
              <w:tc>
                <w:tcPr>
                  <w:tcW w:w="963"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5682</w:t>
                  </w:r>
                </w:p>
              </w:tc>
              <w:tc>
                <w:tcPr>
                  <w:tcW w:w="963"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5595</w:t>
                  </w:r>
                </w:p>
              </w:tc>
              <w:tc>
                <w:tcPr>
                  <w:tcW w:w="964" w:type="dxa"/>
                  <w:vAlign w:val="center"/>
                </w:tcPr>
                <w:p>
                  <w:pPr>
                    <w:jc w:val="center"/>
                    <w:outlineLvl w:val="0"/>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ascii="Times New Roman" w:hAnsi="Times New Roman" w:cs="Times New Roman"/>
                      <w:sz w:val="18"/>
                      <w:szCs w:val="18"/>
                    </w:rPr>
                    <w:t>VOCs（以非甲烷总烃计）</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实测浓度（mg/m</w:t>
                  </w:r>
                  <w:r>
                    <w:rPr>
                      <w:rFonts w:ascii="Times New Roman" w:hAnsi="Times New Roman" w:eastAsia="宋体" w:cs="Times New Roman"/>
                      <w:sz w:val="18"/>
                      <w:szCs w:val="18"/>
                      <w:vertAlign w:val="superscript"/>
                    </w:rPr>
                    <w:t>3</w:t>
                  </w:r>
                  <w:r>
                    <w:rPr>
                      <w:rFonts w:ascii="Times New Roman" w:hAnsi="Times New Roman" w:eastAsia="宋体" w:cs="Times New Roman"/>
                      <w:sz w:val="18"/>
                      <w:szCs w:val="18"/>
                    </w:rPr>
                    <w:t>）</w:t>
                  </w:r>
                </w:p>
              </w:tc>
              <w:tc>
                <w:tcPr>
                  <w:tcW w:w="1024" w:type="dxa"/>
                  <w:tcBorders>
                    <w:left w:val="single" w:color="auto" w:sz="4" w:space="0"/>
                  </w:tcBorders>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5.01</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4.85</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4.86</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4.76</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4.94</w:t>
                  </w:r>
                </w:p>
              </w:tc>
              <w:tc>
                <w:tcPr>
                  <w:tcW w:w="964"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40"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ascii="Times New Roman" w:hAnsi="Times New Roman" w:cs="Times New Roman"/>
                      <w:sz w:val="18"/>
                      <w:szCs w:val="18"/>
                    </w:rPr>
                    <w:t>VOCs（以非甲烷总烃计）</w:t>
                  </w:r>
                </w:p>
              </w:tc>
              <w:tc>
                <w:tcPr>
                  <w:tcW w:w="1141" w:type="dxa"/>
                  <w:tcBorders>
                    <w:top w:val="single" w:color="auto" w:sz="4" w:space="0"/>
                    <w:left w:val="single" w:color="auto" w:sz="4" w:space="0"/>
                    <w:bottom w:val="single" w:color="auto" w:sz="4" w:space="0"/>
                    <w:right w:val="single" w:color="auto" w:sz="4" w:space="0"/>
                  </w:tcBorders>
                  <w:vAlign w:val="center"/>
                </w:tcPr>
                <w:p>
                  <w:pPr>
                    <w:jc w:val="center"/>
                    <w:outlineLvl w:val="0"/>
                    <w:rPr>
                      <w:rFonts w:ascii="Times New Roman" w:hAnsi="Times New Roman" w:eastAsia="宋体" w:cs="Times New Roman"/>
                      <w:sz w:val="18"/>
                      <w:szCs w:val="18"/>
                    </w:rPr>
                  </w:pPr>
                  <w:r>
                    <w:rPr>
                      <w:rFonts w:ascii="Times New Roman" w:hAnsi="Times New Roman" w:eastAsia="宋体" w:cs="Times New Roman"/>
                      <w:sz w:val="18"/>
                      <w:szCs w:val="18"/>
                    </w:rPr>
                    <w:t>排放速率（kg/h）</w:t>
                  </w:r>
                </w:p>
              </w:tc>
              <w:tc>
                <w:tcPr>
                  <w:tcW w:w="1024" w:type="dxa"/>
                  <w:tcBorders>
                    <w:left w:val="single" w:color="auto" w:sz="4" w:space="0"/>
                  </w:tcBorders>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0.0286</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0.027</w:t>
                  </w:r>
                </w:p>
              </w:tc>
              <w:tc>
                <w:tcPr>
                  <w:tcW w:w="1026"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0.0272</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0.027</w:t>
                  </w:r>
                </w:p>
              </w:tc>
              <w:tc>
                <w:tcPr>
                  <w:tcW w:w="963"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0.0276</w:t>
                  </w:r>
                </w:p>
              </w:tc>
              <w:tc>
                <w:tcPr>
                  <w:tcW w:w="964" w:type="dxa"/>
                  <w:vAlign w:val="center"/>
                </w:tcPr>
                <w:p>
                  <w:pPr>
                    <w:jc w:val="center"/>
                    <w:outlineLvl w:val="0"/>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0.0288</w:t>
                  </w:r>
                </w:p>
              </w:tc>
            </w:tr>
          </w:tbl>
          <w:p>
            <w:pPr>
              <w:tabs>
                <w:tab w:val="left" w:pos="1680"/>
              </w:tabs>
              <w:spacing w:line="360" w:lineRule="auto"/>
              <w:ind w:firstLine="420" w:firstLineChars="200"/>
              <w:rPr>
                <w:rFonts w:eastAsiaTheme="minorEastAsia"/>
                <w:sz w:val="21"/>
                <w:szCs w:val="21"/>
              </w:rPr>
            </w:pPr>
            <w:r>
              <w:rPr>
                <w:rFonts w:hint="eastAsia" w:eastAsiaTheme="minorEastAsia"/>
                <w:sz w:val="21"/>
                <w:szCs w:val="21"/>
                <w:lang w:eastAsia="zh-CN"/>
              </w:rPr>
              <w:t>根据以上检测数据</w:t>
            </w:r>
            <w:r>
              <w:rPr>
                <w:rFonts w:hint="eastAsia" w:eastAsiaTheme="minorEastAsia"/>
                <w:sz w:val="21"/>
                <w:szCs w:val="21"/>
              </w:rPr>
              <w:t>，</w:t>
            </w:r>
            <w:r>
              <w:rPr>
                <w:rFonts w:hint="eastAsia" w:eastAsiaTheme="minorEastAsia"/>
                <w:sz w:val="21"/>
                <w:szCs w:val="21"/>
                <w:lang w:eastAsia="zh-CN"/>
              </w:rPr>
              <w:t>现有</w:t>
            </w:r>
            <w:r>
              <w:rPr>
                <w:rFonts w:hint="eastAsia" w:eastAsiaTheme="minorEastAsia"/>
                <w:sz w:val="21"/>
                <w:szCs w:val="21"/>
              </w:rPr>
              <w:t>项目排气筒污染物中</w:t>
            </w:r>
            <w:r>
              <w:rPr>
                <w:rFonts w:hint="eastAsia" w:eastAsiaTheme="minorEastAsia"/>
                <w:sz w:val="21"/>
                <w:szCs w:val="21"/>
                <w:lang w:eastAsia="zh-CN"/>
              </w:rPr>
              <w:t>甲醛、酚类化合物、</w:t>
            </w:r>
            <w:r>
              <w:rPr>
                <w:rFonts w:hint="eastAsia" w:eastAsiaTheme="minorEastAsia"/>
                <w:sz w:val="21"/>
                <w:szCs w:val="21"/>
                <w:lang w:val="en-US" w:eastAsia="zh-CN"/>
              </w:rPr>
              <w:t>VOCs</w:t>
            </w:r>
            <w:r>
              <w:rPr>
                <w:rFonts w:hint="eastAsia" w:eastAsiaTheme="minorEastAsia"/>
                <w:sz w:val="21"/>
                <w:szCs w:val="21"/>
              </w:rPr>
              <w:t>排放浓度</w:t>
            </w:r>
            <w:r>
              <w:rPr>
                <w:rFonts w:hint="eastAsia" w:eastAsiaTheme="minorEastAsia"/>
                <w:sz w:val="21"/>
                <w:szCs w:val="21"/>
                <w:lang w:eastAsia="zh-CN"/>
              </w:rPr>
              <w:t>及排放速率</w:t>
            </w:r>
            <w:r>
              <w:rPr>
                <w:rFonts w:hint="eastAsia" w:eastAsiaTheme="minorEastAsia"/>
                <w:sz w:val="21"/>
                <w:szCs w:val="21"/>
              </w:rPr>
              <w:t>满足</w:t>
            </w:r>
            <w:r>
              <w:rPr>
                <w:sz w:val="21"/>
                <w:szCs w:val="21"/>
              </w:rPr>
              <w:t>《</w:t>
            </w:r>
            <w:r>
              <w:rPr>
                <w:rFonts w:hint="eastAsia"/>
                <w:bCs/>
                <w:sz w:val="21"/>
                <w:szCs w:val="21"/>
                <w:lang w:eastAsia="zh-CN"/>
              </w:rPr>
              <w:t>挥发性有机物排放标准</w:t>
            </w:r>
            <w:r>
              <w:rPr>
                <w:rFonts w:hint="eastAsia"/>
                <w:bCs/>
                <w:sz w:val="21"/>
                <w:szCs w:val="21"/>
                <w:lang w:val="en-US" w:eastAsia="zh-CN"/>
              </w:rPr>
              <w:t xml:space="preserve"> 第6部分：有机化工行业</w:t>
            </w:r>
            <w:r>
              <w:rPr>
                <w:bCs/>
                <w:sz w:val="21"/>
                <w:szCs w:val="21"/>
              </w:rPr>
              <w:t>》（</w:t>
            </w:r>
            <w:r>
              <w:rPr>
                <w:rFonts w:hint="eastAsia"/>
                <w:bCs/>
                <w:sz w:val="21"/>
                <w:szCs w:val="21"/>
              </w:rPr>
              <w:t>DB37/ 2</w:t>
            </w:r>
            <w:r>
              <w:rPr>
                <w:rFonts w:hint="eastAsia"/>
                <w:bCs/>
                <w:sz w:val="21"/>
                <w:szCs w:val="21"/>
                <w:lang w:val="en-US" w:eastAsia="zh-CN"/>
              </w:rPr>
              <w:t>801.6</w:t>
            </w:r>
            <w:r>
              <w:rPr>
                <w:rFonts w:hint="eastAsia"/>
                <w:bCs/>
                <w:sz w:val="21"/>
                <w:szCs w:val="21"/>
              </w:rPr>
              <w:t>—2018</w:t>
            </w:r>
            <w:r>
              <w:rPr>
                <w:bCs/>
                <w:sz w:val="21"/>
                <w:szCs w:val="21"/>
              </w:rPr>
              <w:t>）</w:t>
            </w:r>
            <w:r>
              <w:rPr>
                <w:sz w:val="21"/>
                <w:szCs w:val="21"/>
              </w:rPr>
              <w:t>表</w:t>
            </w:r>
            <w:r>
              <w:rPr>
                <w:rFonts w:hint="eastAsia"/>
                <w:sz w:val="21"/>
                <w:szCs w:val="21"/>
                <w:lang w:val="en-US" w:eastAsia="zh-CN"/>
              </w:rPr>
              <w:t>1、表2</w:t>
            </w:r>
            <w:r>
              <w:rPr>
                <w:sz w:val="21"/>
                <w:szCs w:val="21"/>
              </w:rPr>
              <w:t>中标准</w:t>
            </w:r>
            <w:r>
              <w:rPr>
                <w:rFonts w:hint="eastAsia"/>
                <w:sz w:val="21"/>
                <w:szCs w:val="21"/>
                <w:lang w:eastAsia="zh-CN"/>
              </w:rPr>
              <w:t>限值要求及《大气污染物综合排放标准》（</w:t>
            </w:r>
            <w:r>
              <w:rPr>
                <w:rFonts w:hint="eastAsia"/>
                <w:sz w:val="21"/>
                <w:szCs w:val="21"/>
                <w:lang w:val="en-US" w:eastAsia="zh-CN"/>
              </w:rPr>
              <w:t>GB16297-1996</w:t>
            </w:r>
            <w:r>
              <w:rPr>
                <w:rFonts w:hint="eastAsia"/>
                <w:sz w:val="21"/>
                <w:szCs w:val="21"/>
                <w:lang w:eastAsia="zh-CN"/>
              </w:rPr>
              <w:t>）表</w:t>
            </w:r>
            <w:r>
              <w:rPr>
                <w:rFonts w:hint="eastAsia"/>
                <w:sz w:val="21"/>
                <w:szCs w:val="21"/>
                <w:lang w:val="en-US" w:eastAsia="zh-CN"/>
              </w:rPr>
              <w:t>2中排放速率限值要求</w:t>
            </w:r>
            <w:r>
              <w:rPr>
                <w:rFonts w:hint="eastAsia"/>
                <w:sz w:val="21"/>
                <w:szCs w:val="21"/>
                <w:lang w:eastAsia="zh-CN"/>
              </w:rPr>
              <w:t>（甲醛：</w:t>
            </w:r>
            <w:r>
              <w:rPr>
                <w:rFonts w:hint="eastAsia"/>
                <w:sz w:val="21"/>
                <w:szCs w:val="21"/>
                <w:lang w:val="en-US" w:eastAsia="zh-CN"/>
              </w:rPr>
              <w:t>5</w:t>
            </w:r>
            <w:r>
              <w:rPr>
                <w:rFonts w:hint="eastAsia"/>
                <w:sz w:val="21"/>
                <w:szCs w:val="21"/>
              </w:rPr>
              <w:t>mg/m</w:t>
            </w:r>
            <w:r>
              <w:rPr>
                <w:rFonts w:hint="eastAsia"/>
                <w:sz w:val="21"/>
                <w:szCs w:val="21"/>
                <w:vertAlign w:val="superscript"/>
              </w:rPr>
              <w:t>3</w:t>
            </w:r>
            <w:r>
              <w:rPr>
                <w:rFonts w:hint="eastAsia"/>
                <w:sz w:val="21"/>
                <w:szCs w:val="21"/>
              </w:rPr>
              <w:t>，</w:t>
            </w:r>
            <w:r>
              <w:rPr>
                <w:rFonts w:hint="eastAsia"/>
                <w:sz w:val="21"/>
                <w:szCs w:val="21"/>
                <w:lang w:val="en-US" w:eastAsia="zh-CN"/>
              </w:rPr>
              <w:t>0.26kg/h；</w:t>
            </w:r>
            <w:r>
              <w:rPr>
                <w:rFonts w:hint="eastAsia"/>
                <w:sz w:val="21"/>
                <w:szCs w:val="21"/>
                <w:lang w:eastAsia="zh-CN"/>
              </w:rPr>
              <w:t>酚类化合物：</w:t>
            </w:r>
            <w:r>
              <w:rPr>
                <w:rFonts w:hint="eastAsia"/>
                <w:sz w:val="21"/>
                <w:szCs w:val="21"/>
                <w:lang w:val="en-US" w:eastAsia="zh-CN"/>
              </w:rPr>
              <w:t>15</w:t>
            </w:r>
            <w:r>
              <w:rPr>
                <w:rFonts w:hint="eastAsia"/>
                <w:sz w:val="21"/>
                <w:szCs w:val="21"/>
              </w:rPr>
              <w:t>mg/m</w:t>
            </w:r>
            <w:r>
              <w:rPr>
                <w:rFonts w:hint="eastAsia"/>
                <w:sz w:val="21"/>
                <w:szCs w:val="21"/>
                <w:vertAlign w:val="superscript"/>
              </w:rPr>
              <w:t>3</w:t>
            </w:r>
            <w:r>
              <w:rPr>
                <w:rFonts w:hint="eastAsia"/>
                <w:sz w:val="21"/>
                <w:szCs w:val="21"/>
              </w:rPr>
              <w:t>，</w:t>
            </w:r>
            <w:r>
              <w:rPr>
                <w:rFonts w:hint="eastAsia"/>
                <w:sz w:val="21"/>
                <w:szCs w:val="21"/>
                <w:lang w:val="en-US" w:eastAsia="zh-CN"/>
              </w:rPr>
              <w:t>0.1kg/h；</w:t>
            </w:r>
            <w:r>
              <w:rPr>
                <w:rFonts w:hint="eastAsia" w:eastAsiaTheme="minorEastAsia"/>
                <w:sz w:val="21"/>
                <w:szCs w:val="21"/>
                <w:lang w:val="en-US" w:eastAsia="zh-CN"/>
              </w:rPr>
              <w:t>VOCs</w:t>
            </w:r>
            <w:r>
              <w:rPr>
                <w:rFonts w:hint="eastAsia" w:eastAsiaTheme="minorEastAsia"/>
                <w:sz w:val="21"/>
                <w:szCs w:val="21"/>
                <w:lang w:eastAsia="zh-CN"/>
              </w:rPr>
              <w:t>：</w:t>
            </w:r>
            <w:r>
              <w:rPr>
                <w:rFonts w:hint="eastAsia" w:eastAsiaTheme="minorEastAsia"/>
                <w:sz w:val="21"/>
                <w:szCs w:val="21"/>
                <w:lang w:val="en-US" w:eastAsia="zh-CN"/>
              </w:rPr>
              <w:t>6</w:t>
            </w:r>
            <w:r>
              <w:rPr>
                <w:sz w:val="21"/>
                <w:szCs w:val="21"/>
              </w:rPr>
              <w:t>0</w:t>
            </w:r>
            <w:r>
              <w:rPr>
                <w:rFonts w:hint="eastAsia"/>
                <w:sz w:val="21"/>
                <w:szCs w:val="21"/>
              </w:rPr>
              <w:t>mg/m</w:t>
            </w:r>
            <w:r>
              <w:rPr>
                <w:rFonts w:hint="eastAsia"/>
                <w:sz w:val="21"/>
                <w:szCs w:val="21"/>
                <w:vertAlign w:val="superscript"/>
              </w:rPr>
              <w:t>3</w:t>
            </w:r>
            <w:r>
              <w:rPr>
                <w:rFonts w:hint="eastAsia"/>
                <w:sz w:val="21"/>
                <w:szCs w:val="21"/>
                <w:vertAlign w:val="baseline"/>
                <w:lang w:val="en-US" w:eastAsia="zh-CN"/>
              </w:rPr>
              <w:t>，3.0kg/h</w:t>
            </w:r>
            <w:r>
              <w:rPr>
                <w:rFonts w:hint="eastAsia"/>
                <w:sz w:val="21"/>
                <w:szCs w:val="21"/>
                <w:lang w:eastAsia="zh-CN"/>
              </w:rPr>
              <w:t>）</w:t>
            </w:r>
            <w:r>
              <w:rPr>
                <w:rFonts w:hint="eastAsia"/>
                <w:sz w:val="21"/>
                <w:szCs w:val="21"/>
              </w:rPr>
              <w:t>。</w:t>
            </w:r>
          </w:p>
          <w:p>
            <w:pPr>
              <w:spacing w:line="360" w:lineRule="auto"/>
              <w:ind w:firstLine="420" w:firstLineChars="200"/>
            </w:pPr>
            <w:r>
              <w:t>2）无组织废气</w:t>
            </w:r>
          </w:p>
          <w:p>
            <w:pPr>
              <w:tabs>
                <w:tab w:val="left" w:pos="1680"/>
              </w:tabs>
              <w:spacing w:line="360" w:lineRule="auto"/>
              <w:ind w:firstLine="420" w:firstLineChars="200"/>
              <w:rPr>
                <w:rFonts w:ascii="宋体" w:hAnsi="宋体" w:cs="宋体"/>
                <w:sz w:val="21"/>
                <w:szCs w:val="21"/>
              </w:rPr>
            </w:pPr>
            <w:r>
              <w:rPr>
                <w:rFonts w:hint="eastAsia" w:eastAsiaTheme="minorEastAsia"/>
                <w:sz w:val="21"/>
                <w:szCs w:val="21"/>
              </w:rPr>
              <w:t>项目无组织废气主要为：集气罩未收集的</w:t>
            </w:r>
            <w:r>
              <w:rPr>
                <w:rFonts w:hint="eastAsia" w:eastAsiaTheme="minorEastAsia"/>
                <w:sz w:val="21"/>
                <w:szCs w:val="21"/>
                <w:lang w:eastAsia="zh-CN"/>
              </w:rPr>
              <w:t>甲醛、酚类化合物、</w:t>
            </w:r>
            <w:r>
              <w:rPr>
                <w:rFonts w:hint="eastAsia" w:eastAsiaTheme="minorEastAsia"/>
                <w:sz w:val="21"/>
                <w:szCs w:val="21"/>
                <w:lang w:val="en-US" w:eastAsia="zh-CN"/>
              </w:rPr>
              <w:t>VOCs。</w:t>
            </w:r>
          </w:p>
          <w:p>
            <w:pPr>
              <w:spacing w:line="360" w:lineRule="auto"/>
              <w:ind w:firstLine="420" w:firstLineChars="200"/>
            </w:pPr>
            <w:r>
              <w:t>根据</w:t>
            </w:r>
            <w:r>
              <w:rPr>
                <w:rFonts w:hint="eastAsia"/>
                <w:lang w:eastAsia="zh-CN"/>
              </w:rPr>
              <w:t>山东方信环境</w:t>
            </w:r>
            <w:r>
              <w:t>检测有限公司202</w:t>
            </w:r>
            <w:r>
              <w:rPr>
                <w:rFonts w:hint="eastAsia"/>
                <w:lang w:val="en-US" w:eastAsia="zh-CN"/>
              </w:rPr>
              <w:t>1</w:t>
            </w:r>
            <w:r>
              <w:t>年</w:t>
            </w:r>
            <w:r>
              <w:rPr>
                <w:rFonts w:hint="eastAsia"/>
                <w:lang w:val="en-US" w:eastAsia="zh-CN"/>
              </w:rPr>
              <w:t>9</w:t>
            </w:r>
            <w:r>
              <w:t>月</w:t>
            </w:r>
            <w:r>
              <w:rPr>
                <w:rFonts w:hint="eastAsia"/>
                <w:lang w:val="en-US" w:eastAsia="zh-CN"/>
              </w:rPr>
              <w:t>29日</w:t>
            </w:r>
            <w:r>
              <w:t>出具的</w:t>
            </w:r>
            <w:r>
              <w:rPr>
                <w:sz w:val="21"/>
                <w:szCs w:val="21"/>
              </w:rPr>
              <w:t>《</w:t>
            </w:r>
            <w:r>
              <w:rPr>
                <w:rFonts w:hint="eastAsia"/>
                <w:bCs/>
                <w:kern w:val="0"/>
                <w:sz w:val="21"/>
                <w:szCs w:val="21"/>
                <w:lang w:val="de-DE" w:eastAsia="zh-CN"/>
              </w:rPr>
              <w:t>淄博市淄川龙昊电源器材厂验收检</w:t>
            </w:r>
            <w:r>
              <w:rPr>
                <w:rFonts w:hint="eastAsia" w:eastAsia="宋体"/>
                <w:lang w:eastAsia="zh-CN"/>
              </w:rPr>
              <w:t>测</w:t>
            </w:r>
            <w:r>
              <w:t>报告》（报告编号：</w:t>
            </w:r>
            <w:r>
              <w:rPr>
                <w:rFonts w:hint="eastAsia"/>
                <w:lang w:val="en-US" w:eastAsia="zh-CN"/>
              </w:rPr>
              <w:t>FXH2021090805</w:t>
            </w:r>
            <w:r>
              <w:t>），无组织废气监测结果见下表。</w:t>
            </w:r>
          </w:p>
          <w:p>
            <w:pPr>
              <w:spacing w:line="360" w:lineRule="auto"/>
              <w:ind w:firstLine="422" w:firstLineChars="200"/>
              <w:jc w:val="center"/>
              <w:rPr>
                <w:b/>
                <w:bCs/>
              </w:rPr>
            </w:pPr>
            <w:r>
              <w:rPr>
                <w:b/>
                <w:bCs/>
              </w:rPr>
              <w:t>表2-</w:t>
            </w:r>
            <w:r>
              <w:rPr>
                <w:rFonts w:hint="eastAsia"/>
                <w:b/>
                <w:bCs/>
                <w:lang w:val="en-US" w:eastAsia="zh-CN"/>
              </w:rPr>
              <w:t>8</w:t>
            </w:r>
            <w:r>
              <w:rPr>
                <w:b/>
                <w:bCs/>
              </w:rPr>
              <w:t xml:space="preserve"> 现有项目厂界无组织废气例行检测结果</w:t>
            </w:r>
          </w:p>
          <w:tbl>
            <w:tblPr>
              <w:tblStyle w:val="8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1318"/>
              <w:gridCol w:w="1290"/>
              <w:gridCol w:w="1388"/>
              <w:gridCol w:w="1379"/>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Align w:val="center"/>
                </w:tcPr>
                <w:p>
                  <w:pPr>
                    <w:ind w:firstLine="900" w:firstLineChars="500"/>
                    <w:rPr>
                      <w:sz w:val="18"/>
                      <w:szCs w:val="18"/>
                    </w:rPr>
                  </w:pPr>
                  <w:r>
                    <w:rPr>
                      <w:sz w:val="18"/>
                      <w:szCs w:val="18"/>
                    </w:rPr>
                    <w:t>检测项目</w:t>
                  </w:r>
                </w:p>
              </w:tc>
              <w:tc>
                <w:tcPr>
                  <w:tcW w:w="5456" w:type="dxa"/>
                  <w:gridSpan w:val="4"/>
                  <w:vAlign w:val="center"/>
                </w:tcPr>
                <w:p>
                  <w:pPr>
                    <w:jc w:val="center"/>
                    <w:rPr>
                      <w:sz w:val="18"/>
                      <w:szCs w:val="18"/>
                    </w:rPr>
                  </w:pPr>
                  <w:r>
                    <w:rPr>
                      <w:rFonts w:hint="eastAsia"/>
                      <w:sz w:val="18"/>
                      <w:szCs w:val="18"/>
                      <w:lang w:eastAsia="zh-CN"/>
                    </w:rPr>
                    <w:t>甲醛</w:t>
                  </w:r>
                  <w:r>
                    <w:rPr>
                      <w:sz w:val="18"/>
                      <w:szCs w:val="18"/>
                    </w:rPr>
                    <w:t>（mg/m</w:t>
                  </w:r>
                  <w:r>
                    <w:rPr>
                      <w:sz w:val="18"/>
                      <w:szCs w:val="18"/>
                      <w:vertAlign w:val="superscript"/>
                    </w:rPr>
                    <w:t>3</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tcBorders>
                    <w:tl2br w:val="single" w:color="auto" w:sz="4" w:space="0"/>
                  </w:tcBorders>
                  <w:vAlign w:val="center"/>
                </w:tcPr>
                <w:p>
                  <w:pPr>
                    <w:ind w:firstLine="900" w:firstLineChars="500"/>
                    <w:jc w:val="center"/>
                    <w:rPr>
                      <w:sz w:val="18"/>
                      <w:szCs w:val="18"/>
                    </w:rPr>
                  </w:pPr>
                  <w:r>
                    <w:rPr>
                      <w:sz w:val="18"/>
                      <w:szCs w:val="18"/>
                    </w:rPr>
                    <w:t>采样点位</w:t>
                  </w:r>
                </w:p>
                <w:p>
                  <w:pPr>
                    <w:rPr>
                      <w:sz w:val="18"/>
                      <w:szCs w:val="18"/>
                    </w:rPr>
                  </w:pPr>
                  <w:r>
                    <w:rPr>
                      <w:sz w:val="18"/>
                      <w:szCs w:val="18"/>
                    </w:rPr>
                    <w:t>采样时间</w:t>
                  </w:r>
                </w:p>
              </w:tc>
              <w:tc>
                <w:tcPr>
                  <w:tcW w:w="1290" w:type="dxa"/>
                  <w:vAlign w:val="center"/>
                </w:tcPr>
                <w:p>
                  <w:pPr>
                    <w:jc w:val="center"/>
                    <w:rPr>
                      <w:sz w:val="18"/>
                      <w:szCs w:val="18"/>
                    </w:rPr>
                  </w:pPr>
                  <w:r>
                    <w:rPr>
                      <w:sz w:val="18"/>
                      <w:szCs w:val="18"/>
                    </w:rPr>
                    <w:t>上风向1#</w:t>
                  </w:r>
                </w:p>
              </w:tc>
              <w:tc>
                <w:tcPr>
                  <w:tcW w:w="1388" w:type="dxa"/>
                  <w:vAlign w:val="center"/>
                </w:tcPr>
                <w:p>
                  <w:pPr>
                    <w:jc w:val="center"/>
                    <w:rPr>
                      <w:sz w:val="18"/>
                      <w:szCs w:val="18"/>
                    </w:rPr>
                  </w:pPr>
                  <w:r>
                    <w:rPr>
                      <w:sz w:val="18"/>
                      <w:szCs w:val="18"/>
                    </w:rPr>
                    <w:t>下风向2#</w:t>
                  </w:r>
                </w:p>
              </w:tc>
              <w:tc>
                <w:tcPr>
                  <w:tcW w:w="1379" w:type="dxa"/>
                  <w:vAlign w:val="center"/>
                </w:tcPr>
                <w:p>
                  <w:pPr>
                    <w:jc w:val="center"/>
                    <w:rPr>
                      <w:sz w:val="18"/>
                      <w:szCs w:val="18"/>
                    </w:rPr>
                  </w:pPr>
                  <w:r>
                    <w:rPr>
                      <w:sz w:val="18"/>
                      <w:szCs w:val="18"/>
                    </w:rPr>
                    <w:t>下风向3#</w:t>
                  </w:r>
                </w:p>
              </w:tc>
              <w:tc>
                <w:tcPr>
                  <w:tcW w:w="1399" w:type="dxa"/>
                  <w:vAlign w:val="center"/>
                </w:tcPr>
                <w:p>
                  <w:pPr>
                    <w:jc w:val="center"/>
                    <w:rPr>
                      <w:sz w:val="18"/>
                      <w:szCs w:val="18"/>
                    </w:rPr>
                  </w:pPr>
                  <w:r>
                    <w:rPr>
                      <w:sz w:val="18"/>
                      <w:szCs w:val="18"/>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restart"/>
                  <w:vAlign w:val="center"/>
                </w:tcPr>
                <w:p>
                  <w:pPr>
                    <w:jc w:val="center"/>
                    <w:rPr>
                      <w:sz w:val="18"/>
                      <w:szCs w:val="18"/>
                    </w:rPr>
                  </w:pPr>
                </w:p>
                <w:p>
                  <w:pPr>
                    <w:jc w:val="center"/>
                    <w:rPr>
                      <w:rFonts w:hint="default" w:eastAsia="宋体"/>
                      <w:sz w:val="18"/>
                      <w:szCs w:val="18"/>
                      <w:lang w:val="en-US" w:eastAsia="zh-CN"/>
                    </w:rPr>
                  </w:pPr>
                  <w:r>
                    <w:rPr>
                      <w:sz w:val="18"/>
                      <w:szCs w:val="18"/>
                    </w:rPr>
                    <w:t>202</w:t>
                  </w:r>
                  <w:r>
                    <w:rPr>
                      <w:rFonts w:hint="eastAsia"/>
                      <w:sz w:val="18"/>
                      <w:szCs w:val="18"/>
                      <w:lang w:val="en-US" w:eastAsia="zh-CN"/>
                    </w:rPr>
                    <w:t>1.09.09</w:t>
                  </w:r>
                </w:p>
                <w:p>
                  <w:pPr>
                    <w:jc w:val="center"/>
                    <w:rPr>
                      <w:sz w:val="18"/>
                      <w:szCs w:val="18"/>
                    </w:rPr>
                  </w:pPr>
                </w:p>
              </w:tc>
              <w:tc>
                <w:tcPr>
                  <w:tcW w:w="1318" w:type="dxa"/>
                  <w:vAlign w:val="center"/>
                </w:tcPr>
                <w:p>
                  <w:pPr>
                    <w:jc w:val="center"/>
                    <w:rPr>
                      <w:rFonts w:hint="eastAsia" w:eastAsia="宋体"/>
                      <w:sz w:val="18"/>
                      <w:szCs w:val="18"/>
                      <w:lang w:val="en-US" w:eastAsia="zh-CN"/>
                    </w:rPr>
                  </w:pPr>
                  <w:r>
                    <w:rPr>
                      <w:rFonts w:hint="eastAsia"/>
                      <w:sz w:val="18"/>
                      <w:szCs w:val="18"/>
                      <w:lang w:val="en-US" w:eastAsia="zh-CN"/>
                    </w:rPr>
                    <w:t>1</w:t>
                  </w:r>
                </w:p>
              </w:tc>
              <w:tc>
                <w:tcPr>
                  <w:tcW w:w="1290" w:type="dxa"/>
                  <w:vAlign w:val="center"/>
                </w:tcPr>
                <w:p>
                  <w:pPr>
                    <w:jc w:val="center"/>
                    <w:rPr>
                      <w:rFonts w:hint="default" w:eastAsia="宋体"/>
                      <w:sz w:val="18"/>
                      <w:szCs w:val="18"/>
                      <w:lang w:val="en-US" w:eastAsia="zh-CN"/>
                    </w:rPr>
                  </w:pPr>
                  <w:r>
                    <w:rPr>
                      <w:rFonts w:hint="eastAsia"/>
                      <w:sz w:val="18"/>
                      <w:szCs w:val="18"/>
                      <w:lang w:val="en-US" w:eastAsia="zh-CN"/>
                    </w:rPr>
                    <w:t>0.027</w:t>
                  </w:r>
                </w:p>
              </w:tc>
              <w:tc>
                <w:tcPr>
                  <w:tcW w:w="1388" w:type="dxa"/>
                  <w:vAlign w:val="center"/>
                </w:tcPr>
                <w:p>
                  <w:pPr>
                    <w:jc w:val="center"/>
                    <w:rPr>
                      <w:rFonts w:hint="default" w:eastAsia="宋体"/>
                      <w:sz w:val="18"/>
                      <w:szCs w:val="18"/>
                      <w:lang w:val="en-US" w:eastAsia="zh-CN"/>
                    </w:rPr>
                  </w:pPr>
                  <w:r>
                    <w:rPr>
                      <w:rFonts w:hint="eastAsia"/>
                      <w:sz w:val="18"/>
                      <w:szCs w:val="18"/>
                      <w:lang w:val="en-US" w:eastAsia="zh-CN"/>
                    </w:rPr>
                    <w:t>0.031</w:t>
                  </w:r>
                </w:p>
              </w:tc>
              <w:tc>
                <w:tcPr>
                  <w:tcW w:w="1379" w:type="dxa"/>
                  <w:vAlign w:val="center"/>
                </w:tcPr>
                <w:p>
                  <w:pPr>
                    <w:jc w:val="center"/>
                    <w:rPr>
                      <w:rFonts w:hint="default" w:eastAsia="宋体"/>
                      <w:sz w:val="18"/>
                      <w:szCs w:val="18"/>
                      <w:lang w:val="en-US" w:eastAsia="zh-CN"/>
                    </w:rPr>
                  </w:pPr>
                  <w:r>
                    <w:rPr>
                      <w:rFonts w:hint="eastAsia"/>
                      <w:sz w:val="18"/>
                      <w:szCs w:val="18"/>
                      <w:lang w:val="en-US" w:eastAsia="zh-CN"/>
                    </w:rPr>
                    <w:t>0.033</w:t>
                  </w:r>
                </w:p>
              </w:tc>
              <w:tc>
                <w:tcPr>
                  <w:tcW w:w="1399" w:type="dxa"/>
                  <w:vAlign w:val="center"/>
                </w:tcPr>
                <w:p>
                  <w:pPr>
                    <w:jc w:val="center"/>
                    <w:rPr>
                      <w:rFonts w:hint="default" w:eastAsia="宋体"/>
                      <w:sz w:val="18"/>
                      <w:szCs w:val="18"/>
                      <w:lang w:val="en-US" w:eastAsia="zh-CN"/>
                    </w:rPr>
                  </w:pPr>
                  <w:r>
                    <w:rPr>
                      <w:rFonts w:hint="eastAsia"/>
                      <w:sz w:val="18"/>
                      <w:szCs w:val="18"/>
                      <w:lang w:val="en-US" w:eastAsia="zh-CN"/>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ascii="Times New Roman" w:hAnsi="Times New Roman" w:eastAsia="宋体"/>
                      <w:sz w:val="18"/>
                      <w:szCs w:val="18"/>
                      <w:lang w:val="en-US" w:eastAsia="zh-CN"/>
                    </w:rPr>
                  </w:pPr>
                  <w:r>
                    <w:rPr>
                      <w:rFonts w:hint="eastAsia"/>
                      <w:sz w:val="18"/>
                      <w:szCs w:val="18"/>
                      <w:lang w:val="en-US" w:eastAsia="zh-CN"/>
                    </w:rPr>
                    <w:t>2</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0.028</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0.038</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0.035</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default"/>
                      <w:sz w:val="18"/>
                      <w:szCs w:val="18"/>
                      <w:lang w:val="en-US" w:eastAsia="zh-CN"/>
                    </w:rPr>
                  </w:pPr>
                  <w:r>
                    <w:rPr>
                      <w:rFonts w:hint="eastAsia"/>
                      <w:sz w:val="18"/>
                      <w:szCs w:val="18"/>
                      <w:lang w:val="en-US" w:eastAsia="zh-CN"/>
                    </w:rPr>
                    <w:t>3</w:t>
                  </w:r>
                </w:p>
              </w:tc>
              <w:tc>
                <w:tcPr>
                  <w:tcW w:w="1290" w:type="dxa"/>
                  <w:vAlign w:val="center"/>
                </w:tcPr>
                <w:p>
                  <w:pPr>
                    <w:jc w:val="center"/>
                    <w:rPr>
                      <w:rFonts w:hint="default"/>
                      <w:sz w:val="18"/>
                      <w:szCs w:val="18"/>
                      <w:lang w:val="en-US" w:eastAsia="zh-CN"/>
                    </w:rPr>
                  </w:pPr>
                  <w:r>
                    <w:rPr>
                      <w:rFonts w:hint="eastAsia"/>
                      <w:sz w:val="18"/>
                      <w:szCs w:val="18"/>
                      <w:lang w:val="en-US" w:eastAsia="zh-CN"/>
                    </w:rPr>
                    <w:t>0.026</w:t>
                  </w:r>
                </w:p>
              </w:tc>
              <w:tc>
                <w:tcPr>
                  <w:tcW w:w="1388" w:type="dxa"/>
                  <w:vAlign w:val="center"/>
                </w:tcPr>
                <w:p>
                  <w:pPr>
                    <w:jc w:val="center"/>
                    <w:rPr>
                      <w:rFonts w:hint="default"/>
                      <w:sz w:val="18"/>
                      <w:szCs w:val="18"/>
                      <w:lang w:val="en-US" w:eastAsia="zh-CN"/>
                    </w:rPr>
                  </w:pPr>
                  <w:r>
                    <w:rPr>
                      <w:rFonts w:hint="eastAsia"/>
                      <w:sz w:val="18"/>
                      <w:szCs w:val="18"/>
                      <w:lang w:val="en-US" w:eastAsia="zh-CN"/>
                    </w:rPr>
                    <w:t>0.037</w:t>
                  </w:r>
                </w:p>
              </w:tc>
              <w:tc>
                <w:tcPr>
                  <w:tcW w:w="1379" w:type="dxa"/>
                  <w:vAlign w:val="center"/>
                </w:tcPr>
                <w:p>
                  <w:pPr>
                    <w:jc w:val="center"/>
                    <w:rPr>
                      <w:rFonts w:hint="default"/>
                      <w:sz w:val="18"/>
                      <w:szCs w:val="18"/>
                      <w:lang w:val="en-US" w:eastAsia="zh-CN"/>
                    </w:rPr>
                  </w:pPr>
                  <w:r>
                    <w:rPr>
                      <w:rFonts w:hint="eastAsia"/>
                      <w:sz w:val="18"/>
                      <w:szCs w:val="18"/>
                      <w:lang w:val="en-US" w:eastAsia="zh-CN"/>
                    </w:rPr>
                    <w:t>0.040</w:t>
                  </w:r>
                </w:p>
              </w:tc>
              <w:tc>
                <w:tcPr>
                  <w:tcW w:w="1399" w:type="dxa"/>
                  <w:vAlign w:val="center"/>
                </w:tcPr>
                <w:p>
                  <w:pPr>
                    <w:jc w:val="center"/>
                    <w:rPr>
                      <w:rFonts w:hint="default"/>
                      <w:sz w:val="18"/>
                      <w:szCs w:val="18"/>
                      <w:lang w:val="en-US" w:eastAsia="zh-CN"/>
                    </w:rPr>
                  </w:pPr>
                  <w:r>
                    <w:rPr>
                      <w:rFonts w:hint="eastAsia"/>
                      <w:sz w:val="18"/>
                      <w:szCs w:val="18"/>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ascii="Times New Roman" w:hAnsi="Times New Roman" w:eastAsia="宋体"/>
                      <w:sz w:val="18"/>
                      <w:szCs w:val="18"/>
                      <w:lang w:val="en-US" w:eastAsia="zh-CN"/>
                    </w:rPr>
                  </w:pPr>
                  <w:r>
                    <w:rPr>
                      <w:rFonts w:hint="eastAsia"/>
                      <w:sz w:val="18"/>
                      <w:szCs w:val="18"/>
                      <w:lang w:val="en-US" w:eastAsia="zh-CN"/>
                    </w:rPr>
                    <w:t>4</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0.027</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0.043</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0.034</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restart"/>
                  <w:vAlign w:val="center"/>
                </w:tcPr>
                <w:p>
                  <w:pPr>
                    <w:jc w:val="center"/>
                    <w:rPr>
                      <w:sz w:val="18"/>
                      <w:szCs w:val="18"/>
                    </w:rPr>
                  </w:pPr>
                  <w:r>
                    <w:rPr>
                      <w:sz w:val="18"/>
                      <w:szCs w:val="18"/>
                    </w:rPr>
                    <w:t>202</w:t>
                  </w:r>
                  <w:r>
                    <w:rPr>
                      <w:rFonts w:hint="eastAsia"/>
                      <w:sz w:val="18"/>
                      <w:szCs w:val="18"/>
                      <w:lang w:val="en-US" w:eastAsia="zh-CN"/>
                    </w:rPr>
                    <w:t>1.09.10</w:t>
                  </w:r>
                </w:p>
              </w:tc>
              <w:tc>
                <w:tcPr>
                  <w:tcW w:w="1318" w:type="dxa"/>
                  <w:vAlign w:val="center"/>
                </w:tcPr>
                <w:p>
                  <w:pPr>
                    <w:jc w:val="center"/>
                    <w:rPr>
                      <w:rFonts w:hint="default"/>
                      <w:sz w:val="18"/>
                      <w:szCs w:val="18"/>
                      <w:lang w:val="en-US" w:eastAsia="zh-CN"/>
                    </w:rPr>
                  </w:pPr>
                  <w:r>
                    <w:rPr>
                      <w:rFonts w:hint="eastAsia"/>
                      <w:sz w:val="18"/>
                      <w:szCs w:val="18"/>
                      <w:lang w:val="en-US" w:eastAsia="zh-CN"/>
                    </w:rPr>
                    <w:t>1</w:t>
                  </w:r>
                </w:p>
              </w:tc>
              <w:tc>
                <w:tcPr>
                  <w:tcW w:w="1290" w:type="dxa"/>
                  <w:vAlign w:val="center"/>
                </w:tcPr>
                <w:p>
                  <w:pPr>
                    <w:jc w:val="center"/>
                    <w:rPr>
                      <w:rFonts w:hint="default"/>
                      <w:sz w:val="18"/>
                      <w:szCs w:val="18"/>
                      <w:lang w:val="en-US" w:eastAsia="zh-CN"/>
                    </w:rPr>
                  </w:pPr>
                  <w:r>
                    <w:rPr>
                      <w:rFonts w:hint="eastAsia"/>
                      <w:sz w:val="18"/>
                      <w:szCs w:val="18"/>
                      <w:lang w:val="en-US" w:eastAsia="zh-CN"/>
                    </w:rPr>
                    <w:t>0.028</w:t>
                  </w:r>
                </w:p>
              </w:tc>
              <w:tc>
                <w:tcPr>
                  <w:tcW w:w="1388" w:type="dxa"/>
                  <w:vAlign w:val="center"/>
                </w:tcPr>
                <w:p>
                  <w:pPr>
                    <w:jc w:val="center"/>
                    <w:rPr>
                      <w:rFonts w:hint="default"/>
                      <w:sz w:val="18"/>
                      <w:szCs w:val="18"/>
                      <w:lang w:val="en-US" w:eastAsia="zh-CN"/>
                    </w:rPr>
                  </w:pPr>
                  <w:r>
                    <w:rPr>
                      <w:rFonts w:hint="eastAsia"/>
                      <w:sz w:val="18"/>
                      <w:szCs w:val="18"/>
                      <w:lang w:val="en-US" w:eastAsia="zh-CN"/>
                    </w:rPr>
                    <w:t>0.039</w:t>
                  </w:r>
                </w:p>
              </w:tc>
              <w:tc>
                <w:tcPr>
                  <w:tcW w:w="1379" w:type="dxa"/>
                  <w:vAlign w:val="center"/>
                </w:tcPr>
                <w:p>
                  <w:pPr>
                    <w:jc w:val="center"/>
                    <w:rPr>
                      <w:rFonts w:hint="default"/>
                      <w:sz w:val="18"/>
                      <w:szCs w:val="18"/>
                      <w:lang w:val="en-US" w:eastAsia="zh-CN"/>
                    </w:rPr>
                  </w:pPr>
                  <w:r>
                    <w:rPr>
                      <w:rFonts w:hint="eastAsia"/>
                      <w:sz w:val="18"/>
                      <w:szCs w:val="18"/>
                      <w:lang w:val="en-US" w:eastAsia="zh-CN"/>
                    </w:rPr>
                    <w:t>0.034</w:t>
                  </w:r>
                </w:p>
              </w:tc>
              <w:tc>
                <w:tcPr>
                  <w:tcW w:w="1399" w:type="dxa"/>
                  <w:vAlign w:val="center"/>
                </w:tcPr>
                <w:p>
                  <w:pPr>
                    <w:jc w:val="center"/>
                    <w:rPr>
                      <w:rFonts w:hint="default"/>
                      <w:sz w:val="18"/>
                      <w:szCs w:val="18"/>
                      <w:lang w:val="en-US" w:eastAsia="zh-CN"/>
                    </w:rPr>
                  </w:pPr>
                  <w:r>
                    <w:rPr>
                      <w:rFonts w:hint="eastAsia"/>
                      <w:sz w:val="18"/>
                      <w:szCs w:val="18"/>
                      <w:lang w:val="en-US" w:eastAsia="zh-CN"/>
                    </w:rPr>
                    <w:t>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default"/>
                      <w:sz w:val="18"/>
                      <w:szCs w:val="18"/>
                      <w:lang w:val="en-US" w:eastAsia="zh-CN"/>
                    </w:rPr>
                  </w:pPr>
                  <w:r>
                    <w:rPr>
                      <w:rFonts w:hint="eastAsia"/>
                      <w:sz w:val="18"/>
                      <w:szCs w:val="18"/>
                      <w:lang w:val="en-US" w:eastAsia="zh-CN"/>
                    </w:rPr>
                    <w:t>2</w:t>
                  </w:r>
                </w:p>
              </w:tc>
              <w:tc>
                <w:tcPr>
                  <w:tcW w:w="1290" w:type="dxa"/>
                  <w:vAlign w:val="center"/>
                </w:tcPr>
                <w:p>
                  <w:pPr>
                    <w:jc w:val="center"/>
                    <w:rPr>
                      <w:rFonts w:hint="default"/>
                      <w:sz w:val="18"/>
                      <w:szCs w:val="18"/>
                      <w:lang w:val="en-US" w:eastAsia="zh-CN"/>
                    </w:rPr>
                  </w:pPr>
                  <w:r>
                    <w:rPr>
                      <w:rFonts w:hint="eastAsia"/>
                      <w:sz w:val="18"/>
                      <w:szCs w:val="18"/>
                      <w:lang w:val="en-US" w:eastAsia="zh-CN"/>
                    </w:rPr>
                    <w:t>0.029</w:t>
                  </w:r>
                </w:p>
              </w:tc>
              <w:tc>
                <w:tcPr>
                  <w:tcW w:w="1388" w:type="dxa"/>
                  <w:vAlign w:val="center"/>
                </w:tcPr>
                <w:p>
                  <w:pPr>
                    <w:jc w:val="center"/>
                    <w:rPr>
                      <w:rFonts w:hint="default"/>
                      <w:sz w:val="18"/>
                      <w:szCs w:val="18"/>
                      <w:lang w:val="en-US" w:eastAsia="zh-CN"/>
                    </w:rPr>
                  </w:pPr>
                  <w:r>
                    <w:rPr>
                      <w:rFonts w:hint="eastAsia"/>
                      <w:sz w:val="18"/>
                      <w:szCs w:val="18"/>
                      <w:lang w:val="en-US" w:eastAsia="zh-CN"/>
                    </w:rPr>
                    <w:t>0.042</w:t>
                  </w:r>
                </w:p>
              </w:tc>
              <w:tc>
                <w:tcPr>
                  <w:tcW w:w="1379" w:type="dxa"/>
                  <w:vAlign w:val="center"/>
                </w:tcPr>
                <w:p>
                  <w:pPr>
                    <w:jc w:val="center"/>
                    <w:rPr>
                      <w:rFonts w:hint="default"/>
                      <w:sz w:val="18"/>
                      <w:szCs w:val="18"/>
                      <w:lang w:val="en-US" w:eastAsia="zh-CN"/>
                    </w:rPr>
                  </w:pPr>
                  <w:r>
                    <w:rPr>
                      <w:rFonts w:hint="eastAsia"/>
                      <w:sz w:val="18"/>
                      <w:szCs w:val="18"/>
                      <w:lang w:val="en-US" w:eastAsia="zh-CN"/>
                    </w:rPr>
                    <w:t>0.033</w:t>
                  </w:r>
                </w:p>
              </w:tc>
              <w:tc>
                <w:tcPr>
                  <w:tcW w:w="1399" w:type="dxa"/>
                  <w:vAlign w:val="center"/>
                </w:tcPr>
                <w:p>
                  <w:pPr>
                    <w:jc w:val="center"/>
                    <w:rPr>
                      <w:rFonts w:hint="default"/>
                      <w:sz w:val="18"/>
                      <w:szCs w:val="18"/>
                      <w:lang w:val="en-US" w:eastAsia="zh-CN"/>
                    </w:rPr>
                  </w:pPr>
                  <w:r>
                    <w:rPr>
                      <w:rFonts w:hint="eastAsia"/>
                      <w:sz w:val="18"/>
                      <w:szCs w:val="18"/>
                      <w:lang w:val="en-US" w:eastAsia="zh-CN"/>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default"/>
                      <w:sz w:val="18"/>
                      <w:szCs w:val="18"/>
                      <w:lang w:val="en-US" w:eastAsia="zh-CN"/>
                    </w:rPr>
                  </w:pPr>
                  <w:r>
                    <w:rPr>
                      <w:rFonts w:hint="eastAsia"/>
                      <w:sz w:val="18"/>
                      <w:szCs w:val="18"/>
                      <w:lang w:val="en-US" w:eastAsia="zh-CN"/>
                    </w:rPr>
                    <w:t>3</w:t>
                  </w:r>
                </w:p>
              </w:tc>
              <w:tc>
                <w:tcPr>
                  <w:tcW w:w="1290" w:type="dxa"/>
                  <w:vAlign w:val="center"/>
                </w:tcPr>
                <w:p>
                  <w:pPr>
                    <w:jc w:val="center"/>
                    <w:rPr>
                      <w:rFonts w:hint="default"/>
                      <w:sz w:val="18"/>
                      <w:szCs w:val="18"/>
                      <w:lang w:val="en-US" w:eastAsia="zh-CN"/>
                    </w:rPr>
                  </w:pPr>
                  <w:r>
                    <w:rPr>
                      <w:rFonts w:hint="eastAsia"/>
                      <w:sz w:val="18"/>
                      <w:szCs w:val="18"/>
                      <w:lang w:val="en-US" w:eastAsia="zh-CN"/>
                    </w:rPr>
                    <w:t>0.030</w:t>
                  </w:r>
                </w:p>
              </w:tc>
              <w:tc>
                <w:tcPr>
                  <w:tcW w:w="1388" w:type="dxa"/>
                  <w:vAlign w:val="center"/>
                </w:tcPr>
                <w:p>
                  <w:pPr>
                    <w:jc w:val="center"/>
                    <w:rPr>
                      <w:rFonts w:hint="default"/>
                      <w:sz w:val="18"/>
                      <w:szCs w:val="18"/>
                      <w:lang w:val="en-US" w:eastAsia="zh-CN"/>
                    </w:rPr>
                  </w:pPr>
                  <w:r>
                    <w:rPr>
                      <w:rFonts w:hint="eastAsia"/>
                      <w:sz w:val="18"/>
                      <w:szCs w:val="18"/>
                      <w:lang w:val="en-US" w:eastAsia="zh-CN"/>
                    </w:rPr>
                    <w:t>0.032</w:t>
                  </w:r>
                </w:p>
              </w:tc>
              <w:tc>
                <w:tcPr>
                  <w:tcW w:w="1379" w:type="dxa"/>
                  <w:vAlign w:val="center"/>
                </w:tcPr>
                <w:p>
                  <w:pPr>
                    <w:jc w:val="center"/>
                    <w:rPr>
                      <w:rFonts w:hint="default"/>
                      <w:sz w:val="18"/>
                      <w:szCs w:val="18"/>
                      <w:lang w:val="en-US" w:eastAsia="zh-CN"/>
                    </w:rPr>
                  </w:pPr>
                  <w:r>
                    <w:rPr>
                      <w:rFonts w:hint="eastAsia"/>
                      <w:sz w:val="18"/>
                      <w:szCs w:val="18"/>
                      <w:lang w:val="en-US" w:eastAsia="zh-CN"/>
                    </w:rPr>
                    <w:t>0.035</w:t>
                  </w:r>
                </w:p>
              </w:tc>
              <w:tc>
                <w:tcPr>
                  <w:tcW w:w="1399" w:type="dxa"/>
                  <w:vAlign w:val="center"/>
                </w:tcPr>
                <w:p>
                  <w:pPr>
                    <w:jc w:val="center"/>
                    <w:rPr>
                      <w:rFonts w:hint="default"/>
                      <w:sz w:val="18"/>
                      <w:szCs w:val="18"/>
                      <w:lang w:val="en-US" w:eastAsia="zh-CN"/>
                    </w:rPr>
                  </w:pPr>
                  <w:r>
                    <w:rPr>
                      <w:rFonts w:hint="eastAsia"/>
                      <w:sz w:val="18"/>
                      <w:szCs w:val="18"/>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default"/>
                      <w:sz w:val="18"/>
                      <w:szCs w:val="18"/>
                      <w:lang w:val="en-US" w:eastAsia="zh-CN"/>
                    </w:rPr>
                  </w:pPr>
                  <w:r>
                    <w:rPr>
                      <w:rFonts w:hint="eastAsia"/>
                      <w:sz w:val="18"/>
                      <w:szCs w:val="18"/>
                      <w:lang w:val="en-US" w:eastAsia="zh-CN"/>
                    </w:rPr>
                    <w:t>4</w:t>
                  </w:r>
                </w:p>
              </w:tc>
              <w:tc>
                <w:tcPr>
                  <w:tcW w:w="1290" w:type="dxa"/>
                  <w:vAlign w:val="center"/>
                </w:tcPr>
                <w:p>
                  <w:pPr>
                    <w:jc w:val="center"/>
                    <w:rPr>
                      <w:rFonts w:hint="default"/>
                      <w:sz w:val="18"/>
                      <w:szCs w:val="18"/>
                      <w:lang w:val="en-US" w:eastAsia="zh-CN"/>
                    </w:rPr>
                  </w:pPr>
                  <w:r>
                    <w:rPr>
                      <w:rFonts w:hint="eastAsia"/>
                      <w:sz w:val="18"/>
                      <w:szCs w:val="18"/>
                      <w:lang w:val="en-US" w:eastAsia="zh-CN"/>
                    </w:rPr>
                    <w:t>0.026</w:t>
                  </w:r>
                </w:p>
              </w:tc>
              <w:tc>
                <w:tcPr>
                  <w:tcW w:w="1388" w:type="dxa"/>
                  <w:vAlign w:val="center"/>
                </w:tcPr>
                <w:p>
                  <w:pPr>
                    <w:jc w:val="center"/>
                    <w:rPr>
                      <w:rFonts w:hint="default"/>
                      <w:sz w:val="18"/>
                      <w:szCs w:val="18"/>
                      <w:lang w:val="en-US" w:eastAsia="zh-CN"/>
                    </w:rPr>
                  </w:pPr>
                  <w:r>
                    <w:rPr>
                      <w:rFonts w:hint="eastAsia"/>
                      <w:sz w:val="18"/>
                      <w:szCs w:val="18"/>
                      <w:lang w:val="en-US" w:eastAsia="zh-CN"/>
                    </w:rPr>
                    <w:t>0.038</w:t>
                  </w:r>
                </w:p>
              </w:tc>
              <w:tc>
                <w:tcPr>
                  <w:tcW w:w="1379" w:type="dxa"/>
                  <w:vAlign w:val="center"/>
                </w:tcPr>
                <w:p>
                  <w:pPr>
                    <w:jc w:val="center"/>
                    <w:rPr>
                      <w:rFonts w:hint="default"/>
                      <w:sz w:val="18"/>
                      <w:szCs w:val="18"/>
                      <w:lang w:val="en-US" w:eastAsia="zh-CN"/>
                    </w:rPr>
                  </w:pPr>
                  <w:r>
                    <w:rPr>
                      <w:rFonts w:hint="eastAsia"/>
                      <w:sz w:val="18"/>
                      <w:szCs w:val="18"/>
                      <w:lang w:val="en-US" w:eastAsia="zh-CN"/>
                    </w:rPr>
                    <w:t>0.040</w:t>
                  </w:r>
                </w:p>
              </w:tc>
              <w:tc>
                <w:tcPr>
                  <w:tcW w:w="1399" w:type="dxa"/>
                  <w:vAlign w:val="center"/>
                </w:tcPr>
                <w:p>
                  <w:pPr>
                    <w:jc w:val="center"/>
                    <w:rPr>
                      <w:rFonts w:hint="default"/>
                      <w:sz w:val="18"/>
                      <w:szCs w:val="18"/>
                      <w:lang w:val="en-US" w:eastAsia="zh-CN"/>
                    </w:rPr>
                  </w:pPr>
                  <w:r>
                    <w:rPr>
                      <w:rFonts w:hint="eastAsia"/>
                      <w:sz w:val="18"/>
                      <w:szCs w:val="18"/>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Align w:val="center"/>
                </w:tcPr>
                <w:p>
                  <w:pPr>
                    <w:ind w:firstLine="900" w:firstLineChars="500"/>
                    <w:rPr>
                      <w:sz w:val="18"/>
                      <w:szCs w:val="18"/>
                    </w:rPr>
                  </w:pPr>
                  <w:r>
                    <w:rPr>
                      <w:sz w:val="18"/>
                      <w:szCs w:val="18"/>
                    </w:rPr>
                    <w:t>检测项目</w:t>
                  </w:r>
                </w:p>
              </w:tc>
              <w:tc>
                <w:tcPr>
                  <w:tcW w:w="5456" w:type="dxa"/>
                  <w:gridSpan w:val="4"/>
                  <w:vAlign w:val="center"/>
                </w:tcPr>
                <w:p>
                  <w:pPr>
                    <w:jc w:val="center"/>
                    <w:rPr>
                      <w:sz w:val="18"/>
                      <w:szCs w:val="18"/>
                    </w:rPr>
                  </w:pPr>
                  <w:r>
                    <w:rPr>
                      <w:rFonts w:hint="eastAsia"/>
                      <w:sz w:val="18"/>
                      <w:szCs w:val="18"/>
                      <w:lang w:eastAsia="zh-CN"/>
                    </w:rPr>
                    <w:t>酚类化合物</w:t>
                  </w:r>
                  <w:r>
                    <w:rPr>
                      <w:sz w:val="18"/>
                      <w:szCs w:val="18"/>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tcBorders>
                    <w:tl2br w:val="single" w:color="auto" w:sz="4" w:space="0"/>
                  </w:tcBorders>
                  <w:vAlign w:val="center"/>
                </w:tcPr>
                <w:p>
                  <w:pPr>
                    <w:ind w:firstLine="900" w:firstLineChars="500"/>
                    <w:jc w:val="center"/>
                    <w:rPr>
                      <w:sz w:val="18"/>
                      <w:szCs w:val="18"/>
                    </w:rPr>
                  </w:pPr>
                  <w:r>
                    <w:rPr>
                      <w:sz w:val="18"/>
                      <w:szCs w:val="18"/>
                    </w:rPr>
                    <w:t>采样点位</w:t>
                  </w:r>
                </w:p>
                <w:p>
                  <w:pPr>
                    <w:rPr>
                      <w:sz w:val="18"/>
                      <w:szCs w:val="18"/>
                    </w:rPr>
                  </w:pPr>
                  <w:r>
                    <w:rPr>
                      <w:sz w:val="18"/>
                      <w:szCs w:val="18"/>
                    </w:rPr>
                    <w:t>采样时间</w:t>
                  </w:r>
                </w:p>
              </w:tc>
              <w:tc>
                <w:tcPr>
                  <w:tcW w:w="1290" w:type="dxa"/>
                  <w:vAlign w:val="center"/>
                </w:tcPr>
                <w:p>
                  <w:pPr>
                    <w:jc w:val="center"/>
                    <w:rPr>
                      <w:sz w:val="18"/>
                      <w:szCs w:val="18"/>
                    </w:rPr>
                  </w:pPr>
                  <w:r>
                    <w:rPr>
                      <w:sz w:val="18"/>
                      <w:szCs w:val="18"/>
                    </w:rPr>
                    <w:t>上风向1#</w:t>
                  </w:r>
                </w:p>
              </w:tc>
              <w:tc>
                <w:tcPr>
                  <w:tcW w:w="1388" w:type="dxa"/>
                  <w:vAlign w:val="center"/>
                </w:tcPr>
                <w:p>
                  <w:pPr>
                    <w:jc w:val="center"/>
                    <w:rPr>
                      <w:sz w:val="18"/>
                      <w:szCs w:val="18"/>
                    </w:rPr>
                  </w:pPr>
                  <w:r>
                    <w:rPr>
                      <w:sz w:val="18"/>
                      <w:szCs w:val="18"/>
                    </w:rPr>
                    <w:t>下风向2#</w:t>
                  </w:r>
                </w:p>
              </w:tc>
              <w:tc>
                <w:tcPr>
                  <w:tcW w:w="1379" w:type="dxa"/>
                  <w:vAlign w:val="center"/>
                </w:tcPr>
                <w:p>
                  <w:pPr>
                    <w:jc w:val="center"/>
                    <w:rPr>
                      <w:sz w:val="18"/>
                      <w:szCs w:val="18"/>
                    </w:rPr>
                  </w:pPr>
                  <w:r>
                    <w:rPr>
                      <w:sz w:val="18"/>
                      <w:szCs w:val="18"/>
                    </w:rPr>
                    <w:t>下风向3#</w:t>
                  </w:r>
                </w:p>
              </w:tc>
              <w:tc>
                <w:tcPr>
                  <w:tcW w:w="1399" w:type="dxa"/>
                  <w:vAlign w:val="center"/>
                </w:tcPr>
                <w:p>
                  <w:pPr>
                    <w:jc w:val="center"/>
                    <w:rPr>
                      <w:sz w:val="18"/>
                      <w:szCs w:val="18"/>
                    </w:rPr>
                  </w:pPr>
                  <w:r>
                    <w:rPr>
                      <w:sz w:val="18"/>
                      <w:szCs w:val="18"/>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restart"/>
                  <w:vAlign w:val="center"/>
                </w:tcPr>
                <w:p>
                  <w:pPr>
                    <w:jc w:val="center"/>
                    <w:rPr>
                      <w:sz w:val="18"/>
                      <w:szCs w:val="18"/>
                    </w:rPr>
                  </w:pPr>
                </w:p>
                <w:p>
                  <w:pPr>
                    <w:jc w:val="center"/>
                    <w:rPr>
                      <w:rFonts w:hint="default" w:eastAsia="宋体"/>
                      <w:sz w:val="18"/>
                      <w:szCs w:val="18"/>
                      <w:lang w:val="en-US" w:eastAsia="zh-CN"/>
                    </w:rPr>
                  </w:pPr>
                  <w:r>
                    <w:rPr>
                      <w:sz w:val="18"/>
                      <w:szCs w:val="18"/>
                    </w:rPr>
                    <w:t>202</w:t>
                  </w:r>
                  <w:r>
                    <w:rPr>
                      <w:rFonts w:hint="eastAsia"/>
                      <w:sz w:val="18"/>
                      <w:szCs w:val="18"/>
                      <w:lang w:val="en-US" w:eastAsia="zh-CN"/>
                    </w:rPr>
                    <w:t>1.09.09</w:t>
                  </w:r>
                </w:p>
                <w:p>
                  <w:pPr>
                    <w:jc w:val="center"/>
                    <w:rPr>
                      <w:sz w:val="18"/>
                      <w:szCs w:val="18"/>
                    </w:rPr>
                  </w:pPr>
                </w:p>
              </w:tc>
              <w:tc>
                <w:tcPr>
                  <w:tcW w:w="1318" w:type="dxa"/>
                  <w:vAlign w:val="center"/>
                </w:tcPr>
                <w:p>
                  <w:pPr>
                    <w:jc w:val="center"/>
                    <w:rPr>
                      <w:sz w:val="18"/>
                      <w:szCs w:val="18"/>
                    </w:rPr>
                  </w:pPr>
                  <w:r>
                    <w:rPr>
                      <w:rFonts w:hint="eastAsia"/>
                      <w:sz w:val="18"/>
                      <w:szCs w:val="18"/>
                      <w:lang w:val="en-US" w:eastAsia="zh-CN"/>
                    </w:rPr>
                    <w:t>1</w:t>
                  </w:r>
                </w:p>
              </w:tc>
              <w:tc>
                <w:tcPr>
                  <w:tcW w:w="1290" w:type="dxa"/>
                  <w:vAlign w:val="center"/>
                </w:tcPr>
                <w:p>
                  <w:pPr>
                    <w:jc w:val="center"/>
                    <w:rPr>
                      <w:rFonts w:hint="default" w:eastAsia="宋体"/>
                      <w:sz w:val="18"/>
                      <w:szCs w:val="18"/>
                      <w:lang w:val="en-US" w:eastAsia="zh-CN"/>
                    </w:rPr>
                  </w:pPr>
                  <w:r>
                    <w:rPr>
                      <w:rFonts w:hint="eastAsia"/>
                      <w:sz w:val="18"/>
                      <w:szCs w:val="18"/>
                      <w:lang w:val="en-US" w:eastAsia="zh-CN"/>
                    </w:rPr>
                    <w:t>＜0.03</w:t>
                  </w:r>
                </w:p>
              </w:tc>
              <w:tc>
                <w:tcPr>
                  <w:tcW w:w="1388" w:type="dxa"/>
                  <w:vAlign w:val="center"/>
                </w:tcPr>
                <w:p>
                  <w:pPr>
                    <w:jc w:val="center"/>
                    <w:rPr>
                      <w:sz w:val="18"/>
                      <w:szCs w:val="18"/>
                    </w:rPr>
                  </w:pPr>
                  <w:r>
                    <w:rPr>
                      <w:rFonts w:hint="eastAsia"/>
                      <w:sz w:val="18"/>
                      <w:szCs w:val="18"/>
                      <w:lang w:val="en-US" w:eastAsia="zh-CN"/>
                    </w:rPr>
                    <w:t>＜0.03</w:t>
                  </w:r>
                </w:p>
              </w:tc>
              <w:tc>
                <w:tcPr>
                  <w:tcW w:w="1379" w:type="dxa"/>
                  <w:vAlign w:val="center"/>
                </w:tcPr>
                <w:p>
                  <w:pPr>
                    <w:jc w:val="center"/>
                    <w:rPr>
                      <w:sz w:val="18"/>
                      <w:szCs w:val="18"/>
                    </w:rPr>
                  </w:pPr>
                  <w:r>
                    <w:rPr>
                      <w:rFonts w:hint="eastAsia"/>
                      <w:sz w:val="18"/>
                      <w:szCs w:val="18"/>
                      <w:lang w:val="en-US" w:eastAsia="zh-CN"/>
                    </w:rPr>
                    <w:t>＜0.03</w:t>
                  </w:r>
                </w:p>
              </w:tc>
              <w:tc>
                <w:tcPr>
                  <w:tcW w:w="1399" w:type="dxa"/>
                  <w:vAlign w:val="center"/>
                </w:tcPr>
                <w:p>
                  <w:pPr>
                    <w:jc w:val="center"/>
                    <w:rPr>
                      <w:sz w:val="18"/>
                      <w:szCs w:val="18"/>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sz w:val="18"/>
                      <w:szCs w:val="18"/>
                    </w:rPr>
                  </w:pPr>
                  <w:r>
                    <w:rPr>
                      <w:rFonts w:hint="eastAsia"/>
                      <w:sz w:val="18"/>
                      <w:szCs w:val="18"/>
                      <w:lang w:val="en-US" w:eastAsia="zh-CN"/>
                    </w:rPr>
                    <w:t>2</w:t>
                  </w:r>
                </w:p>
              </w:tc>
              <w:tc>
                <w:tcPr>
                  <w:tcW w:w="1290" w:type="dxa"/>
                  <w:vAlign w:val="center"/>
                </w:tcPr>
                <w:p>
                  <w:pPr>
                    <w:jc w:val="center"/>
                    <w:rPr>
                      <w:sz w:val="18"/>
                      <w:szCs w:val="18"/>
                    </w:rPr>
                  </w:pPr>
                  <w:r>
                    <w:rPr>
                      <w:rFonts w:hint="eastAsia"/>
                      <w:sz w:val="18"/>
                      <w:szCs w:val="18"/>
                      <w:lang w:val="en-US" w:eastAsia="zh-CN"/>
                    </w:rPr>
                    <w:t>＜0.03</w:t>
                  </w:r>
                </w:p>
              </w:tc>
              <w:tc>
                <w:tcPr>
                  <w:tcW w:w="1388" w:type="dxa"/>
                  <w:vAlign w:val="center"/>
                </w:tcPr>
                <w:p>
                  <w:pPr>
                    <w:jc w:val="center"/>
                    <w:rPr>
                      <w:sz w:val="18"/>
                      <w:szCs w:val="18"/>
                    </w:rPr>
                  </w:pPr>
                  <w:r>
                    <w:rPr>
                      <w:rFonts w:hint="eastAsia"/>
                      <w:sz w:val="18"/>
                      <w:szCs w:val="18"/>
                      <w:lang w:val="en-US" w:eastAsia="zh-CN"/>
                    </w:rPr>
                    <w:t>＜0.03</w:t>
                  </w:r>
                </w:p>
              </w:tc>
              <w:tc>
                <w:tcPr>
                  <w:tcW w:w="1379" w:type="dxa"/>
                  <w:vAlign w:val="center"/>
                </w:tcPr>
                <w:p>
                  <w:pPr>
                    <w:jc w:val="center"/>
                    <w:rPr>
                      <w:sz w:val="18"/>
                      <w:szCs w:val="18"/>
                    </w:rPr>
                  </w:pPr>
                  <w:r>
                    <w:rPr>
                      <w:rFonts w:hint="eastAsia"/>
                      <w:sz w:val="18"/>
                      <w:szCs w:val="18"/>
                      <w:lang w:val="en-US" w:eastAsia="zh-CN"/>
                    </w:rPr>
                    <w:t>＜0.03</w:t>
                  </w:r>
                </w:p>
              </w:tc>
              <w:tc>
                <w:tcPr>
                  <w:tcW w:w="1399" w:type="dxa"/>
                  <w:vAlign w:val="center"/>
                </w:tcPr>
                <w:p>
                  <w:pPr>
                    <w:jc w:val="center"/>
                    <w:rPr>
                      <w:sz w:val="18"/>
                      <w:szCs w:val="18"/>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3</w:t>
                  </w:r>
                </w:p>
              </w:tc>
              <w:tc>
                <w:tcPr>
                  <w:tcW w:w="1290" w:type="dxa"/>
                  <w:vAlign w:val="center"/>
                </w:tcPr>
                <w:p>
                  <w:pPr>
                    <w:jc w:val="center"/>
                    <w:rPr>
                      <w:rFonts w:hint="eastAsia"/>
                      <w:sz w:val="18"/>
                      <w:szCs w:val="18"/>
                      <w:lang w:val="en-US" w:eastAsia="zh-CN"/>
                    </w:rPr>
                  </w:pPr>
                  <w:r>
                    <w:rPr>
                      <w:rFonts w:hint="eastAsia"/>
                      <w:sz w:val="18"/>
                      <w:szCs w:val="18"/>
                      <w:lang w:val="en-US" w:eastAsia="zh-CN"/>
                    </w:rPr>
                    <w:t>＜0.03</w:t>
                  </w:r>
                </w:p>
              </w:tc>
              <w:tc>
                <w:tcPr>
                  <w:tcW w:w="1388" w:type="dxa"/>
                  <w:vAlign w:val="center"/>
                </w:tcPr>
                <w:p>
                  <w:pPr>
                    <w:jc w:val="center"/>
                    <w:rPr>
                      <w:rFonts w:hint="eastAsia"/>
                      <w:sz w:val="18"/>
                      <w:szCs w:val="18"/>
                      <w:lang w:val="en-US" w:eastAsia="zh-CN"/>
                    </w:rPr>
                  </w:pPr>
                  <w:r>
                    <w:rPr>
                      <w:rFonts w:hint="eastAsia"/>
                      <w:sz w:val="18"/>
                      <w:szCs w:val="18"/>
                      <w:lang w:val="en-US" w:eastAsia="zh-CN"/>
                    </w:rPr>
                    <w:t>＜0.03</w:t>
                  </w:r>
                </w:p>
              </w:tc>
              <w:tc>
                <w:tcPr>
                  <w:tcW w:w="1379" w:type="dxa"/>
                  <w:vAlign w:val="center"/>
                </w:tcPr>
                <w:p>
                  <w:pPr>
                    <w:jc w:val="center"/>
                    <w:rPr>
                      <w:rFonts w:hint="eastAsia"/>
                      <w:sz w:val="18"/>
                      <w:szCs w:val="18"/>
                      <w:lang w:val="en-US" w:eastAsia="zh-CN"/>
                    </w:rPr>
                  </w:pPr>
                  <w:r>
                    <w:rPr>
                      <w:rFonts w:hint="eastAsia"/>
                      <w:sz w:val="18"/>
                      <w:szCs w:val="18"/>
                      <w:lang w:val="en-US" w:eastAsia="zh-CN"/>
                    </w:rPr>
                    <w:t>＜0.03</w:t>
                  </w:r>
                </w:p>
              </w:tc>
              <w:tc>
                <w:tcPr>
                  <w:tcW w:w="1399" w:type="dxa"/>
                  <w:vAlign w:val="center"/>
                </w:tcPr>
                <w:p>
                  <w:pPr>
                    <w:jc w:val="center"/>
                    <w:rPr>
                      <w:rFonts w:hint="eastAsia"/>
                      <w:sz w:val="18"/>
                      <w:szCs w:val="18"/>
                      <w:lang w:val="en-US" w:eastAsia="zh-CN"/>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sz w:val="18"/>
                      <w:szCs w:val="18"/>
                    </w:rPr>
                  </w:pPr>
                  <w:r>
                    <w:rPr>
                      <w:rFonts w:hint="eastAsia"/>
                      <w:sz w:val="18"/>
                      <w:szCs w:val="18"/>
                      <w:lang w:val="en-US" w:eastAsia="zh-CN"/>
                    </w:rPr>
                    <w:t>4</w:t>
                  </w:r>
                </w:p>
              </w:tc>
              <w:tc>
                <w:tcPr>
                  <w:tcW w:w="1290" w:type="dxa"/>
                  <w:vAlign w:val="center"/>
                </w:tcPr>
                <w:p>
                  <w:pPr>
                    <w:jc w:val="center"/>
                    <w:rPr>
                      <w:sz w:val="18"/>
                      <w:szCs w:val="18"/>
                    </w:rPr>
                  </w:pPr>
                  <w:r>
                    <w:rPr>
                      <w:rFonts w:hint="eastAsia"/>
                      <w:sz w:val="18"/>
                      <w:szCs w:val="18"/>
                      <w:lang w:val="en-US" w:eastAsia="zh-CN"/>
                    </w:rPr>
                    <w:t>＜0.03</w:t>
                  </w:r>
                </w:p>
              </w:tc>
              <w:tc>
                <w:tcPr>
                  <w:tcW w:w="1388" w:type="dxa"/>
                  <w:vAlign w:val="center"/>
                </w:tcPr>
                <w:p>
                  <w:pPr>
                    <w:jc w:val="center"/>
                    <w:rPr>
                      <w:sz w:val="18"/>
                      <w:szCs w:val="18"/>
                    </w:rPr>
                  </w:pPr>
                  <w:r>
                    <w:rPr>
                      <w:rFonts w:hint="eastAsia"/>
                      <w:sz w:val="18"/>
                      <w:szCs w:val="18"/>
                      <w:lang w:val="en-US" w:eastAsia="zh-CN"/>
                    </w:rPr>
                    <w:t>＜0.03</w:t>
                  </w:r>
                </w:p>
              </w:tc>
              <w:tc>
                <w:tcPr>
                  <w:tcW w:w="1379" w:type="dxa"/>
                  <w:vAlign w:val="center"/>
                </w:tcPr>
                <w:p>
                  <w:pPr>
                    <w:jc w:val="center"/>
                    <w:rPr>
                      <w:sz w:val="18"/>
                      <w:szCs w:val="18"/>
                    </w:rPr>
                  </w:pPr>
                  <w:r>
                    <w:rPr>
                      <w:rFonts w:hint="eastAsia"/>
                      <w:sz w:val="18"/>
                      <w:szCs w:val="18"/>
                      <w:lang w:val="en-US" w:eastAsia="zh-CN"/>
                    </w:rPr>
                    <w:t>＜0.03</w:t>
                  </w:r>
                </w:p>
              </w:tc>
              <w:tc>
                <w:tcPr>
                  <w:tcW w:w="1399" w:type="dxa"/>
                  <w:vAlign w:val="center"/>
                </w:tcPr>
                <w:p>
                  <w:pPr>
                    <w:jc w:val="center"/>
                    <w:rPr>
                      <w:sz w:val="18"/>
                      <w:szCs w:val="18"/>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restart"/>
                  <w:vAlign w:val="center"/>
                </w:tcPr>
                <w:p>
                  <w:pPr>
                    <w:jc w:val="center"/>
                    <w:rPr>
                      <w:sz w:val="18"/>
                      <w:szCs w:val="18"/>
                    </w:rPr>
                  </w:pPr>
                  <w:r>
                    <w:rPr>
                      <w:sz w:val="18"/>
                      <w:szCs w:val="18"/>
                    </w:rPr>
                    <w:t>202</w:t>
                  </w:r>
                  <w:r>
                    <w:rPr>
                      <w:rFonts w:hint="eastAsia"/>
                      <w:sz w:val="18"/>
                      <w:szCs w:val="18"/>
                      <w:lang w:val="en-US" w:eastAsia="zh-CN"/>
                    </w:rPr>
                    <w:t>1.09.10</w:t>
                  </w:r>
                </w:p>
              </w:tc>
              <w:tc>
                <w:tcPr>
                  <w:tcW w:w="1318" w:type="dxa"/>
                  <w:vAlign w:val="center"/>
                </w:tcPr>
                <w:p>
                  <w:pPr>
                    <w:jc w:val="center"/>
                    <w:rPr>
                      <w:rFonts w:hint="eastAsia"/>
                      <w:sz w:val="18"/>
                      <w:szCs w:val="18"/>
                      <w:lang w:val="en-US" w:eastAsia="zh-CN"/>
                    </w:rPr>
                  </w:pPr>
                  <w:r>
                    <w:rPr>
                      <w:rFonts w:hint="eastAsia"/>
                      <w:sz w:val="18"/>
                      <w:szCs w:val="18"/>
                      <w:lang w:val="en-US" w:eastAsia="zh-CN"/>
                    </w:rPr>
                    <w:t>1</w:t>
                  </w:r>
                </w:p>
              </w:tc>
              <w:tc>
                <w:tcPr>
                  <w:tcW w:w="1290" w:type="dxa"/>
                  <w:vAlign w:val="center"/>
                </w:tcPr>
                <w:p>
                  <w:pPr>
                    <w:jc w:val="center"/>
                    <w:rPr>
                      <w:rFonts w:hint="eastAsia"/>
                      <w:sz w:val="18"/>
                      <w:szCs w:val="18"/>
                      <w:lang w:val="en-US" w:eastAsia="zh-CN"/>
                    </w:rPr>
                  </w:pPr>
                  <w:r>
                    <w:rPr>
                      <w:rFonts w:hint="eastAsia"/>
                      <w:sz w:val="18"/>
                      <w:szCs w:val="18"/>
                      <w:lang w:val="en-US" w:eastAsia="zh-CN"/>
                    </w:rPr>
                    <w:t>＜0.03</w:t>
                  </w:r>
                </w:p>
              </w:tc>
              <w:tc>
                <w:tcPr>
                  <w:tcW w:w="1388" w:type="dxa"/>
                  <w:vAlign w:val="center"/>
                </w:tcPr>
                <w:p>
                  <w:pPr>
                    <w:jc w:val="center"/>
                    <w:rPr>
                      <w:rFonts w:hint="eastAsia"/>
                      <w:sz w:val="18"/>
                      <w:szCs w:val="18"/>
                      <w:lang w:val="en-US" w:eastAsia="zh-CN"/>
                    </w:rPr>
                  </w:pPr>
                  <w:r>
                    <w:rPr>
                      <w:rFonts w:hint="eastAsia"/>
                      <w:sz w:val="18"/>
                      <w:szCs w:val="18"/>
                      <w:lang w:val="en-US" w:eastAsia="zh-CN"/>
                    </w:rPr>
                    <w:t>＜0.03</w:t>
                  </w:r>
                </w:p>
              </w:tc>
              <w:tc>
                <w:tcPr>
                  <w:tcW w:w="1379" w:type="dxa"/>
                  <w:vAlign w:val="center"/>
                </w:tcPr>
                <w:p>
                  <w:pPr>
                    <w:jc w:val="center"/>
                    <w:rPr>
                      <w:rFonts w:hint="eastAsia"/>
                      <w:sz w:val="18"/>
                      <w:szCs w:val="18"/>
                      <w:lang w:val="en-US" w:eastAsia="zh-CN"/>
                    </w:rPr>
                  </w:pPr>
                  <w:r>
                    <w:rPr>
                      <w:rFonts w:hint="eastAsia"/>
                      <w:sz w:val="18"/>
                      <w:szCs w:val="18"/>
                      <w:lang w:val="en-US" w:eastAsia="zh-CN"/>
                    </w:rPr>
                    <w:t>＜0.03</w:t>
                  </w:r>
                </w:p>
              </w:tc>
              <w:tc>
                <w:tcPr>
                  <w:tcW w:w="1399" w:type="dxa"/>
                  <w:vAlign w:val="center"/>
                </w:tcPr>
                <w:p>
                  <w:pPr>
                    <w:jc w:val="center"/>
                    <w:rPr>
                      <w:rFonts w:hint="eastAsia"/>
                      <w:sz w:val="18"/>
                      <w:szCs w:val="18"/>
                      <w:lang w:val="en-US" w:eastAsia="zh-CN"/>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2</w:t>
                  </w:r>
                </w:p>
              </w:tc>
              <w:tc>
                <w:tcPr>
                  <w:tcW w:w="1290" w:type="dxa"/>
                  <w:vAlign w:val="center"/>
                </w:tcPr>
                <w:p>
                  <w:pPr>
                    <w:jc w:val="center"/>
                    <w:rPr>
                      <w:rFonts w:hint="eastAsia"/>
                      <w:sz w:val="18"/>
                      <w:szCs w:val="18"/>
                      <w:lang w:val="en-US" w:eastAsia="zh-CN"/>
                    </w:rPr>
                  </w:pPr>
                  <w:r>
                    <w:rPr>
                      <w:rFonts w:hint="eastAsia"/>
                      <w:sz w:val="18"/>
                      <w:szCs w:val="18"/>
                      <w:lang w:val="en-US" w:eastAsia="zh-CN"/>
                    </w:rPr>
                    <w:t>＜0.03</w:t>
                  </w:r>
                </w:p>
              </w:tc>
              <w:tc>
                <w:tcPr>
                  <w:tcW w:w="1388" w:type="dxa"/>
                  <w:vAlign w:val="center"/>
                </w:tcPr>
                <w:p>
                  <w:pPr>
                    <w:jc w:val="center"/>
                    <w:rPr>
                      <w:rFonts w:hint="eastAsia"/>
                      <w:sz w:val="18"/>
                      <w:szCs w:val="18"/>
                      <w:lang w:val="en-US" w:eastAsia="zh-CN"/>
                    </w:rPr>
                  </w:pPr>
                  <w:r>
                    <w:rPr>
                      <w:rFonts w:hint="eastAsia"/>
                      <w:sz w:val="18"/>
                      <w:szCs w:val="18"/>
                      <w:lang w:val="en-US" w:eastAsia="zh-CN"/>
                    </w:rPr>
                    <w:t>＜0.03</w:t>
                  </w:r>
                </w:p>
              </w:tc>
              <w:tc>
                <w:tcPr>
                  <w:tcW w:w="1379" w:type="dxa"/>
                  <w:vAlign w:val="center"/>
                </w:tcPr>
                <w:p>
                  <w:pPr>
                    <w:jc w:val="center"/>
                    <w:rPr>
                      <w:rFonts w:hint="eastAsia"/>
                      <w:sz w:val="18"/>
                      <w:szCs w:val="18"/>
                      <w:lang w:val="en-US" w:eastAsia="zh-CN"/>
                    </w:rPr>
                  </w:pPr>
                  <w:r>
                    <w:rPr>
                      <w:rFonts w:hint="eastAsia"/>
                      <w:sz w:val="18"/>
                      <w:szCs w:val="18"/>
                      <w:lang w:val="en-US" w:eastAsia="zh-CN"/>
                    </w:rPr>
                    <w:t>＜0.03</w:t>
                  </w:r>
                </w:p>
              </w:tc>
              <w:tc>
                <w:tcPr>
                  <w:tcW w:w="1399" w:type="dxa"/>
                  <w:vAlign w:val="center"/>
                </w:tcPr>
                <w:p>
                  <w:pPr>
                    <w:jc w:val="center"/>
                    <w:rPr>
                      <w:rFonts w:hint="eastAsia"/>
                      <w:sz w:val="18"/>
                      <w:szCs w:val="18"/>
                      <w:lang w:val="en-US" w:eastAsia="zh-CN"/>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3</w:t>
                  </w:r>
                </w:p>
              </w:tc>
              <w:tc>
                <w:tcPr>
                  <w:tcW w:w="1290" w:type="dxa"/>
                  <w:vAlign w:val="center"/>
                </w:tcPr>
                <w:p>
                  <w:pPr>
                    <w:jc w:val="center"/>
                    <w:rPr>
                      <w:rFonts w:hint="eastAsia"/>
                      <w:sz w:val="18"/>
                      <w:szCs w:val="18"/>
                      <w:lang w:val="en-US" w:eastAsia="zh-CN"/>
                    </w:rPr>
                  </w:pPr>
                  <w:r>
                    <w:rPr>
                      <w:rFonts w:hint="eastAsia"/>
                      <w:sz w:val="18"/>
                      <w:szCs w:val="18"/>
                      <w:lang w:val="en-US" w:eastAsia="zh-CN"/>
                    </w:rPr>
                    <w:t>＜0.03</w:t>
                  </w:r>
                </w:p>
              </w:tc>
              <w:tc>
                <w:tcPr>
                  <w:tcW w:w="1388" w:type="dxa"/>
                  <w:vAlign w:val="center"/>
                </w:tcPr>
                <w:p>
                  <w:pPr>
                    <w:jc w:val="center"/>
                    <w:rPr>
                      <w:rFonts w:hint="eastAsia"/>
                      <w:sz w:val="18"/>
                      <w:szCs w:val="18"/>
                      <w:lang w:val="en-US" w:eastAsia="zh-CN"/>
                    </w:rPr>
                  </w:pPr>
                  <w:r>
                    <w:rPr>
                      <w:rFonts w:hint="eastAsia"/>
                      <w:sz w:val="18"/>
                      <w:szCs w:val="18"/>
                      <w:lang w:val="en-US" w:eastAsia="zh-CN"/>
                    </w:rPr>
                    <w:t>＜0.03</w:t>
                  </w:r>
                </w:p>
              </w:tc>
              <w:tc>
                <w:tcPr>
                  <w:tcW w:w="1379" w:type="dxa"/>
                  <w:vAlign w:val="center"/>
                </w:tcPr>
                <w:p>
                  <w:pPr>
                    <w:jc w:val="center"/>
                    <w:rPr>
                      <w:rFonts w:hint="eastAsia"/>
                      <w:sz w:val="18"/>
                      <w:szCs w:val="18"/>
                      <w:lang w:val="en-US" w:eastAsia="zh-CN"/>
                    </w:rPr>
                  </w:pPr>
                  <w:r>
                    <w:rPr>
                      <w:rFonts w:hint="eastAsia"/>
                      <w:sz w:val="18"/>
                      <w:szCs w:val="18"/>
                      <w:lang w:val="en-US" w:eastAsia="zh-CN"/>
                    </w:rPr>
                    <w:t>＜0.03</w:t>
                  </w:r>
                </w:p>
              </w:tc>
              <w:tc>
                <w:tcPr>
                  <w:tcW w:w="1399" w:type="dxa"/>
                  <w:vAlign w:val="center"/>
                </w:tcPr>
                <w:p>
                  <w:pPr>
                    <w:jc w:val="center"/>
                    <w:rPr>
                      <w:rFonts w:hint="eastAsia"/>
                      <w:sz w:val="18"/>
                      <w:szCs w:val="18"/>
                      <w:lang w:val="en-US" w:eastAsia="zh-CN"/>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4</w:t>
                  </w:r>
                </w:p>
              </w:tc>
              <w:tc>
                <w:tcPr>
                  <w:tcW w:w="1290" w:type="dxa"/>
                  <w:vAlign w:val="center"/>
                </w:tcPr>
                <w:p>
                  <w:pPr>
                    <w:jc w:val="center"/>
                    <w:rPr>
                      <w:rFonts w:hint="eastAsia"/>
                      <w:sz w:val="18"/>
                      <w:szCs w:val="18"/>
                      <w:lang w:val="en-US" w:eastAsia="zh-CN"/>
                    </w:rPr>
                  </w:pPr>
                  <w:r>
                    <w:rPr>
                      <w:rFonts w:hint="eastAsia"/>
                      <w:sz w:val="18"/>
                      <w:szCs w:val="18"/>
                      <w:lang w:val="en-US" w:eastAsia="zh-CN"/>
                    </w:rPr>
                    <w:t>＜0.03</w:t>
                  </w:r>
                </w:p>
              </w:tc>
              <w:tc>
                <w:tcPr>
                  <w:tcW w:w="1388" w:type="dxa"/>
                  <w:vAlign w:val="center"/>
                </w:tcPr>
                <w:p>
                  <w:pPr>
                    <w:jc w:val="center"/>
                    <w:rPr>
                      <w:rFonts w:hint="eastAsia"/>
                      <w:sz w:val="18"/>
                      <w:szCs w:val="18"/>
                      <w:lang w:val="en-US" w:eastAsia="zh-CN"/>
                    </w:rPr>
                  </w:pPr>
                  <w:r>
                    <w:rPr>
                      <w:rFonts w:hint="eastAsia"/>
                      <w:sz w:val="18"/>
                      <w:szCs w:val="18"/>
                      <w:lang w:val="en-US" w:eastAsia="zh-CN"/>
                    </w:rPr>
                    <w:t>＜0.03</w:t>
                  </w:r>
                </w:p>
              </w:tc>
              <w:tc>
                <w:tcPr>
                  <w:tcW w:w="1379" w:type="dxa"/>
                  <w:vAlign w:val="center"/>
                </w:tcPr>
                <w:p>
                  <w:pPr>
                    <w:jc w:val="center"/>
                    <w:rPr>
                      <w:rFonts w:hint="eastAsia"/>
                      <w:sz w:val="18"/>
                      <w:szCs w:val="18"/>
                      <w:lang w:val="en-US" w:eastAsia="zh-CN"/>
                    </w:rPr>
                  </w:pPr>
                  <w:r>
                    <w:rPr>
                      <w:rFonts w:hint="eastAsia"/>
                      <w:sz w:val="18"/>
                      <w:szCs w:val="18"/>
                      <w:lang w:val="en-US" w:eastAsia="zh-CN"/>
                    </w:rPr>
                    <w:t>＜0.03</w:t>
                  </w:r>
                </w:p>
              </w:tc>
              <w:tc>
                <w:tcPr>
                  <w:tcW w:w="1399" w:type="dxa"/>
                  <w:vAlign w:val="center"/>
                </w:tcPr>
                <w:p>
                  <w:pPr>
                    <w:jc w:val="center"/>
                    <w:rPr>
                      <w:rFonts w:hint="eastAsia"/>
                      <w:sz w:val="18"/>
                      <w:szCs w:val="18"/>
                      <w:lang w:val="en-US" w:eastAsia="zh-CN"/>
                    </w:rPr>
                  </w:pPr>
                  <w:r>
                    <w:rPr>
                      <w:rFonts w:hint="eastAsia"/>
                      <w:sz w:val="18"/>
                      <w:szCs w:val="18"/>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Align w:val="center"/>
                </w:tcPr>
                <w:p>
                  <w:pPr>
                    <w:ind w:firstLine="900" w:firstLineChars="500"/>
                    <w:rPr>
                      <w:sz w:val="18"/>
                      <w:szCs w:val="18"/>
                    </w:rPr>
                  </w:pPr>
                  <w:r>
                    <w:rPr>
                      <w:sz w:val="18"/>
                      <w:szCs w:val="18"/>
                    </w:rPr>
                    <w:t>检测项目</w:t>
                  </w:r>
                </w:p>
              </w:tc>
              <w:tc>
                <w:tcPr>
                  <w:tcW w:w="5456" w:type="dxa"/>
                  <w:gridSpan w:val="4"/>
                  <w:vAlign w:val="center"/>
                </w:tcPr>
                <w:p>
                  <w:pPr>
                    <w:jc w:val="center"/>
                    <w:rPr>
                      <w:sz w:val="18"/>
                      <w:szCs w:val="18"/>
                    </w:rPr>
                  </w:pPr>
                  <w:r>
                    <w:rPr>
                      <w:rFonts w:hint="eastAsia"/>
                      <w:sz w:val="18"/>
                      <w:szCs w:val="18"/>
                      <w:lang w:val="en-US" w:eastAsia="zh-CN"/>
                    </w:rPr>
                    <w:t>VOCs</w:t>
                  </w:r>
                  <w:r>
                    <w:rPr>
                      <w:sz w:val="18"/>
                      <w:szCs w:val="18"/>
                    </w:rPr>
                    <w:t>（mg/m</w:t>
                  </w:r>
                  <w:r>
                    <w:rPr>
                      <w:sz w:val="18"/>
                      <w:szCs w:val="18"/>
                      <w:vertAlign w:val="superscript"/>
                    </w:rPr>
                    <w:t>3</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tcBorders>
                    <w:tl2br w:val="single" w:color="auto" w:sz="4" w:space="0"/>
                  </w:tcBorders>
                  <w:vAlign w:val="center"/>
                </w:tcPr>
                <w:p>
                  <w:pPr>
                    <w:ind w:firstLine="900" w:firstLineChars="500"/>
                    <w:jc w:val="center"/>
                    <w:rPr>
                      <w:sz w:val="18"/>
                      <w:szCs w:val="18"/>
                    </w:rPr>
                  </w:pPr>
                  <w:r>
                    <w:rPr>
                      <w:sz w:val="18"/>
                      <w:szCs w:val="18"/>
                    </w:rPr>
                    <w:t>采样点位</w:t>
                  </w:r>
                </w:p>
                <w:p>
                  <w:pPr>
                    <w:rPr>
                      <w:sz w:val="18"/>
                      <w:szCs w:val="18"/>
                    </w:rPr>
                  </w:pPr>
                  <w:r>
                    <w:rPr>
                      <w:sz w:val="18"/>
                      <w:szCs w:val="18"/>
                    </w:rPr>
                    <w:t>采样时间</w:t>
                  </w:r>
                </w:p>
              </w:tc>
              <w:tc>
                <w:tcPr>
                  <w:tcW w:w="1290" w:type="dxa"/>
                  <w:vAlign w:val="center"/>
                </w:tcPr>
                <w:p>
                  <w:pPr>
                    <w:jc w:val="center"/>
                    <w:rPr>
                      <w:sz w:val="18"/>
                      <w:szCs w:val="18"/>
                    </w:rPr>
                  </w:pPr>
                  <w:r>
                    <w:rPr>
                      <w:sz w:val="18"/>
                      <w:szCs w:val="18"/>
                    </w:rPr>
                    <w:t>上风向1#</w:t>
                  </w:r>
                </w:p>
              </w:tc>
              <w:tc>
                <w:tcPr>
                  <w:tcW w:w="1388" w:type="dxa"/>
                  <w:vAlign w:val="center"/>
                </w:tcPr>
                <w:p>
                  <w:pPr>
                    <w:jc w:val="center"/>
                    <w:rPr>
                      <w:sz w:val="18"/>
                      <w:szCs w:val="18"/>
                    </w:rPr>
                  </w:pPr>
                  <w:r>
                    <w:rPr>
                      <w:sz w:val="18"/>
                      <w:szCs w:val="18"/>
                    </w:rPr>
                    <w:t>下风向2#</w:t>
                  </w:r>
                </w:p>
              </w:tc>
              <w:tc>
                <w:tcPr>
                  <w:tcW w:w="1379" w:type="dxa"/>
                  <w:vAlign w:val="center"/>
                </w:tcPr>
                <w:p>
                  <w:pPr>
                    <w:jc w:val="center"/>
                    <w:rPr>
                      <w:sz w:val="18"/>
                      <w:szCs w:val="18"/>
                    </w:rPr>
                  </w:pPr>
                  <w:r>
                    <w:rPr>
                      <w:sz w:val="18"/>
                      <w:szCs w:val="18"/>
                    </w:rPr>
                    <w:t>下风向3#</w:t>
                  </w:r>
                </w:p>
              </w:tc>
              <w:tc>
                <w:tcPr>
                  <w:tcW w:w="1399" w:type="dxa"/>
                  <w:vAlign w:val="center"/>
                </w:tcPr>
                <w:p>
                  <w:pPr>
                    <w:jc w:val="center"/>
                    <w:rPr>
                      <w:sz w:val="18"/>
                      <w:szCs w:val="18"/>
                    </w:rPr>
                  </w:pPr>
                  <w:r>
                    <w:rPr>
                      <w:sz w:val="18"/>
                      <w:szCs w:val="18"/>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restart"/>
                  <w:vAlign w:val="center"/>
                </w:tcPr>
                <w:p>
                  <w:pPr>
                    <w:jc w:val="center"/>
                    <w:rPr>
                      <w:sz w:val="18"/>
                      <w:szCs w:val="18"/>
                    </w:rPr>
                  </w:pPr>
                </w:p>
                <w:p>
                  <w:pPr>
                    <w:jc w:val="center"/>
                    <w:rPr>
                      <w:sz w:val="18"/>
                      <w:szCs w:val="18"/>
                    </w:rPr>
                  </w:pPr>
                  <w:r>
                    <w:rPr>
                      <w:sz w:val="18"/>
                      <w:szCs w:val="18"/>
                    </w:rPr>
                    <w:t>202</w:t>
                  </w:r>
                  <w:r>
                    <w:rPr>
                      <w:rFonts w:hint="eastAsia"/>
                      <w:sz w:val="18"/>
                      <w:szCs w:val="18"/>
                      <w:lang w:val="en-US" w:eastAsia="zh-CN"/>
                    </w:rPr>
                    <w:t>1.09.09</w:t>
                  </w:r>
                </w:p>
              </w:tc>
              <w:tc>
                <w:tcPr>
                  <w:tcW w:w="1318" w:type="dxa"/>
                  <w:vAlign w:val="center"/>
                </w:tcPr>
                <w:p>
                  <w:pPr>
                    <w:jc w:val="center"/>
                    <w:rPr>
                      <w:rFonts w:hint="eastAsia" w:eastAsia="宋体"/>
                      <w:sz w:val="18"/>
                      <w:szCs w:val="18"/>
                      <w:lang w:val="en-US" w:eastAsia="zh-CN"/>
                    </w:rPr>
                  </w:pPr>
                  <w:r>
                    <w:rPr>
                      <w:rFonts w:hint="eastAsia"/>
                      <w:sz w:val="18"/>
                      <w:szCs w:val="18"/>
                      <w:lang w:val="en-US" w:eastAsia="zh-CN"/>
                    </w:rPr>
                    <w:t>1</w:t>
                  </w:r>
                </w:p>
              </w:tc>
              <w:tc>
                <w:tcPr>
                  <w:tcW w:w="1290" w:type="dxa"/>
                  <w:vAlign w:val="center"/>
                </w:tcPr>
                <w:p>
                  <w:pPr>
                    <w:jc w:val="center"/>
                    <w:rPr>
                      <w:rFonts w:hint="default" w:eastAsia="宋体"/>
                      <w:sz w:val="18"/>
                      <w:szCs w:val="18"/>
                      <w:lang w:val="en-US" w:eastAsia="zh-CN"/>
                    </w:rPr>
                  </w:pPr>
                  <w:r>
                    <w:rPr>
                      <w:rFonts w:hint="eastAsia"/>
                      <w:sz w:val="18"/>
                      <w:szCs w:val="18"/>
                      <w:lang w:val="en-US" w:eastAsia="zh-CN"/>
                    </w:rPr>
                    <w:t>0.89</w:t>
                  </w:r>
                </w:p>
              </w:tc>
              <w:tc>
                <w:tcPr>
                  <w:tcW w:w="1388" w:type="dxa"/>
                  <w:vAlign w:val="center"/>
                </w:tcPr>
                <w:p>
                  <w:pPr>
                    <w:jc w:val="center"/>
                    <w:rPr>
                      <w:rFonts w:hint="default" w:eastAsia="宋体"/>
                      <w:sz w:val="18"/>
                      <w:szCs w:val="18"/>
                      <w:lang w:val="en-US" w:eastAsia="zh-CN"/>
                    </w:rPr>
                  </w:pPr>
                  <w:r>
                    <w:rPr>
                      <w:rFonts w:hint="eastAsia"/>
                      <w:sz w:val="18"/>
                      <w:szCs w:val="18"/>
                      <w:lang w:val="en-US" w:eastAsia="zh-CN"/>
                    </w:rPr>
                    <w:t>1.18</w:t>
                  </w:r>
                </w:p>
              </w:tc>
              <w:tc>
                <w:tcPr>
                  <w:tcW w:w="1379" w:type="dxa"/>
                  <w:vAlign w:val="center"/>
                </w:tcPr>
                <w:p>
                  <w:pPr>
                    <w:jc w:val="center"/>
                    <w:rPr>
                      <w:rFonts w:hint="default" w:eastAsia="宋体"/>
                      <w:sz w:val="18"/>
                      <w:szCs w:val="18"/>
                      <w:lang w:val="en-US" w:eastAsia="zh-CN"/>
                    </w:rPr>
                  </w:pPr>
                  <w:r>
                    <w:rPr>
                      <w:rFonts w:hint="eastAsia"/>
                      <w:sz w:val="18"/>
                      <w:szCs w:val="18"/>
                      <w:lang w:val="en-US" w:eastAsia="zh-CN"/>
                    </w:rPr>
                    <w:t>1.35</w:t>
                  </w:r>
                </w:p>
              </w:tc>
              <w:tc>
                <w:tcPr>
                  <w:tcW w:w="1399" w:type="dxa"/>
                  <w:vAlign w:val="center"/>
                </w:tcPr>
                <w:p>
                  <w:pPr>
                    <w:jc w:val="center"/>
                    <w:rPr>
                      <w:rFonts w:hint="default" w:eastAsia="宋体"/>
                      <w:sz w:val="18"/>
                      <w:szCs w:val="18"/>
                      <w:lang w:val="en-US" w:eastAsia="zh-CN"/>
                    </w:rPr>
                  </w:pPr>
                  <w:r>
                    <w:rPr>
                      <w:rFonts w:hint="eastAsia"/>
                      <w:sz w:val="18"/>
                      <w:szCs w:val="18"/>
                      <w:lang w:val="en-US" w:eastAsia="zh-CN"/>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ascii="Times New Roman" w:hAnsi="Times New Roman" w:eastAsia="宋体"/>
                      <w:sz w:val="18"/>
                      <w:szCs w:val="18"/>
                      <w:lang w:val="en-US" w:eastAsia="zh-CN"/>
                    </w:rPr>
                  </w:pPr>
                  <w:r>
                    <w:rPr>
                      <w:rFonts w:hint="eastAsia"/>
                      <w:sz w:val="18"/>
                      <w:szCs w:val="18"/>
                      <w:lang w:val="en-US" w:eastAsia="zh-CN"/>
                    </w:rPr>
                    <w:t>2</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0.81</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1.31</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1.44</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default"/>
                      <w:sz w:val="18"/>
                      <w:szCs w:val="18"/>
                      <w:lang w:val="en-US" w:eastAsia="zh-CN"/>
                    </w:rPr>
                  </w:pPr>
                  <w:r>
                    <w:rPr>
                      <w:rFonts w:hint="eastAsia"/>
                      <w:sz w:val="18"/>
                      <w:szCs w:val="18"/>
                      <w:lang w:val="en-US" w:eastAsia="zh-CN"/>
                    </w:rPr>
                    <w:t>3</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0.80</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1.36</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1.33</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ascii="Times New Roman" w:hAnsi="Times New Roman" w:eastAsia="宋体"/>
                      <w:sz w:val="18"/>
                      <w:szCs w:val="18"/>
                      <w:lang w:val="en-US" w:eastAsia="zh-CN"/>
                    </w:rPr>
                  </w:pPr>
                  <w:r>
                    <w:rPr>
                      <w:rFonts w:hint="eastAsia"/>
                      <w:sz w:val="18"/>
                      <w:szCs w:val="18"/>
                      <w:lang w:val="en-US" w:eastAsia="zh-CN"/>
                    </w:rPr>
                    <w:t>4</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0.77</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1.34</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1.45</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restart"/>
                  <w:vAlign w:val="center"/>
                </w:tcPr>
                <w:p>
                  <w:pPr>
                    <w:jc w:val="center"/>
                    <w:rPr>
                      <w:sz w:val="18"/>
                      <w:szCs w:val="18"/>
                    </w:rPr>
                  </w:pPr>
                  <w:r>
                    <w:rPr>
                      <w:sz w:val="18"/>
                      <w:szCs w:val="18"/>
                    </w:rPr>
                    <w:t>202</w:t>
                  </w:r>
                  <w:r>
                    <w:rPr>
                      <w:rFonts w:hint="eastAsia"/>
                      <w:sz w:val="18"/>
                      <w:szCs w:val="18"/>
                      <w:lang w:val="en-US" w:eastAsia="zh-CN"/>
                    </w:rPr>
                    <w:t>1.09.10</w:t>
                  </w:r>
                </w:p>
              </w:tc>
              <w:tc>
                <w:tcPr>
                  <w:tcW w:w="1318" w:type="dxa"/>
                  <w:vAlign w:val="center"/>
                </w:tcPr>
                <w:p>
                  <w:pPr>
                    <w:jc w:val="center"/>
                    <w:rPr>
                      <w:rFonts w:hint="eastAsia"/>
                      <w:sz w:val="18"/>
                      <w:szCs w:val="18"/>
                      <w:lang w:val="en-US" w:eastAsia="zh-CN"/>
                    </w:rPr>
                  </w:pPr>
                  <w:r>
                    <w:rPr>
                      <w:rFonts w:hint="eastAsia"/>
                      <w:sz w:val="18"/>
                      <w:szCs w:val="18"/>
                      <w:lang w:val="en-US" w:eastAsia="zh-CN"/>
                    </w:rPr>
                    <w:t>1</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0.86</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1.21</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1.22</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2</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0.78</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1.17</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1.32</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3</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0.82</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1.24</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1.20</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71" w:type="dxa"/>
                  <w:vMerge w:val="continue"/>
                  <w:vAlign w:val="center"/>
                </w:tcPr>
                <w:p>
                  <w:pPr>
                    <w:jc w:val="center"/>
                    <w:rPr>
                      <w:sz w:val="18"/>
                      <w:szCs w:val="18"/>
                    </w:rPr>
                  </w:pPr>
                </w:p>
              </w:tc>
              <w:tc>
                <w:tcPr>
                  <w:tcW w:w="1318" w:type="dxa"/>
                  <w:vAlign w:val="center"/>
                </w:tcPr>
                <w:p>
                  <w:pPr>
                    <w:jc w:val="center"/>
                    <w:rPr>
                      <w:rFonts w:hint="eastAsia"/>
                      <w:sz w:val="18"/>
                      <w:szCs w:val="18"/>
                      <w:lang w:val="en-US" w:eastAsia="zh-CN"/>
                    </w:rPr>
                  </w:pPr>
                  <w:r>
                    <w:rPr>
                      <w:rFonts w:hint="eastAsia"/>
                      <w:sz w:val="18"/>
                      <w:szCs w:val="18"/>
                      <w:lang w:val="en-US" w:eastAsia="zh-CN"/>
                    </w:rPr>
                    <w:t>4</w:t>
                  </w:r>
                </w:p>
              </w:tc>
              <w:tc>
                <w:tcPr>
                  <w:tcW w:w="1290"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0.83</w:t>
                  </w:r>
                </w:p>
              </w:tc>
              <w:tc>
                <w:tcPr>
                  <w:tcW w:w="1388"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1.20</w:t>
                  </w:r>
                </w:p>
              </w:tc>
              <w:tc>
                <w:tcPr>
                  <w:tcW w:w="137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1.25</w:t>
                  </w:r>
                </w:p>
              </w:tc>
              <w:tc>
                <w:tcPr>
                  <w:tcW w:w="1399" w:type="dxa"/>
                  <w:vAlign w:val="center"/>
                </w:tcPr>
                <w:p>
                  <w:pPr>
                    <w:jc w:val="center"/>
                    <w:rPr>
                      <w:rFonts w:hint="default" w:ascii="Times New Roman" w:hAnsi="Times New Roman" w:eastAsia="宋体"/>
                      <w:sz w:val="18"/>
                      <w:szCs w:val="18"/>
                      <w:lang w:val="en-US" w:eastAsia="zh-CN"/>
                    </w:rPr>
                  </w:pPr>
                  <w:r>
                    <w:rPr>
                      <w:rFonts w:hint="eastAsia"/>
                      <w:sz w:val="18"/>
                      <w:szCs w:val="18"/>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Align w:val="center"/>
                </w:tcPr>
                <w:p>
                  <w:pPr>
                    <w:ind w:firstLine="900" w:firstLineChars="500"/>
                    <w:rPr>
                      <w:sz w:val="18"/>
                      <w:szCs w:val="18"/>
                    </w:rPr>
                  </w:pPr>
                  <w:r>
                    <w:rPr>
                      <w:sz w:val="18"/>
                      <w:szCs w:val="18"/>
                    </w:rPr>
                    <w:t>检测项目</w:t>
                  </w:r>
                </w:p>
              </w:tc>
              <w:tc>
                <w:tcPr>
                  <w:tcW w:w="5456" w:type="dxa"/>
                  <w:gridSpan w:val="4"/>
                  <w:vAlign w:val="center"/>
                </w:tcPr>
                <w:p>
                  <w:pPr>
                    <w:jc w:val="center"/>
                    <w:rPr>
                      <w:sz w:val="18"/>
                      <w:szCs w:val="18"/>
                    </w:rPr>
                  </w:pPr>
                  <w:r>
                    <w:rPr>
                      <w:rFonts w:hint="eastAsia"/>
                      <w:sz w:val="18"/>
                      <w:szCs w:val="18"/>
                      <w:lang w:eastAsia="zh-CN"/>
                    </w:rPr>
                    <w:t>厂区内非甲烷总烃</w:t>
                  </w:r>
                  <w:r>
                    <w:rPr>
                      <w:sz w:val="18"/>
                      <w:szCs w:val="18"/>
                    </w:rPr>
                    <w:t>（mg/m³）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tcBorders>
                    <w:tl2br w:val="single" w:color="auto" w:sz="4" w:space="0"/>
                  </w:tcBorders>
                  <w:vAlign w:val="center"/>
                </w:tcPr>
                <w:p>
                  <w:pPr>
                    <w:ind w:firstLine="900" w:firstLineChars="500"/>
                    <w:jc w:val="center"/>
                    <w:rPr>
                      <w:sz w:val="18"/>
                      <w:szCs w:val="18"/>
                    </w:rPr>
                  </w:pPr>
                  <w:r>
                    <w:rPr>
                      <w:sz w:val="18"/>
                      <w:szCs w:val="18"/>
                    </w:rPr>
                    <w:t>采样点位</w:t>
                  </w:r>
                </w:p>
                <w:p>
                  <w:pPr>
                    <w:rPr>
                      <w:sz w:val="18"/>
                      <w:szCs w:val="18"/>
                    </w:rPr>
                  </w:pPr>
                  <w:r>
                    <w:rPr>
                      <w:sz w:val="18"/>
                      <w:szCs w:val="18"/>
                    </w:rPr>
                    <w:t>采样时间</w:t>
                  </w:r>
                </w:p>
              </w:tc>
              <w:tc>
                <w:tcPr>
                  <w:tcW w:w="5456" w:type="dxa"/>
                  <w:gridSpan w:val="4"/>
                  <w:vAlign w:val="center"/>
                </w:tcPr>
                <w:p>
                  <w:pPr>
                    <w:jc w:val="center"/>
                    <w:rPr>
                      <w:rFonts w:hint="default" w:eastAsia="宋体"/>
                      <w:sz w:val="18"/>
                      <w:szCs w:val="18"/>
                      <w:lang w:val="en-US" w:eastAsia="zh-CN"/>
                    </w:rPr>
                  </w:pPr>
                  <w:r>
                    <w:rPr>
                      <w:rFonts w:hint="eastAsia"/>
                      <w:sz w:val="18"/>
                      <w:szCs w:val="18"/>
                      <w:lang w:eastAsia="zh-CN"/>
                    </w:rPr>
                    <w:t>生产车间门口外</w:t>
                  </w:r>
                  <w:r>
                    <w:rPr>
                      <w:rFonts w:hint="eastAsia"/>
                      <w:sz w:val="18"/>
                      <w:szCs w:val="18"/>
                      <w:lang w:val="en-US" w:eastAsia="zh-CN"/>
                    </w:rPr>
                    <w:t>1m处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restart"/>
                  <w:vAlign w:val="center"/>
                </w:tcPr>
                <w:p>
                  <w:pPr>
                    <w:jc w:val="center"/>
                    <w:rPr>
                      <w:sz w:val="18"/>
                      <w:szCs w:val="18"/>
                    </w:rPr>
                  </w:pPr>
                </w:p>
                <w:p>
                  <w:pPr>
                    <w:jc w:val="center"/>
                    <w:rPr>
                      <w:rFonts w:hint="default" w:eastAsia="宋体"/>
                      <w:sz w:val="18"/>
                      <w:szCs w:val="18"/>
                      <w:lang w:val="en-US" w:eastAsia="zh-CN"/>
                    </w:rPr>
                  </w:pPr>
                  <w:r>
                    <w:rPr>
                      <w:sz w:val="18"/>
                      <w:szCs w:val="18"/>
                    </w:rPr>
                    <w:t>202</w:t>
                  </w:r>
                  <w:r>
                    <w:rPr>
                      <w:rFonts w:hint="eastAsia"/>
                      <w:sz w:val="18"/>
                      <w:szCs w:val="18"/>
                      <w:lang w:val="en-US" w:eastAsia="zh-CN"/>
                    </w:rPr>
                    <w:t>1.09.09</w:t>
                  </w:r>
                </w:p>
                <w:p>
                  <w:pPr>
                    <w:jc w:val="center"/>
                    <w:rPr>
                      <w:sz w:val="18"/>
                      <w:szCs w:val="18"/>
                    </w:rPr>
                  </w:pPr>
                </w:p>
              </w:tc>
              <w:tc>
                <w:tcPr>
                  <w:tcW w:w="1290" w:type="dxa"/>
                  <w:vAlign w:val="center"/>
                </w:tcPr>
                <w:p>
                  <w:pPr>
                    <w:jc w:val="center"/>
                    <w:rPr>
                      <w:rFonts w:hint="default" w:eastAsia="宋体"/>
                      <w:sz w:val="18"/>
                      <w:szCs w:val="18"/>
                      <w:lang w:val="en-US" w:eastAsia="zh-CN"/>
                    </w:rPr>
                  </w:pPr>
                  <w:r>
                    <w:rPr>
                      <w:rFonts w:hint="eastAsia"/>
                      <w:sz w:val="18"/>
                      <w:szCs w:val="18"/>
                      <w:lang w:val="en-US" w:eastAsia="zh-CN"/>
                    </w:rPr>
                    <w:t>1</w:t>
                  </w:r>
                </w:p>
              </w:tc>
              <w:tc>
                <w:tcPr>
                  <w:tcW w:w="1388" w:type="dxa"/>
                  <w:vAlign w:val="center"/>
                </w:tcPr>
                <w:p>
                  <w:pPr>
                    <w:jc w:val="center"/>
                    <w:rPr>
                      <w:rFonts w:hint="default" w:eastAsia="宋体"/>
                      <w:sz w:val="18"/>
                      <w:szCs w:val="18"/>
                      <w:lang w:val="en-US" w:eastAsia="zh-CN"/>
                    </w:rPr>
                  </w:pPr>
                  <w:r>
                    <w:rPr>
                      <w:rFonts w:hint="eastAsia"/>
                      <w:sz w:val="18"/>
                      <w:szCs w:val="18"/>
                      <w:lang w:val="en-US" w:eastAsia="zh-CN"/>
                    </w:rPr>
                    <w:t>2</w:t>
                  </w:r>
                </w:p>
              </w:tc>
              <w:tc>
                <w:tcPr>
                  <w:tcW w:w="1379" w:type="dxa"/>
                  <w:vAlign w:val="center"/>
                </w:tcPr>
                <w:p>
                  <w:pPr>
                    <w:jc w:val="center"/>
                    <w:rPr>
                      <w:rFonts w:hint="default" w:eastAsia="宋体"/>
                      <w:sz w:val="18"/>
                      <w:szCs w:val="18"/>
                      <w:lang w:val="en-US" w:eastAsia="zh-CN"/>
                    </w:rPr>
                  </w:pPr>
                  <w:r>
                    <w:rPr>
                      <w:rFonts w:hint="eastAsia"/>
                      <w:sz w:val="18"/>
                      <w:szCs w:val="18"/>
                      <w:lang w:val="en-US" w:eastAsia="zh-CN"/>
                    </w:rPr>
                    <w:t>3</w:t>
                  </w:r>
                </w:p>
              </w:tc>
              <w:tc>
                <w:tcPr>
                  <w:tcW w:w="1399" w:type="dxa"/>
                  <w:vAlign w:val="center"/>
                </w:tcPr>
                <w:p>
                  <w:pPr>
                    <w:jc w:val="center"/>
                    <w:rPr>
                      <w:rFonts w:hint="default"/>
                      <w:sz w:val="18"/>
                      <w:szCs w:val="18"/>
                      <w:lang w:val="en-US" w:eastAsia="zh-CN"/>
                    </w:rPr>
                  </w:pPr>
                  <w:r>
                    <w:rPr>
                      <w:rFonts w:hint="eastAsia"/>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2.83</w:t>
                  </w:r>
                </w:p>
              </w:tc>
              <w:tc>
                <w:tcPr>
                  <w:tcW w:w="1388" w:type="dxa"/>
                  <w:vAlign w:val="center"/>
                </w:tcPr>
                <w:p>
                  <w:pPr>
                    <w:jc w:val="center"/>
                    <w:rPr>
                      <w:rFonts w:hint="default"/>
                      <w:sz w:val="18"/>
                      <w:szCs w:val="18"/>
                      <w:lang w:val="en-US" w:eastAsia="zh-CN"/>
                    </w:rPr>
                  </w:pPr>
                  <w:r>
                    <w:rPr>
                      <w:rFonts w:hint="eastAsia"/>
                      <w:sz w:val="18"/>
                      <w:szCs w:val="18"/>
                      <w:lang w:val="en-US" w:eastAsia="zh-CN"/>
                    </w:rPr>
                    <w:t>2.65</w:t>
                  </w:r>
                </w:p>
              </w:tc>
              <w:tc>
                <w:tcPr>
                  <w:tcW w:w="1379" w:type="dxa"/>
                  <w:vAlign w:val="center"/>
                </w:tcPr>
                <w:p>
                  <w:pPr>
                    <w:jc w:val="center"/>
                    <w:rPr>
                      <w:rFonts w:hint="default"/>
                      <w:sz w:val="18"/>
                      <w:szCs w:val="18"/>
                      <w:lang w:val="en-US" w:eastAsia="zh-CN"/>
                    </w:rPr>
                  </w:pPr>
                  <w:r>
                    <w:rPr>
                      <w:rFonts w:hint="eastAsia"/>
                      <w:sz w:val="18"/>
                      <w:szCs w:val="18"/>
                      <w:lang w:val="en-US" w:eastAsia="zh-CN"/>
                    </w:rPr>
                    <w:t>2.73</w:t>
                  </w:r>
                </w:p>
              </w:tc>
              <w:tc>
                <w:tcPr>
                  <w:tcW w:w="1399" w:type="dxa"/>
                  <w:vAlign w:val="center"/>
                </w:tcPr>
                <w:p>
                  <w:pPr>
                    <w:jc w:val="center"/>
                    <w:rPr>
                      <w:rFonts w:hint="default"/>
                      <w:sz w:val="18"/>
                      <w:szCs w:val="18"/>
                      <w:lang w:val="en-US" w:eastAsia="zh-CN"/>
                    </w:rPr>
                  </w:pPr>
                  <w:r>
                    <w:rPr>
                      <w:rFonts w:hint="eastAsia"/>
                      <w:sz w:val="18"/>
                      <w:szCs w:val="18"/>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2.39</w:t>
                  </w:r>
                </w:p>
              </w:tc>
              <w:tc>
                <w:tcPr>
                  <w:tcW w:w="1388" w:type="dxa"/>
                  <w:vAlign w:val="center"/>
                </w:tcPr>
                <w:p>
                  <w:pPr>
                    <w:jc w:val="center"/>
                    <w:rPr>
                      <w:rFonts w:hint="default"/>
                      <w:sz w:val="18"/>
                      <w:szCs w:val="18"/>
                      <w:lang w:val="en-US" w:eastAsia="zh-CN"/>
                    </w:rPr>
                  </w:pPr>
                  <w:r>
                    <w:rPr>
                      <w:rFonts w:hint="eastAsia"/>
                      <w:sz w:val="18"/>
                      <w:szCs w:val="18"/>
                      <w:lang w:val="en-US" w:eastAsia="zh-CN"/>
                    </w:rPr>
                    <w:t>2.23</w:t>
                  </w:r>
                </w:p>
              </w:tc>
              <w:tc>
                <w:tcPr>
                  <w:tcW w:w="1379" w:type="dxa"/>
                  <w:vAlign w:val="center"/>
                </w:tcPr>
                <w:p>
                  <w:pPr>
                    <w:jc w:val="center"/>
                    <w:rPr>
                      <w:rFonts w:hint="default"/>
                      <w:sz w:val="18"/>
                      <w:szCs w:val="18"/>
                      <w:lang w:val="en-US" w:eastAsia="zh-CN"/>
                    </w:rPr>
                  </w:pPr>
                  <w:r>
                    <w:rPr>
                      <w:rFonts w:hint="eastAsia"/>
                      <w:sz w:val="18"/>
                      <w:szCs w:val="18"/>
                      <w:lang w:val="en-US" w:eastAsia="zh-CN"/>
                    </w:rPr>
                    <w:t>2.19</w:t>
                  </w:r>
                </w:p>
              </w:tc>
              <w:tc>
                <w:tcPr>
                  <w:tcW w:w="1399" w:type="dxa"/>
                  <w:vAlign w:val="center"/>
                </w:tcPr>
                <w:p>
                  <w:pPr>
                    <w:jc w:val="center"/>
                    <w:rPr>
                      <w:rFonts w:hint="default"/>
                      <w:sz w:val="18"/>
                      <w:szCs w:val="18"/>
                      <w:lang w:val="en-US" w:eastAsia="zh-CN"/>
                    </w:rPr>
                  </w:pPr>
                  <w:r>
                    <w:rPr>
                      <w:rFonts w:hint="eastAsia"/>
                      <w:sz w:val="18"/>
                      <w:szCs w:val="18"/>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2.35</w:t>
                  </w:r>
                </w:p>
              </w:tc>
              <w:tc>
                <w:tcPr>
                  <w:tcW w:w="1388" w:type="dxa"/>
                  <w:vAlign w:val="center"/>
                </w:tcPr>
                <w:p>
                  <w:pPr>
                    <w:jc w:val="center"/>
                    <w:rPr>
                      <w:rFonts w:hint="default"/>
                      <w:sz w:val="18"/>
                      <w:szCs w:val="18"/>
                      <w:lang w:val="en-US" w:eastAsia="zh-CN"/>
                    </w:rPr>
                  </w:pPr>
                  <w:r>
                    <w:rPr>
                      <w:rFonts w:hint="eastAsia"/>
                      <w:sz w:val="18"/>
                      <w:szCs w:val="18"/>
                      <w:lang w:val="en-US" w:eastAsia="zh-CN"/>
                    </w:rPr>
                    <w:t>2.31</w:t>
                  </w:r>
                </w:p>
              </w:tc>
              <w:tc>
                <w:tcPr>
                  <w:tcW w:w="1379" w:type="dxa"/>
                  <w:vAlign w:val="center"/>
                </w:tcPr>
                <w:p>
                  <w:pPr>
                    <w:jc w:val="center"/>
                    <w:rPr>
                      <w:rFonts w:hint="default"/>
                      <w:sz w:val="18"/>
                      <w:szCs w:val="18"/>
                      <w:lang w:val="en-US" w:eastAsia="zh-CN"/>
                    </w:rPr>
                  </w:pPr>
                  <w:r>
                    <w:rPr>
                      <w:rFonts w:hint="eastAsia"/>
                      <w:sz w:val="18"/>
                      <w:szCs w:val="18"/>
                      <w:lang w:val="en-US" w:eastAsia="zh-CN"/>
                    </w:rPr>
                    <w:t>2.51</w:t>
                  </w:r>
                </w:p>
              </w:tc>
              <w:tc>
                <w:tcPr>
                  <w:tcW w:w="1399" w:type="dxa"/>
                  <w:vAlign w:val="center"/>
                </w:tcPr>
                <w:p>
                  <w:pPr>
                    <w:jc w:val="center"/>
                    <w:rPr>
                      <w:rFonts w:hint="default"/>
                      <w:sz w:val="18"/>
                      <w:szCs w:val="18"/>
                      <w:lang w:val="en-US" w:eastAsia="zh-CN"/>
                    </w:rPr>
                  </w:pPr>
                  <w:r>
                    <w:rPr>
                      <w:rFonts w:hint="eastAsia"/>
                      <w:sz w:val="18"/>
                      <w:szCs w:val="18"/>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2.36</w:t>
                  </w:r>
                </w:p>
              </w:tc>
              <w:tc>
                <w:tcPr>
                  <w:tcW w:w="1388" w:type="dxa"/>
                  <w:vAlign w:val="center"/>
                </w:tcPr>
                <w:p>
                  <w:pPr>
                    <w:jc w:val="center"/>
                    <w:rPr>
                      <w:rFonts w:hint="default"/>
                      <w:sz w:val="18"/>
                      <w:szCs w:val="18"/>
                      <w:lang w:val="en-US" w:eastAsia="zh-CN"/>
                    </w:rPr>
                  </w:pPr>
                  <w:r>
                    <w:rPr>
                      <w:rFonts w:hint="eastAsia"/>
                      <w:sz w:val="18"/>
                      <w:szCs w:val="18"/>
                      <w:lang w:val="en-US" w:eastAsia="zh-CN"/>
                    </w:rPr>
                    <w:t>2.37</w:t>
                  </w:r>
                </w:p>
              </w:tc>
              <w:tc>
                <w:tcPr>
                  <w:tcW w:w="1379" w:type="dxa"/>
                  <w:vAlign w:val="center"/>
                </w:tcPr>
                <w:p>
                  <w:pPr>
                    <w:jc w:val="center"/>
                    <w:rPr>
                      <w:rFonts w:hint="default"/>
                      <w:sz w:val="18"/>
                      <w:szCs w:val="18"/>
                      <w:lang w:val="en-US" w:eastAsia="zh-CN"/>
                    </w:rPr>
                  </w:pPr>
                  <w:r>
                    <w:rPr>
                      <w:rFonts w:hint="eastAsia"/>
                      <w:sz w:val="18"/>
                      <w:szCs w:val="18"/>
                      <w:lang w:val="en-US" w:eastAsia="zh-CN"/>
                    </w:rPr>
                    <w:t>2.31</w:t>
                  </w:r>
                </w:p>
              </w:tc>
              <w:tc>
                <w:tcPr>
                  <w:tcW w:w="1399" w:type="dxa"/>
                  <w:vAlign w:val="center"/>
                </w:tcPr>
                <w:p>
                  <w:pPr>
                    <w:jc w:val="center"/>
                    <w:rPr>
                      <w:rFonts w:hint="default"/>
                      <w:sz w:val="18"/>
                      <w:szCs w:val="18"/>
                      <w:lang w:val="en-US" w:eastAsia="zh-CN"/>
                    </w:rPr>
                  </w:pPr>
                  <w:r>
                    <w:rPr>
                      <w:rFonts w:hint="eastAsia"/>
                      <w:sz w:val="18"/>
                      <w:szCs w:val="18"/>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restart"/>
                  <w:vAlign w:val="center"/>
                </w:tcPr>
                <w:p>
                  <w:pPr>
                    <w:jc w:val="center"/>
                    <w:rPr>
                      <w:rFonts w:hint="default" w:eastAsia="宋体"/>
                      <w:sz w:val="18"/>
                      <w:szCs w:val="18"/>
                      <w:lang w:val="en-US" w:eastAsia="zh-CN"/>
                    </w:rPr>
                  </w:pPr>
                  <w:r>
                    <w:rPr>
                      <w:rFonts w:hint="eastAsia"/>
                      <w:sz w:val="18"/>
                      <w:szCs w:val="18"/>
                      <w:lang w:val="en-US" w:eastAsia="zh-CN"/>
                    </w:rPr>
                    <w:t>20</w:t>
                  </w:r>
                  <w:r>
                    <w:rPr>
                      <w:sz w:val="18"/>
                      <w:szCs w:val="18"/>
                    </w:rPr>
                    <w:t>2</w:t>
                  </w:r>
                  <w:r>
                    <w:rPr>
                      <w:rFonts w:hint="eastAsia"/>
                      <w:sz w:val="18"/>
                      <w:szCs w:val="18"/>
                      <w:lang w:val="en-US" w:eastAsia="zh-CN"/>
                    </w:rPr>
                    <w:t>1.09.10</w:t>
                  </w:r>
                </w:p>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1</w:t>
                  </w:r>
                </w:p>
              </w:tc>
              <w:tc>
                <w:tcPr>
                  <w:tcW w:w="1388" w:type="dxa"/>
                  <w:vAlign w:val="center"/>
                </w:tcPr>
                <w:p>
                  <w:pPr>
                    <w:jc w:val="center"/>
                    <w:rPr>
                      <w:rFonts w:hint="default"/>
                      <w:sz w:val="18"/>
                      <w:szCs w:val="18"/>
                      <w:lang w:val="en-US" w:eastAsia="zh-CN"/>
                    </w:rPr>
                  </w:pPr>
                  <w:r>
                    <w:rPr>
                      <w:rFonts w:hint="eastAsia"/>
                      <w:sz w:val="18"/>
                      <w:szCs w:val="18"/>
                      <w:lang w:val="en-US" w:eastAsia="zh-CN"/>
                    </w:rPr>
                    <w:t>2</w:t>
                  </w:r>
                </w:p>
              </w:tc>
              <w:tc>
                <w:tcPr>
                  <w:tcW w:w="1379" w:type="dxa"/>
                  <w:vAlign w:val="center"/>
                </w:tcPr>
                <w:p>
                  <w:pPr>
                    <w:jc w:val="center"/>
                    <w:rPr>
                      <w:rFonts w:hint="default"/>
                      <w:sz w:val="18"/>
                      <w:szCs w:val="18"/>
                      <w:lang w:val="en-US" w:eastAsia="zh-CN"/>
                    </w:rPr>
                  </w:pPr>
                  <w:r>
                    <w:rPr>
                      <w:rFonts w:hint="eastAsia"/>
                      <w:sz w:val="18"/>
                      <w:szCs w:val="18"/>
                      <w:lang w:val="en-US" w:eastAsia="zh-CN"/>
                    </w:rPr>
                    <w:t>3</w:t>
                  </w:r>
                </w:p>
              </w:tc>
              <w:tc>
                <w:tcPr>
                  <w:tcW w:w="1399" w:type="dxa"/>
                  <w:vAlign w:val="center"/>
                </w:tcPr>
                <w:p>
                  <w:pPr>
                    <w:jc w:val="center"/>
                    <w:rPr>
                      <w:rFonts w:hint="default"/>
                      <w:sz w:val="18"/>
                      <w:szCs w:val="18"/>
                      <w:lang w:val="en-US" w:eastAsia="zh-CN"/>
                    </w:rPr>
                  </w:pPr>
                  <w:r>
                    <w:rPr>
                      <w:rFonts w:hint="eastAsia"/>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2.15</w:t>
                  </w:r>
                </w:p>
              </w:tc>
              <w:tc>
                <w:tcPr>
                  <w:tcW w:w="1388" w:type="dxa"/>
                  <w:vAlign w:val="center"/>
                </w:tcPr>
                <w:p>
                  <w:pPr>
                    <w:jc w:val="center"/>
                    <w:rPr>
                      <w:rFonts w:hint="default"/>
                      <w:sz w:val="18"/>
                      <w:szCs w:val="18"/>
                      <w:lang w:val="en-US" w:eastAsia="zh-CN"/>
                    </w:rPr>
                  </w:pPr>
                  <w:r>
                    <w:rPr>
                      <w:rFonts w:hint="eastAsia"/>
                      <w:sz w:val="18"/>
                      <w:szCs w:val="18"/>
                      <w:lang w:val="en-US" w:eastAsia="zh-CN"/>
                    </w:rPr>
                    <w:t>2.29</w:t>
                  </w:r>
                </w:p>
              </w:tc>
              <w:tc>
                <w:tcPr>
                  <w:tcW w:w="1379" w:type="dxa"/>
                  <w:vAlign w:val="center"/>
                </w:tcPr>
                <w:p>
                  <w:pPr>
                    <w:jc w:val="center"/>
                    <w:rPr>
                      <w:rFonts w:hint="default"/>
                      <w:sz w:val="18"/>
                      <w:szCs w:val="18"/>
                      <w:lang w:val="en-US" w:eastAsia="zh-CN"/>
                    </w:rPr>
                  </w:pPr>
                  <w:r>
                    <w:rPr>
                      <w:rFonts w:hint="eastAsia"/>
                      <w:sz w:val="18"/>
                      <w:szCs w:val="18"/>
                      <w:lang w:val="en-US" w:eastAsia="zh-CN"/>
                    </w:rPr>
                    <w:t>2.20</w:t>
                  </w:r>
                </w:p>
              </w:tc>
              <w:tc>
                <w:tcPr>
                  <w:tcW w:w="1399" w:type="dxa"/>
                  <w:vAlign w:val="center"/>
                </w:tcPr>
                <w:p>
                  <w:pPr>
                    <w:jc w:val="center"/>
                    <w:rPr>
                      <w:rFonts w:hint="default"/>
                      <w:sz w:val="18"/>
                      <w:szCs w:val="18"/>
                      <w:lang w:val="en-US" w:eastAsia="zh-CN"/>
                    </w:rPr>
                  </w:pPr>
                  <w:r>
                    <w:rPr>
                      <w:rFonts w:hint="eastAsia"/>
                      <w:sz w:val="18"/>
                      <w:szCs w:val="18"/>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2.14</w:t>
                  </w:r>
                </w:p>
              </w:tc>
              <w:tc>
                <w:tcPr>
                  <w:tcW w:w="1388" w:type="dxa"/>
                  <w:vAlign w:val="center"/>
                </w:tcPr>
                <w:p>
                  <w:pPr>
                    <w:jc w:val="center"/>
                    <w:rPr>
                      <w:rFonts w:hint="default"/>
                      <w:sz w:val="18"/>
                      <w:szCs w:val="18"/>
                      <w:lang w:val="en-US" w:eastAsia="zh-CN"/>
                    </w:rPr>
                  </w:pPr>
                  <w:r>
                    <w:rPr>
                      <w:rFonts w:hint="eastAsia"/>
                      <w:sz w:val="18"/>
                      <w:szCs w:val="18"/>
                      <w:lang w:val="en-US" w:eastAsia="zh-CN"/>
                    </w:rPr>
                    <w:t>2.12</w:t>
                  </w:r>
                </w:p>
              </w:tc>
              <w:tc>
                <w:tcPr>
                  <w:tcW w:w="1379" w:type="dxa"/>
                  <w:vAlign w:val="center"/>
                </w:tcPr>
                <w:p>
                  <w:pPr>
                    <w:jc w:val="center"/>
                    <w:rPr>
                      <w:rFonts w:hint="default"/>
                      <w:sz w:val="18"/>
                      <w:szCs w:val="18"/>
                      <w:lang w:val="en-US" w:eastAsia="zh-CN"/>
                    </w:rPr>
                  </w:pPr>
                  <w:r>
                    <w:rPr>
                      <w:rFonts w:hint="eastAsia"/>
                      <w:sz w:val="18"/>
                      <w:szCs w:val="18"/>
                      <w:lang w:val="en-US" w:eastAsia="zh-CN"/>
                    </w:rPr>
                    <w:t>2.25</w:t>
                  </w:r>
                </w:p>
              </w:tc>
              <w:tc>
                <w:tcPr>
                  <w:tcW w:w="1399" w:type="dxa"/>
                  <w:vAlign w:val="center"/>
                </w:tcPr>
                <w:p>
                  <w:pPr>
                    <w:jc w:val="center"/>
                    <w:rPr>
                      <w:rFonts w:hint="default"/>
                      <w:sz w:val="18"/>
                      <w:szCs w:val="18"/>
                      <w:lang w:val="en-US" w:eastAsia="zh-CN"/>
                    </w:rPr>
                  </w:pPr>
                  <w:r>
                    <w:rPr>
                      <w:rFonts w:hint="eastAsia"/>
                      <w:sz w:val="18"/>
                      <w:szCs w:val="18"/>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2.40</w:t>
                  </w:r>
                </w:p>
              </w:tc>
              <w:tc>
                <w:tcPr>
                  <w:tcW w:w="1388" w:type="dxa"/>
                  <w:vAlign w:val="center"/>
                </w:tcPr>
                <w:p>
                  <w:pPr>
                    <w:jc w:val="center"/>
                    <w:rPr>
                      <w:rFonts w:hint="default"/>
                      <w:sz w:val="18"/>
                      <w:szCs w:val="18"/>
                      <w:lang w:val="en-US" w:eastAsia="zh-CN"/>
                    </w:rPr>
                  </w:pPr>
                  <w:r>
                    <w:rPr>
                      <w:rFonts w:hint="eastAsia"/>
                      <w:sz w:val="18"/>
                      <w:szCs w:val="18"/>
                      <w:lang w:val="en-US" w:eastAsia="zh-CN"/>
                    </w:rPr>
                    <w:t>2.43</w:t>
                  </w:r>
                </w:p>
              </w:tc>
              <w:tc>
                <w:tcPr>
                  <w:tcW w:w="1379" w:type="dxa"/>
                  <w:vAlign w:val="center"/>
                </w:tcPr>
                <w:p>
                  <w:pPr>
                    <w:jc w:val="center"/>
                    <w:rPr>
                      <w:rFonts w:hint="default"/>
                      <w:sz w:val="18"/>
                      <w:szCs w:val="18"/>
                      <w:lang w:val="en-US" w:eastAsia="zh-CN"/>
                    </w:rPr>
                  </w:pPr>
                  <w:r>
                    <w:rPr>
                      <w:rFonts w:hint="eastAsia"/>
                      <w:sz w:val="18"/>
                      <w:szCs w:val="18"/>
                      <w:lang w:val="en-US" w:eastAsia="zh-CN"/>
                    </w:rPr>
                    <w:t>2.47</w:t>
                  </w:r>
                </w:p>
              </w:tc>
              <w:tc>
                <w:tcPr>
                  <w:tcW w:w="1399" w:type="dxa"/>
                  <w:vAlign w:val="center"/>
                </w:tcPr>
                <w:p>
                  <w:pPr>
                    <w:jc w:val="center"/>
                    <w:rPr>
                      <w:rFonts w:hint="default"/>
                      <w:sz w:val="18"/>
                      <w:szCs w:val="18"/>
                      <w:lang w:val="en-US" w:eastAsia="zh-CN"/>
                    </w:rPr>
                  </w:pPr>
                  <w:r>
                    <w:rPr>
                      <w:rFonts w:hint="eastAsia"/>
                      <w:sz w:val="18"/>
                      <w:szCs w:val="18"/>
                      <w:lang w:val="en-US" w:eastAsia="zh-CN"/>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1290" w:type="dxa"/>
                  <w:vAlign w:val="center"/>
                </w:tcPr>
                <w:p>
                  <w:pPr>
                    <w:jc w:val="center"/>
                    <w:rPr>
                      <w:rFonts w:hint="default"/>
                      <w:sz w:val="18"/>
                      <w:szCs w:val="18"/>
                      <w:lang w:val="en-US" w:eastAsia="zh-CN"/>
                    </w:rPr>
                  </w:pPr>
                  <w:r>
                    <w:rPr>
                      <w:rFonts w:hint="eastAsia"/>
                      <w:sz w:val="18"/>
                      <w:szCs w:val="18"/>
                      <w:lang w:val="en-US" w:eastAsia="zh-CN"/>
                    </w:rPr>
                    <w:t>2.26</w:t>
                  </w:r>
                </w:p>
              </w:tc>
              <w:tc>
                <w:tcPr>
                  <w:tcW w:w="1388" w:type="dxa"/>
                  <w:vAlign w:val="center"/>
                </w:tcPr>
                <w:p>
                  <w:pPr>
                    <w:jc w:val="center"/>
                    <w:rPr>
                      <w:rFonts w:hint="default"/>
                      <w:sz w:val="18"/>
                      <w:szCs w:val="18"/>
                      <w:lang w:val="en-US" w:eastAsia="zh-CN"/>
                    </w:rPr>
                  </w:pPr>
                  <w:r>
                    <w:rPr>
                      <w:rFonts w:hint="eastAsia"/>
                      <w:sz w:val="18"/>
                      <w:szCs w:val="18"/>
                      <w:lang w:val="en-US" w:eastAsia="zh-CN"/>
                    </w:rPr>
                    <w:t>2.33</w:t>
                  </w:r>
                </w:p>
              </w:tc>
              <w:tc>
                <w:tcPr>
                  <w:tcW w:w="1379" w:type="dxa"/>
                  <w:vAlign w:val="center"/>
                </w:tcPr>
                <w:p>
                  <w:pPr>
                    <w:jc w:val="center"/>
                    <w:rPr>
                      <w:rFonts w:hint="default"/>
                      <w:sz w:val="18"/>
                      <w:szCs w:val="18"/>
                      <w:lang w:val="en-US" w:eastAsia="zh-CN"/>
                    </w:rPr>
                  </w:pPr>
                  <w:r>
                    <w:rPr>
                      <w:rFonts w:hint="eastAsia"/>
                      <w:sz w:val="18"/>
                      <w:szCs w:val="18"/>
                      <w:lang w:val="en-US" w:eastAsia="zh-CN"/>
                    </w:rPr>
                    <w:t>2.27</w:t>
                  </w:r>
                </w:p>
              </w:tc>
              <w:tc>
                <w:tcPr>
                  <w:tcW w:w="1399" w:type="dxa"/>
                  <w:vAlign w:val="center"/>
                </w:tcPr>
                <w:p>
                  <w:pPr>
                    <w:jc w:val="center"/>
                    <w:rPr>
                      <w:rFonts w:hint="default"/>
                      <w:sz w:val="18"/>
                      <w:szCs w:val="18"/>
                      <w:lang w:val="en-US" w:eastAsia="zh-CN"/>
                    </w:rPr>
                  </w:pPr>
                  <w:r>
                    <w:rPr>
                      <w:rFonts w:hint="eastAsia"/>
                      <w:sz w:val="18"/>
                      <w:szCs w:val="18"/>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89" w:type="dxa"/>
                  <w:gridSpan w:val="2"/>
                  <w:vMerge w:val="continue"/>
                  <w:vAlign w:val="center"/>
                </w:tcPr>
                <w:p>
                  <w:pPr>
                    <w:jc w:val="center"/>
                    <w:rPr>
                      <w:sz w:val="18"/>
                      <w:szCs w:val="18"/>
                    </w:rPr>
                  </w:pPr>
                </w:p>
              </w:tc>
              <w:tc>
                <w:tcPr>
                  <w:tcW w:w="5456" w:type="dxa"/>
                  <w:gridSpan w:val="4"/>
                  <w:vAlign w:val="center"/>
                </w:tcPr>
                <w:p>
                  <w:pPr>
                    <w:jc w:val="center"/>
                    <w:rPr>
                      <w:rFonts w:hint="default"/>
                      <w:sz w:val="18"/>
                      <w:szCs w:val="18"/>
                      <w:lang w:val="en-US" w:eastAsia="zh-CN"/>
                    </w:rPr>
                  </w:pPr>
                  <w:r>
                    <w:rPr>
                      <w:rFonts w:hint="eastAsia"/>
                      <w:sz w:val="18"/>
                      <w:szCs w:val="18"/>
                      <w:lang w:val="en-US" w:eastAsia="zh-CN"/>
                    </w:rPr>
                    <w:t>2.27</w:t>
                  </w:r>
                </w:p>
              </w:tc>
            </w:tr>
          </w:tbl>
          <w:p>
            <w:pPr>
              <w:spacing w:line="360" w:lineRule="auto"/>
              <w:ind w:firstLine="420" w:firstLineChars="200"/>
            </w:pPr>
            <w:r>
              <w:t>根据例行检测结果，厂界无组织VOCs最大排放浓度为</w:t>
            </w:r>
            <w:r>
              <w:rPr>
                <w:rFonts w:hint="eastAsia"/>
                <w:lang w:val="en-US" w:eastAsia="zh-CN"/>
              </w:rPr>
              <w:t>1</w:t>
            </w:r>
            <w:r>
              <w:t>.</w:t>
            </w:r>
            <w:r>
              <w:rPr>
                <w:rFonts w:hint="eastAsia"/>
                <w:lang w:val="en-US" w:eastAsia="zh-CN"/>
              </w:rPr>
              <w:t>45</w:t>
            </w:r>
            <w:r>
              <w:t>mg/m</w:t>
            </w:r>
            <w:r>
              <w:rPr>
                <w:vertAlign w:val="superscript"/>
              </w:rPr>
              <w:t>3</w:t>
            </w:r>
            <w:r>
              <w:t>，满足《挥发性有机物排放标准 第</w:t>
            </w:r>
            <w:r>
              <w:rPr>
                <w:rFonts w:hint="eastAsia"/>
                <w:lang w:val="en-US" w:eastAsia="zh-CN"/>
              </w:rPr>
              <w:t>6</w:t>
            </w:r>
            <w:r>
              <w:t>部分：</w:t>
            </w:r>
            <w:r>
              <w:rPr>
                <w:rFonts w:hint="eastAsia"/>
                <w:lang w:eastAsia="zh-CN"/>
              </w:rPr>
              <w:t>有机化工</w:t>
            </w:r>
            <w:r>
              <w:t>行业》（DB37/ 2801.</w:t>
            </w:r>
            <w:r>
              <w:rPr>
                <w:rFonts w:hint="eastAsia"/>
                <w:lang w:val="en-US" w:eastAsia="zh-CN"/>
              </w:rPr>
              <w:t>6</w:t>
            </w:r>
            <w:r>
              <w:t>—201</w:t>
            </w:r>
            <w:r>
              <w:rPr>
                <w:rFonts w:hint="eastAsia"/>
                <w:lang w:val="en-US" w:eastAsia="zh-CN"/>
              </w:rPr>
              <w:t>8</w:t>
            </w:r>
            <w:r>
              <w:t>）表</w:t>
            </w:r>
            <w:r>
              <w:rPr>
                <w:rFonts w:hint="eastAsia"/>
                <w:lang w:val="en-US" w:eastAsia="zh-CN"/>
              </w:rPr>
              <w:t>2</w:t>
            </w:r>
            <w:r>
              <w:t>中无组织VOCs排放限值要求（</w:t>
            </w:r>
            <w:r>
              <w:rPr>
                <w:rFonts w:hint="eastAsia"/>
                <w:lang w:val="en-US" w:eastAsia="zh-CN"/>
              </w:rPr>
              <w:t>VOCs：</w:t>
            </w:r>
            <w:r>
              <w:t>2.0mg/m</w:t>
            </w:r>
            <w:r>
              <w:rPr>
                <w:vertAlign w:val="superscript"/>
              </w:rPr>
              <w:t>3</w:t>
            </w:r>
            <w:r>
              <w:t>）；</w:t>
            </w:r>
            <w:r>
              <w:rPr>
                <w:rFonts w:hint="eastAsia"/>
                <w:lang w:eastAsia="zh-CN"/>
              </w:rPr>
              <w:t>厂界</w:t>
            </w:r>
            <w:r>
              <w:t>无组织</w:t>
            </w:r>
            <w:r>
              <w:rPr>
                <w:rFonts w:hint="eastAsia"/>
                <w:lang w:eastAsia="zh-CN"/>
              </w:rPr>
              <w:t>甲醛</w:t>
            </w:r>
            <w:r>
              <w:t>最大浓度为0.</w:t>
            </w:r>
            <w:r>
              <w:rPr>
                <w:rFonts w:hint="eastAsia"/>
                <w:lang w:val="en-US" w:eastAsia="zh-CN"/>
              </w:rPr>
              <w:t>043</w:t>
            </w:r>
            <w:r>
              <w:t>mg/m</w:t>
            </w:r>
            <w:r>
              <w:rPr>
                <w:vertAlign w:val="superscript"/>
              </w:rPr>
              <w:t>3</w:t>
            </w:r>
            <w:r>
              <w:rPr>
                <w:rFonts w:hint="eastAsia"/>
                <w:lang w:eastAsia="zh-CN"/>
              </w:rPr>
              <w:t>，</w:t>
            </w:r>
            <w:r>
              <w:t>满足</w:t>
            </w:r>
            <w:r>
              <w:rPr>
                <w:rFonts w:hint="default" w:ascii="Times New Roman" w:hAnsi="Times New Roman" w:cs="Times New Roman"/>
                <w:szCs w:val="21"/>
              </w:rPr>
              <w:t>《挥发性有机物排放标准 第</w:t>
            </w:r>
            <w:r>
              <w:rPr>
                <w:rFonts w:hint="eastAsia" w:cs="Times New Roman"/>
                <w:szCs w:val="21"/>
                <w:lang w:val="en-US" w:eastAsia="zh-CN"/>
              </w:rPr>
              <w:t>7</w:t>
            </w:r>
            <w:r>
              <w:rPr>
                <w:rFonts w:hint="default" w:ascii="Times New Roman" w:hAnsi="Times New Roman" w:cs="Times New Roman"/>
                <w:szCs w:val="21"/>
              </w:rPr>
              <w:t>部分：</w:t>
            </w:r>
            <w:r>
              <w:rPr>
                <w:rFonts w:hint="eastAsia" w:cs="Times New Roman"/>
                <w:szCs w:val="21"/>
                <w:lang w:eastAsia="zh-CN"/>
              </w:rPr>
              <w:t>其他</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w:t>
            </w:r>
            <w:r>
              <w:rPr>
                <w:rFonts w:hint="eastAsia" w:cs="Times New Roman"/>
                <w:szCs w:val="21"/>
                <w:lang w:val="en-US" w:eastAsia="zh-CN"/>
              </w:rPr>
              <w:t>表3</w:t>
            </w:r>
            <w:r>
              <w:rPr>
                <w:rFonts w:hint="default" w:ascii="Times New Roman" w:hAnsi="Times New Roman" w:cs="Times New Roman"/>
                <w:szCs w:val="21"/>
              </w:rPr>
              <w:t>厂界监控点浓度限值</w:t>
            </w:r>
            <w:r>
              <w:t>（</w:t>
            </w:r>
            <w:r>
              <w:rPr>
                <w:rFonts w:hint="eastAsia"/>
                <w:lang w:eastAsia="zh-CN"/>
              </w:rPr>
              <w:t>甲醛：</w:t>
            </w:r>
            <w:r>
              <w:rPr>
                <w:rFonts w:hint="eastAsia"/>
                <w:lang w:val="en-US" w:eastAsia="zh-CN"/>
              </w:rPr>
              <w:t>0.05</w:t>
            </w:r>
            <w:r>
              <w:t>mg/m</w:t>
            </w:r>
            <w:r>
              <w:rPr>
                <w:vertAlign w:val="superscript"/>
              </w:rPr>
              <w:t>3</w:t>
            </w:r>
            <w:r>
              <w:t>）</w:t>
            </w:r>
            <w:r>
              <w:rPr>
                <w:rFonts w:hint="eastAsia"/>
                <w:lang w:eastAsia="zh-CN"/>
              </w:rPr>
              <w:t>；厂界无组织酚类化合物未检出，检出限为</w:t>
            </w:r>
            <w:r>
              <w:rPr>
                <w:rFonts w:hint="eastAsia"/>
                <w:lang w:val="en-US" w:eastAsia="zh-CN"/>
              </w:rPr>
              <w:t>0.03mg/</w:t>
            </w:r>
            <w:r>
              <w:t>m</w:t>
            </w:r>
            <w:r>
              <w:rPr>
                <w:vertAlign w:val="superscript"/>
              </w:rPr>
              <w:t>3</w:t>
            </w:r>
            <w:r>
              <w:t>，满足</w:t>
            </w:r>
            <w:r>
              <w:rPr>
                <w:sz w:val="21"/>
                <w:szCs w:val="21"/>
              </w:rPr>
              <w:t>《</w:t>
            </w:r>
            <w:r>
              <w:rPr>
                <w:rFonts w:hint="eastAsia"/>
                <w:bCs/>
                <w:sz w:val="21"/>
                <w:szCs w:val="21"/>
                <w:lang w:eastAsia="zh-CN"/>
              </w:rPr>
              <w:t>大气污染物综合排放标准</w:t>
            </w:r>
            <w:r>
              <w:rPr>
                <w:bCs/>
                <w:sz w:val="21"/>
                <w:szCs w:val="21"/>
              </w:rPr>
              <w:t>》（</w:t>
            </w:r>
            <w:r>
              <w:rPr>
                <w:rFonts w:hint="eastAsia"/>
                <w:bCs/>
                <w:sz w:val="21"/>
                <w:szCs w:val="21"/>
                <w:lang w:val="en-US" w:eastAsia="zh-CN"/>
              </w:rPr>
              <w:t>GB16297-1996</w:t>
            </w:r>
            <w:r>
              <w:rPr>
                <w:bCs/>
                <w:sz w:val="21"/>
                <w:szCs w:val="21"/>
              </w:rPr>
              <w:t>）</w:t>
            </w:r>
            <w:r>
              <w:t>表</w:t>
            </w:r>
            <w:r>
              <w:rPr>
                <w:rFonts w:hint="eastAsia"/>
                <w:lang w:val="en-US" w:eastAsia="zh-CN"/>
              </w:rPr>
              <w:t>2</w:t>
            </w:r>
            <w:r>
              <w:t>中的排放浓度限值（</w:t>
            </w:r>
            <w:r>
              <w:rPr>
                <w:rFonts w:hint="eastAsia"/>
                <w:vertAlign w:val="baseline"/>
                <w:lang w:eastAsia="zh-CN"/>
              </w:rPr>
              <w:t>酚类化合物：</w:t>
            </w:r>
            <w:r>
              <w:rPr>
                <w:rFonts w:hint="eastAsia"/>
                <w:vertAlign w:val="baseline"/>
                <w:lang w:val="en-US" w:eastAsia="zh-CN"/>
              </w:rPr>
              <w:t>0.08</w:t>
            </w:r>
            <w:r>
              <w:t>mg/m</w:t>
            </w:r>
            <w:r>
              <w:rPr>
                <w:vertAlign w:val="superscript"/>
              </w:rPr>
              <w:t>3</w:t>
            </w:r>
            <w:r>
              <w:t>）</w:t>
            </w:r>
            <w:r>
              <w:rPr>
                <w:rFonts w:hint="eastAsia"/>
                <w:lang w:eastAsia="zh-CN"/>
              </w:rPr>
              <w:t>；厂区内无组织非甲烷总烃最大值为</w:t>
            </w:r>
            <w:r>
              <w:rPr>
                <w:rFonts w:hint="eastAsia"/>
                <w:lang w:val="en-US" w:eastAsia="zh-CN"/>
              </w:rPr>
              <w:t>2.83mg/</w:t>
            </w:r>
            <w:r>
              <w:t>m</w:t>
            </w:r>
            <w:r>
              <w:rPr>
                <w:vertAlign w:val="superscript"/>
              </w:rPr>
              <w:t>3</w:t>
            </w:r>
            <w:r>
              <w:t>，</w:t>
            </w:r>
            <w:r>
              <w:rPr>
                <w:rFonts w:hint="eastAsia"/>
                <w:lang w:eastAsia="zh-CN"/>
              </w:rPr>
              <w:t>满足《挥发性有机物无组织排放控制标准》（</w:t>
            </w:r>
            <w:r>
              <w:rPr>
                <w:rFonts w:hint="eastAsia"/>
                <w:lang w:val="en-US" w:eastAsia="zh-CN"/>
              </w:rPr>
              <w:t>GB37822-2019</w:t>
            </w:r>
            <w:r>
              <w:rPr>
                <w:rFonts w:hint="eastAsia"/>
                <w:lang w:eastAsia="zh-CN"/>
              </w:rPr>
              <w:t>）表</w:t>
            </w:r>
            <w:r>
              <w:rPr>
                <w:rFonts w:hint="eastAsia"/>
                <w:lang w:val="en-US" w:eastAsia="zh-CN"/>
              </w:rPr>
              <w:t>A.1中无组织排放限值（非甲烷总烃：1h平均浓度6mg/</w:t>
            </w:r>
            <w:r>
              <w:t>m</w:t>
            </w:r>
            <w:r>
              <w:rPr>
                <w:vertAlign w:val="superscript"/>
              </w:rPr>
              <w:t>3</w:t>
            </w:r>
            <w:r>
              <w:t>，</w:t>
            </w:r>
            <w:r>
              <w:rPr>
                <w:rFonts w:hint="eastAsia"/>
                <w:lang w:val="en-US" w:eastAsia="zh-CN"/>
              </w:rPr>
              <w:t>1次值浓度20mg/</w:t>
            </w:r>
            <w:r>
              <w:t>m</w:t>
            </w:r>
            <w:r>
              <w:rPr>
                <w:vertAlign w:val="superscript"/>
              </w:rPr>
              <w:t>3</w:t>
            </w:r>
            <w:r>
              <w:rPr>
                <w:rFonts w:hint="eastAsia"/>
                <w:lang w:val="en-US" w:eastAsia="zh-CN"/>
              </w:rPr>
              <w:t>）</w:t>
            </w:r>
            <w:r>
              <w:t>。</w:t>
            </w:r>
          </w:p>
          <w:p>
            <w:pPr>
              <w:spacing w:line="360" w:lineRule="auto"/>
              <w:ind w:firstLine="420" w:firstLineChars="200"/>
            </w:pPr>
            <w:r>
              <w:t>3）废气排放量</w:t>
            </w:r>
          </w:p>
          <w:p>
            <w:pPr>
              <w:tabs>
                <w:tab w:val="left" w:pos="1680"/>
              </w:tabs>
              <w:spacing w:line="360" w:lineRule="auto"/>
              <w:ind w:firstLine="420" w:firstLineChars="200"/>
              <w:rPr>
                <w:rFonts w:hint="default" w:eastAsiaTheme="minorEastAsia"/>
                <w:sz w:val="21"/>
                <w:szCs w:val="21"/>
                <w:lang w:val="en-US" w:eastAsia="zh-CN"/>
              </w:rPr>
            </w:pPr>
            <w:r>
              <w:rPr>
                <w:rFonts w:hint="eastAsia" w:eastAsiaTheme="minorEastAsia"/>
                <w:sz w:val="21"/>
                <w:szCs w:val="21"/>
                <w:lang w:eastAsia="zh-CN"/>
              </w:rPr>
              <w:t>①有组织废气</w:t>
            </w:r>
          </w:p>
          <w:p>
            <w:pPr>
              <w:tabs>
                <w:tab w:val="left" w:pos="1680"/>
              </w:tabs>
              <w:spacing w:line="360" w:lineRule="auto"/>
              <w:ind w:firstLine="420" w:firstLineChars="200"/>
              <w:rPr>
                <w:rFonts w:hint="default"/>
                <w:sz w:val="21"/>
                <w:szCs w:val="21"/>
                <w:lang w:val="en-US" w:eastAsia="zh-CN"/>
              </w:rPr>
            </w:pPr>
            <w:r>
              <w:rPr>
                <w:rFonts w:hint="eastAsia"/>
                <w:sz w:val="21"/>
                <w:szCs w:val="21"/>
                <w:lang w:eastAsia="zh-CN"/>
              </w:rPr>
              <w:t>根据检测报告数据，</w:t>
            </w:r>
            <w:r>
              <w:rPr>
                <w:rFonts w:hint="eastAsia"/>
                <w:sz w:val="21"/>
                <w:szCs w:val="21"/>
                <w:lang w:val="en-US" w:eastAsia="zh-CN"/>
              </w:rPr>
              <w:t>1#</w:t>
            </w:r>
            <w:r>
              <w:rPr>
                <w:rFonts w:hint="eastAsia"/>
                <w:sz w:val="21"/>
                <w:szCs w:val="21"/>
                <w:lang w:eastAsia="zh-CN"/>
              </w:rPr>
              <w:t>排气筒出口甲醛平均排放速率为0.00</w:t>
            </w:r>
            <w:r>
              <w:rPr>
                <w:rFonts w:hint="eastAsia"/>
                <w:sz w:val="21"/>
                <w:szCs w:val="21"/>
                <w:lang w:val="en-US" w:eastAsia="zh-CN"/>
              </w:rPr>
              <w:t>5</w:t>
            </w:r>
            <w:r>
              <w:rPr>
                <w:rFonts w:hint="eastAsia"/>
                <w:sz w:val="21"/>
                <w:szCs w:val="21"/>
                <w:lang w:eastAsia="zh-CN"/>
              </w:rPr>
              <w:t>2</w:t>
            </w:r>
            <w:r>
              <w:rPr>
                <w:rFonts w:hint="eastAsia"/>
                <w:sz w:val="21"/>
                <w:szCs w:val="21"/>
                <w:lang w:val="en-US" w:eastAsia="zh-CN"/>
              </w:rPr>
              <w:t>kg/h，酚类化合物平均排放速率为0.0057kg/h，VOCs平均排放速率为0.0277kg/h，例行检测时，项目生产负荷为85%，折算生产负荷至100%后，1#</w:t>
            </w:r>
            <w:r>
              <w:rPr>
                <w:rFonts w:hint="eastAsia"/>
                <w:sz w:val="21"/>
                <w:szCs w:val="21"/>
                <w:lang w:eastAsia="zh-CN"/>
              </w:rPr>
              <w:t>排气筒出口甲醛平均排放速率为0.00</w:t>
            </w:r>
            <w:r>
              <w:rPr>
                <w:rFonts w:hint="eastAsia"/>
                <w:sz w:val="21"/>
                <w:szCs w:val="21"/>
                <w:lang w:val="en-US" w:eastAsia="zh-CN"/>
              </w:rPr>
              <w:t>61kg/h，酚类化合物平均排放速率为0.0067kg/h，VOCs平均排放速率为0.0326kg/h，项目1#排气筒年工作时间4800h，1#排气筒有组织甲醛排放量为0.029t/a，有组织酚类化合物排放量为0.032t/a，有组织VOCs排放量为0.156t/a。</w:t>
            </w:r>
          </w:p>
          <w:p>
            <w:pPr>
              <w:tabs>
                <w:tab w:val="left" w:pos="1680"/>
              </w:tabs>
              <w:spacing w:line="360" w:lineRule="auto"/>
              <w:ind w:firstLine="420" w:firstLineChars="200"/>
              <w:rPr>
                <w:rFonts w:hint="eastAsia" w:eastAsiaTheme="minorEastAsia"/>
                <w:sz w:val="21"/>
                <w:szCs w:val="21"/>
                <w:lang w:eastAsia="zh-CN"/>
              </w:rPr>
            </w:pPr>
            <w:r>
              <w:rPr>
                <w:rFonts w:hint="eastAsia" w:eastAsiaTheme="minorEastAsia"/>
                <w:sz w:val="21"/>
                <w:szCs w:val="21"/>
                <w:lang w:eastAsia="zh-CN"/>
              </w:rPr>
              <w:t>②无组织废气</w:t>
            </w:r>
          </w:p>
          <w:p>
            <w:pPr>
              <w:tabs>
                <w:tab w:val="left" w:pos="1680"/>
              </w:tabs>
              <w:spacing w:line="360" w:lineRule="auto"/>
              <w:ind w:firstLine="420" w:firstLineChars="200"/>
              <w:rPr>
                <w:rFonts w:eastAsiaTheme="minorEastAsia"/>
                <w:sz w:val="21"/>
                <w:szCs w:val="21"/>
              </w:rPr>
            </w:pPr>
            <w:r>
              <w:rPr>
                <w:rFonts w:hint="eastAsia" w:eastAsiaTheme="minorEastAsia"/>
                <w:sz w:val="21"/>
                <w:szCs w:val="21"/>
                <w:lang w:eastAsia="zh-CN"/>
              </w:rPr>
              <w:t>搅拌、涂胶、烘干、固化、切割、注塑</w:t>
            </w:r>
            <w:r>
              <w:rPr>
                <w:rFonts w:hint="eastAsia" w:eastAsiaTheme="minorEastAsia"/>
                <w:sz w:val="21"/>
                <w:szCs w:val="21"/>
              </w:rPr>
              <w:t>过程集气罩收集效率按9</w:t>
            </w:r>
            <w:r>
              <w:rPr>
                <w:rFonts w:eastAsiaTheme="minorEastAsia"/>
                <w:sz w:val="21"/>
                <w:szCs w:val="21"/>
              </w:rPr>
              <w:t>0</w:t>
            </w:r>
            <w:r>
              <w:rPr>
                <w:rFonts w:hint="eastAsia" w:eastAsiaTheme="minorEastAsia"/>
                <w:sz w:val="21"/>
                <w:szCs w:val="21"/>
              </w:rPr>
              <w:t>%计，</w:t>
            </w:r>
            <w:r>
              <w:rPr>
                <w:rFonts w:hint="eastAsia" w:eastAsiaTheme="minorEastAsia"/>
                <w:sz w:val="21"/>
                <w:szCs w:val="21"/>
                <w:lang w:eastAsia="zh-CN"/>
              </w:rPr>
              <w:t>其余</w:t>
            </w:r>
            <w:r>
              <w:rPr>
                <w:rFonts w:hint="eastAsia" w:eastAsiaTheme="minorEastAsia"/>
                <w:sz w:val="21"/>
                <w:szCs w:val="21"/>
                <w:lang w:val="en-US" w:eastAsia="zh-CN"/>
              </w:rPr>
              <w:t>10%全部无组织排放。</w:t>
            </w:r>
            <w:r>
              <w:rPr>
                <w:rFonts w:hint="eastAsia" w:eastAsiaTheme="minorEastAsia"/>
                <w:sz w:val="21"/>
                <w:szCs w:val="21"/>
                <w:lang w:eastAsia="zh-CN"/>
              </w:rPr>
              <w:t>根据验收监测报告数据，</w:t>
            </w:r>
            <w:r>
              <w:rPr>
                <w:rFonts w:hint="eastAsia" w:eastAsiaTheme="minorEastAsia"/>
                <w:sz w:val="21"/>
                <w:szCs w:val="21"/>
                <w:lang w:val="en-US" w:eastAsia="zh-CN"/>
              </w:rPr>
              <w:t>UV光氧催化氧化废气处理设施VOCs</w:t>
            </w:r>
            <w:r>
              <w:rPr>
                <w:rFonts w:hint="eastAsia" w:eastAsiaTheme="minorEastAsia"/>
                <w:sz w:val="21"/>
                <w:szCs w:val="21"/>
                <w:lang w:eastAsia="zh-CN"/>
              </w:rPr>
              <w:t>处理效率按</w:t>
            </w:r>
            <w:r>
              <w:rPr>
                <w:rFonts w:hint="eastAsia" w:eastAsiaTheme="minorEastAsia"/>
                <w:sz w:val="21"/>
                <w:szCs w:val="21"/>
                <w:lang w:val="en-US" w:eastAsia="zh-CN"/>
              </w:rPr>
              <w:t>64.8%计，无组织甲醛排放量为0.009t/a，无组织酚类化合物排放量为0.01t/a，无组织VOCs排放量为0.049t/a</w:t>
            </w:r>
            <w:r>
              <w:rPr>
                <w:rFonts w:eastAsiaTheme="minorEastAsia"/>
                <w:sz w:val="21"/>
                <w:szCs w:val="21"/>
              </w:rPr>
              <w:t>。</w:t>
            </w:r>
          </w:p>
          <w:p>
            <w:pPr>
              <w:tabs>
                <w:tab w:val="left" w:pos="1680"/>
              </w:tabs>
              <w:spacing w:line="360" w:lineRule="auto"/>
              <w:ind w:firstLine="420" w:firstLineChars="200"/>
              <w:rPr>
                <w:rFonts w:hint="eastAsia" w:eastAsiaTheme="minorEastAsia"/>
                <w:sz w:val="21"/>
                <w:szCs w:val="21"/>
              </w:rPr>
            </w:pPr>
            <w:r>
              <w:rPr>
                <w:rFonts w:hint="eastAsia" w:eastAsiaTheme="minorEastAsia"/>
                <w:sz w:val="21"/>
                <w:szCs w:val="21"/>
                <w:lang w:eastAsia="zh-CN"/>
              </w:rPr>
              <w:t>现有</w:t>
            </w:r>
            <w:r>
              <w:rPr>
                <w:rFonts w:hint="eastAsia" w:eastAsiaTheme="minorEastAsia"/>
                <w:sz w:val="21"/>
                <w:szCs w:val="21"/>
              </w:rPr>
              <w:t>项目废气</w:t>
            </w:r>
            <w:r>
              <w:rPr>
                <w:rFonts w:hint="eastAsia" w:eastAsiaTheme="minorEastAsia"/>
                <w:sz w:val="21"/>
                <w:szCs w:val="21"/>
                <w:lang w:eastAsia="zh-CN"/>
              </w:rPr>
              <w:t>排放</w:t>
            </w:r>
            <w:r>
              <w:rPr>
                <w:rFonts w:hint="eastAsia" w:eastAsiaTheme="minorEastAsia"/>
                <w:sz w:val="21"/>
                <w:szCs w:val="21"/>
              </w:rPr>
              <w:t>情况见下表：</w:t>
            </w:r>
          </w:p>
          <w:p>
            <w:pPr>
              <w:pStyle w:val="216"/>
              <w:ind w:left="0" w:leftChars="0" w:firstLine="0" w:firstLineChars="0"/>
              <w:jc w:val="center"/>
              <w:rPr>
                <w:color w:val="auto"/>
              </w:rPr>
            </w:pPr>
            <w:r>
              <w:rPr>
                <w:rFonts w:hint="eastAsia"/>
                <w:color w:val="auto"/>
                <w:lang w:eastAsia="zh-CN"/>
              </w:rPr>
              <w:t>表</w:t>
            </w:r>
            <w:r>
              <w:rPr>
                <w:rFonts w:hint="eastAsia"/>
                <w:color w:val="auto"/>
                <w:lang w:val="en-US" w:eastAsia="zh-CN"/>
              </w:rPr>
              <w:t>2-9 现有</w:t>
            </w:r>
            <w:r>
              <w:rPr>
                <w:rFonts w:hint="eastAsia"/>
                <w:color w:val="auto"/>
              </w:rPr>
              <w:t>项目废气</w:t>
            </w:r>
            <w:r>
              <w:rPr>
                <w:rFonts w:hint="eastAsia"/>
                <w:color w:val="auto"/>
                <w:lang w:eastAsia="zh-CN"/>
              </w:rPr>
              <w:t>污染物排放</w:t>
            </w:r>
            <w:r>
              <w:rPr>
                <w:rFonts w:hint="eastAsia"/>
                <w:color w:val="auto"/>
              </w:rPr>
              <w:t>情况汇总表</w:t>
            </w:r>
          </w:p>
          <w:tbl>
            <w:tblPr>
              <w:tblStyle w:val="85"/>
              <w:tblW w:w="82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9"/>
              <w:gridCol w:w="753"/>
              <w:gridCol w:w="658"/>
              <w:gridCol w:w="659"/>
              <w:gridCol w:w="646"/>
              <w:gridCol w:w="598"/>
              <w:gridCol w:w="634"/>
              <w:gridCol w:w="659"/>
              <w:gridCol w:w="744"/>
              <w:gridCol w:w="829"/>
              <w:gridCol w:w="683"/>
              <w:gridCol w:w="9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79" w:type="dxa"/>
                  <w:vMerge w:val="restart"/>
                  <w:tcBorders>
                    <w:top w:val="single" w:color="000000" w:sz="8" w:space="0"/>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排气筒名称</w:t>
                  </w:r>
                </w:p>
              </w:tc>
              <w:tc>
                <w:tcPr>
                  <w:tcW w:w="7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污染物</w:t>
                  </w:r>
                </w:p>
              </w:tc>
              <w:tc>
                <w:tcPr>
                  <w:tcW w:w="19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产生情况</w:t>
                  </w:r>
                </w:p>
              </w:tc>
              <w:tc>
                <w:tcPr>
                  <w:tcW w:w="5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处理效率</w:t>
                  </w:r>
                  <w:r>
                    <w:rPr>
                      <w:rFonts w:hint="default" w:ascii="Times New Roman" w:hAnsi="Times New Roman" w:eastAsia="宋体" w:cs="Times New Roman"/>
                      <w:i w:val="0"/>
                      <w:iCs w:val="0"/>
                      <w:color w:val="000000"/>
                      <w:kern w:val="0"/>
                      <w:sz w:val="18"/>
                      <w:szCs w:val="18"/>
                      <w:u w:val="none"/>
                      <w:lang w:val="en-US" w:eastAsia="zh-CN" w:bidi="ar"/>
                    </w:rPr>
                    <w:t>%</w:t>
                  </w:r>
                </w:p>
              </w:tc>
              <w:tc>
                <w:tcPr>
                  <w:tcW w:w="6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废气量</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m</w:t>
                  </w:r>
                  <w:r>
                    <w:rPr>
                      <w:rStyle w:val="1394"/>
                      <w:rFonts w:eastAsia="宋体"/>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/h</w:t>
                  </w:r>
                </w:p>
              </w:tc>
              <w:tc>
                <w:tcPr>
                  <w:tcW w:w="6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运行时间</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h/a</w:t>
                  </w:r>
                </w:p>
              </w:tc>
              <w:tc>
                <w:tcPr>
                  <w:tcW w:w="22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有组织排放情况</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无组织排放情况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jc w:val="center"/>
              </w:trPr>
              <w:tc>
                <w:tcPr>
                  <w:tcW w:w="479" w:type="dxa"/>
                  <w:vMerge w:val="continue"/>
                  <w:tcBorders>
                    <w:top w:val="single" w:color="000000" w:sz="8" w:space="0"/>
                    <w:left w:val="single" w:color="000000" w:sz="8" w:space="0"/>
                    <w:bottom w:val="single" w:color="000000" w:sz="8"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产生量</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有组织收集量</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t/a</w:t>
                  </w: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收集效率</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5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65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74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浓度</w:t>
                  </w:r>
                  <w:r>
                    <w:rPr>
                      <w:rFonts w:hint="default" w:ascii="Times New Roman" w:hAnsi="Times New Roman" w:eastAsia="宋体" w:cs="Times New Roman"/>
                      <w:i w:val="0"/>
                      <w:iCs w:val="0"/>
                      <w:color w:val="000000"/>
                      <w:kern w:val="0"/>
                      <w:sz w:val="18"/>
                      <w:szCs w:val="18"/>
                      <w:u w:val="none"/>
                      <w:lang w:val="en-US" w:eastAsia="zh-CN" w:bidi="ar"/>
                    </w:rPr>
                    <w:t>mg/m</w:t>
                  </w:r>
                  <w:r>
                    <w:rPr>
                      <w:rStyle w:val="1394"/>
                      <w:rFonts w:eastAsia="宋体"/>
                      <w:sz w:val="18"/>
                      <w:szCs w:val="18"/>
                      <w:lang w:val="en-US" w:eastAsia="zh-CN" w:bidi="ar"/>
                    </w:rPr>
                    <w:t>3</w:t>
                  </w:r>
                </w:p>
              </w:tc>
              <w:tc>
                <w:tcPr>
                  <w:tcW w:w="8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速率</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kg/h</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排放量</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t/a</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无组织</w:t>
                  </w:r>
                  <w:r>
                    <w:rPr>
                      <w:rFonts w:hint="eastAsia" w:ascii="宋体" w:hAnsi="宋体" w:eastAsia="宋体" w:cs="宋体"/>
                      <w:i w:val="0"/>
                      <w:iCs w:val="0"/>
                      <w:color w:val="000000"/>
                      <w:kern w:val="0"/>
                      <w:sz w:val="18"/>
                      <w:szCs w:val="18"/>
                      <w:u w:val="none"/>
                      <w:lang w:val="en-US" w:eastAsia="zh-CN" w:bidi="ar"/>
                    </w:rPr>
                    <w:t>排放量</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79" w:type="dxa"/>
                  <w:vMerge w:val="restart"/>
                  <w:tcBorders>
                    <w:top w:val="nil"/>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排气筒</w:t>
                  </w:r>
                </w:p>
              </w:tc>
              <w:tc>
                <w:tcPr>
                  <w:tcW w:w="75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甲醛</w:t>
                  </w:r>
                </w:p>
              </w:tc>
              <w:tc>
                <w:tcPr>
                  <w:tcW w:w="658"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0.091</w:t>
                  </w:r>
                </w:p>
              </w:tc>
              <w:tc>
                <w:tcPr>
                  <w:tcW w:w="659"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0.082</w:t>
                  </w:r>
                </w:p>
              </w:tc>
              <w:tc>
                <w:tcPr>
                  <w:tcW w:w="646"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98"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64.8</w:t>
                  </w:r>
                </w:p>
              </w:tc>
              <w:tc>
                <w:tcPr>
                  <w:tcW w:w="634"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8000</w:t>
                  </w:r>
                </w:p>
              </w:tc>
              <w:tc>
                <w:tcPr>
                  <w:tcW w:w="659" w:type="dxa"/>
                  <w:vMerge w:val="restart"/>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4800</w:t>
                  </w:r>
                </w:p>
              </w:tc>
              <w:tc>
                <w:tcPr>
                  <w:tcW w:w="744"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0.97</w:t>
                  </w:r>
                </w:p>
              </w:tc>
              <w:tc>
                <w:tcPr>
                  <w:tcW w:w="829"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0.00</w:t>
                  </w:r>
                  <w:r>
                    <w:rPr>
                      <w:rFonts w:hint="eastAsia" w:cs="Times New Roman"/>
                      <w:i w:val="0"/>
                      <w:iCs w:val="0"/>
                      <w:color w:val="000000"/>
                      <w:kern w:val="0"/>
                      <w:sz w:val="18"/>
                      <w:szCs w:val="18"/>
                      <w:u w:val="none"/>
                      <w:lang w:val="en-US" w:eastAsia="zh-CN" w:bidi="ar"/>
                    </w:rPr>
                    <w:t>61</w:t>
                  </w:r>
                </w:p>
              </w:tc>
              <w:tc>
                <w:tcPr>
                  <w:tcW w:w="68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29</w:t>
                  </w:r>
                </w:p>
              </w:tc>
              <w:tc>
                <w:tcPr>
                  <w:tcW w:w="901"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479" w:type="dxa"/>
                  <w:vMerge w:val="continue"/>
                  <w:tcBorders>
                    <w:left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5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酚类化合物</w:t>
                  </w:r>
                </w:p>
              </w:tc>
              <w:tc>
                <w:tcPr>
                  <w:tcW w:w="6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0.101</w:t>
                  </w:r>
                </w:p>
              </w:tc>
              <w:tc>
                <w:tcPr>
                  <w:tcW w:w="65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0.091</w:t>
                  </w:r>
                </w:p>
              </w:tc>
              <w:tc>
                <w:tcPr>
                  <w:tcW w:w="64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kern w:val="0"/>
                      <w:sz w:val="18"/>
                      <w:szCs w:val="18"/>
                      <w:u w:val="none"/>
                      <w:lang w:val="en-US" w:eastAsia="zh-CN" w:bidi="ar"/>
                    </w:rPr>
                    <w:t>9</w:t>
                  </w:r>
                  <w:r>
                    <w:rPr>
                      <w:rFonts w:hint="default" w:ascii="Times New Roman" w:hAnsi="Times New Roman" w:eastAsia="宋体" w:cs="Times New Roman"/>
                      <w:i w:val="0"/>
                      <w:iCs w:val="0"/>
                      <w:color w:val="000000"/>
                      <w:kern w:val="0"/>
                      <w:sz w:val="18"/>
                      <w:szCs w:val="18"/>
                      <w:u w:val="none"/>
                      <w:lang w:val="en-US" w:eastAsia="zh-CN" w:bidi="ar"/>
                    </w:rPr>
                    <w:t>0</w:t>
                  </w:r>
                </w:p>
              </w:tc>
              <w:tc>
                <w:tcPr>
                  <w:tcW w:w="59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64.8</w:t>
                  </w:r>
                </w:p>
              </w:tc>
              <w:tc>
                <w:tcPr>
                  <w:tcW w:w="634"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659"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74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default" w:ascii="Times New Roman" w:hAnsi="Times New Roman" w:cs="Times New Roman"/>
                      <w:i w:val="0"/>
                      <w:iCs w:val="0"/>
                      <w:color w:val="000000"/>
                      <w:kern w:val="0"/>
                      <w:sz w:val="18"/>
                      <w:szCs w:val="18"/>
                      <w:u w:val="none"/>
                      <w:lang w:val="en-US" w:eastAsia="zh-CN" w:bidi="ar"/>
                    </w:rPr>
                    <w:t>1.15</w:t>
                  </w:r>
                </w:p>
              </w:tc>
              <w:tc>
                <w:tcPr>
                  <w:tcW w:w="8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0.00</w:t>
                  </w:r>
                  <w:r>
                    <w:rPr>
                      <w:rFonts w:hint="eastAsia" w:cs="Times New Roman"/>
                      <w:i w:val="0"/>
                      <w:iCs w:val="0"/>
                      <w:color w:val="000000"/>
                      <w:kern w:val="0"/>
                      <w:sz w:val="18"/>
                      <w:szCs w:val="18"/>
                      <w:u w:val="none"/>
                      <w:lang w:val="en-US" w:eastAsia="zh-CN" w:bidi="ar"/>
                    </w:rPr>
                    <w:t>67</w:t>
                  </w:r>
                </w:p>
              </w:tc>
              <w:tc>
                <w:tcPr>
                  <w:tcW w:w="68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2</w:t>
                  </w:r>
                </w:p>
              </w:tc>
              <w:tc>
                <w:tcPr>
                  <w:tcW w:w="9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79" w:type="dxa"/>
                  <w:vMerge w:val="continue"/>
                  <w:tcBorders>
                    <w:left w:val="single" w:color="000000" w:sz="8" w:space="0"/>
                    <w:bottom w:val="single" w:color="auto" w:sz="4" w:space="0"/>
                    <w:right w:val="single" w:color="000000" w:sz="8"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753"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658"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0.492</w:t>
                  </w:r>
                </w:p>
              </w:tc>
              <w:tc>
                <w:tcPr>
                  <w:tcW w:w="659"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0.443</w:t>
                  </w:r>
                </w:p>
              </w:tc>
              <w:tc>
                <w:tcPr>
                  <w:tcW w:w="646"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598"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64.8</w:t>
                  </w:r>
                </w:p>
              </w:tc>
              <w:tc>
                <w:tcPr>
                  <w:tcW w:w="634" w:type="dxa"/>
                  <w:vMerge w:val="continue"/>
                  <w:tcBorders>
                    <w:top w:val="nil"/>
                    <w:left w:val="single" w:color="000000" w:sz="8" w:space="0"/>
                    <w:bottom w:val="single" w:color="auto" w:sz="4"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659" w:type="dxa"/>
                  <w:vMerge w:val="continue"/>
                  <w:tcBorders>
                    <w:top w:val="nil"/>
                    <w:left w:val="single" w:color="000000" w:sz="8" w:space="0"/>
                    <w:bottom w:val="single" w:color="auto" w:sz="4"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744"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kern w:val="0"/>
                      <w:sz w:val="18"/>
                      <w:szCs w:val="18"/>
                      <w:u w:val="none"/>
                      <w:lang w:val="en-US" w:eastAsia="zh-CN" w:bidi="ar"/>
                    </w:rPr>
                    <w:t>5.01</w:t>
                  </w:r>
                </w:p>
              </w:tc>
              <w:tc>
                <w:tcPr>
                  <w:tcW w:w="829"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326</w:t>
                  </w:r>
                </w:p>
              </w:tc>
              <w:tc>
                <w:tcPr>
                  <w:tcW w:w="683"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156</w:t>
                  </w:r>
                </w:p>
              </w:tc>
              <w:tc>
                <w:tcPr>
                  <w:tcW w:w="901"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549"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合计</w:t>
                  </w: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污染物名称</w:t>
                  </w:r>
                </w:p>
              </w:tc>
              <w:tc>
                <w:tcPr>
                  <w:tcW w:w="12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现有项目（一期）排放量</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t/a</w:t>
                  </w:r>
                  <w:r>
                    <w:rPr>
                      <w:rFonts w:hint="eastAsia" w:ascii="宋体" w:hAnsi="宋体" w:eastAsia="宋体" w:cs="宋体"/>
                      <w:i w:val="0"/>
                      <w:iCs w:val="0"/>
                      <w:color w:val="000000"/>
                      <w:kern w:val="0"/>
                      <w:sz w:val="18"/>
                      <w:szCs w:val="18"/>
                      <w:u w:val="none"/>
                      <w:lang w:val="en-US" w:eastAsia="zh-CN" w:bidi="ar"/>
                    </w:rPr>
                    <w:t>）</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有组织排放量</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t/a</w:t>
                  </w:r>
                  <w:r>
                    <w:rPr>
                      <w:rFonts w:hint="eastAsia" w:ascii="宋体" w:hAnsi="宋体" w:eastAsia="宋体" w:cs="宋体"/>
                      <w:i w:val="0"/>
                      <w:iCs w:val="0"/>
                      <w:color w:val="000000"/>
                      <w:kern w:val="0"/>
                      <w:sz w:val="18"/>
                      <w:szCs w:val="18"/>
                      <w:u w:val="none"/>
                      <w:lang w:val="en-US" w:eastAsia="zh-CN" w:bidi="ar"/>
                    </w:rPr>
                    <w:t>）</w:t>
                  </w: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无组织排放量</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t/a</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49"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i w:val="0"/>
                      <w:iCs w:val="0"/>
                      <w:color w:val="000000"/>
                      <w:sz w:val="18"/>
                      <w:szCs w:val="18"/>
                      <w:u w:val="none"/>
                      <w:lang w:val="en-US" w:eastAsia="zh-CN"/>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甲醛</w:t>
                  </w:r>
                </w:p>
              </w:tc>
              <w:tc>
                <w:tcPr>
                  <w:tcW w:w="12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r>
                    <w:rPr>
                      <w:rFonts w:hint="default" w:ascii="Times New Roman" w:hAnsi="Times New Roman" w:cs="Times New Roman"/>
                      <w:i w:val="0"/>
                      <w:iCs w:val="0"/>
                      <w:color w:val="000000"/>
                      <w:kern w:val="0"/>
                      <w:sz w:val="18"/>
                      <w:szCs w:val="18"/>
                      <w:u w:val="none"/>
                      <w:lang w:val="en-US" w:eastAsia="zh-CN" w:bidi="ar"/>
                    </w:rPr>
                    <w:t>0</w:t>
                  </w:r>
                  <w:r>
                    <w:rPr>
                      <w:rFonts w:hint="default" w:ascii="Times New Roman" w:hAnsi="Times New Roman" w:eastAsia="宋体" w:cs="Times New Roman"/>
                      <w:i w:val="0"/>
                      <w:iCs w:val="0"/>
                      <w:color w:val="000000"/>
                      <w:kern w:val="0"/>
                      <w:sz w:val="18"/>
                      <w:szCs w:val="18"/>
                      <w:u w:val="none"/>
                      <w:lang w:val="en-US" w:eastAsia="zh-CN" w:bidi="ar"/>
                    </w:rPr>
                    <w:t>38</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29</w:t>
                  </w: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49"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i w:val="0"/>
                      <w:iCs w:val="0"/>
                      <w:color w:val="000000"/>
                      <w:sz w:val="18"/>
                      <w:szCs w:val="18"/>
                      <w:u w:val="none"/>
                      <w:lang w:val="en-US" w:eastAsia="zh-CN"/>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酚类化合物</w:t>
                  </w:r>
                </w:p>
              </w:tc>
              <w:tc>
                <w:tcPr>
                  <w:tcW w:w="12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w:t>
                  </w:r>
                  <w:r>
                    <w:rPr>
                      <w:rFonts w:hint="default" w:ascii="Times New Roman" w:hAnsi="Times New Roman" w:cs="Times New Roman"/>
                      <w:i w:val="0"/>
                      <w:iCs w:val="0"/>
                      <w:color w:val="000000"/>
                      <w:kern w:val="0"/>
                      <w:sz w:val="18"/>
                      <w:szCs w:val="18"/>
                      <w:u w:val="none"/>
                      <w:lang w:val="en-US" w:eastAsia="zh-CN" w:bidi="ar"/>
                    </w:rPr>
                    <w:t>42</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2</w:t>
                  </w: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549" w:type="dxa"/>
                  <w:gridSpan w:val="4"/>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i w:val="0"/>
                      <w:iCs w:val="0"/>
                      <w:color w:val="000000"/>
                      <w:sz w:val="18"/>
                      <w:szCs w:val="18"/>
                      <w:u w:val="none"/>
                      <w:lang w:val="en-US" w:eastAsia="zh-CN"/>
                    </w:rPr>
                  </w:pPr>
                </w:p>
              </w:tc>
              <w:tc>
                <w:tcPr>
                  <w:tcW w:w="12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VOCs</w:t>
                  </w:r>
                </w:p>
              </w:tc>
              <w:tc>
                <w:tcPr>
                  <w:tcW w:w="12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r>
                    <w:rPr>
                      <w:rFonts w:hint="default" w:ascii="Times New Roman" w:hAnsi="Times New Roman" w:cs="Times New Roman"/>
                      <w:i w:val="0"/>
                      <w:iCs w:val="0"/>
                      <w:color w:val="000000"/>
                      <w:kern w:val="0"/>
                      <w:sz w:val="18"/>
                      <w:szCs w:val="18"/>
                      <w:u w:val="none"/>
                      <w:lang w:val="en-US" w:eastAsia="zh-CN" w:bidi="ar"/>
                    </w:rPr>
                    <w:t>205</w:t>
                  </w:r>
                </w:p>
              </w:tc>
              <w:tc>
                <w:tcPr>
                  <w:tcW w:w="15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156</w:t>
                  </w:r>
                </w:p>
              </w:tc>
              <w:tc>
                <w:tcPr>
                  <w:tcW w:w="158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49</w:t>
                  </w:r>
                </w:p>
              </w:tc>
            </w:tr>
          </w:tbl>
          <w:p>
            <w:pPr>
              <w:pStyle w:val="2"/>
              <w:ind w:left="0" w:leftChars="0" w:firstLine="0" w:firstLineChars="0"/>
              <w:rPr>
                <w:rFonts w:hint="default" w:ascii="Times New Roman" w:hAnsi="Times New Roman" w:cs="Times New Roman"/>
              </w:rPr>
            </w:pPr>
          </w:p>
        </w:tc>
      </w:tr>
    </w:tbl>
    <w:p>
      <w:pPr>
        <w:pStyle w:val="80"/>
        <w:spacing w:line="420" w:lineRule="exact"/>
        <w:jc w:val="center"/>
        <w:rPr>
          <w:snapToGrid w:val="0"/>
          <w:sz w:val="36"/>
          <w:szCs w:val="36"/>
        </w:rPr>
        <w:sectPr>
          <w:pgSz w:w="11906" w:h="16838"/>
          <w:pgMar w:top="1701" w:right="1531" w:bottom="1701" w:left="1531" w:header="851" w:footer="851" w:gutter="0"/>
          <w:pgNumType w:fmt="numberInDash"/>
          <w:cols w:space="720" w:num="1"/>
          <w:docGrid w:linePitch="312" w:charSpace="0"/>
        </w:sectPr>
      </w:pPr>
    </w:p>
    <w:tbl>
      <w:tblPr>
        <w:tblStyle w:val="8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0" w:type="dxa"/>
            <w:tcBorders>
              <w:top w:val="single" w:color="auto" w:sz="8" w:space="0"/>
            </w:tcBorders>
            <w:vAlign w:val="center"/>
          </w:tcPr>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bCs/>
                <w:kern w:val="2"/>
                <w:sz w:val="21"/>
                <w:szCs w:val="21"/>
              </w:rPr>
              <w:t>与项目有关的原有环境污染问题</w:t>
            </w:r>
          </w:p>
        </w:tc>
        <w:tc>
          <w:tcPr>
            <w:tcW w:w="8190" w:type="dxa"/>
            <w:tcBorders>
              <w:top w:val="single" w:color="auto" w:sz="8" w:space="0"/>
            </w:tcBorders>
            <w:vAlign w:val="center"/>
          </w:tcPr>
          <w:p>
            <w:pPr>
              <w:pStyle w:val="2"/>
              <w:ind w:firstLine="0" w:firstLineChars="0"/>
            </w:pPr>
            <w:r>
              <w:t>2、废水</w:t>
            </w:r>
          </w:p>
          <w:p>
            <w:pPr>
              <w:spacing w:line="360" w:lineRule="auto"/>
              <w:ind w:firstLine="420" w:firstLineChars="200"/>
              <w:rPr>
                <w:sz w:val="21"/>
                <w:szCs w:val="21"/>
                <w:highlight w:val="none"/>
              </w:rPr>
            </w:pPr>
            <w:r>
              <w:t>现有项目废水主要为员工生活污水。</w:t>
            </w:r>
            <w:r>
              <w:rPr>
                <w:rFonts w:hint="eastAsia"/>
                <w:bCs/>
                <w:sz w:val="21"/>
                <w:szCs w:val="21"/>
              </w:rPr>
              <w:t>生活污水量为</w:t>
            </w:r>
            <w:r>
              <w:rPr>
                <w:rFonts w:hint="eastAsia"/>
                <w:bCs/>
                <w:sz w:val="21"/>
                <w:szCs w:val="21"/>
                <w:lang w:val="en-US" w:eastAsia="zh-CN"/>
              </w:rPr>
              <w:t>182.4</w:t>
            </w:r>
            <w:r>
              <w:rPr>
                <w:bCs/>
                <w:sz w:val="21"/>
                <w:szCs w:val="21"/>
              </w:rPr>
              <w:t>m</w:t>
            </w:r>
            <w:r>
              <w:rPr>
                <w:bCs/>
                <w:sz w:val="21"/>
                <w:szCs w:val="21"/>
                <w:vertAlign w:val="superscript"/>
              </w:rPr>
              <w:t>3</w:t>
            </w:r>
            <w:r>
              <w:rPr>
                <w:bCs/>
                <w:sz w:val="21"/>
                <w:szCs w:val="21"/>
              </w:rPr>
              <w:t>/</w:t>
            </w:r>
            <w:r>
              <w:rPr>
                <w:rFonts w:hint="eastAsia"/>
                <w:bCs/>
                <w:sz w:val="21"/>
                <w:szCs w:val="21"/>
              </w:rPr>
              <w:t>a，</w:t>
            </w:r>
            <w:r>
              <w:rPr>
                <w:bCs/>
                <w:sz w:val="21"/>
                <w:szCs w:val="21"/>
              </w:rPr>
              <w:t>主要污染因子为COD、</w:t>
            </w:r>
            <w:r>
              <w:rPr>
                <w:rFonts w:hint="eastAsia"/>
                <w:bCs/>
                <w:sz w:val="21"/>
                <w:szCs w:val="21"/>
              </w:rPr>
              <w:t>BOD</w:t>
            </w:r>
            <w:r>
              <w:rPr>
                <w:rFonts w:hint="eastAsia"/>
                <w:bCs/>
                <w:sz w:val="21"/>
                <w:szCs w:val="21"/>
                <w:vertAlign w:val="subscript"/>
              </w:rPr>
              <w:t>5</w:t>
            </w:r>
            <w:r>
              <w:rPr>
                <w:rFonts w:hint="eastAsia"/>
                <w:bCs/>
                <w:sz w:val="21"/>
                <w:szCs w:val="21"/>
              </w:rPr>
              <w:t>、</w:t>
            </w:r>
            <w:r>
              <w:rPr>
                <w:bCs/>
                <w:sz w:val="21"/>
                <w:szCs w:val="21"/>
              </w:rPr>
              <w:t>NH</w:t>
            </w:r>
            <w:r>
              <w:rPr>
                <w:bCs/>
                <w:sz w:val="21"/>
                <w:szCs w:val="21"/>
                <w:vertAlign w:val="subscript"/>
              </w:rPr>
              <w:t>3</w:t>
            </w:r>
            <w:r>
              <w:rPr>
                <w:bCs/>
                <w:sz w:val="21"/>
                <w:szCs w:val="21"/>
              </w:rPr>
              <w:t>-N</w:t>
            </w:r>
            <w:r>
              <w:rPr>
                <w:rFonts w:hint="eastAsia"/>
                <w:bCs/>
                <w:sz w:val="21"/>
                <w:szCs w:val="21"/>
              </w:rPr>
              <w:t>、SS</w:t>
            </w:r>
            <w:r>
              <w:rPr>
                <w:bCs/>
                <w:sz w:val="21"/>
                <w:szCs w:val="21"/>
              </w:rPr>
              <w:t>等</w:t>
            </w:r>
            <w:r>
              <w:rPr>
                <w:rFonts w:hint="eastAsia"/>
                <w:sz w:val="21"/>
                <w:szCs w:val="21"/>
              </w:rPr>
              <w:t>。由</w:t>
            </w:r>
            <w:r>
              <w:rPr>
                <w:sz w:val="21"/>
                <w:szCs w:val="21"/>
              </w:rPr>
              <w:t>化粪池</w:t>
            </w:r>
            <w:r>
              <w:rPr>
                <w:rFonts w:hint="eastAsia"/>
                <w:sz w:val="21"/>
                <w:szCs w:val="21"/>
                <w:lang w:eastAsia="zh-CN"/>
              </w:rPr>
              <w:t>暂存</w:t>
            </w:r>
            <w:r>
              <w:rPr>
                <w:sz w:val="21"/>
                <w:szCs w:val="21"/>
              </w:rPr>
              <w:t>后经</w:t>
            </w:r>
            <w:r>
              <w:rPr>
                <w:rFonts w:hint="eastAsia"/>
                <w:sz w:val="21"/>
                <w:szCs w:val="21"/>
                <w:highlight w:val="none"/>
              </w:rPr>
              <w:t>污水处理管网</w:t>
            </w:r>
            <w:r>
              <w:rPr>
                <w:sz w:val="21"/>
                <w:szCs w:val="21"/>
                <w:highlight w:val="none"/>
              </w:rPr>
              <w:t>排入</w:t>
            </w:r>
            <w:r>
              <w:rPr>
                <w:rFonts w:hint="eastAsia"/>
                <w:sz w:val="21"/>
                <w:szCs w:val="21"/>
                <w:highlight w:val="none"/>
              </w:rPr>
              <w:t>淄博</w:t>
            </w:r>
            <w:r>
              <w:rPr>
                <w:rFonts w:hint="eastAsia"/>
                <w:sz w:val="21"/>
                <w:szCs w:val="21"/>
                <w:highlight w:val="none"/>
                <w:lang w:eastAsia="zh-CN"/>
              </w:rPr>
              <w:t>市</w:t>
            </w:r>
            <w:r>
              <w:rPr>
                <w:rFonts w:hint="eastAsia"/>
                <w:sz w:val="21"/>
                <w:szCs w:val="21"/>
                <w:highlight w:val="none"/>
              </w:rPr>
              <w:t>利民</w:t>
            </w:r>
            <w:r>
              <w:rPr>
                <w:sz w:val="21"/>
                <w:szCs w:val="21"/>
                <w:highlight w:val="none"/>
              </w:rPr>
              <w:t>净化水有限公司进一步处理。</w:t>
            </w:r>
          </w:p>
          <w:p>
            <w:pPr>
              <w:spacing w:line="360" w:lineRule="auto"/>
              <w:ind w:firstLine="420" w:firstLineChars="200"/>
              <w:rPr>
                <w:snapToGrid w:val="0"/>
                <w:kern w:val="0"/>
                <w:sz w:val="21"/>
                <w:szCs w:val="21"/>
                <w:highlight w:val="none"/>
              </w:rPr>
            </w:pPr>
            <w:r>
              <w:t>根据</w:t>
            </w:r>
            <w:r>
              <w:rPr>
                <w:rFonts w:hint="eastAsia"/>
                <w:lang w:eastAsia="zh-CN"/>
              </w:rPr>
              <w:t>山东方信环境</w:t>
            </w:r>
            <w:r>
              <w:t>检测有限公司202</w:t>
            </w:r>
            <w:r>
              <w:rPr>
                <w:rFonts w:hint="eastAsia"/>
                <w:lang w:val="en-US" w:eastAsia="zh-CN"/>
              </w:rPr>
              <w:t>1</w:t>
            </w:r>
            <w:r>
              <w:t>年</w:t>
            </w:r>
            <w:r>
              <w:rPr>
                <w:rFonts w:hint="eastAsia"/>
                <w:lang w:val="en-US" w:eastAsia="zh-CN"/>
              </w:rPr>
              <w:t>9</w:t>
            </w:r>
            <w:r>
              <w:t>月</w:t>
            </w:r>
            <w:r>
              <w:rPr>
                <w:rFonts w:hint="eastAsia"/>
                <w:lang w:val="en-US" w:eastAsia="zh-CN"/>
              </w:rPr>
              <w:t>29日</w:t>
            </w:r>
            <w:r>
              <w:t>出具的</w:t>
            </w:r>
            <w:r>
              <w:rPr>
                <w:sz w:val="21"/>
                <w:szCs w:val="21"/>
              </w:rPr>
              <w:t>《</w:t>
            </w:r>
            <w:r>
              <w:rPr>
                <w:rFonts w:hint="eastAsia"/>
                <w:bCs/>
                <w:kern w:val="0"/>
                <w:sz w:val="21"/>
                <w:szCs w:val="21"/>
                <w:lang w:val="de-DE" w:eastAsia="zh-CN"/>
              </w:rPr>
              <w:t>淄博市淄川龙昊电源器材厂验收检</w:t>
            </w:r>
            <w:r>
              <w:rPr>
                <w:rFonts w:hint="eastAsia" w:eastAsia="宋体"/>
                <w:lang w:eastAsia="zh-CN"/>
              </w:rPr>
              <w:t>测</w:t>
            </w:r>
            <w:r>
              <w:t>报告》（报告编号：</w:t>
            </w:r>
            <w:r>
              <w:rPr>
                <w:rFonts w:hint="eastAsia"/>
                <w:lang w:val="en-US" w:eastAsia="zh-CN"/>
              </w:rPr>
              <w:t>FXH2021090805</w:t>
            </w:r>
            <w:r>
              <w:t>）</w:t>
            </w:r>
            <w:r>
              <w:rPr>
                <w:rFonts w:hint="eastAsia"/>
                <w:lang w:eastAsia="zh-CN"/>
              </w:rPr>
              <w:t>数据</w:t>
            </w:r>
            <w:r>
              <w:rPr>
                <w:rFonts w:hint="eastAsia"/>
                <w:snapToGrid w:val="0"/>
                <w:kern w:val="0"/>
                <w:sz w:val="21"/>
                <w:szCs w:val="21"/>
                <w:highlight w:val="none"/>
              </w:rPr>
              <w:t>，</w:t>
            </w:r>
            <w:r>
              <w:rPr>
                <w:rFonts w:hint="eastAsia"/>
                <w:snapToGrid w:val="0"/>
                <w:kern w:val="0"/>
                <w:sz w:val="21"/>
                <w:szCs w:val="21"/>
                <w:highlight w:val="none"/>
                <w:lang w:eastAsia="zh-CN"/>
              </w:rPr>
              <w:t>废水排放口</w:t>
            </w:r>
            <w:r>
              <w:rPr>
                <w:rFonts w:hint="eastAsia"/>
                <w:snapToGrid w:val="0"/>
                <w:kern w:val="0"/>
                <w:sz w:val="21"/>
                <w:szCs w:val="21"/>
                <w:highlight w:val="none"/>
              </w:rPr>
              <w:t>检测结果如下：</w:t>
            </w:r>
          </w:p>
          <w:p>
            <w:pPr>
              <w:pStyle w:val="216"/>
              <w:ind w:left="0" w:leftChars="0" w:firstLine="0" w:firstLineChars="0"/>
              <w:jc w:val="center"/>
              <w:rPr>
                <w:color w:val="auto"/>
                <w:highlight w:val="none"/>
              </w:rPr>
            </w:pPr>
            <w:r>
              <w:rPr>
                <w:rFonts w:hint="eastAsia"/>
                <w:color w:val="auto"/>
                <w:highlight w:val="none"/>
                <w:lang w:eastAsia="zh-CN"/>
              </w:rPr>
              <w:t>表</w:t>
            </w:r>
            <w:r>
              <w:rPr>
                <w:rFonts w:hint="eastAsia"/>
                <w:color w:val="auto"/>
                <w:highlight w:val="none"/>
                <w:lang w:val="en-US" w:eastAsia="zh-CN"/>
              </w:rPr>
              <w:t xml:space="preserve">2-10 </w:t>
            </w:r>
            <w:r>
              <w:rPr>
                <w:rFonts w:hint="eastAsia"/>
                <w:color w:val="auto"/>
                <w:highlight w:val="none"/>
              </w:rPr>
              <w:t>项目废水水质</w:t>
            </w:r>
            <w:r>
              <w:rPr>
                <w:color w:val="auto"/>
                <w:highlight w:val="none"/>
              </w:rPr>
              <w:t>检测</w:t>
            </w:r>
            <w:r>
              <w:rPr>
                <w:rFonts w:hint="eastAsia"/>
                <w:color w:val="auto"/>
                <w:highlight w:val="none"/>
              </w:rPr>
              <w:t>一览表</w:t>
            </w:r>
          </w:p>
          <w:tbl>
            <w:tblPr>
              <w:tblStyle w:val="85"/>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310"/>
              <w:gridCol w:w="1106"/>
              <w:gridCol w:w="1387"/>
              <w:gridCol w:w="1387"/>
              <w:gridCol w:w="1387"/>
              <w:gridCol w:w="1387"/>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restart"/>
                  <w:vAlign w:val="center"/>
                </w:tcPr>
                <w:p>
                  <w:pPr>
                    <w:jc w:val="center"/>
                    <w:rPr>
                      <w:sz w:val="18"/>
                      <w:szCs w:val="18"/>
                      <w:highlight w:val="none"/>
                    </w:rPr>
                  </w:pPr>
                  <w:r>
                    <w:rPr>
                      <w:sz w:val="18"/>
                      <w:szCs w:val="18"/>
                      <w:highlight w:val="none"/>
                    </w:rPr>
                    <w:t>点位</w:t>
                  </w:r>
                </w:p>
              </w:tc>
              <w:tc>
                <w:tcPr>
                  <w:tcW w:w="1106" w:type="dxa"/>
                  <w:vMerge w:val="restart"/>
                  <w:vAlign w:val="center"/>
                </w:tcPr>
                <w:p>
                  <w:pPr>
                    <w:jc w:val="center"/>
                    <w:rPr>
                      <w:sz w:val="18"/>
                      <w:szCs w:val="18"/>
                      <w:highlight w:val="none"/>
                    </w:rPr>
                  </w:pPr>
                  <w:r>
                    <w:rPr>
                      <w:sz w:val="18"/>
                      <w:szCs w:val="18"/>
                      <w:highlight w:val="none"/>
                    </w:rPr>
                    <w:t>时间</w:t>
                  </w:r>
                </w:p>
              </w:tc>
              <w:tc>
                <w:tcPr>
                  <w:tcW w:w="5548" w:type="dxa"/>
                  <w:gridSpan w:val="4"/>
                  <w:vAlign w:val="center"/>
                </w:tcPr>
                <w:p>
                  <w:pPr>
                    <w:jc w:val="center"/>
                    <w:rPr>
                      <w:sz w:val="18"/>
                      <w:szCs w:val="18"/>
                      <w:highlight w:val="none"/>
                    </w:rPr>
                  </w:pPr>
                  <w:r>
                    <w:rPr>
                      <w:sz w:val="18"/>
                      <w:szCs w:val="18"/>
                      <w:highlight w:val="none"/>
                    </w:rPr>
                    <w:t>检测参数</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continue"/>
                  <w:vAlign w:val="center"/>
                </w:tcPr>
                <w:p>
                  <w:pPr>
                    <w:jc w:val="center"/>
                    <w:rPr>
                      <w:sz w:val="18"/>
                      <w:szCs w:val="18"/>
                      <w:highlight w:val="none"/>
                    </w:rPr>
                  </w:pPr>
                </w:p>
              </w:tc>
              <w:tc>
                <w:tcPr>
                  <w:tcW w:w="1106" w:type="dxa"/>
                  <w:vMerge w:val="continue"/>
                  <w:vAlign w:val="center"/>
                </w:tcPr>
                <w:p>
                  <w:pPr>
                    <w:jc w:val="center"/>
                    <w:rPr>
                      <w:sz w:val="18"/>
                      <w:szCs w:val="18"/>
                      <w:highlight w:val="none"/>
                    </w:rPr>
                  </w:pPr>
                </w:p>
              </w:tc>
              <w:tc>
                <w:tcPr>
                  <w:tcW w:w="1387" w:type="dxa"/>
                  <w:vAlign w:val="center"/>
                </w:tcPr>
                <w:p>
                  <w:pPr>
                    <w:jc w:val="center"/>
                    <w:rPr>
                      <w:sz w:val="18"/>
                      <w:szCs w:val="18"/>
                      <w:highlight w:val="none"/>
                    </w:rPr>
                  </w:pPr>
                  <w:r>
                    <w:rPr>
                      <w:sz w:val="18"/>
                      <w:szCs w:val="18"/>
                      <w:highlight w:val="none"/>
                    </w:rPr>
                    <w:t>COD</w:t>
                  </w:r>
                  <w:r>
                    <w:rPr>
                      <w:sz w:val="18"/>
                      <w:szCs w:val="18"/>
                      <w:highlight w:val="none"/>
                      <w:vertAlign w:val="subscript"/>
                    </w:rPr>
                    <w:t>cr</w:t>
                  </w:r>
                </w:p>
                <w:p>
                  <w:pPr>
                    <w:jc w:val="center"/>
                    <w:rPr>
                      <w:sz w:val="18"/>
                      <w:szCs w:val="18"/>
                      <w:highlight w:val="none"/>
                    </w:rPr>
                  </w:pPr>
                  <w:r>
                    <w:rPr>
                      <w:sz w:val="18"/>
                      <w:szCs w:val="18"/>
                      <w:highlight w:val="none"/>
                    </w:rPr>
                    <w:t>（</w:t>
                  </w:r>
                  <w:r>
                    <w:rPr>
                      <w:rFonts w:hint="eastAsia"/>
                      <w:sz w:val="18"/>
                      <w:szCs w:val="18"/>
                      <w:highlight w:val="none"/>
                    </w:rPr>
                    <w:t>mg/L</w:t>
                  </w:r>
                  <w:r>
                    <w:rPr>
                      <w:sz w:val="18"/>
                      <w:szCs w:val="18"/>
                      <w:highlight w:val="none"/>
                    </w:rPr>
                    <w:t>）</w:t>
                  </w:r>
                </w:p>
              </w:tc>
              <w:tc>
                <w:tcPr>
                  <w:tcW w:w="1387" w:type="dxa"/>
                  <w:vAlign w:val="center"/>
                </w:tcPr>
                <w:p>
                  <w:pPr>
                    <w:jc w:val="center"/>
                    <w:rPr>
                      <w:sz w:val="18"/>
                      <w:szCs w:val="18"/>
                      <w:highlight w:val="none"/>
                      <w:vertAlign w:val="subscript"/>
                    </w:rPr>
                  </w:pPr>
                  <w:r>
                    <w:rPr>
                      <w:sz w:val="18"/>
                      <w:szCs w:val="18"/>
                      <w:highlight w:val="none"/>
                    </w:rPr>
                    <w:t>BOD</w:t>
                  </w:r>
                  <w:r>
                    <w:rPr>
                      <w:sz w:val="18"/>
                      <w:szCs w:val="18"/>
                      <w:highlight w:val="none"/>
                      <w:vertAlign w:val="subscript"/>
                    </w:rPr>
                    <w:t>5</w:t>
                  </w:r>
                </w:p>
                <w:p>
                  <w:pPr>
                    <w:jc w:val="center"/>
                    <w:rPr>
                      <w:sz w:val="18"/>
                      <w:szCs w:val="18"/>
                      <w:highlight w:val="none"/>
                    </w:rPr>
                  </w:pPr>
                  <w:r>
                    <w:rPr>
                      <w:sz w:val="18"/>
                      <w:szCs w:val="18"/>
                      <w:highlight w:val="none"/>
                    </w:rPr>
                    <w:t>（</w:t>
                  </w:r>
                  <w:r>
                    <w:rPr>
                      <w:rFonts w:hint="eastAsia"/>
                      <w:sz w:val="18"/>
                      <w:szCs w:val="18"/>
                      <w:highlight w:val="none"/>
                    </w:rPr>
                    <w:t>mg/L</w:t>
                  </w:r>
                  <w:r>
                    <w:rPr>
                      <w:sz w:val="18"/>
                      <w:szCs w:val="18"/>
                      <w:highlight w:val="none"/>
                    </w:rPr>
                    <w:t>）</w:t>
                  </w:r>
                </w:p>
              </w:tc>
              <w:tc>
                <w:tcPr>
                  <w:tcW w:w="1387" w:type="dxa"/>
                  <w:vAlign w:val="center"/>
                </w:tcPr>
                <w:p>
                  <w:pPr>
                    <w:jc w:val="center"/>
                    <w:rPr>
                      <w:sz w:val="18"/>
                      <w:szCs w:val="18"/>
                      <w:highlight w:val="none"/>
                    </w:rPr>
                  </w:pPr>
                  <w:r>
                    <w:rPr>
                      <w:sz w:val="18"/>
                      <w:szCs w:val="18"/>
                      <w:highlight w:val="none"/>
                    </w:rPr>
                    <w:t>SS</w:t>
                  </w:r>
                </w:p>
                <w:p>
                  <w:pPr>
                    <w:jc w:val="center"/>
                    <w:rPr>
                      <w:sz w:val="18"/>
                      <w:szCs w:val="18"/>
                      <w:highlight w:val="none"/>
                    </w:rPr>
                  </w:pPr>
                  <w:r>
                    <w:rPr>
                      <w:sz w:val="18"/>
                      <w:szCs w:val="18"/>
                      <w:highlight w:val="none"/>
                    </w:rPr>
                    <w:t>（</w:t>
                  </w:r>
                  <w:r>
                    <w:rPr>
                      <w:rFonts w:hint="eastAsia"/>
                      <w:sz w:val="18"/>
                      <w:szCs w:val="18"/>
                      <w:highlight w:val="none"/>
                    </w:rPr>
                    <w:t>mg/L</w:t>
                  </w:r>
                  <w:r>
                    <w:rPr>
                      <w:sz w:val="18"/>
                      <w:szCs w:val="18"/>
                      <w:highlight w:val="none"/>
                    </w:rPr>
                    <w:t>）</w:t>
                  </w:r>
                </w:p>
              </w:tc>
              <w:tc>
                <w:tcPr>
                  <w:tcW w:w="1387" w:type="dxa"/>
                  <w:vAlign w:val="center"/>
                </w:tcPr>
                <w:p>
                  <w:pPr>
                    <w:jc w:val="center"/>
                    <w:rPr>
                      <w:rFonts w:hAnsi="宋体"/>
                      <w:sz w:val="18"/>
                      <w:szCs w:val="18"/>
                      <w:highlight w:val="none"/>
                    </w:rPr>
                  </w:pPr>
                  <w:r>
                    <w:rPr>
                      <w:rFonts w:hAnsi="宋体"/>
                      <w:sz w:val="18"/>
                      <w:szCs w:val="18"/>
                      <w:highlight w:val="none"/>
                    </w:rPr>
                    <w:t>氨氮</w:t>
                  </w:r>
                </w:p>
                <w:p>
                  <w:pPr>
                    <w:jc w:val="center"/>
                    <w:rPr>
                      <w:rFonts w:hAnsi="宋体"/>
                      <w:sz w:val="18"/>
                      <w:szCs w:val="18"/>
                      <w:highlight w:val="none"/>
                    </w:rPr>
                  </w:pPr>
                  <w:r>
                    <w:rPr>
                      <w:sz w:val="18"/>
                      <w:szCs w:val="18"/>
                      <w:highlight w:val="none"/>
                    </w:rPr>
                    <w:t>（</w:t>
                  </w:r>
                  <w:r>
                    <w:rPr>
                      <w:rFonts w:hint="eastAsia"/>
                      <w:sz w:val="18"/>
                      <w:szCs w:val="18"/>
                      <w:highlight w:val="none"/>
                    </w:rPr>
                    <w:t>mg/L</w:t>
                  </w:r>
                  <w:r>
                    <w:rPr>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restart"/>
                  <w:vAlign w:val="center"/>
                </w:tcPr>
                <w:p>
                  <w:pPr>
                    <w:jc w:val="center"/>
                    <w:rPr>
                      <w:sz w:val="18"/>
                      <w:szCs w:val="18"/>
                      <w:highlight w:val="none"/>
                    </w:rPr>
                  </w:pPr>
                  <w:r>
                    <w:rPr>
                      <w:rFonts w:hint="eastAsia"/>
                      <w:sz w:val="18"/>
                      <w:szCs w:val="18"/>
                      <w:highlight w:val="none"/>
                      <w:lang w:eastAsia="zh-CN"/>
                    </w:rPr>
                    <w:t>生活污水排放口</w:t>
                  </w:r>
                </w:p>
              </w:tc>
              <w:tc>
                <w:tcPr>
                  <w:tcW w:w="1106" w:type="dxa"/>
                  <w:vMerge w:val="restart"/>
                  <w:vAlign w:val="center"/>
                </w:tcPr>
                <w:p>
                  <w:pPr>
                    <w:jc w:val="center"/>
                    <w:rPr>
                      <w:rFonts w:hint="default"/>
                      <w:sz w:val="18"/>
                      <w:szCs w:val="18"/>
                      <w:highlight w:val="none"/>
                      <w:lang w:val="en-US"/>
                    </w:rPr>
                  </w:pPr>
                  <w:r>
                    <w:rPr>
                      <w:rFonts w:hint="eastAsia"/>
                      <w:sz w:val="18"/>
                      <w:szCs w:val="18"/>
                      <w:highlight w:val="none"/>
                      <w:lang w:val="en-US" w:eastAsia="zh-CN"/>
                    </w:rPr>
                    <w:t>2021.09.09</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59</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14.9</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20</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1.62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50" w:hRule="atLeast"/>
                <w:jc w:val="center"/>
              </w:trPr>
              <w:tc>
                <w:tcPr>
                  <w:tcW w:w="1310" w:type="dxa"/>
                  <w:vMerge w:val="continue"/>
                  <w:vAlign w:val="center"/>
                </w:tcPr>
                <w:p>
                  <w:pPr>
                    <w:jc w:val="center"/>
                    <w:rPr>
                      <w:rFonts w:hint="eastAsia"/>
                      <w:sz w:val="18"/>
                      <w:szCs w:val="18"/>
                      <w:highlight w:val="none"/>
                    </w:rPr>
                  </w:pPr>
                </w:p>
              </w:tc>
              <w:tc>
                <w:tcPr>
                  <w:tcW w:w="1106" w:type="dxa"/>
                  <w:vMerge w:val="continue"/>
                  <w:vAlign w:val="center"/>
                </w:tcPr>
                <w:p>
                  <w:pPr>
                    <w:jc w:val="center"/>
                    <w:rPr>
                      <w:rFonts w:hint="eastAsia"/>
                      <w:sz w:val="18"/>
                      <w:szCs w:val="18"/>
                      <w:highlight w:val="none"/>
                    </w:rPr>
                  </w:pP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53</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14.0</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15</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1.57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40" w:hRule="atLeast"/>
                <w:jc w:val="center"/>
              </w:trPr>
              <w:tc>
                <w:tcPr>
                  <w:tcW w:w="1310" w:type="dxa"/>
                  <w:vMerge w:val="continue"/>
                  <w:vAlign w:val="center"/>
                </w:tcPr>
                <w:p>
                  <w:pPr>
                    <w:jc w:val="center"/>
                    <w:rPr>
                      <w:rFonts w:hint="eastAsia"/>
                      <w:sz w:val="18"/>
                      <w:szCs w:val="18"/>
                      <w:highlight w:val="none"/>
                    </w:rPr>
                  </w:pPr>
                </w:p>
              </w:tc>
              <w:tc>
                <w:tcPr>
                  <w:tcW w:w="1106" w:type="dxa"/>
                  <w:vMerge w:val="continue"/>
                  <w:vAlign w:val="center"/>
                </w:tcPr>
                <w:p>
                  <w:pPr>
                    <w:jc w:val="center"/>
                    <w:rPr>
                      <w:rFonts w:hint="eastAsia"/>
                      <w:sz w:val="18"/>
                      <w:szCs w:val="18"/>
                      <w:highlight w:val="none"/>
                    </w:rPr>
                  </w:pP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51</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14.6</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17</w:t>
                  </w:r>
                </w:p>
              </w:tc>
              <w:tc>
                <w:tcPr>
                  <w:tcW w:w="1387" w:type="dxa"/>
                  <w:vAlign w:val="center"/>
                </w:tcPr>
                <w:p>
                  <w:pPr>
                    <w:jc w:val="center"/>
                    <w:rPr>
                      <w:rFonts w:hint="default" w:eastAsia="宋体"/>
                      <w:sz w:val="18"/>
                      <w:szCs w:val="18"/>
                      <w:highlight w:val="none"/>
                      <w:lang w:val="en-US" w:eastAsia="zh-CN"/>
                    </w:rPr>
                  </w:pPr>
                  <w:r>
                    <w:rPr>
                      <w:rFonts w:hint="eastAsia"/>
                      <w:sz w:val="18"/>
                      <w:szCs w:val="18"/>
                      <w:highlight w:val="none"/>
                      <w:lang w:val="en-US" w:eastAsia="zh-CN"/>
                    </w:rPr>
                    <w:t>1.53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continue"/>
                  <w:vAlign w:val="center"/>
                </w:tcPr>
                <w:p>
                  <w:pPr>
                    <w:jc w:val="center"/>
                    <w:rPr>
                      <w:rFonts w:hint="eastAsia"/>
                      <w:sz w:val="18"/>
                      <w:szCs w:val="18"/>
                      <w:highlight w:val="none"/>
                    </w:rPr>
                  </w:pPr>
                </w:p>
              </w:tc>
              <w:tc>
                <w:tcPr>
                  <w:tcW w:w="1106" w:type="dxa"/>
                  <w:vMerge w:val="continue"/>
                  <w:vAlign w:val="center"/>
                </w:tcPr>
                <w:p>
                  <w:pPr>
                    <w:jc w:val="center"/>
                    <w:rPr>
                      <w:rFonts w:hint="eastAsia"/>
                      <w:sz w:val="18"/>
                      <w:szCs w:val="18"/>
                      <w:highlight w:val="none"/>
                    </w:rPr>
                  </w:pP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57</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14.2</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18</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1.69</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continue"/>
                  <w:vAlign w:val="center"/>
                </w:tcPr>
                <w:p>
                  <w:pPr>
                    <w:jc w:val="center"/>
                    <w:rPr>
                      <w:rFonts w:hint="eastAsia"/>
                      <w:sz w:val="18"/>
                      <w:szCs w:val="18"/>
                      <w:highlight w:val="none"/>
                    </w:rPr>
                  </w:pPr>
                </w:p>
              </w:tc>
              <w:tc>
                <w:tcPr>
                  <w:tcW w:w="1106" w:type="dxa"/>
                  <w:vMerge w:val="restart"/>
                  <w:vAlign w:val="center"/>
                </w:tcPr>
                <w:p>
                  <w:pPr>
                    <w:jc w:val="center"/>
                    <w:rPr>
                      <w:rFonts w:hint="default"/>
                      <w:sz w:val="18"/>
                      <w:szCs w:val="18"/>
                      <w:highlight w:val="none"/>
                      <w:lang w:val="en-US"/>
                    </w:rPr>
                  </w:pPr>
                  <w:r>
                    <w:rPr>
                      <w:rFonts w:hint="eastAsia"/>
                      <w:sz w:val="18"/>
                      <w:szCs w:val="18"/>
                      <w:highlight w:val="none"/>
                      <w:lang w:val="en-US" w:eastAsia="zh-CN"/>
                    </w:rPr>
                    <w:t>2021.09.10</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52</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13.8</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16</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1.58</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continue"/>
                  <w:vAlign w:val="center"/>
                </w:tcPr>
                <w:p>
                  <w:pPr>
                    <w:jc w:val="center"/>
                    <w:rPr>
                      <w:rFonts w:hint="eastAsia"/>
                      <w:sz w:val="18"/>
                      <w:szCs w:val="18"/>
                      <w:highlight w:val="none"/>
                    </w:rPr>
                  </w:pPr>
                </w:p>
              </w:tc>
              <w:tc>
                <w:tcPr>
                  <w:tcW w:w="1106" w:type="dxa"/>
                  <w:vMerge w:val="continue"/>
                  <w:vAlign w:val="center"/>
                </w:tcPr>
                <w:p>
                  <w:pPr>
                    <w:jc w:val="center"/>
                    <w:rPr>
                      <w:rFonts w:hint="eastAsia"/>
                      <w:sz w:val="18"/>
                      <w:szCs w:val="18"/>
                      <w:highlight w:val="none"/>
                    </w:rPr>
                  </w:pP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58</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14.8</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19</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1.52</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310" w:type="dxa"/>
                  <w:vMerge w:val="continue"/>
                  <w:vAlign w:val="center"/>
                </w:tcPr>
                <w:p>
                  <w:pPr>
                    <w:jc w:val="center"/>
                    <w:rPr>
                      <w:rFonts w:hint="eastAsia"/>
                      <w:sz w:val="18"/>
                      <w:szCs w:val="18"/>
                      <w:highlight w:val="none"/>
                    </w:rPr>
                  </w:pPr>
                </w:p>
              </w:tc>
              <w:tc>
                <w:tcPr>
                  <w:tcW w:w="1106" w:type="dxa"/>
                  <w:vMerge w:val="continue"/>
                  <w:vAlign w:val="center"/>
                </w:tcPr>
                <w:p>
                  <w:pPr>
                    <w:jc w:val="center"/>
                    <w:rPr>
                      <w:rFonts w:hint="eastAsia"/>
                      <w:sz w:val="18"/>
                      <w:szCs w:val="18"/>
                      <w:highlight w:val="none"/>
                    </w:rPr>
                  </w:pP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55</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13.6</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13</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1.67</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40" w:hRule="atLeast"/>
                <w:jc w:val="center"/>
              </w:trPr>
              <w:tc>
                <w:tcPr>
                  <w:tcW w:w="1310" w:type="dxa"/>
                  <w:vMerge w:val="continue"/>
                  <w:vAlign w:val="center"/>
                </w:tcPr>
                <w:p>
                  <w:pPr>
                    <w:jc w:val="center"/>
                    <w:rPr>
                      <w:rFonts w:hint="eastAsia"/>
                      <w:sz w:val="18"/>
                      <w:szCs w:val="18"/>
                      <w:highlight w:val="none"/>
                    </w:rPr>
                  </w:pPr>
                </w:p>
              </w:tc>
              <w:tc>
                <w:tcPr>
                  <w:tcW w:w="1106" w:type="dxa"/>
                  <w:vMerge w:val="continue"/>
                  <w:vAlign w:val="center"/>
                </w:tcPr>
                <w:p>
                  <w:pPr>
                    <w:jc w:val="center"/>
                    <w:rPr>
                      <w:rFonts w:hint="eastAsia"/>
                      <w:sz w:val="18"/>
                      <w:szCs w:val="18"/>
                      <w:highlight w:val="none"/>
                    </w:rPr>
                  </w:pP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51</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14.2</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14</w:t>
                  </w:r>
                </w:p>
              </w:tc>
              <w:tc>
                <w:tcPr>
                  <w:tcW w:w="1387" w:type="dxa"/>
                  <w:vAlign w:val="center"/>
                </w:tcPr>
                <w:p>
                  <w:pPr>
                    <w:jc w:val="center"/>
                    <w:rPr>
                      <w:rFonts w:hint="default"/>
                      <w:sz w:val="18"/>
                      <w:szCs w:val="18"/>
                      <w:highlight w:val="none"/>
                      <w:lang w:val="en-US" w:eastAsia="zh-CN"/>
                    </w:rPr>
                  </w:pPr>
                  <w:r>
                    <w:rPr>
                      <w:rFonts w:hint="eastAsia"/>
                      <w:sz w:val="18"/>
                      <w:szCs w:val="18"/>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416" w:type="dxa"/>
                  <w:gridSpan w:val="2"/>
                  <w:vAlign w:val="center"/>
                </w:tcPr>
                <w:p>
                  <w:pPr>
                    <w:jc w:val="center"/>
                    <w:rPr>
                      <w:sz w:val="18"/>
                      <w:szCs w:val="18"/>
                      <w:highlight w:val="none"/>
                    </w:rPr>
                  </w:pPr>
                  <w:r>
                    <w:rPr>
                      <w:sz w:val="18"/>
                      <w:szCs w:val="18"/>
                      <w:highlight w:val="none"/>
                    </w:rPr>
                    <w:t>标准值</w:t>
                  </w:r>
                </w:p>
              </w:tc>
              <w:tc>
                <w:tcPr>
                  <w:tcW w:w="1387" w:type="dxa"/>
                  <w:vAlign w:val="center"/>
                </w:tcPr>
                <w:p>
                  <w:pPr>
                    <w:jc w:val="center"/>
                    <w:rPr>
                      <w:sz w:val="18"/>
                      <w:szCs w:val="18"/>
                      <w:highlight w:val="none"/>
                    </w:rPr>
                  </w:pPr>
                  <w:r>
                    <w:rPr>
                      <w:sz w:val="18"/>
                      <w:szCs w:val="18"/>
                      <w:highlight w:val="none"/>
                    </w:rPr>
                    <w:t>500</w:t>
                  </w:r>
                </w:p>
              </w:tc>
              <w:tc>
                <w:tcPr>
                  <w:tcW w:w="1387" w:type="dxa"/>
                  <w:vAlign w:val="center"/>
                </w:tcPr>
                <w:p>
                  <w:pPr>
                    <w:jc w:val="center"/>
                    <w:rPr>
                      <w:sz w:val="18"/>
                      <w:szCs w:val="18"/>
                      <w:highlight w:val="none"/>
                    </w:rPr>
                  </w:pPr>
                  <w:r>
                    <w:rPr>
                      <w:sz w:val="18"/>
                      <w:szCs w:val="18"/>
                      <w:highlight w:val="none"/>
                    </w:rPr>
                    <w:t>3</w:t>
                  </w:r>
                  <w:r>
                    <w:rPr>
                      <w:rFonts w:hint="eastAsia"/>
                      <w:sz w:val="18"/>
                      <w:szCs w:val="18"/>
                      <w:highlight w:val="none"/>
                      <w:lang w:val="en-US" w:eastAsia="zh-CN"/>
                    </w:rPr>
                    <w:t>0</w:t>
                  </w:r>
                  <w:r>
                    <w:rPr>
                      <w:sz w:val="18"/>
                      <w:szCs w:val="18"/>
                      <w:highlight w:val="none"/>
                    </w:rPr>
                    <w:t>0</w:t>
                  </w:r>
                </w:p>
              </w:tc>
              <w:tc>
                <w:tcPr>
                  <w:tcW w:w="1387" w:type="dxa"/>
                  <w:vAlign w:val="center"/>
                </w:tcPr>
                <w:p>
                  <w:pPr>
                    <w:jc w:val="center"/>
                    <w:rPr>
                      <w:sz w:val="18"/>
                      <w:szCs w:val="18"/>
                      <w:highlight w:val="none"/>
                    </w:rPr>
                  </w:pPr>
                  <w:r>
                    <w:rPr>
                      <w:sz w:val="18"/>
                      <w:szCs w:val="18"/>
                      <w:highlight w:val="none"/>
                    </w:rPr>
                    <w:t>400</w:t>
                  </w:r>
                </w:p>
              </w:tc>
              <w:tc>
                <w:tcPr>
                  <w:tcW w:w="1387" w:type="dxa"/>
                  <w:vAlign w:val="center"/>
                </w:tcPr>
                <w:p>
                  <w:pPr>
                    <w:jc w:val="center"/>
                    <w:rPr>
                      <w:sz w:val="18"/>
                      <w:szCs w:val="18"/>
                      <w:highlight w:val="none"/>
                    </w:rPr>
                  </w:pPr>
                  <w:r>
                    <w:rPr>
                      <w:sz w:val="18"/>
                      <w:szCs w:val="18"/>
                      <w:highlight w:val="none"/>
                    </w:rPr>
                    <w:t>45</w:t>
                  </w:r>
                </w:p>
              </w:tc>
            </w:tr>
          </w:tbl>
          <w:p>
            <w:pPr>
              <w:spacing w:line="360" w:lineRule="auto"/>
              <w:ind w:firstLine="420" w:firstLineChars="200"/>
              <w:rPr>
                <w:bCs/>
                <w:sz w:val="21"/>
                <w:szCs w:val="21"/>
              </w:rPr>
            </w:pPr>
            <w:r>
              <w:rPr>
                <w:rFonts w:hint="eastAsia"/>
                <w:sz w:val="21"/>
                <w:szCs w:val="21"/>
                <w:highlight w:val="none"/>
              </w:rPr>
              <w:t>从上表可以看出，项目外排污水</w:t>
            </w:r>
            <w:r>
              <w:rPr>
                <w:rFonts w:hint="default" w:ascii="Times New Roman" w:hAnsi="Times New Roman" w:cs="Times New Roman"/>
                <w:szCs w:val="21"/>
              </w:rPr>
              <w:t>BOD</w:t>
            </w:r>
            <w:r>
              <w:rPr>
                <w:rFonts w:hint="default" w:ascii="Times New Roman" w:hAnsi="Times New Roman" w:cs="Times New Roman"/>
                <w:szCs w:val="21"/>
                <w:vertAlign w:val="subscript"/>
              </w:rPr>
              <w:t>5</w:t>
            </w:r>
            <w:r>
              <w:rPr>
                <w:rFonts w:hint="default" w:ascii="Times New Roman" w:hAnsi="Times New Roman" w:cs="Times New Roman"/>
                <w:szCs w:val="21"/>
              </w:rPr>
              <w:t>排放浓度</w:t>
            </w:r>
            <w:r>
              <w:rPr>
                <w:rFonts w:hint="eastAsia" w:ascii="Times New Roman" w:hAnsi="Times New Roman" w:cs="Times New Roman"/>
                <w:szCs w:val="21"/>
                <w:lang w:eastAsia="zh-CN"/>
              </w:rPr>
              <w:t>满足</w:t>
            </w:r>
            <w:r>
              <w:rPr>
                <w:rFonts w:hint="default" w:ascii="Times New Roman" w:hAnsi="Times New Roman" w:cs="Times New Roman"/>
                <w:szCs w:val="21"/>
              </w:rPr>
              <w:t>《污水综合排放标准》（GB 8978-1996）中三级标准，其余污染因子的排放浓度</w:t>
            </w:r>
            <w:r>
              <w:rPr>
                <w:rFonts w:hint="eastAsia" w:ascii="Times New Roman" w:hAnsi="Times New Roman" w:cs="Times New Roman"/>
                <w:szCs w:val="21"/>
                <w:lang w:eastAsia="zh-CN"/>
              </w:rPr>
              <w:t>满足</w:t>
            </w:r>
            <w:r>
              <w:rPr>
                <w:rFonts w:hint="default" w:ascii="Times New Roman" w:hAnsi="Times New Roman" w:cs="Times New Roman"/>
                <w:szCs w:val="21"/>
              </w:rPr>
              <w:t>《污水排入城镇下水道水质标准》（GB/T31962-2015）B等级标准</w:t>
            </w:r>
            <w:r>
              <w:rPr>
                <w:rFonts w:hint="eastAsia"/>
                <w:sz w:val="21"/>
                <w:szCs w:val="21"/>
              </w:rPr>
              <w:t>。COD排放量</w:t>
            </w:r>
            <w:r>
              <w:rPr>
                <w:sz w:val="21"/>
                <w:szCs w:val="21"/>
              </w:rPr>
              <w:t>为</w:t>
            </w:r>
            <w:r>
              <w:rPr>
                <w:rFonts w:hint="eastAsia"/>
                <w:sz w:val="21"/>
                <w:szCs w:val="21"/>
              </w:rPr>
              <w:t>0.</w:t>
            </w:r>
            <w:r>
              <w:rPr>
                <w:rFonts w:hint="eastAsia"/>
                <w:sz w:val="21"/>
                <w:szCs w:val="21"/>
                <w:lang w:val="en-US" w:eastAsia="zh-CN"/>
              </w:rPr>
              <w:t>0099</w:t>
            </w:r>
            <w:r>
              <w:rPr>
                <w:rFonts w:hint="eastAsia"/>
                <w:sz w:val="21"/>
                <w:szCs w:val="21"/>
              </w:rPr>
              <w:t>t/a，</w:t>
            </w:r>
            <w:r>
              <w:rPr>
                <w:sz w:val="21"/>
                <w:szCs w:val="21"/>
              </w:rPr>
              <w:t>氨氮为</w:t>
            </w:r>
            <w:r>
              <w:rPr>
                <w:rFonts w:hint="eastAsia"/>
                <w:sz w:val="21"/>
                <w:szCs w:val="21"/>
              </w:rPr>
              <w:t>0.00</w:t>
            </w:r>
            <w:r>
              <w:rPr>
                <w:rFonts w:hint="eastAsia"/>
                <w:sz w:val="21"/>
                <w:szCs w:val="21"/>
                <w:lang w:val="en-US" w:eastAsia="zh-CN"/>
              </w:rPr>
              <w:t>03</w:t>
            </w:r>
            <w:r>
              <w:rPr>
                <w:rFonts w:hint="eastAsia"/>
                <w:sz w:val="21"/>
                <w:szCs w:val="21"/>
              </w:rPr>
              <w:t>t/a</w:t>
            </w:r>
            <w:r>
              <w:rPr>
                <w:sz w:val="21"/>
                <w:szCs w:val="21"/>
              </w:rPr>
              <w:t>。</w:t>
            </w:r>
          </w:p>
          <w:p>
            <w:pPr>
              <w:spacing w:line="360" w:lineRule="auto"/>
              <w:ind w:firstLine="420" w:firstLineChars="200"/>
            </w:pPr>
            <w:r>
              <w:t>3、噪声</w:t>
            </w:r>
          </w:p>
          <w:p>
            <w:pPr>
              <w:spacing w:line="360" w:lineRule="auto"/>
              <w:ind w:firstLine="420" w:firstLineChars="200"/>
              <w:rPr>
                <w:highlight w:val="none"/>
              </w:rPr>
            </w:pPr>
            <w:r>
              <w:t>现有项目噪声主要来源于</w:t>
            </w:r>
            <w:r>
              <w:rPr>
                <w:rFonts w:hint="eastAsia"/>
                <w:lang w:val="de-DE" w:eastAsia="zh-CN"/>
              </w:rPr>
              <w:t>搅拌机、烘干机、涂胶机、切割机、注塑机、风机等机械设备</w:t>
            </w:r>
            <w:r>
              <w:t>，根据</w:t>
            </w:r>
            <w:r>
              <w:rPr>
                <w:rFonts w:hint="eastAsia"/>
                <w:lang w:eastAsia="zh-CN"/>
              </w:rPr>
              <w:t>山东方信环境</w:t>
            </w:r>
            <w:r>
              <w:t>检测有限公司202</w:t>
            </w:r>
            <w:r>
              <w:rPr>
                <w:rFonts w:hint="eastAsia"/>
                <w:lang w:val="en-US" w:eastAsia="zh-CN"/>
              </w:rPr>
              <w:t>1</w:t>
            </w:r>
            <w:r>
              <w:t>年</w:t>
            </w:r>
            <w:r>
              <w:rPr>
                <w:rFonts w:hint="eastAsia"/>
                <w:lang w:val="en-US" w:eastAsia="zh-CN"/>
              </w:rPr>
              <w:t>9</w:t>
            </w:r>
            <w:r>
              <w:t>月</w:t>
            </w:r>
            <w:r>
              <w:rPr>
                <w:rFonts w:hint="eastAsia"/>
                <w:lang w:val="en-US" w:eastAsia="zh-CN"/>
              </w:rPr>
              <w:t>29日</w:t>
            </w:r>
            <w:r>
              <w:t>出具的</w:t>
            </w:r>
            <w:r>
              <w:rPr>
                <w:sz w:val="21"/>
                <w:szCs w:val="21"/>
              </w:rPr>
              <w:t>《</w:t>
            </w:r>
            <w:r>
              <w:rPr>
                <w:rFonts w:hint="eastAsia"/>
                <w:bCs/>
                <w:kern w:val="0"/>
                <w:sz w:val="21"/>
                <w:szCs w:val="21"/>
                <w:lang w:val="de-DE" w:eastAsia="zh-CN"/>
              </w:rPr>
              <w:t>淄博市淄川龙昊电源器材厂验收检</w:t>
            </w:r>
            <w:r>
              <w:rPr>
                <w:rFonts w:hint="eastAsia" w:eastAsia="宋体"/>
                <w:lang w:eastAsia="zh-CN"/>
              </w:rPr>
              <w:t>测</w:t>
            </w:r>
            <w:r>
              <w:t>报告》（报告编号：</w:t>
            </w:r>
            <w:r>
              <w:rPr>
                <w:rFonts w:hint="eastAsia"/>
                <w:lang w:val="en-US" w:eastAsia="zh-CN"/>
              </w:rPr>
              <w:t>FXH2021090805</w:t>
            </w:r>
            <w:r>
              <w:t>）</w:t>
            </w:r>
            <w:r>
              <w:rPr>
                <w:rFonts w:hint="eastAsia"/>
                <w:lang w:eastAsia="zh-CN"/>
              </w:rPr>
              <w:t>数据</w:t>
            </w:r>
            <w:r>
              <w:rPr>
                <w:highlight w:val="none"/>
              </w:rPr>
              <w:t>，现有项目厂界噪声检测结果见下表。</w:t>
            </w:r>
          </w:p>
          <w:p>
            <w:pPr>
              <w:adjustRightInd w:val="0"/>
              <w:snapToGrid w:val="0"/>
              <w:ind w:firstLine="422" w:firstLineChars="200"/>
              <w:jc w:val="center"/>
              <w:rPr>
                <w:b/>
                <w:bCs/>
              </w:rPr>
            </w:pPr>
            <w:r>
              <w:rPr>
                <w:b/>
                <w:bCs/>
              </w:rPr>
              <w:t>表2-</w:t>
            </w:r>
            <w:r>
              <w:rPr>
                <w:rFonts w:hint="eastAsia"/>
                <w:b/>
                <w:bCs/>
                <w:lang w:val="en-US" w:eastAsia="zh-CN"/>
              </w:rPr>
              <w:t>11</w:t>
            </w:r>
            <w:r>
              <w:rPr>
                <w:b/>
                <w:bCs/>
              </w:rPr>
              <w:t xml:space="preserve"> 现有项目厂界噪声检测结果</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639"/>
              <w:gridCol w:w="2467"/>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gridSpan w:val="2"/>
                  <w:vMerge w:val="restart"/>
                  <w:tcBorders>
                    <w:tl2br w:val="single" w:color="auto" w:sz="6" w:space="0"/>
                  </w:tcBorders>
                  <w:vAlign w:val="center"/>
                </w:tcPr>
                <w:p>
                  <w:pPr>
                    <w:tabs>
                      <w:tab w:val="left" w:pos="0"/>
                    </w:tabs>
                    <w:jc w:val="center"/>
                    <w:rPr>
                      <w:sz w:val="18"/>
                      <w:szCs w:val="18"/>
                    </w:rPr>
                  </w:pPr>
                  <w:r>
                    <w:rPr>
                      <w:sz w:val="18"/>
                      <w:szCs w:val="18"/>
                    </w:rPr>
                    <w:t xml:space="preserve">               检测日期</w:t>
                  </w:r>
                </w:p>
                <w:p>
                  <w:pPr>
                    <w:tabs>
                      <w:tab w:val="left" w:pos="0"/>
                    </w:tabs>
                    <w:ind w:firstLine="180" w:firstLineChars="100"/>
                    <w:rPr>
                      <w:sz w:val="18"/>
                      <w:szCs w:val="18"/>
                    </w:rPr>
                  </w:pPr>
                  <w:r>
                    <w:rPr>
                      <w:sz w:val="18"/>
                      <w:szCs w:val="18"/>
                    </w:rPr>
                    <w:t>检测点位</w:t>
                  </w:r>
                </w:p>
              </w:tc>
              <w:tc>
                <w:tcPr>
                  <w:tcW w:w="4934" w:type="dxa"/>
                  <w:gridSpan w:val="2"/>
                  <w:vAlign w:val="center"/>
                </w:tcPr>
                <w:p>
                  <w:pPr>
                    <w:shd w:val="clear" w:color="auto" w:fill="FFFFFF"/>
                    <w:jc w:val="center"/>
                    <w:rPr>
                      <w:rFonts w:hint="default" w:eastAsia="宋体"/>
                      <w:sz w:val="18"/>
                      <w:szCs w:val="18"/>
                      <w:lang w:val="en-US" w:eastAsia="zh-CN"/>
                    </w:rPr>
                  </w:pPr>
                  <w:r>
                    <w:rPr>
                      <w:sz w:val="18"/>
                      <w:szCs w:val="18"/>
                    </w:rPr>
                    <w:t>202</w:t>
                  </w:r>
                  <w:r>
                    <w:rPr>
                      <w:rFonts w:hint="eastAsia"/>
                      <w:sz w:val="18"/>
                      <w:szCs w:val="18"/>
                      <w:lang w:val="en-US" w:eastAsia="zh-CN"/>
                    </w:rPr>
                    <w:t>1.09.09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gridSpan w:val="2"/>
                  <w:vMerge w:val="continue"/>
                  <w:tcBorders>
                    <w:tl2br w:val="single" w:color="auto" w:sz="6" w:space="0"/>
                  </w:tcBorders>
                  <w:vAlign w:val="center"/>
                </w:tcPr>
                <w:p>
                  <w:pPr>
                    <w:tabs>
                      <w:tab w:val="left" w:pos="0"/>
                    </w:tabs>
                    <w:jc w:val="center"/>
                    <w:rPr>
                      <w:sz w:val="18"/>
                      <w:szCs w:val="18"/>
                    </w:rPr>
                  </w:pPr>
                </w:p>
              </w:tc>
              <w:tc>
                <w:tcPr>
                  <w:tcW w:w="2467" w:type="dxa"/>
                  <w:vAlign w:val="center"/>
                </w:tcPr>
                <w:p>
                  <w:pPr>
                    <w:jc w:val="center"/>
                    <w:rPr>
                      <w:sz w:val="18"/>
                      <w:szCs w:val="18"/>
                    </w:rPr>
                  </w:pPr>
                  <w:r>
                    <w:rPr>
                      <w:sz w:val="18"/>
                      <w:szCs w:val="18"/>
                    </w:rPr>
                    <w:t>昼间dB(A)</w:t>
                  </w:r>
                </w:p>
              </w:tc>
              <w:tc>
                <w:tcPr>
                  <w:tcW w:w="2467" w:type="dxa"/>
                  <w:vAlign w:val="center"/>
                </w:tcPr>
                <w:p>
                  <w:pPr>
                    <w:jc w:val="center"/>
                    <w:rPr>
                      <w:sz w:val="18"/>
                      <w:szCs w:val="18"/>
                    </w:rPr>
                  </w:pPr>
                  <w:r>
                    <w:rPr>
                      <w:sz w:val="18"/>
                      <w:szCs w:val="18"/>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sz w:val="18"/>
                      <w:szCs w:val="18"/>
                    </w:rPr>
                  </w:pPr>
                  <w:r>
                    <w:rPr>
                      <w:sz w:val="18"/>
                      <w:szCs w:val="18"/>
                    </w:rPr>
                    <w:t>1#</w:t>
                  </w:r>
                </w:p>
              </w:tc>
              <w:tc>
                <w:tcPr>
                  <w:tcW w:w="1639" w:type="dxa"/>
                  <w:vAlign w:val="center"/>
                </w:tcPr>
                <w:p>
                  <w:pPr>
                    <w:tabs>
                      <w:tab w:val="left" w:pos="0"/>
                    </w:tabs>
                    <w:jc w:val="center"/>
                    <w:rPr>
                      <w:rFonts w:ascii="Times New Roman" w:hAnsi="Times New Roman" w:eastAsia="宋体" w:cs="Times New Roman"/>
                      <w:kern w:val="2"/>
                      <w:sz w:val="18"/>
                      <w:szCs w:val="18"/>
                      <w:lang w:val="en-US" w:eastAsia="zh-CN" w:bidi="ar-SA"/>
                    </w:rPr>
                  </w:pPr>
                  <w:r>
                    <w:rPr>
                      <w:sz w:val="18"/>
                      <w:szCs w:val="18"/>
                    </w:rPr>
                    <w:t>厂界南外1m</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52.5</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sz w:val="18"/>
                      <w:szCs w:val="18"/>
                    </w:rPr>
                  </w:pPr>
                  <w:r>
                    <w:rPr>
                      <w:sz w:val="18"/>
                      <w:szCs w:val="18"/>
                    </w:rPr>
                    <w:t>2#</w:t>
                  </w:r>
                </w:p>
              </w:tc>
              <w:tc>
                <w:tcPr>
                  <w:tcW w:w="1639" w:type="dxa"/>
                  <w:vAlign w:val="center"/>
                </w:tcPr>
                <w:p>
                  <w:pPr>
                    <w:tabs>
                      <w:tab w:val="left" w:pos="0"/>
                    </w:tabs>
                    <w:jc w:val="center"/>
                    <w:rPr>
                      <w:rFonts w:ascii="Times New Roman" w:hAnsi="Times New Roman" w:eastAsia="宋体" w:cs="Times New Roman"/>
                      <w:kern w:val="2"/>
                      <w:sz w:val="18"/>
                      <w:szCs w:val="18"/>
                      <w:lang w:val="en-US" w:eastAsia="zh-CN" w:bidi="ar-SA"/>
                    </w:rPr>
                  </w:pPr>
                  <w:r>
                    <w:rPr>
                      <w:sz w:val="18"/>
                      <w:szCs w:val="18"/>
                    </w:rPr>
                    <w:t>厂界西外1m</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55.3</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sz w:val="18"/>
                      <w:szCs w:val="18"/>
                    </w:rPr>
                  </w:pPr>
                  <w:r>
                    <w:rPr>
                      <w:sz w:val="18"/>
                      <w:szCs w:val="18"/>
                    </w:rPr>
                    <w:t>3#</w:t>
                  </w:r>
                </w:p>
              </w:tc>
              <w:tc>
                <w:tcPr>
                  <w:tcW w:w="1639" w:type="dxa"/>
                  <w:vAlign w:val="center"/>
                </w:tcPr>
                <w:p>
                  <w:pPr>
                    <w:tabs>
                      <w:tab w:val="left" w:pos="0"/>
                    </w:tabs>
                    <w:jc w:val="center"/>
                    <w:rPr>
                      <w:rFonts w:ascii="Times New Roman" w:hAnsi="Times New Roman" w:eastAsia="宋体" w:cs="Times New Roman"/>
                      <w:kern w:val="2"/>
                      <w:sz w:val="18"/>
                      <w:szCs w:val="18"/>
                      <w:lang w:val="en-US" w:eastAsia="zh-CN" w:bidi="ar-SA"/>
                    </w:rPr>
                  </w:pPr>
                  <w:r>
                    <w:rPr>
                      <w:sz w:val="18"/>
                      <w:szCs w:val="18"/>
                    </w:rPr>
                    <w:t>厂界北外1m</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54.2</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gridSpan w:val="2"/>
                  <w:vMerge w:val="restart"/>
                  <w:tcBorders>
                    <w:tl2br w:val="single" w:color="auto" w:sz="6" w:space="0"/>
                  </w:tcBorders>
                  <w:vAlign w:val="center"/>
                </w:tcPr>
                <w:p>
                  <w:pPr>
                    <w:tabs>
                      <w:tab w:val="left" w:pos="0"/>
                    </w:tabs>
                    <w:jc w:val="center"/>
                    <w:rPr>
                      <w:sz w:val="18"/>
                      <w:szCs w:val="18"/>
                    </w:rPr>
                  </w:pPr>
                  <w:r>
                    <w:rPr>
                      <w:sz w:val="18"/>
                      <w:szCs w:val="18"/>
                    </w:rPr>
                    <w:t xml:space="preserve">               检测日期</w:t>
                  </w:r>
                </w:p>
                <w:p>
                  <w:pPr>
                    <w:tabs>
                      <w:tab w:val="left" w:pos="0"/>
                    </w:tabs>
                    <w:ind w:firstLine="180" w:firstLineChars="100"/>
                    <w:rPr>
                      <w:sz w:val="18"/>
                      <w:szCs w:val="18"/>
                    </w:rPr>
                  </w:pPr>
                  <w:r>
                    <w:rPr>
                      <w:sz w:val="18"/>
                      <w:szCs w:val="18"/>
                    </w:rPr>
                    <w:t>检测点位</w:t>
                  </w:r>
                </w:p>
              </w:tc>
              <w:tc>
                <w:tcPr>
                  <w:tcW w:w="4934" w:type="dxa"/>
                  <w:gridSpan w:val="2"/>
                  <w:vAlign w:val="center"/>
                </w:tcPr>
                <w:p>
                  <w:pPr>
                    <w:shd w:val="clear" w:color="auto" w:fill="FFFFFF"/>
                    <w:jc w:val="center"/>
                    <w:rPr>
                      <w:rFonts w:hint="default" w:eastAsia="宋体"/>
                      <w:sz w:val="18"/>
                      <w:szCs w:val="18"/>
                      <w:lang w:val="en-US" w:eastAsia="zh-CN"/>
                    </w:rPr>
                  </w:pPr>
                  <w:r>
                    <w:rPr>
                      <w:sz w:val="18"/>
                      <w:szCs w:val="18"/>
                    </w:rPr>
                    <w:t>202</w:t>
                  </w:r>
                  <w:r>
                    <w:rPr>
                      <w:rFonts w:hint="eastAsia"/>
                      <w:sz w:val="18"/>
                      <w:szCs w:val="18"/>
                      <w:lang w:val="en-US" w:eastAsia="zh-CN"/>
                    </w:rPr>
                    <w:t>1.09.10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30" w:type="dxa"/>
                  <w:gridSpan w:val="2"/>
                  <w:vMerge w:val="continue"/>
                  <w:tcBorders>
                    <w:tl2br w:val="single" w:color="auto" w:sz="6" w:space="0"/>
                  </w:tcBorders>
                  <w:vAlign w:val="center"/>
                </w:tcPr>
                <w:p>
                  <w:pPr>
                    <w:tabs>
                      <w:tab w:val="left" w:pos="0"/>
                    </w:tabs>
                    <w:jc w:val="center"/>
                    <w:rPr>
                      <w:sz w:val="18"/>
                      <w:szCs w:val="18"/>
                    </w:rPr>
                  </w:pPr>
                </w:p>
              </w:tc>
              <w:tc>
                <w:tcPr>
                  <w:tcW w:w="2467" w:type="dxa"/>
                  <w:vAlign w:val="center"/>
                </w:tcPr>
                <w:p>
                  <w:pPr>
                    <w:jc w:val="center"/>
                    <w:rPr>
                      <w:sz w:val="18"/>
                      <w:szCs w:val="18"/>
                    </w:rPr>
                  </w:pPr>
                  <w:r>
                    <w:rPr>
                      <w:sz w:val="18"/>
                      <w:szCs w:val="18"/>
                    </w:rPr>
                    <w:t>昼间dB(A)</w:t>
                  </w:r>
                </w:p>
              </w:tc>
              <w:tc>
                <w:tcPr>
                  <w:tcW w:w="2467" w:type="dxa"/>
                  <w:vAlign w:val="center"/>
                </w:tcPr>
                <w:p>
                  <w:pPr>
                    <w:jc w:val="center"/>
                    <w:rPr>
                      <w:sz w:val="18"/>
                      <w:szCs w:val="18"/>
                    </w:rPr>
                  </w:pPr>
                  <w:r>
                    <w:rPr>
                      <w:sz w:val="18"/>
                      <w:szCs w:val="18"/>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sz w:val="18"/>
                      <w:szCs w:val="18"/>
                    </w:rPr>
                  </w:pPr>
                  <w:r>
                    <w:rPr>
                      <w:sz w:val="18"/>
                      <w:szCs w:val="18"/>
                    </w:rPr>
                    <w:t>1#</w:t>
                  </w:r>
                </w:p>
              </w:tc>
              <w:tc>
                <w:tcPr>
                  <w:tcW w:w="1639" w:type="dxa"/>
                  <w:vAlign w:val="center"/>
                </w:tcPr>
                <w:p>
                  <w:pPr>
                    <w:tabs>
                      <w:tab w:val="left" w:pos="0"/>
                    </w:tabs>
                    <w:jc w:val="center"/>
                    <w:rPr>
                      <w:rFonts w:ascii="Times New Roman" w:hAnsi="Times New Roman" w:eastAsia="宋体" w:cs="Times New Roman"/>
                      <w:kern w:val="2"/>
                      <w:sz w:val="18"/>
                      <w:szCs w:val="18"/>
                      <w:lang w:val="en-US" w:eastAsia="zh-CN" w:bidi="ar-SA"/>
                    </w:rPr>
                  </w:pPr>
                  <w:r>
                    <w:rPr>
                      <w:sz w:val="18"/>
                      <w:szCs w:val="18"/>
                    </w:rPr>
                    <w:t>厂界南外1m</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52.6</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sz w:val="18"/>
                      <w:szCs w:val="18"/>
                    </w:rPr>
                  </w:pPr>
                  <w:r>
                    <w:rPr>
                      <w:sz w:val="18"/>
                      <w:szCs w:val="18"/>
                    </w:rPr>
                    <w:t>2#</w:t>
                  </w:r>
                </w:p>
              </w:tc>
              <w:tc>
                <w:tcPr>
                  <w:tcW w:w="1639" w:type="dxa"/>
                  <w:vAlign w:val="center"/>
                </w:tcPr>
                <w:p>
                  <w:pPr>
                    <w:tabs>
                      <w:tab w:val="left" w:pos="0"/>
                    </w:tabs>
                    <w:jc w:val="center"/>
                    <w:rPr>
                      <w:rFonts w:ascii="Times New Roman" w:hAnsi="Times New Roman" w:eastAsia="宋体" w:cs="Times New Roman"/>
                      <w:kern w:val="2"/>
                      <w:sz w:val="18"/>
                      <w:szCs w:val="18"/>
                      <w:lang w:val="en-US" w:eastAsia="zh-CN" w:bidi="ar-SA"/>
                    </w:rPr>
                  </w:pPr>
                  <w:r>
                    <w:rPr>
                      <w:sz w:val="18"/>
                      <w:szCs w:val="18"/>
                    </w:rPr>
                    <w:t>厂界西外1m</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54.7</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sz w:val="18"/>
                      <w:szCs w:val="18"/>
                    </w:rPr>
                  </w:pPr>
                  <w:r>
                    <w:rPr>
                      <w:sz w:val="18"/>
                      <w:szCs w:val="18"/>
                    </w:rPr>
                    <w:t>3#</w:t>
                  </w:r>
                </w:p>
              </w:tc>
              <w:tc>
                <w:tcPr>
                  <w:tcW w:w="1639" w:type="dxa"/>
                  <w:vAlign w:val="center"/>
                </w:tcPr>
                <w:p>
                  <w:pPr>
                    <w:tabs>
                      <w:tab w:val="left" w:pos="0"/>
                    </w:tabs>
                    <w:jc w:val="center"/>
                    <w:rPr>
                      <w:rFonts w:ascii="Times New Roman" w:hAnsi="Times New Roman" w:eastAsia="宋体" w:cs="Times New Roman"/>
                      <w:kern w:val="2"/>
                      <w:sz w:val="18"/>
                      <w:szCs w:val="18"/>
                      <w:lang w:val="en-US" w:eastAsia="zh-CN" w:bidi="ar-SA"/>
                    </w:rPr>
                  </w:pPr>
                  <w:r>
                    <w:rPr>
                      <w:sz w:val="18"/>
                      <w:szCs w:val="18"/>
                    </w:rPr>
                    <w:t>厂界北外1m</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53.5</w:t>
                  </w:r>
                </w:p>
              </w:tc>
              <w:tc>
                <w:tcPr>
                  <w:tcW w:w="2467" w:type="dxa"/>
                  <w:vAlign w:val="center"/>
                </w:tcPr>
                <w:p>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1" w:type="dxa"/>
                  <w:vAlign w:val="center"/>
                </w:tcPr>
                <w:p>
                  <w:pPr>
                    <w:tabs>
                      <w:tab w:val="left" w:pos="0"/>
                    </w:tabs>
                    <w:jc w:val="center"/>
                    <w:rPr>
                      <w:rFonts w:hint="eastAsia" w:eastAsia="宋体"/>
                      <w:sz w:val="18"/>
                      <w:szCs w:val="18"/>
                      <w:lang w:eastAsia="zh-CN"/>
                    </w:rPr>
                  </w:pPr>
                  <w:r>
                    <w:rPr>
                      <w:rFonts w:hint="eastAsia"/>
                      <w:sz w:val="18"/>
                      <w:szCs w:val="18"/>
                      <w:lang w:eastAsia="zh-CN"/>
                    </w:rPr>
                    <w:t>备注</w:t>
                  </w:r>
                </w:p>
              </w:tc>
              <w:tc>
                <w:tcPr>
                  <w:tcW w:w="6573" w:type="dxa"/>
                  <w:gridSpan w:val="3"/>
                  <w:vAlign w:val="center"/>
                </w:tcPr>
                <w:p>
                  <w:pPr>
                    <w:jc w:val="center"/>
                    <w:rPr>
                      <w:rFonts w:hint="default" w:eastAsia="宋体"/>
                      <w:sz w:val="18"/>
                      <w:szCs w:val="18"/>
                      <w:lang w:val="en-US" w:eastAsia="zh-CN"/>
                    </w:rPr>
                  </w:pPr>
                  <w:r>
                    <w:rPr>
                      <w:rFonts w:hint="eastAsia"/>
                      <w:sz w:val="18"/>
                      <w:szCs w:val="18"/>
                      <w:lang w:val="en-US" w:eastAsia="zh-CN"/>
                    </w:rPr>
                    <w:t>厂界东为其他企业车间，不具备检测条件</w:t>
                  </w:r>
                </w:p>
              </w:tc>
            </w:tr>
          </w:tbl>
          <w:p>
            <w:pPr>
              <w:pStyle w:val="12"/>
              <w:spacing w:line="360" w:lineRule="auto"/>
              <w:rPr>
                <w:sz w:val="21"/>
                <w:szCs w:val="21"/>
                <w:lang w:val="de-DE"/>
              </w:rPr>
            </w:pPr>
            <w:r>
              <w:rPr>
                <w:sz w:val="21"/>
                <w:szCs w:val="21"/>
              </w:rPr>
              <w:t>项目厂界</w:t>
            </w:r>
            <w:bookmarkStart w:id="5" w:name="OLE_LINK41"/>
            <w:r>
              <w:rPr>
                <w:sz w:val="21"/>
                <w:szCs w:val="21"/>
              </w:rPr>
              <w:t>昼间噪声监测值在5</w:t>
            </w:r>
            <w:r>
              <w:rPr>
                <w:rFonts w:hint="eastAsia"/>
                <w:sz w:val="21"/>
                <w:szCs w:val="21"/>
                <w:lang w:val="en-US" w:eastAsia="zh-CN"/>
              </w:rPr>
              <w:t>2.5</w:t>
            </w:r>
            <w:r>
              <w:rPr>
                <w:sz w:val="21"/>
                <w:szCs w:val="21"/>
              </w:rPr>
              <w:t>-5</w:t>
            </w:r>
            <w:r>
              <w:rPr>
                <w:rFonts w:hint="eastAsia"/>
                <w:sz w:val="21"/>
                <w:szCs w:val="21"/>
                <w:lang w:val="en-US" w:eastAsia="zh-CN"/>
              </w:rPr>
              <w:t>5.3</w:t>
            </w:r>
            <w:r>
              <w:rPr>
                <w:sz w:val="21"/>
                <w:szCs w:val="21"/>
              </w:rPr>
              <w:t>dB(A)之间</w:t>
            </w:r>
            <w:bookmarkEnd w:id="5"/>
            <w:r>
              <w:rPr>
                <w:sz w:val="21"/>
                <w:szCs w:val="21"/>
              </w:rPr>
              <w:t>，夜间噪声监测值在4</w:t>
            </w:r>
            <w:r>
              <w:rPr>
                <w:rFonts w:hint="eastAsia"/>
                <w:sz w:val="21"/>
                <w:szCs w:val="21"/>
                <w:lang w:val="en-US" w:eastAsia="zh-CN"/>
              </w:rPr>
              <w:t>3.8</w:t>
            </w:r>
            <w:r>
              <w:rPr>
                <w:sz w:val="21"/>
                <w:szCs w:val="21"/>
              </w:rPr>
              <w:t>-4</w:t>
            </w:r>
            <w:r>
              <w:rPr>
                <w:rFonts w:hint="eastAsia"/>
                <w:sz w:val="21"/>
                <w:szCs w:val="21"/>
                <w:lang w:val="en-US" w:eastAsia="zh-CN"/>
              </w:rPr>
              <w:t>7.4</w:t>
            </w:r>
            <w:r>
              <w:rPr>
                <w:sz w:val="21"/>
                <w:szCs w:val="21"/>
              </w:rPr>
              <w:t>dB(A)之间，各监测点昼、夜间噪声满足《工业企业厂界环境噪声排放标准》（GB 12348-2008）中的</w:t>
            </w:r>
            <w:r>
              <w:rPr>
                <w:rFonts w:hint="eastAsia"/>
                <w:sz w:val="21"/>
                <w:szCs w:val="21"/>
                <w:lang w:val="en-US" w:eastAsia="zh-CN"/>
              </w:rPr>
              <w:t>2</w:t>
            </w:r>
            <w:r>
              <w:rPr>
                <w:sz w:val="21"/>
                <w:szCs w:val="21"/>
              </w:rPr>
              <w:t>类声环境功能区标准。</w:t>
            </w:r>
          </w:p>
          <w:p>
            <w:pPr>
              <w:pStyle w:val="2"/>
              <w:tabs>
                <w:tab w:val="left" w:pos="517"/>
              </w:tabs>
              <w:ind w:firstLine="0" w:firstLineChars="0"/>
            </w:pPr>
            <w:r>
              <w:t>4、固废</w:t>
            </w:r>
          </w:p>
          <w:p>
            <w:pPr>
              <w:spacing w:line="360" w:lineRule="auto"/>
              <w:ind w:firstLine="420" w:firstLineChars="200"/>
              <w:rPr>
                <w:rFonts w:hint="default" w:eastAsia="宋体"/>
                <w:sz w:val="24"/>
                <w:lang w:val="en-US" w:eastAsia="zh-CN"/>
              </w:rPr>
            </w:pPr>
            <w:r>
              <w:rPr>
                <w:rFonts w:hint="eastAsia"/>
                <w:lang w:eastAsia="zh-CN"/>
              </w:rPr>
              <w:t>根据验收监测报告内容，</w:t>
            </w:r>
            <w:r>
              <w:t>现</w:t>
            </w:r>
            <w:r>
              <w:rPr>
                <w:sz w:val="21"/>
                <w:szCs w:val="21"/>
              </w:rPr>
              <w:t>有</w:t>
            </w:r>
            <w:r>
              <w:rPr>
                <w:rFonts w:hint="eastAsia"/>
                <w:sz w:val="21"/>
                <w:szCs w:val="21"/>
              </w:rPr>
              <w:t>项目</w:t>
            </w:r>
            <w:r>
              <w:rPr>
                <w:sz w:val="21"/>
                <w:szCs w:val="21"/>
              </w:rPr>
              <w:t>产生的固体废物主要为</w:t>
            </w:r>
            <w:r>
              <w:rPr>
                <w:rFonts w:hint="eastAsia"/>
                <w:sz w:val="21"/>
                <w:szCs w:val="21"/>
                <w:lang w:eastAsia="zh-CN"/>
              </w:rPr>
              <w:t>生产过程中产生的不合格产品及切割机切割下来的涤纶排管下脚料、注塑过程产生的不合格产品</w:t>
            </w:r>
            <w:r>
              <w:rPr>
                <w:sz w:val="21"/>
                <w:szCs w:val="21"/>
              </w:rPr>
              <w:t>和</w:t>
            </w:r>
            <w:r>
              <w:rPr>
                <w:rFonts w:hint="eastAsia"/>
                <w:sz w:val="21"/>
                <w:szCs w:val="21"/>
                <w:lang w:eastAsia="zh-CN"/>
              </w:rPr>
              <w:t>职工</w:t>
            </w:r>
            <w:r>
              <w:rPr>
                <w:sz w:val="21"/>
                <w:szCs w:val="21"/>
              </w:rPr>
              <w:t>生活垃圾。</w:t>
            </w:r>
            <w:r>
              <w:rPr>
                <w:rFonts w:hint="eastAsia"/>
                <w:sz w:val="21"/>
                <w:szCs w:val="21"/>
                <w:lang w:eastAsia="zh-CN"/>
              </w:rPr>
              <w:t>酚醛树脂胶桶产生量</w:t>
            </w:r>
            <w:r>
              <w:rPr>
                <w:rFonts w:hint="eastAsia"/>
                <w:sz w:val="21"/>
                <w:szCs w:val="21"/>
                <w:lang w:val="en-US" w:eastAsia="zh-CN"/>
              </w:rPr>
              <w:t>0.15t/a，产生后由厂家回收循环利用，不作为固体废物管理。</w:t>
            </w:r>
          </w:p>
          <w:p>
            <w:pPr>
              <w:pStyle w:val="995"/>
              <w:numPr>
                <w:ilvl w:val="0"/>
                <w:numId w:val="0"/>
              </w:numPr>
              <w:spacing w:line="360" w:lineRule="auto"/>
              <w:ind w:firstLine="420" w:firstLineChars="200"/>
              <w:rPr>
                <w:rFonts w:hint="eastAsia" w:eastAsia="宋体"/>
                <w:sz w:val="21"/>
                <w:szCs w:val="21"/>
                <w:lang w:eastAsia="zh-CN"/>
              </w:rPr>
            </w:pPr>
            <w:r>
              <w:rPr>
                <w:rFonts w:hint="eastAsia"/>
                <w:sz w:val="21"/>
                <w:szCs w:val="21"/>
                <w:lang w:eastAsia="zh-CN"/>
              </w:rPr>
              <w:t>（</w:t>
            </w:r>
            <w:r>
              <w:rPr>
                <w:rFonts w:hint="eastAsia"/>
                <w:sz w:val="21"/>
                <w:szCs w:val="21"/>
                <w:lang w:val="en-US" w:eastAsia="zh-CN"/>
              </w:rPr>
              <w:t>1</w:t>
            </w:r>
            <w:r>
              <w:rPr>
                <w:rFonts w:hint="eastAsia"/>
                <w:sz w:val="21"/>
                <w:szCs w:val="21"/>
                <w:lang w:eastAsia="zh-CN"/>
              </w:rPr>
              <w:t>）涤纶排管不合格品及下脚料</w:t>
            </w:r>
          </w:p>
          <w:p>
            <w:pPr>
              <w:spacing w:line="360" w:lineRule="auto"/>
              <w:ind w:firstLine="420" w:firstLineChars="200"/>
              <w:rPr>
                <w:sz w:val="21"/>
                <w:szCs w:val="21"/>
              </w:rPr>
            </w:pPr>
            <w:r>
              <w:rPr>
                <w:rFonts w:hint="eastAsia"/>
                <w:sz w:val="21"/>
                <w:szCs w:val="21"/>
                <w:lang w:eastAsia="zh-CN"/>
              </w:rPr>
              <w:t>生产过程产生的涤纶排管不合格品，切割过程会产生下脚料，产生量为</w:t>
            </w:r>
            <w:r>
              <w:rPr>
                <w:rFonts w:hint="eastAsia"/>
                <w:sz w:val="21"/>
                <w:szCs w:val="21"/>
                <w:lang w:val="en-US" w:eastAsia="zh-CN"/>
              </w:rPr>
              <w:t>2t/a，收集后外卖处理</w:t>
            </w:r>
            <w:r>
              <w:rPr>
                <w:rFonts w:hint="eastAsia"/>
                <w:sz w:val="21"/>
                <w:szCs w:val="21"/>
              </w:rPr>
              <w:t>；</w:t>
            </w:r>
          </w:p>
          <w:p>
            <w:pPr>
              <w:numPr>
                <w:ilvl w:val="0"/>
                <w:numId w:val="18"/>
              </w:numPr>
              <w:spacing w:line="360" w:lineRule="auto"/>
              <w:ind w:firstLine="420" w:firstLineChars="200"/>
              <w:rPr>
                <w:rFonts w:hint="eastAsia"/>
                <w:sz w:val="21"/>
                <w:szCs w:val="21"/>
                <w:lang w:eastAsia="zh-CN"/>
              </w:rPr>
            </w:pPr>
            <w:r>
              <w:rPr>
                <w:rFonts w:hint="eastAsia"/>
                <w:sz w:val="21"/>
                <w:szCs w:val="21"/>
                <w:lang w:eastAsia="zh-CN"/>
              </w:rPr>
              <w:t>注塑不合格品</w:t>
            </w:r>
          </w:p>
          <w:p>
            <w:pPr>
              <w:numPr>
                <w:ilvl w:val="0"/>
                <w:numId w:val="0"/>
              </w:numPr>
              <w:spacing w:line="360" w:lineRule="auto"/>
              <w:ind w:firstLine="420" w:firstLineChars="200"/>
              <w:rPr>
                <w:sz w:val="21"/>
                <w:szCs w:val="21"/>
              </w:rPr>
            </w:pPr>
            <w:r>
              <w:rPr>
                <w:rFonts w:hint="eastAsia"/>
                <w:sz w:val="21"/>
                <w:szCs w:val="21"/>
                <w:lang w:eastAsia="zh-CN"/>
              </w:rPr>
              <w:t>注塑过程会产生不合格产品，产生量</w:t>
            </w:r>
            <w:r>
              <w:rPr>
                <w:rFonts w:hint="eastAsia"/>
                <w:sz w:val="21"/>
                <w:szCs w:val="21"/>
                <w:lang w:val="en-US" w:eastAsia="zh-CN"/>
              </w:rPr>
              <w:t>0.025t/a，收集后外协破碎，回用于生产</w:t>
            </w:r>
            <w:r>
              <w:rPr>
                <w:rFonts w:hint="eastAsia"/>
                <w:sz w:val="21"/>
                <w:szCs w:val="21"/>
              </w:rPr>
              <w:t>；</w:t>
            </w:r>
          </w:p>
          <w:p>
            <w:pPr>
              <w:spacing w:line="360" w:lineRule="auto"/>
              <w:ind w:firstLine="420" w:firstLineChars="200"/>
              <w:rPr>
                <w:rFonts w:hint="default" w:eastAsia="宋体"/>
                <w:sz w:val="21"/>
                <w:szCs w:val="21"/>
                <w:lang w:val="en-US" w:eastAsia="zh-CN"/>
              </w:rPr>
            </w:pPr>
            <w:r>
              <w:rPr>
                <w:rFonts w:hint="eastAsia"/>
                <w:sz w:val="21"/>
                <w:szCs w:val="21"/>
                <w:lang w:eastAsia="zh-CN"/>
              </w:rPr>
              <w:t>（</w:t>
            </w:r>
            <w:r>
              <w:rPr>
                <w:rFonts w:hint="eastAsia"/>
                <w:sz w:val="21"/>
                <w:szCs w:val="21"/>
                <w:lang w:val="en-US" w:eastAsia="zh-CN"/>
              </w:rPr>
              <w:t>3</w:t>
            </w:r>
            <w:r>
              <w:rPr>
                <w:rFonts w:hint="eastAsia"/>
                <w:sz w:val="21"/>
                <w:szCs w:val="21"/>
                <w:lang w:eastAsia="zh-CN"/>
              </w:rPr>
              <w:t>）</w:t>
            </w:r>
            <w:r>
              <w:rPr>
                <w:rFonts w:hint="eastAsia"/>
                <w:sz w:val="21"/>
                <w:szCs w:val="21"/>
              </w:rPr>
              <w:t>废</w:t>
            </w:r>
            <w:r>
              <w:rPr>
                <w:rFonts w:hint="eastAsia"/>
                <w:sz w:val="21"/>
                <w:szCs w:val="21"/>
                <w:lang w:val="en-US" w:eastAsia="zh-CN"/>
              </w:rPr>
              <w:t>UV灯管</w:t>
            </w:r>
          </w:p>
          <w:p>
            <w:pPr>
              <w:spacing w:line="360" w:lineRule="auto"/>
              <w:ind w:firstLine="420" w:firstLineChars="200"/>
              <w:rPr>
                <w:sz w:val="21"/>
                <w:szCs w:val="21"/>
              </w:rPr>
            </w:pPr>
            <w:r>
              <w:rPr>
                <w:rFonts w:hint="eastAsia"/>
                <w:sz w:val="21"/>
                <w:szCs w:val="21"/>
              </w:rPr>
              <w:t>项目</w:t>
            </w:r>
            <w:r>
              <w:rPr>
                <w:rFonts w:hint="eastAsia"/>
                <w:sz w:val="21"/>
                <w:szCs w:val="21"/>
                <w:lang w:eastAsia="zh-CN"/>
              </w:rPr>
              <w:t>废气处理过程会产生废</w:t>
            </w:r>
            <w:r>
              <w:rPr>
                <w:rFonts w:hint="eastAsia"/>
                <w:sz w:val="21"/>
                <w:szCs w:val="21"/>
                <w:lang w:val="en-US" w:eastAsia="zh-CN"/>
              </w:rPr>
              <w:t>UV灯管</w:t>
            </w:r>
            <w:r>
              <w:rPr>
                <w:rFonts w:hint="eastAsia"/>
                <w:sz w:val="21"/>
                <w:szCs w:val="21"/>
              </w:rPr>
              <w:t>，产生量为</w:t>
            </w:r>
            <w:r>
              <w:rPr>
                <w:rFonts w:hint="eastAsia"/>
                <w:sz w:val="21"/>
                <w:szCs w:val="21"/>
                <w:highlight w:val="none"/>
              </w:rPr>
              <w:t>0.</w:t>
            </w:r>
            <w:r>
              <w:rPr>
                <w:rFonts w:hint="eastAsia"/>
                <w:sz w:val="21"/>
                <w:szCs w:val="21"/>
                <w:highlight w:val="none"/>
                <w:lang w:val="en-US" w:eastAsia="zh-CN"/>
              </w:rPr>
              <w:t>025</w:t>
            </w:r>
            <w:r>
              <w:rPr>
                <w:rFonts w:hint="eastAsia"/>
                <w:sz w:val="21"/>
                <w:szCs w:val="21"/>
                <w:highlight w:val="none"/>
              </w:rPr>
              <w:t>t/a</w:t>
            </w:r>
            <w:r>
              <w:rPr>
                <w:rFonts w:hint="eastAsia"/>
                <w:sz w:val="21"/>
                <w:szCs w:val="21"/>
                <w:highlight w:val="none"/>
                <w:lang w:eastAsia="zh-CN"/>
              </w:rPr>
              <w:t>，</w:t>
            </w:r>
            <w:r>
              <w:rPr>
                <w:rFonts w:hint="eastAsia"/>
                <w:sz w:val="21"/>
                <w:szCs w:val="21"/>
                <w:lang w:eastAsia="zh-CN"/>
              </w:rPr>
              <w:t>属于</w:t>
            </w:r>
            <w:r>
              <w:rPr>
                <w:sz w:val="21"/>
                <w:szCs w:val="21"/>
              </w:rPr>
              <w:t>危险废物，危废代码为900-0</w:t>
            </w:r>
            <w:r>
              <w:rPr>
                <w:rFonts w:hint="eastAsia"/>
                <w:sz w:val="21"/>
                <w:szCs w:val="21"/>
                <w:lang w:val="en-US" w:eastAsia="zh-CN"/>
              </w:rPr>
              <w:t>23</w:t>
            </w:r>
            <w:r>
              <w:rPr>
                <w:sz w:val="21"/>
                <w:szCs w:val="21"/>
              </w:rPr>
              <w:t>-</w:t>
            </w:r>
            <w:r>
              <w:rPr>
                <w:rFonts w:hint="eastAsia"/>
                <w:sz w:val="21"/>
                <w:szCs w:val="21"/>
                <w:lang w:val="en-US" w:eastAsia="zh-CN"/>
              </w:rPr>
              <w:t>2</w:t>
            </w:r>
            <w:r>
              <w:rPr>
                <w:sz w:val="21"/>
                <w:szCs w:val="21"/>
              </w:rPr>
              <w:t>9，</w:t>
            </w:r>
            <w:r>
              <w:rPr>
                <w:rFonts w:hint="eastAsia"/>
                <w:sz w:val="21"/>
                <w:szCs w:val="21"/>
                <w:lang w:eastAsia="zh-CN"/>
              </w:rPr>
              <w:t>产生后</w:t>
            </w:r>
            <w:r>
              <w:rPr>
                <w:rFonts w:hint="eastAsia"/>
                <w:sz w:val="21"/>
                <w:szCs w:val="21"/>
              </w:rPr>
              <w:t>存储于危废暂存间内，</w:t>
            </w:r>
            <w:r>
              <w:rPr>
                <w:sz w:val="21"/>
                <w:szCs w:val="21"/>
              </w:rPr>
              <w:t>委托</w:t>
            </w:r>
            <w:r>
              <w:rPr>
                <w:rFonts w:hint="eastAsia"/>
                <w:sz w:val="21"/>
                <w:szCs w:val="21"/>
              </w:rPr>
              <w:t>有</w:t>
            </w:r>
            <w:r>
              <w:rPr>
                <w:sz w:val="21"/>
                <w:szCs w:val="21"/>
              </w:rPr>
              <w:t>资质单位处理。</w:t>
            </w:r>
          </w:p>
          <w:p>
            <w:pPr>
              <w:pStyle w:val="995"/>
              <w:numPr>
                <w:ilvl w:val="0"/>
                <w:numId w:val="0"/>
              </w:numPr>
              <w:spacing w:line="360" w:lineRule="auto"/>
              <w:ind w:firstLine="420" w:firstLineChars="200"/>
              <w:rPr>
                <w:rFonts w:hint="eastAsia"/>
                <w:sz w:val="21"/>
                <w:szCs w:val="21"/>
                <w:lang w:eastAsia="zh-CN"/>
              </w:rPr>
            </w:pPr>
            <w:r>
              <w:rPr>
                <w:rFonts w:hint="eastAsia"/>
                <w:sz w:val="21"/>
                <w:szCs w:val="21"/>
                <w:lang w:eastAsia="zh-CN"/>
              </w:rPr>
              <w:t>（</w:t>
            </w:r>
            <w:r>
              <w:rPr>
                <w:rFonts w:hint="eastAsia"/>
                <w:sz w:val="21"/>
                <w:szCs w:val="21"/>
                <w:lang w:val="en-US" w:eastAsia="zh-CN"/>
              </w:rPr>
              <w:t>4</w:t>
            </w:r>
            <w:r>
              <w:rPr>
                <w:rFonts w:hint="eastAsia"/>
                <w:sz w:val="21"/>
                <w:szCs w:val="21"/>
                <w:lang w:eastAsia="zh-CN"/>
              </w:rPr>
              <w:t>）废原料包装袋</w:t>
            </w:r>
          </w:p>
          <w:p>
            <w:pPr>
              <w:pStyle w:val="995"/>
              <w:numPr>
                <w:ilvl w:val="0"/>
                <w:numId w:val="0"/>
              </w:numPr>
              <w:spacing w:line="360" w:lineRule="auto"/>
              <w:ind w:firstLine="420" w:firstLineChars="200"/>
              <w:rPr>
                <w:rFonts w:hint="default"/>
                <w:sz w:val="21"/>
                <w:szCs w:val="21"/>
                <w:lang w:val="en-US" w:eastAsia="zh-CN"/>
              </w:rPr>
            </w:pPr>
            <w:r>
              <w:rPr>
                <w:rFonts w:hint="eastAsia"/>
                <w:sz w:val="21"/>
                <w:szCs w:val="21"/>
                <w:lang w:eastAsia="zh-CN"/>
              </w:rPr>
              <w:t>聚丙烯原料包装过程会产生废原料包装袋，产生量</w:t>
            </w:r>
            <w:r>
              <w:rPr>
                <w:rFonts w:hint="eastAsia"/>
                <w:sz w:val="21"/>
                <w:szCs w:val="21"/>
                <w:lang w:val="en-US" w:eastAsia="zh-CN"/>
              </w:rPr>
              <w:t>0.1t/a，属于一般固废，外卖处理。</w:t>
            </w:r>
          </w:p>
          <w:p>
            <w:pPr>
              <w:pStyle w:val="995"/>
              <w:numPr>
                <w:ilvl w:val="0"/>
                <w:numId w:val="0"/>
              </w:numPr>
              <w:spacing w:line="360" w:lineRule="auto"/>
              <w:ind w:firstLine="420" w:firstLineChars="200"/>
              <w:rPr>
                <w:sz w:val="21"/>
                <w:szCs w:val="21"/>
              </w:rPr>
            </w:pPr>
            <w:r>
              <w:rPr>
                <w:rFonts w:hint="eastAsia"/>
                <w:sz w:val="21"/>
                <w:szCs w:val="21"/>
                <w:lang w:eastAsia="zh-CN"/>
              </w:rPr>
              <w:t>（</w:t>
            </w:r>
            <w:r>
              <w:rPr>
                <w:rFonts w:hint="eastAsia"/>
                <w:sz w:val="21"/>
                <w:szCs w:val="21"/>
                <w:lang w:val="en-US" w:eastAsia="zh-CN"/>
              </w:rPr>
              <w:t>5</w:t>
            </w:r>
            <w:r>
              <w:rPr>
                <w:rFonts w:hint="eastAsia"/>
                <w:sz w:val="21"/>
                <w:szCs w:val="21"/>
                <w:lang w:eastAsia="zh-CN"/>
              </w:rPr>
              <w:t>）</w:t>
            </w:r>
            <w:r>
              <w:rPr>
                <w:rFonts w:hint="eastAsia"/>
                <w:sz w:val="21"/>
                <w:szCs w:val="21"/>
              </w:rPr>
              <w:t>生活垃圾</w:t>
            </w:r>
          </w:p>
          <w:p>
            <w:pPr>
              <w:spacing w:line="360" w:lineRule="auto"/>
              <w:ind w:firstLine="420" w:firstLineChars="200"/>
              <w:rPr>
                <w:sz w:val="21"/>
                <w:szCs w:val="21"/>
                <w:shd w:val="pct10" w:color="auto" w:fill="FFFFFF"/>
              </w:rPr>
            </w:pPr>
            <w:r>
              <w:rPr>
                <w:sz w:val="21"/>
                <w:szCs w:val="21"/>
              </w:rPr>
              <w:t>生活垃圾产生量为</w:t>
            </w:r>
            <w:r>
              <w:rPr>
                <w:rFonts w:hint="eastAsia"/>
                <w:sz w:val="21"/>
                <w:szCs w:val="21"/>
                <w:lang w:val="en-US" w:eastAsia="zh-CN"/>
              </w:rPr>
              <w:t>2.85</w:t>
            </w:r>
            <w:r>
              <w:rPr>
                <w:rFonts w:hint="eastAsia"/>
                <w:sz w:val="21"/>
                <w:szCs w:val="21"/>
              </w:rPr>
              <w:t>t</w:t>
            </w:r>
            <w:r>
              <w:rPr>
                <w:sz w:val="21"/>
                <w:szCs w:val="21"/>
              </w:rPr>
              <w:t>/</w:t>
            </w:r>
            <w:r>
              <w:rPr>
                <w:rFonts w:hint="eastAsia"/>
                <w:sz w:val="21"/>
                <w:szCs w:val="21"/>
              </w:rPr>
              <w:t>a</w:t>
            </w:r>
            <w:r>
              <w:rPr>
                <w:rFonts w:hint="eastAsia"/>
                <w:sz w:val="21"/>
                <w:szCs w:val="21"/>
                <w:lang w:eastAsia="zh-CN"/>
              </w:rPr>
              <w:t>，</w:t>
            </w:r>
            <w:r>
              <w:rPr>
                <w:sz w:val="21"/>
                <w:szCs w:val="21"/>
              </w:rPr>
              <w:t>全部交由当地环卫部门统一收集处理</w:t>
            </w:r>
            <w:r>
              <w:rPr>
                <w:rFonts w:hint="eastAsia"/>
                <w:sz w:val="21"/>
                <w:szCs w:val="21"/>
              </w:rPr>
              <w:t>。</w:t>
            </w:r>
          </w:p>
          <w:p>
            <w:pPr>
              <w:spacing w:line="360" w:lineRule="auto"/>
              <w:ind w:firstLine="420" w:firstLineChars="200"/>
              <w:rPr>
                <w:sz w:val="24"/>
              </w:rPr>
            </w:pPr>
            <w:r>
              <w:rPr>
                <w:rFonts w:hint="eastAsia"/>
                <w:sz w:val="21"/>
                <w:szCs w:val="21"/>
              </w:rPr>
              <w:t>综上</w:t>
            </w:r>
            <w:r>
              <w:rPr>
                <w:sz w:val="21"/>
                <w:szCs w:val="21"/>
              </w:rPr>
              <w:t>，本项目固体废弃物可以得到有效处理，不会对环境造成影响。</w:t>
            </w:r>
          </w:p>
          <w:p>
            <w:pPr>
              <w:spacing w:line="360" w:lineRule="auto"/>
              <w:ind w:firstLine="420" w:firstLineChars="200"/>
              <w:rPr>
                <w:color w:val="000000"/>
              </w:rPr>
            </w:pPr>
            <w:r>
              <w:rPr>
                <w:color w:val="000000"/>
              </w:rPr>
              <w:t>现有项目污染物排放量汇总情况见下表2-</w:t>
            </w:r>
            <w:r>
              <w:rPr>
                <w:rFonts w:hint="eastAsia"/>
                <w:color w:val="000000"/>
                <w:lang w:val="en-US" w:eastAsia="zh-CN"/>
              </w:rPr>
              <w:t>12</w:t>
            </w:r>
            <w:r>
              <w:rPr>
                <w:color w:val="000000"/>
              </w:rPr>
              <w:t>。</w:t>
            </w:r>
          </w:p>
          <w:p>
            <w:pPr>
              <w:pStyle w:val="2"/>
              <w:ind w:left="0" w:leftChars="0" w:firstLine="0" w:firstLineChars="0"/>
              <w:jc w:val="center"/>
              <w:rPr>
                <w:b/>
                <w:bCs/>
                <w:color w:val="000000"/>
              </w:rPr>
            </w:pPr>
            <w:r>
              <w:rPr>
                <w:b/>
                <w:bCs/>
                <w:color w:val="000000"/>
              </w:rPr>
              <w:t>表2-</w:t>
            </w:r>
            <w:r>
              <w:rPr>
                <w:rFonts w:hint="eastAsia"/>
                <w:b/>
                <w:bCs/>
                <w:color w:val="000000"/>
                <w:lang w:val="en-US" w:eastAsia="zh-CN"/>
              </w:rPr>
              <w:t>12</w:t>
            </w:r>
            <w:r>
              <w:rPr>
                <w:b/>
                <w:bCs/>
                <w:color w:val="000000"/>
              </w:rPr>
              <w:t xml:space="preserve">    现有</w:t>
            </w:r>
            <w:r>
              <w:rPr>
                <w:rFonts w:hint="eastAsia"/>
                <w:b/>
                <w:bCs/>
                <w:color w:val="000000"/>
                <w:lang w:eastAsia="zh-CN"/>
              </w:rPr>
              <w:t>项目（一期）</w:t>
            </w:r>
            <w:r>
              <w:rPr>
                <w:b/>
                <w:bCs/>
                <w:color w:val="000000"/>
              </w:rPr>
              <w:t>污染物排放量汇总表</w:t>
            </w:r>
          </w:p>
          <w:tbl>
            <w:tblPr>
              <w:tblStyle w:val="85"/>
              <w:tblW w:w="802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62"/>
              <w:gridCol w:w="85"/>
              <w:gridCol w:w="677"/>
              <w:gridCol w:w="1266"/>
              <w:gridCol w:w="2295"/>
              <w:gridCol w:w="1139"/>
              <w:gridCol w:w="18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项目</w:t>
                  </w:r>
                </w:p>
              </w:tc>
              <w:tc>
                <w:tcPr>
                  <w:tcW w:w="1266" w:type="dxa"/>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产污工序</w:t>
                  </w:r>
                </w:p>
              </w:tc>
              <w:tc>
                <w:tcPr>
                  <w:tcW w:w="2295" w:type="dxa"/>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污染物</w:t>
                  </w:r>
                </w:p>
              </w:tc>
              <w:tc>
                <w:tcPr>
                  <w:tcW w:w="1139" w:type="dxa"/>
                  <w:tcBorders>
                    <w:right w:val="single" w:color="000000" w:sz="8" w:space="0"/>
                  </w:tcBorders>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排放量（t/a）</w:t>
                  </w:r>
                </w:p>
              </w:tc>
              <w:tc>
                <w:tcPr>
                  <w:tcW w:w="1802" w:type="dxa"/>
                  <w:tcBorders>
                    <w:left w:val="single" w:color="000000" w:sz="8" w:space="0"/>
                  </w:tcBorders>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847" w:type="dxa"/>
                  <w:gridSpan w:val="2"/>
                  <w:vMerge w:val="restart"/>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废气</w:t>
                  </w:r>
                </w:p>
              </w:tc>
              <w:tc>
                <w:tcPr>
                  <w:tcW w:w="677" w:type="dxa"/>
                  <w:vMerge w:val="restart"/>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有组织</w:t>
                  </w:r>
                </w:p>
              </w:tc>
              <w:tc>
                <w:tcPr>
                  <w:tcW w:w="1266" w:type="dxa"/>
                  <w:vMerge w:val="restart"/>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eastAsia" w:ascii="Times New Roman" w:hAnsi="Times New Roman" w:cs="Times New Roman"/>
                      <w:kern w:val="13"/>
                      <w:position w:val="6"/>
                      <w:sz w:val="18"/>
                      <w:szCs w:val="18"/>
                      <w:lang w:eastAsia="zh-CN"/>
                    </w:rPr>
                    <w:t>搅拌、涂胶、烘干、固化、切割、注塑</w:t>
                  </w:r>
                </w:p>
              </w:tc>
              <w:tc>
                <w:tcPr>
                  <w:tcW w:w="2295" w:type="dxa"/>
                  <w:vAlign w:val="center"/>
                </w:tcPr>
                <w:p>
                  <w:pPr>
                    <w:keepNext w:val="0"/>
                    <w:keepLines w:val="0"/>
                    <w:widowControl/>
                    <w:suppressLineNumbers w:val="0"/>
                    <w:jc w:val="center"/>
                    <w:textAlignment w:val="center"/>
                    <w:rPr>
                      <w:rFonts w:hint="eastAsia" w:ascii="Times New Roman" w:hAnsi="Times New Roman" w:eastAsia="宋体" w:cs="Times New Roman"/>
                      <w:kern w:val="13"/>
                      <w:position w:val="6"/>
                      <w:sz w:val="18"/>
                      <w:szCs w:val="18"/>
                      <w:lang w:eastAsia="zh-CN"/>
                    </w:rPr>
                  </w:pPr>
                  <w:r>
                    <w:rPr>
                      <w:rFonts w:hint="eastAsia" w:ascii="Times New Roman" w:hAnsi="Times New Roman" w:cs="Times New Roman"/>
                      <w:kern w:val="13"/>
                      <w:position w:val="6"/>
                      <w:sz w:val="18"/>
                      <w:szCs w:val="18"/>
                      <w:lang w:eastAsia="zh-CN"/>
                    </w:rPr>
                    <w:t>甲醛</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29</w:t>
                  </w:r>
                </w:p>
              </w:tc>
              <w:tc>
                <w:tcPr>
                  <w:tcW w:w="1802" w:type="dxa"/>
                  <w:vMerge w:val="restart"/>
                  <w:tcBorders>
                    <w:left w:val="single" w:color="000000" w:sz="8" w:space="0"/>
                  </w:tcBorders>
                  <w:vAlign w:val="center"/>
                </w:tcPr>
                <w:p>
                  <w:pPr>
                    <w:jc w:val="center"/>
                    <w:textAlignment w:val="baseline"/>
                    <w:rPr>
                      <w:rFonts w:hint="default" w:ascii="Times New Roman" w:hAnsi="Times New Roman" w:cs="Times New Roman"/>
                      <w:sz w:val="18"/>
                      <w:szCs w:val="18"/>
                    </w:rPr>
                  </w:pPr>
                  <w:r>
                    <w:rPr>
                      <w:rFonts w:hint="eastAsia" w:cs="Times New Roman"/>
                      <w:sz w:val="18"/>
                      <w:szCs w:val="18"/>
                      <w:lang w:eastAsia="zh-CN"/>
                    </w:rPr>
                    <w:t>一期</w:t>
                  </w:r>
                  <w:r>
                    <w:rPr>
                      <w:rFonts w:hint="default" w:ascii="Times New Roman" w:hAnsi="Times New Roman" w:cs="Times New Roman"/>
                      <w:sz w:val="18"/>
                      <w:szCs w:val="18"/>
                    </w:rPr>
                    <w:t>全厂</w:t>
                  </w:r>
                  <w:r>
                    <w:rPr>
                      <w:rFonts w:hint="eastAsia" w:cs="Times New Roman"/>
                      <w:sz w:val="18"/>
                      <w:szCs w:val="18"/>
                      <w:lang w:eastAsia="zh-CN"/>
                    </w:rPr>
                    <w:t>甲醛</w:t>
                  </w:r>
                  <w:r>
                    <w:rPr>
                      <w:rFonts w:hint="default" w:ascii="Times New Roman" w:hAnsi="Times New Roman" w:cs="Times New Roman"/>
                      <w:sz w:val="18"/>
                      <w:szCs w:val="18"/>
                    </w:rPr>
                    <w:t>排放量0.</w:t>
                  </w:r>
                  <w:r>
                    <w:rPr>
                      <w:rFonts w:hint="eastAsia" w:cs="Times New Roman"/>
                      <w:sz w:val="18"/>
                      <w:szCs w:val="18"/>
                      <w:lang w:val="en-US" w:eastAsia="zh-CN"/>
                    </w:rPr>
                    <w:t>038</w:t>
                  </w:r>
                  <w:r>
                    <w:rPr>
                      <w:rFonts w:hint="default" w:ascii="Times New Roman" w:hAnsi="Times New Roman" w:cs="Times New Roman"/>
                      <w:sz w:val="18"/>
                      <w:szCs w:val="18"/>
                    </w:rPr>
                    <w:t>t/a，</w:t>
                  </w:r>
                  <w:r>
                    <w:rPr>
                      <w:rFonts w:hint="eastAsia" w:cs="Times New Roman"/>
                      <w:sz w:val="18"/>
                      <w:szCs w:val="18"/>
                      <w:lang w:eastAsia="zh-CN"/>
                    </w:rPr>
                    <w:t>苯酚</w:t>
                  </w:r>
                  <w:r>
                    <w:rPr>
                      <w:rFonts w:hint="default" w:ascii="Times New Roman" w:hAnsi="Times New Roman" w:cs="Times New Roman"/>
                      <w:sz w:val="18"/>
                      <w:szCs w:val="18"/>
                      <w:lang w:eastAsia="zh-CN"/>
                    </w:rPr>
                    <w:t>排放量</w:t>
                  </w:r>
                  <w:r>
                    <w:rPr>
                      <w:rFonts w:hint="default" w:ascii="Times New Roman" w:hAnsi="Times New Roman" w:cs="Times New Roman"/>
                      <w:sz w:val="18"/>
                      <w:szCs w:val="18"/>
                      <w:lang w:val="en-US" w:eastAsia="zh-CN"/>
                    </w:rPr>
                    <w:t>0.0</w:t>
                  </w:r>
                  <w:r>
                    <w:rPr>
                      <w:rFonts w:hint="eastAsia" w:cs="Times New Roman"/>
                      <w:sz w:val="18"/>
                      <w:szCs w:val="18"/>
                      <w:lang w:val="en-US" w:eastAsia="zh-CN"/>
                    </w:rPr>
                    <w:t>42</w:t>
                  </w:r>
                  <w:r>
                    <w:rPr>
                      <w:rFonts w:hint="default" w:ascii="Times New Roman" w:hAnsi="Times New Roman" w:cs="Times New Roman"/>
                      <w:sz w:val="18"/>
                      <w:szCs w:val="18"/>
                    </w:rPr>
                    <w:t>t/a</w:t>
                  </w:r>
                  <w:r>
                    <w:rPr>
                      <w:rFonts w:hint="default" w:ascii="Times New Roman" w:hAnsi="Times New Roman" w:cs="Times New Roman"/>
                      <w:sz w:val="18"/>
                      <w:szCs w:val="18"/>
                      <w:lang w:eastAsia="zh-CN"/>
                    </w:rPr>
                    <w:t>，</w:t>
                  </w:r>
                  <w:r>
                    <w:rPr>
                      <w:rFonts w:hint="default" w:ascii="Times New Roman" w:hAnsi="Times New Roman" w:cs="Times New Roman"/>
                      <w:sz w:val="18"/>
                      <w:szCs w:val="18"/>
                    </w:rPr>
                    <w:t>VOCs排放量0.</w:t>
                  </w:r>
                  <w:r>
                    <w:rPr>
                      <w:rFonts w:hint="eastAsia" w:cs="Times New Roman"/>
                      <w:sz w:val="18"/>
                      <w:szCs w:val="18"/>
                      <w:lang w:val="en-US" w:eastAsia="zh-CN"/>
                    </w:rPr>
                    <w:t>205</w:t>
                  </w:r>
                  <w:r>
                    <w:rPr>
                      <w:rFonts w:hint="default" w:ascii="Times New Roman" w:hAnsi="Times New Roman" w:cs="Times New Roman"/>
                      <w:sz w:val="18"/>
                      <w:szCs w:val="18"/>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95" w:type="dxa"/>
                  <w:vAlign w:val="center"/>
                </w:tcPr>
                <w:p>
                  <w:pPr>
                    <w:keepNext w:val="0"/>
                    <w:keepLines w:val="0"/>
                    <w:widowControl/>
                    <w:suppressLineNumbers w:val="0"/>
                    <w:jc w:val="center"/>
                    <w:textAlignment w:val="center"/>
                    <w:rPr>
                      <w:rFonts w:hint="eastAsia" w:ascii="Times New Roman" w:hAnsi="Times New Roman" w:eastAsia="宋体" w:cs="Times New Roman"/>
                      <w:kern w:val="13"/>
                      <w:position w:val="6"/>
                      <w:sz w:val="18"/>
                      <w:szCs w:val="18"/>
                      <w:lang w:eastAsia="zh-CN"/>
                    </w:rPr>
                  </w:pPr>
                  <w:r>
                    <w:rPr>
                      <w:rFonts w:hint="eastAsia" w:ascii="Times New Roman" w:hAnsi="Times New Roman" w:cs="Times New Roman"/>
                      <w:kern w:val="13"/>
                      <w:position w:val="6"/>
                      <w:sz w:val="18"/>
                      <w:szCs w:val="18"/>
                      <w:lang w:eastAsia="zh-CN"/>
                    </w:rPr>
                    <w:t>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2</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95"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default" w:ascii="Times New Roman" w:hAnsi="Times New Roman" w:eastAsia="宋体" w:cs="Times New Roman"/>
                      <w:i w:val="0"/>
                      <w:iCs w:val="0"/>
                      <w:color w:val="000000"/>
                      <w:kern w:val="0"/>
                      <w:sz w:val="18"/>
                      <w:szCs w:val="18"/>
                      <w:u w:val="none"/>
                      <w:lang w:val="en-US" w:eastAsia="zh-CN" w:bidi="ar"/>
                    </w:rPr>
                    <w:t>VOCs</w:t>
                  </w:r>
                  <w:r>
                    <w:rPr>
                      <w:rFonts w:hint="eastAsia" w:ascii="Times New Roman" w:hAnsi="Times New Roman" w:cs="Times New Roman"/>
                      <w:i w:val="0"/>
                      <w:iCs w:val="0"/>
                      <w:color w:val="000000"/>
                      <w:kern w:val="0"/>
                      <w:sz w:val="18"/>
                      <w:szCs w:val="18"/>
                      <w:u w:val="none"/>
                      <w:lang w:val="en-US" w:eastAsia="zh-CN" w:bidi="ar"/>
                    </w:rPr>
                    <w:t>（含甲醛、苯酚）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156</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0"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restart"/>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无组织</w:t>
                  </w:r>
                </w:p>
              </w:tc>
              <w:tc>
                <w:tcPr>
                  <w:tcW w:w="1266" w:type="dxa"/>
                  <w:vMerge w:val="restart"/>
                  <w:vAlign w:val="center"/>
                </w:tcPr>
                <w:p>
                  <w:pPr>
                    <w:jc w:val="center"/>
                    <w:textAlignment w:val="baseline"/>
                    <w:rPr>
                      <w:rFonts w:hint="default" w:ascii="Times New Roman" w:hAnsi="Times New Roman" w:cs="Times New Roman"/>
                      <w:kern w:val="13"/>
                      <w:position w:val="6"/>
                      <w:sz w:val="18"/>
                      <w:szCs w:val="18"/>
                    </w:rPr>
                  </w:pPr>
                  <w:r>
                    <w:rPr>
                      <w:rFonts w:hint="eastAsia" w:ascii="Times New Roman" w:hAnsi="Times New Roman" w:cs="Times New Roman"/>
                      <w:kern w:val="13"/>
                      <w:position w:val="6"/>
                      <w:sz w:val="18"/>
                      <w:szCs w:val="18"/>
                      <w:lang w:eastAsia="zh-CN"/>
                    </w:rPr>
                    <w:t>集气罩未收集</w:t>
                  </w:r>
                </w:p>
              </w:tc>
              <w:tc>
                <w:tcPr>
                  <w:tcW w:w="2295"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eastAsia" w:ascii="Times New Roman" w:hAnsi="Times New Roman" w:cs="Times New Roman"/>
                      <w:kern w:val="13"/>
                      <w:position w:val="6"/>
                      <w:sz w:val="18"/>
                      <w:szCs w:val="18"/>
                      <w:lang w:eastAsia="zh-CN"/>
                    </w:rPr>
                    <w:t>甲醛</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09</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95"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eastAsia" w:ascii="Times New Roman" w:hAnsi="Times New Roman" w:cs="Times New Roman"/>
                      <w:kern w:val="13"/>
                      <w:position w:val="6"/>
                      <w:sz w:val="18"/>
                      <w:szCs w:val="18"/>
                      <w:lang w:eastAsia="zh-CN"/>
                    </w:rPr>
                    <w:t>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.01</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95"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default" w:ascii="Times New Roman" w:hAnsi="Times New Roman" w:eastAsia="宋体" w:cs="Times New Roman"/>
                      <w:i w:val="0"/>
                      <w:iCs w:val="0"/>
                      <w:color w:val="000000"/>
                      <w:kern w:val="0"/>
                      <w:sz w:val="18"/>
                      <w:szCs w:val="18"/>
                      <w:u w:val="none"/>
                      <w:lang w:val="en-US" w:eastAsia="zh-CN" w:bidi="ar"/>
                    </w:rPr>
                    <w:t>VOCs</w:t>
                  </w:r>
                  <w:r>
                    <w:rPr>
                      <w:rFonts w:hint="eastAsia" w:ascii="Times New Roman" w:hAnsi="Times New Roman" w:cs="Times New Roman"/>
                      <w:i w:val="0"/>
                      <w:iCs w:val="0"/>
                      <w:color w:val="000000"/>
                      <w:kern w:val="0"/>
                      <w:sz w:val="18"/>
                      <w:szCs w:val="18"/>
                      <w:u w:val="none"/>
                      <w:lang w:val="en-US" w:eastAsia="zh-CN" w:bidi="ar"/>
                    </w:rPr>
                    <w:t>（含甲醛、苯酚）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49</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Merge w:val="restart"/>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废水</w:t>
                  </w:r>
                </w:p>
              </w:tc>
              <w:tc>
                <w:tcPr>
                  <w:tcW w:w="1266" w:type="dxa"/>
                  <w:vMerge w:val="restart"/>
                  <w:vAlign w:val="center"/>
                </w:tcPr>
                <w:p>
                  <w:pPr>
                    <w:jc w:val="center"/>
                    <w:textAlignment w:val="baseline"/>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kern w:val="13"/>
                      <w:position w:val="6"/>
                      <w:sz w:val="18"/>
                      <w:szCs w:val="18"/>
                      <w:highlight w:val="none"/>
                    </w:rPr>
                    <w:t>生活污水（</w:t>
                  </w:r>
                  <w:r>
                    <w:rPr>
                      <w:rFonts w:hint="eastAsia" w:ascii="Times New Roman" w:hAnsi="Times New Roman" w:cs="Times New Roman"/>
                      <w:kern w:val="13"/>
                      <w:position w:val="6"/>
                      <w:sz w:val="18"/>
                      <w:szCs w:val="18"/>
                      <w:highlight w:val="none"/>
                      <w:lang w:val="en-US" w:eastAsia="zh-CN"/>
                    </w:rPr>
                    <w:t>182.4</w:t>
                  </w:r>
                  <w:r>
                    <w:rPr>
                      <w:rFonts w:hint="default" w:ascii="Times New Roman" w:hAnsi="Times New Roman" w:cs="Times New Roman"/>
                      <w:kern w:val="13"/>
                      <w:position w:val="6"/>
                      <w:sz w:val="18"/>
                      <w:szCs w:val="18"/>
                      <w:highlight w:val="none"/>
                    </w:rPr>
                    <w:t>m</w:t>
                  </w:r>
                  <w:r>
                    <w:rPr>
                      <w:rFonts w:hint="default" w:ascii="Times New Roman" w:hAnsi="Times New Roman" w:cs="Times New Roman"/>
                      <w:kern w:val="13"/>
                      <w:position w:val="6"/>
                      <w:sz w:val="18"/>
                      <w:szCs w:val="18"/>
                      <w:highlight w:val="none"/>
                      <w:vertAlign w:val="superscript"/>
                    </w:rPr>
                    <w:t>3</w:t>
                  </w:r>
                  <w:r>
                    <w:rPr>
                      <w:rFonts w:hint="default" w:ascii="Times New Roman" w:hAnsi="Times New Roman" w:cs="Times New Roman"/>
                      <w:kern w:val="13"/>
                      <w:position w:val="6"/>
                      <w:sz w:val="18"/>
                      <w:szCs w:val="18"/>
                      <w:highlight w:val="none"/>
                    </w:rPr>
                    <w:t>/a）</w:t>
                  </w:r>
                </w:p>
              </w:tc>
              <w:tc>
                <w:tcPr>
                  <w:tcW w:w="2295" w:type="dxa"/>
                  <w:vAlign w:val="center"/>
                </w:tcPr>
                <w:p>
                  <w:pPr>
                    <w:jc w:val="center"/>
                    <w:textAlignment w:val="baseline"/>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rPr>
                    <w:t>COD</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0.</w:t>
                  </w:r>
                  <w:r>
                    <w:rPr>
                      <w:rFonts w:hint="eastAsia" w:ascii="Times New Roman" w:hAnsi="Times New Roman" w:cs="Times New Roman"/>
                      <w:sz w:val="18"/>
                      <w:szCs w:val="18"/>
                      <w:highlight w:val="none"/>
                      <w:lang w:val="en-US" w:eastAsia="zh-CN"/>
                    </w:rPr>
                    <w:t>0099</w:t>
                  </w:r>
                  <w:r>
                    <w:rPr>
                      <w:rFonts w:hint="eastAsia" w:cs="Times New Roman"/>
                      <w:sz w:val="18"/>
                      <w:szCs w:val="18"/>
                      <w:highlight w:val="none"/>
                      <w:lang w:val="en-US" w:eastAsia="zh-CN"/>
                    </w:rPr>
                    <w:t>5</w:t>
                  </w:r>
                </w:p>
              </w:tc>
              <w:tc>
                <w:tcPr>
                  <w:tcW w:w="1802" w:type="dxa"/>
                  <w:vMerge w:val="restart"/>
                  <w:tcBorders>
                    <w:left w:val="single" w:color="000000" w:sz="8" w:space="0"/>
                  </w:tcBorders>
                  <w:vAlign w:val="center"/>
                </w:tcPr>
                <w:p>
                  <w:pPr>
                    <w:jc w:val="center"/>
                    <w:textAlignment w:val="baseline"/>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由化粪池</w:t>
                  </w:r>
                  <w:r>
                    <w:rPr>
                      <w:rFonts w:hint="default" w:ascii="Times New Roman" w:hAnsi="Times New Roman" w:cs="Times New Roman"/>
                      <w:sz w:val="18"/>
                      <w:szCs w:val="18"/>
                      <w:highlight w:val="none"/>
                      <w:lang w:eastAsia="zh-CN"/>
                    </w:rPr>
                    <w:t>暂存</w:t>
                  </w:r>
                  <w:r>
                    <w:rPr>
                      <w:rFonts w:hint="default" w:ascii="Times New Roman" w:hAnsi="Times New Roman" w:cs="Times New Roman"/>
                      <w:sz w:val="18"/>
                      <w:szCs w:val="18"/>
                      <w:highlight w:val="none"/>
                    </w:rPr>
                    <w:t>后经污水处理管网排入淄博</w:t>
                  </w:r>
                  <w:r>
                    <w:rPr>
                      <w:rFonts w:hint="default" w:ascii="Times New Roman" w:hAnsi="Times New Roman" w:cs="Times New Roman"/>
                      <w:sz w:val="18"/>
                      <w:szCs w:val="18"/>
                      <w:highlight w:val="none"/>
                      <w:lang w:eastAsia="zh-CN"/>
                    </w:rPr>
                    <w:t>市</w:t>
                  </w:r>
                  <w:r>
                    <w:rPr>
                      <w:rFonts w:hint="default" w:ascii="Times New Roman" w:hAnsi="Times New Roman" w:cs="Times New Roman"/>
                      <w:sz w:val="18"/>
                      <w:szCs w:val="18"/>
                      <w:highlight w:val="none"/>
                    </w:rPr>
                    <w:t>利民净化水有限公司进一步处理。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Merge w:val="continue"/>
                  <w:vAlign w:val="center"/>
                </w:tcPr>
                <w:p>
                  <w:pPr>
                    <w:jc w:val="center"/>
                    <w:textAlignment w:val="baseline"/>
                    <w:rPr>
                      <w:rFonts w:hint="default" w:ascii="Times New Roman" w:hAnsi="Times New Roman" w:cs="Times New Roman"/>
                      <w:kern w:val="13"/>
                      <w:position w:val="6"/>
                      <w:sz w:val="18"/>
                      <w:szCs w:val="18"/>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highlight w:val="none"/>
                    </w:rPr>
                  </w:pPr>
                </w:p>
              </w:tc>
              <w:tc>
                <w:tcPr>
                  <w:tcW w:w="2295" w:type="dxa"/>
                  <w:vAlign w:val="center"/>
                </w:tcPr>
                <w:p>
                  <w:pPr>
                    <w:jc w:val="center"/>
                    <w:textAlignment w:val="baseline"/>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氨氮</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0.00</w:t>
                  </w:r>
                  <w:r>
                    <w:rPr>
                      <w:rFonts w:hint="eastAsia" w:ascii="Times New Roman" w:hAnsi="Times New Roman" w:cs="Times New Roman"/>
                      <w:sz w:val="18"/>
                      <w:szCs w:val="18"/>
                      <w:highlight w:val="none"/>
                      <w:lang w:val="en-US" w:eastAsia="zh-CN"/>
                    </w:rPr>
                    <w:t>03</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restart"/>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固废</w:t>
                  </w:r>
                </w:p>
              </w:tc>
              <w:tc>
                <w:tcPr>
                  <w:tcW w:w="762" w:type="dxa"/>
                  <w:gridSpan w:val="2"/>
                  <w:vMerge w:val="restart"/>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一般工业固废</w:t>
                  </w:r>
                </w:p>
              </w:tc>
              <w:tc>
                <w:tcPr>
                  <w:tcW w:w="1266" w:type="dxa"/>
                  <w:vMerge w:val="restart"/>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生产过程</w:t>
                  </w:r>
                </w:p>
              </w:tc>
              <w:tc>
                <w:tcPr>
                  <w:tcW w:w="2295"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eastAsia"/>
                      <w:sz w:val="18"/>
                      <w:szCs w:val="18"/>
                      <w:lang w:eastAsia="zh-CN"/>
                    </w:rPr>
                    <w:t>涤纶排管不合格品及下脚料</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eastAsia" w:ascii="Times New Roman" w:hAnsi="Times New Roman" w:cs="Times New Roman"/>
                      <w:kern w:val="13"/>
                      <w:position w:val="6"/>
                      <w:sz w:val="18"/>
                      <w:szCs w:val="18"/>
                      <w:lang w:val="en-US" w:eastAsia="zh-CN"/>
                    </w:rPr>
                    <w:t>2</w:t>
                  </w:r>
                </w:p>
              </w:tc>
              <w:tc>
                <w:tcPr>
                  <w:tcW w:w="1802" w:type="dxa"/>
                  <w:vMerge w:val="restart"/>
                  <w:tcBorders>
                    <w:left w:val="single" w:color="000000" w:sz="8" w:space="0"/>
                  </w:tcBorders>
                  <w:vAlign w:val="center"/>
                </w:tcPr>
                <w:p>
                  <w:pPr>
                    <w:jc w:val="center"/>
                    <w:textAlignment w:val="baseline"/>
                    <w:rPr>
                      <w:rFonts w:hint="default" w:ascii="Times New Roman" w:hAnsi="Times New Roman" w:cs="Times New Roman"/>
                      <w:kern w:val="13"/>
                      <w:position w:val="6"/>
                      <w:sz w:val="18"/>
                      <w:szCs w:val="18"/>
                    </w:rPr>
                  </w:pPr>
                  <w:r>
                    <w:rPr>
                      <w:rFonts w:hint="eastAsia"/>
                      <w:sz w:val="18"/>
                      <w:szCs w:val="18"/>
                      <w:lang w:val="en-US" w:eastAsia="zh-CN"/>
                    </w:rPr>
                    <w:t>收集后外卖处理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Merge w:val="continue"/>
                  <w:vAlign w:val="center"/>
                </w:tcPr>
                <w:p>
                  <w:pPr>
                    <w:jc w:val="center"/>
                    <w:textAlignment w:val="baseline"/>
                    <w:rPr>
                      <w:rFonts w:hint="default" w:ascii="Times New Roman" w:hAnsi="Times New Roman" w:cs="Times New Roman"/>
                      <w:kern w:val="13"/>
                      <w:position w:val="6"/>
                      <w:sz w:val="18"/>
                      <w:szCs w:val="18"/>
                      <w:lang w:eastAsia="zh-CN"/>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95" w:type="dxa"/>
                  <w:vAlign w:val="center"/>
                </w:tcPr>
                <w:p>
                  <w:pPr>
                    <w:jc w:val="center"/>
                    <w:textAlignment w:val="baseline"/>
                    <w:rPr>
                      <w:rFonts w:hint="eastAsia"/>
                      <w:sz w:val="18"/>
                      <w:szCs w:val="18"/>
                      <w:lang w:eastAsia="zh-CN"/>
                    </w:rPr>
                  </w:pPr>
                  <w:r>
                    <w:rPr>
                      <w:rFonts w:hint="eastAsia"/>
                      <w:sz w:val="18"/>
                      <w:szCs w:val="18"/>
                      <w:lang w:eastAsia="zh-CN"/>
                    </w:rPr>
                    <w:t>废原料包装袋</w:t>
                  </w:r>
                </w:p>
              </w:tc>
              <w:tc>
                <w:tcPr>
                  <w:tcW w:w="1139" w:type="dxa"/>
                  <w:tcBorders>
                    <w:right w:val="single" w:color="000000" w:sz="8" w:space="0"/>
                  </w:tcBorders>
                  <w:vAlign w:val="center"/>
                </w:tcPr>
                <w:p>
                  <w:pPr>
                    <w:jc w:val="center"/>
                    <w:textAlignment w:val="baseline"/>
                    <w:rPr>
                      <w:rFonts w:hint="default" w:ascii="Times New Roman" w:hAnsi="Times New Roman" w:cs="Times New Roman"/>
                      <w:kern w:val="13"/>
                      <w:position w:val="6"/>
                      <w:sz w:val="18"/>
                      <w:szCs w:val="18"/>
                      <w:lang w:val="en-US" w:eastAsia="zh-CN"/>
                    </w:rPr>
                  </w:pPr>
                  <w:r>
                    <w:rPr>
                      <w:rFonts w:hint="eastAsia" w:cs="Times New Roman"/>
                      <w:kern w:val="13"/>
                      <w:position w:val="6"/>
                      <w:sz w:val="18"/>
                      <w:szCs w:val="18"/>
                      <w:lang w:val="en-US" w:eastAsia="zh-CN"/>
                    </w:rPr>
                    <w:t>0.1</w:t>
                  </w:r>
                </w:p>
              </w:tc>
              <w:tc>
                <w:tcPr>
                  <w:tcW w:w="1802" w:type="dxa"/>
                  <w:vMerge w:val="continue"/>
                  <w:tcBorders>
                    <w:left w:val="single" w:color="000000" w:sz="8" w:space="0"/>
                  </w:tcBorders>
                  <w:vAlign w:val="center"/>
                </w:tcPr>
                <w:p>
                  <w:pPr>
                    <w:jc w:val="center"/>
                    <w:textAlignment w:val="baseline"/>
                    <w:rPr>
                      <w:rFonts w:hint="eastAsia"/>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Merge w:val="continue"/>
                  <w:vAlign w:val="center"/>
                </w:tcPr>
                <w:p>
                  <w:pPr>
                    <w:jc w:val="center"/>
                    <w:textAlignment w:val="baseline"/>
                    <w:rPr>
                      <w:rFonts w:hint="default" w:ascii="Times New Roman" w:hAnsi="Times New Roman" w:cs="Times New Roman"/>
                      <w:kern w:val="13"/>
                      <w:position w:val="6"/>
                      <w:sz w:val="18"/>
                      <w:szCs w:val="18"/>
                    </w:rPr>
                  </w:pPr>
                </w:p>
              </w:tc>
              <w:tc>
                <w:tcPr>
                  <w:tcW w:w="1266"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95" w:type="dxa"/>
                  <w:vAlign w:val="center"/>
                </w:tcPr>
                <w:p>
                  <w:pPr>
                    <w:numPr>
                      <w:ilvl w:val="0"/>
                      <w:numId w:val="0"/>
                    </w:numPr>
                    <w:spacing w:line="360" w:lineRule="auto"/>
                    <w:jc w:val="center"/>
                    <w:rPr>
                      <w:rFonts w:hint="default" w:ascii="Times New Roman" w:hAnsi="Times New Roman" w:eastAsia="宋体" w:cs="Times New Roman"/>
                      <w:kern w:val="13"/>
                      <w:position w:val="6"/>
                      <w:sz w:val="18"/>
                      <w:szCs w:val="18"/>
                      <w:lang w:eastAsia="zh-CN"/>
                    </w:rPr>
                  </w:pPr>
                  <w:r>
                    <w:rPr>
                      <w:rFonts w:hint="eastAsia"/>
                      <w:sz w:val="18"/>
                      <w:szCs w:val="18"/>
                      <w:lang w:eastAsia="zh-CN"/>
                    </w:rPr>
                    <w:t>注塑不合格品</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eastAsia" w:ascii="Times New Roman" w:hAnsi="Times New Roman" w:cs="Times New Roman"/>
                      <w:kern w:val="13"/>
                      <w:position w:val="6"/>
                      <w:sz w:val="18"/>
                      <w:szCs w:val="18"/>
                      <w:lang w:val="en-US" w:eastAsia="zh-CN"/>
                    </w:rPr>
                    <w:t>0.025</w:t>
                  </w:r>
                </w:p>
              </w:tc>
              <w:tc>
                <w:tcPr>
                  <w:tcW w:w="1802" w:type="dxa"/>
                  <w:tcBorders>
                    <w:left w:val="single" w:color="000000" w:sz="8" w:space="0"/>
                  </w:tcBorders>
                  <w:vAlign w:val="center"/>
                </w:tcPr>
                <w:p>
                  <w:pPr>
                    <w:jc w:val="center"/>
                    <w:textAlignment w:val="baseline"/>
                    <w:rPr>
                      <w:rFonts w:hint="default" w:ascii="Times New Roman" w:hAnsi="Times New Roman" w:cs="Times New Roman"/>
                      <w:kern w:val="13"/>
                      <w:position w:val="6"/>
                      <w:sz w:val="18"/>
                      <w:szCs w:val="18"/>
                    </w:rPr>
                  </w:pPr>
                  <w:r>
                    <w:rPr>
                      <w:rFonts w:hint="eastAsia"/>
                      <w:sz w:val="18"/>
                      <w:szCs w:val="18"/>
                      <w:lang w:val="en-US" w:eastAsia="zh-CN"/>
                    </w:rPr>
                    <w:t>收集后外协破碎，回用于生产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危险废物</w:t>
                  </w:r>
                </w:p>
              </w:tc>
              <w:tc>
                <w:tcPr>
                  <w:tcW w:w="1266"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废气处理</w:t>
                  </w:r>
                </w:p>
              </w:tc>
              <w:tc>
                <w:tcPr>
                  <w:tcW w:w="2295" w:type="dxa"/>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default" w:ascii="Times New Roman" w:hAnsi="Times New Roman" w:cs="Times New Roman"/>
                      <w:sz w:val="18"/>
                      <w:szCs w:val="18"/>
                    </w:rPr>
                    <w:t>废</w:t>
                  </w:r>
                  <w:r>
                    <w:rPr>
                      <w:rFonts w:hint="eastAsia" w:ascii="Times New Roman" w:hAnsi="Times New Roman" w:cs="Times New Roman"/>
                      <w:sz w:val="18"/>
                      <w:szCs w:val="18"/>
                      <w:lang w:val="en-US" w:eastAsia="zh-CN"/>
                    </w:rPr>
                    <w:t>UV灯管</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default" w:ascii="Times New Roman" w:hAnsi="Times New Roman" w:cs="Times New Roman"/>
                      <w:kern w:val="13"/>
                      <w:position w:val="6"/>
                      <w:sz w:val="18"/>
                      <w:szCs w:val="18"/>
                      <w:lang w:val="en-US" w:eastAsia="zh-CN"/>
                    </w:rPr>
                    <w:t>0.</w:t>
                  </w:r>
                  <w:r>
                    <w:rPr>
                      <w:rFonts w:hint="eastAsia" w:ascii="Times New Roman" w:hAnsi="Times New Roman" w:cs="Times New Roman"/>
                      <w:kern w:val="13"/>
                      <w:position w:val="6"/>
                      <w:sz w:val="18"/>
                      <w:szCs w:val="18"/>
                      <w:lang w:val="en-US" w:eastAsia="zh-CN"/>
                    </w:rPr>
                    <w:t>025</w:t>
                  </w:r>
                </w:p>
              </w:tc>
              <w:tc>
                <w:tcPr>
                  <w:tcW w:w="1802" w:type="dxa"/>
                  <w:tcBorders>
                    <w:left w:val="single" w:color="000000" w:sz="8" w:space="0"/>
                  </w:tcBorders>
                  <w:vAlign w:val="center"/>
                </w:tcPr>
                <w:p>
                  <w:pPr>
                    <w:jc w:val="center"/>
                    <w:textAlignment w:val="baseline"/>
                    <w:rPr>
                      <w:rFonts w:hint="default" w:ascii="Times New Roman" w:hAnsi="Times New Roman" w:cs="Times New Roman"/>
                      <w:sz w:val="18"/>
                      <w:szCs w:val="18"/>
                    </w:rPr>
                  </w:pPr>
                  <w:r>
                    <w:rPr>
                      <w:rFonts w:hint="default" w:ascii="Times New Roman" w:hAnsi="Times New Roman" w:cs="Times New Roman"/>
                      <w:sz w:val="18"/>
                      <w:szCs w:val="18"/>
                    </w:rPr>
                    <w:t>委托危废处置资质单位定期处置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生活固废</w:t>
                  </w:r>
                </w:p>
              </w:tc>
              <w:tc>
                <w:tcPr>
                  <w:tcW w:w="1266"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职工生活</w:t>
                  </w:r>
                </w:p>
              </w:tc>
              <w:tc>
                <w:tcPr>
                  <w:tcW w:w="2295"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生活垃圾</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eastAsia" w:ascii="Times New Roman" w:hAnsi="Times New Roman" w:cs="Times New Roman"/>
                      <w:kern w:val="13"/>
                      <w:position w:val="6"/>
                      <w:sz w:val="18"/>
                      <w:szCs w:val="18"/>
                      <w:lang w:val="en-US" w:eastAsia="zh-CN"/>
                    </w:rPr>
                    <w:t>2.85</w:t>
                  </w:r>
                </w:p>
              </w:tc>
              <w:tc>
                <w:tcPr>
                  <w:tcW w:w="1802" w:type="dxa"/>
                  <w:tcBorders>
                    <w:left w:val="single" w:color="000000" w:sz="8" w:space="0"/>
                  </w:tcBorders>
                  <w:vAlign w:val="center"/>
                </w:tcPr>
                <w:p>
                  <w:pPr>
                    <w:jc w:val="center"/>
                    <w:textAlignment w:val="baseline"/>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环卫清运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噪声</w:t>
                  </w:r>
                </w:p>
              </w:tc>
              <w:tc>
                <w:tcPr>
                  <w:tcW w:w="1266"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设备运行</w:t>
                  </w:r>
                </w:p>
              </w:tc>
              <w:tc>
                <w:tcPr>
                  <w:tcW w:w="2295"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噪声</w:t>
                  </w:r>
                </w:p>
              </w:tc>
              <w:tc>
                <w:tcPr>
                  <w:tcW w:w="1139" w:type="dxa"/>
                  <w:tcBorders>
                    <w:right w:val="single" w:color="000000" w:sz="8"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802" w:type="dxa"/>
                  <w:tcBorders>
                    <w:left w:val="single" w:color="000000" w:sz="8" w:space="0"/>
                  </w:tcBorders>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昼间：≤60dB（A）</w:t>
                  </w:r>
                </w:p>
                <w:p>
                  <w:pPr>
                    <w:rPr>
                      <w:rFonts w:hint="default" w:ascii="Times New Roman" w:hAnsi="Times New Roman" w:cs="Times New Roman"/>
                      <w:sz w:val="18"/>
                      <w:szCs w:val="18"/>
                    </w:rPr>
                  </w:pPr>
                  <w:r>
                    <w:rPr>
                      <w:rFonts w:hint="default" w:ascii="Times New Roman" w:hAnsi="Times New Roman" w:cs="Times New Roman"/>
                      <w:sz w:val="18"/>
                      <w:szCs w:val="18"/>
                    </w:rPr>
                    <w:t>夜间：≤50dB（A）</w:t>
                  </w:r>
                </w:p>
              </w:tc>
            </w:tr>
          </w:tbl>
          <w:p>
            <w:pPr>
              <w:widowControl/>
              <w:spacing w:line="360" w:lineRule="auto"/>
              <w:ind w:firstLine="420" w:firstLineChars="200"/>
              <w:rPr>
                <w:rFonts w:hint="eastAsia" w:eastAsia="宋体"/>
                <w:lang w:eastAsia="zh-CN"/>
              </w:rPr>
            </w:pPr>
            <w:r>
              <w:rPr>
                <w:rFonts w:hint="eastAsia"/>
              </w:rPr>
              <w:t>四、</w:t>
            </w:r>
            <w:r>
              <w:rPr>
                <w:rFonts w:hint="eastAsia"/>
                <w:lang w:eastAsia="zh-CN"/>
              </w:rPr>
              <w:t>现有项目（二期）</w:t>
            </w:r>
            <w:r>
              <w:t>污染物产生及排放情况</w:t>
            </w:r>
          </w:p>
          <w:p>
            <w:pPr>
              <w:widowControl/>
              <w:spacing w:line="360" w:lineRule="auto"/>
              <w:ind w:firstLine="420" w:firstLineChars="200"/>
              <w:rPr>
                <w:rFonts w:hint="eastAsia"/>
                <w:bCs/>
                <w:color w:val="auto"/>
                <w:kern w:val="0"/>
                <w:sz w:val="21"/>
                <w:szCs w:val="21"/>
                <w:lang w:val="en-US" w:eastAsia="zh-CN"/>
              </w:rPr>
            </w:pPr>
            <w:r>
              <w:rPr>
                <w:rFonts w:hint="eastAsia"/>
                <w:bCs/>
                <w:color w:val="auto"/>
                <w:kern w:val="0"/>
                <w:sz w:val="21"/>
                <w:szCs w:val="21"/>
                <w:lang w:val="en-US" w:eastAsia="zh-CN"/>
              </w:rPr>
              <w:t>因车间场地问题，二期项目未安装。因二期项目原辅料用量级产品产能与一期项目完全一致，二期项目污染物产生及排放情况与一期项目也一致。则现有项目污染物排放情况见下表。</w:t>
            </w:r>
          </w:p>
          <w:p>
            <w:pPr>
              <w:pStyle w:val="2"/>
              <w:ind w:left="0" w:leftChars="0" w:firstLine="0" w:firstLineChars="0"/>
              <w:jc w:val="center"/>
              <w:rPr>
                <w:b/>
                <w:bCs/>
                <w:color w:val="000000"/>
              </w:rPr>
            </w:pPr>
            <w:r>
              <w:rPr>
                <w:b/>
                <w:bCs/>
                <w:color w:val="000000"/>
              </w:rPr>
              <w:t>表2-</w:t>
            </w:r>
            <w:r>
              <w:rPr>
                <w:rFonts w:hint="eastAsia"/>
                <w:b/>
                <w:bCs/>
                <w:color w:val="000000"/>
                <w:lang w:val="en-US" w:eastAsia="zh-CN"/>
              </w:rPr>
              <w:t>13</w:t>
            </w:r>
            <w:r>
              <w:rPr>
                <w:b/>
                <w:bCs/>
                <w:color w:val="000000"/>
              </w:rPr>
              <w:t xml:space="preserve">    现有</w:t>
            </w:r>
            <w:r>
              <w:rPr>
                <w:rFonts w:hint="eastAsia"/>
                <w:b/>
                <w:bCs/>
                <w:color w:val="000000"/>
                <w:lang w:eastAsia="zh-CN"/>
              </w:rPr>
              <w:t>项目（全厂）</w:t>
            </w:r>
            <w:r>
              <w:rPr>
                <w:b/>
                <w:bCs/>
                <w:color w:val="000000"/>
              </w:rPr>
              <w:t>污染物排放量汇总表</w:t>
            </w:r>
          </w:p>
          <w:tbl>
            <w:tblPr>
              <w:tblStyle w:val="85"/>
              <w:tblW w:w="802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62"/>
              <w:gridCol w:w="85"/>
              <w:gridCol w:w="677"/>
              <w:gridCol w:w="1283"/>
              <w:gridCol w:w="2278"/>
              <w:gridCol w:w="1139"/>
              <w:gridCol w:w="180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项目</w:t>
                  </w:r>
                </w:p>
              </w:tc>
              <w:tc>
                <w:tcPr>
                  <w:tcW w:w="1283" w:type="dxa"/>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产污工序</w:t>
                  </w:r>
                </w:p>
              </w:tc>
              <w:tc>
                <w:tcPr>
                  <w:tcW w:w="2278" w:type="dxa"/>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污染物</w:t>
                  </w:r>
                </w:p>
              </w:tc>
              <w:tc>
                <w:tcPr>
                  <w:tcW w:w="1139" w:type="dxa"/>
                  <w:tcBorders>
                    <w:right w:val="single" w:color="000000" w:sz="8" w:space="0"/>
                  </w:tcBorders>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排放量（t/a）</w:t>
                  </w:r>
                </w:p>
              </w:tc>
              <w:tc>
                <w:tcPr>
                  <w:tcW w:w="1802" w:type="dxa"/>
                  <w:tcBorders>
                    <w:left w:val="single" w:color="000000" w:sz="8" w:space="0"/>
                  </w:tcBorders>
                  <w:vAlign w:val="center"/>
                </w:tcPr>
                <w:p>
                  <w:pPr>
                    <w:snapToGrid w:val="0"/>
                    <w:jc w:val="center"/>
                    <w:textAlignment w:val="baseline"/>
                    <w:rPr>
                      <w:rFonts w:hint="default" w:ascii="Times New Roman" w:hAnsi="Times New Roman" w:cs="Times New Roman"/>
                      <w:b/>
                      <w:bCs/>
                      <w:kern w:val="13"/>
                      <w:position w:val="6"/>
                      <w:sz w:val="18"/>
                      <w:szCs w:val="18"/>
                    </w:rPr>
                  </w:pPr>
                  <w:r>
                    <w:rPr>
                      <w:rFonts w:hint="default" w:ascii="Times New Roman" w:hAnsi="Times New Roman" w:cs="Times New Roman"/>
                      <w:b/>
                      <w:bCs/>
                      <w:kern w:val="13"/>
                      <w:position w:val="6"/>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847" w:type="dxa"/>
                  <w:gridSpan w:val="2"/>
                  <w:vMerge w:val="restart"/>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废气</w:t>
                  </w:r>
                </w:p>
              </w:tc>
              <w:tc>
                <w:tcPr>
                  <w:tcW w:w="677" w:type="dxa"/>
                  <w:vMerge w:val="restart"/>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有组织</w:t>
                  </w:r>
                </w:p>
              </w:tc>
              <w:tc>
                <w:tcPr>
                  <w:tcW w:w="1283" w:type="dxa"/>
                  <w:vMerge w:val="restart"/>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eastAsia" w:ascii="Times New Roman" w:hAnsi="Times New Roman" w:cs="Times New Roman"/>
                      <w:kern w:val="13"/>
                      <w:position w:val="6"/>
                      <w:sz w:val="18"/>
                      <w:szCs w:val="18"/>
                      <w:lang w:eastAsia="zh-CN"/>
                    </w:rPr>
                    <w:t>搅拌、涂胶、烘干、固化、切割、注塑</w:t>
                  </w:r>
                </w:p>
              </w:tc>
              <w:tc>
                <w:tcPr>
                  <w:tcW w:w="2278" w:type="dxa"/>
                  <w:vAlign w:val="center"/>
                </w:tcPr>
                <w:p>
                  <w:pPr>
                    <w:keepNext w:val="0"/>
                    <w:keepLines w:val="0"/>
                    <w:widowControl/>
                    <w:suppressLineNumbers w:val="0"/>
                    <w:jc w:val="center"/>
                    <w:textAlignment w:val="center"/>
                    <w:rPr>
                      <w:rFonts w:hint="eastAsia" w:ascii="Times New Roman" w:hAnsi="Times New Roman" w:eastAsia="宋体" w:cs="Times New Roman"/>
                      <w:kern w:val="13"/>
                      <w:position w:val="6"/>
                      <w:sz w:val="18"/>
                      <w:szCs w:val="18"/>
                      <w:lang w:eastAsia="zh-CN"/>
                    </w:rPr>
                  </w:pPr>
                  <w:r>
                    <w:rPr>
                      <w:rFonts w:hint="eastAsia" w:ascii="Times New Roman" w:hAnsi="Times New Roman" w:cs="Times New Roman"/>
                      <w:kern w:val="13"/>
                      <w:position w:val="6"/>
                      <w:sz w:val="18"/>
                      <w:szCs w:val="18"/>
                      <w:lang w:eastAsia="zh-CN"/>
                    </w:rPr>
                    <w:t>甲醛</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58</w:t>
                  </w:r>
                </w:p>
              </w:tc>
              <w:tc>
                <w:tcPr>
                  <w:tcW w:w="1802" w:type="dxa"/>
                  <w:vMerge w:val="restart"/>
                  <w:tcBorders>
                    <w:left w:val="single" w:color="000000" w:sz="8" w:space="0"/>
                  </w:tcBorders>
                  <w:vAlign w:val="center"/>
                </w:tcPr>
                <w:p>
                  <w:pPr>
                    <w:jc w:val="center"/>
                    <w:textAlignment w:val="baseline"/>
                    <w:rPr>
                      <w:rFonts w:hint="default" w:ascii="Times New Roman" w:hAnsi="Times New Roman" w:cs="Times New Roman"/>
                      <w:sz w:val="18"/>
                      <w:szCs w:val="18"/>
                    </w:rPr>
                  </w:pPr>
                  <w:r>
                    <w:rPr>
                      <w:rFonts w:hint="default" w:ascii="Times New Roman" w:hAnsi="Times New Roman" w:cs="Times New Roman"/>
                      <w:sz w:val="18"/>
                      <w:szCs w:val="18"/>
                    </w:rPr>
                    <w:t>全厂</w:t>
                  </w:r>
                  <w:r>
                    <w:rPr>
                      <w:rFonts w:hint="eastAsia" w:cs="Times New Roman"/>
                      <w:sz w:val="18"/>
                      <w:szCs w:val="18"/>
                      <w:lang w:eastAsia="zh-CN"/>
                    </w:rPr>
                    <w:t>甲醛</w:t>
                  </w:r>
                  <w:r>
                    <w:rPr>
                      <w:rFonts w:hint="default" w:ascii="Times New Roman" w:hAnsi="Times New Roman" w:cs="Times New Roman"/>
                      <w:sz w:val="18"/>
                      <w:szCs w:val="18"/>
                    </w:rPr>
                    <w:t>排放量0.</w:t>
                  </w:r>
                  <w:r>
                    <w:rPr>
                      <w:rFonts w:hint="eastAsia" w:cs="Times New Roman"/>
                      <w:sz w:val="18"/>
                      <w:szCs w:val="18"/>
                      <w:lang w:val="en-US" w:eastAsia="zh-CN"/>
                    </w:rPr>
                    <w:t>076</w:t>
                  </w:r>
                  <w:r>
                    <w:rPr>
                      <w:rFonts w:hint="default" w:ascii="Times New Roman" w:hAnsi="Times New Roman" w:cs="Times New Roman"/>
                      <w:sz w:val="18"/>
                      <w:szCs w:val="18"/>
                    </w:rPr>
                    <w:t>t/a，</w:t>
                  </w:r>
                  <w:r>
                    <w:rPr>
                      <w:rFonts w:hint="eastAsia" w:cs="Times New Roman"/>
                      <w:sz w:val="18"/>
                      <w:szCs w:val="18"/>
                      <w:lang w:eastAsia="zh-CN"/>
                    </w:rPr>
                    <w:t>苯酚</w:t>
                  </w:r>
                  <w:r>
                    <w:rPr>
                      <w:rFonts w:hint="default" w:ascii="Times New Roman" w:hAnsi="Times New Roman" w:cs="Times New Roman"/>
                      <w:sz w:val="18"/>
                      <w:szCs w:val="18"/>
                      <w:lang w:eastAsia="zh-CN"/>
                    </w:rPr>
                    <w:t>排放量</w:t>
                  </w:r>
                  <w:r>
                    <w:rPr>
                      <w:rFonts w:hint="default" w:ascii="Times New Roman" w:hAnsi="Times New Roman" w:cs="Times New Roman"/>
                      <w:sz w:val="18"/>
                      <w:szCs w:val="18"/>
                      <w:lang w:val="en-US" w:eastAsia="zh-CN"/>
                    </w:rPr>
                    <w:t>0.08</w:t>
                  </w:r>
                  <w:r>
                    <w:rPr>
                      <w:rFonts w:hint="eastAsia" w:cs="Times New Roman"/>
                      <w:sz w:val="18"/>
                      <w:szCs w:val="18"/>
                      <w:lang w:val="en-US" w:eastAsia="zh-CN"/>
                    </w:rPr>
                    <w:t>4</w:t>
                  </w:r>
                  <w:r>
                    <w:rPr>
                      <w:rFonts w:hint="default" w:ascii="Times New Roman" w:hAnsi="Times New Roman" w:cs="Times New Roman"/>
                      <w:sz w:val="18"/>
                      <w:szCs w:val="18"/>
                    </w:rPr>
                    <w:t>t/a</w:t>
                  </w:r>
                  <w:r>
                    <w:rPr>
                      <w:rFonts w:hint="default" w:ascii="Times New Roman" w:hAnsi="Times New Roman" w:cs="Times New Roman"/>
                      <w:sz w:val="18"/>
                      <w:szCs w:val="18"/>
                      <w:lang w:eastAsia="zh-CN"/>
                    </w:rPr>
                    <w:t>，</w:t>
                  </w:r>
                  <w:r>
                    <w:rPr>
                      <w:rFonts w:hint="default" w:ascii="Times New Roman" w:hAnsi="Times New Roman" w:cs="Times New Roman"/>
                      <w:sz w:val="18"/>
                      <w:szCs w:val="18"/>
                    </w:rPr>
                    <w:t>VOCs排放量0.</w:t>
                  </w:r>
                  <w:r>
                    <w:rPr>
                      <w:rFonts w:hint="eastAsia" w:cs="Times New Roman"/>
                      <w:sz w:val="18"/>
                      <w:szCs w:val="18"/>
                      <w:lang w:val="en-US" w:eastAsia="zh-CN"/>
                    </w:rPr>
                    <w:t>41</w:t>
                  </w:r>
                  <w:r>
                    <w:rPr>
                      <w:rFonts w:hint="default" w:ascii="Times New Roman" w:hAnsi="Times New Roman" w:cs="Times New Roman"/>
                      <w:sz w:val="18"/>
                      <w:szCs w:val="18"/>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78" w:type="dxa"/>
                  <w:vAlign w:val="center"/>
                </w:tcPr>
                <w:p>
                  <w:pPr>
                    <w:keepNext w:val="0"/>
                    <w:keepLines w:val="0"/>
                    <w:widowControl/>
                    <w:suppressLineNumbers w:val="0"/>
                    <w:jc w:val="center"/>
                    <w:textAlignment w:val="center"/>
                    <w:rPr>
                      <w:rFonts w:hint="eastAsia" w:ascii="Times New Roman" w:hAnsi="Times New Roman" w:eastAsia="宋体" w:cs="Times New Roman"/>
                      <w:kern w:val="13"/>
                      <w:position w:val="6"/>
                      <w:sz w:val="18"/>
                      <w:szCs w:val="18"/>
                      <w:lang w:eastAsia="zh-CN"/>
                    </w:rPr>
                  </w:pPr>
                  <w:r>
                    <w:rPr>
                      <w:rFonts w:hint="eastAsia" w:ascii="Times New Roman" w:hAnsi="Times New Roman" w:cs="Times New Roman"/>
                      <w:kern w:val="13"/>
                      <w:position w:val="6"/>
                      <w:sz w:val="18"/>
                      <w:szCs w:val="18"/>
                      <w:lang w:eastAsia="zh-CN"/>
                    </w:rPr>
                    <w:t>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64</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41"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78"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default" w:ascii="Times New Roman" w:hAnsi="Times New Roman" w:eastAsia="宋体" w:cs="Times New Roman"/>
                      <w:i w:val="0"/>
                      <w:iCs w:val="0"/>
                      <w:color w:val="000000"/>
                      <w:kern w:val="0"/>
                      <w:sz w:val="18"/>
                      <w:szCs w:val="18"/>
                      <w:u w:val="none"/>
                      <w:lang w:val="en-US" w:eastAsia="zh-CN" w:bidi="ar"/>
                    </w:rPr>
                    <w:t>VOCs</w:t>
                  </w:r>
                  <w:r>
                    <w:rPr>
                      <w:rFonts w:hint="eastAsia" w:ascii="Times New Roman" w:hAnsi="Times New Roman" w:cs="Times New Roman"/>
                      <w:i w:val="0"/>
                      <w:iCs w:val="0"/>
                      <w:color w:val="000000"/>
                      <w:kern w:val="0"/>
                      <w:sz w:val="18"/>
                      <w:szCs w:val="18"/>
                      <w:u w:val="none"/>
                      <w:lang w:val="en-US" w:eastAsia="zh-CN" w:bidi="ar"/>
                    </w:rPr>
                    <w:t>（含甲醛、苯酚）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312</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0"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restart"/>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无组织</w:t>
                  </w:r>
                </w:p>
              </w:tc>
              <w:tc>
                <w:tcPr>
                  <w:tcW w:w="1283" w:type="dxa"/>
                  <w:vMerge w:val="restart"/>
                  <w:vAlign w:val="center"/>
                </w:tcPr>
                <w:p>
                  <w:pPr>
                    <w:jc w:val="center"/>
                    <w:textAlignment w:val="baseline"/>
                    <w:rPr>
                      <w:rFonts w:hint="default" w:ascii="Times New Roman" w:hAnsi="Times New Roman" w:cs="Times New Roman"/>
                      <w:kern w:val="13"/>
                      <w:position w:val="6"/>
                      <w:sz w:val="18"/>
                      <w:szCs w:val="18"/>
                    </w:rPr>
                  </w:pPr>
                  <w:r>
                    <w:rPr>
                      <w:rFonts w:hint="eastAsia" w:ascii="Times New Roman" w:hAnsi="Times New Roman" w:cs="Times New Roman"/>
                      <w:kern w:val="13"/>
                      <w:position w:val="6"/>
                      <w:sz w:val="18"/>
                      <w:szCs w:val="18"/>
                      <w:lang w:eastAsia="zh-CN"/>
                    </w:rPr>
                    <w:t>集气罩未收集</w:t>
                  </w:r>
                </w:p>
              </w:tc>
              <w:tc>
                <w:tcPr>
                  <w:tcW w:w="2278"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eastAsia" w:ascii="Times New Roman" w:hAnsi="Times New Roman" w:cs="Times New Roman"/>
                      <w:kern w:val="13"/>
                      <w:position w:val="6"/>
                      <w:sz w:val="18"/>
                      <w:szCs w:val="18"/>
                      <w:lang w:eastAsia="zh-CN"/>
                    </w:rPr>
                    <w:t>甲醛</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18</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78"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eastAsia" w:ascii="Times New Roman" w:hAnsi="Times New Roman" w:cs="Times New Roman"/>
                      <w:kern w:val="13"/>
                      <w:position w:val="6"/>
                      <w:sz w:val="18"/>
                      <w:szCs w:val="18"/>
                      <w:lang w:eastAsia="zh-CN"/>
                    </w:rPr>
                    <w:t>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.02</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847" w:type="dxa"/>
                  <w:gridSpan w:val="2"/>
                  <w:vMerge w:val="continue"/>
                  <w:tcBorders>
                    <w:righ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677" w:type="dxa"/>
                  <w:vMerge w:val="continue"/>
                  <w:tcBorders>
                    <w:left w:val="single" w:color="auto" w:sz="4" w:space="0"/>
                  </w:tcBorders>
                  <w:vAlign w:val="center"/>
                </w:tcPr>
                <w:p>
                  <w:pPr>
                    <w:jc w:val="center"/>
                    <w:textAlignment w:val="baseline"/>
                    <w:rPr>
                      <w:rFonts w:hint="default" w:ascii="Times New Roman" w:hAnsi="Times New Roman" w:cs="Times New Roman"/>
                      <w:kern w:val="13"/>
                      <w:position w:val="6"/>
                      <w:sz w:val="18"/>
                      <w:szCs w:val="18"/>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78" w:type="dxa"/>
                  <w:vAlign w:val="center"/>
                </w:tcPr>
                <w:p>
                  <w:pPr>
                    <w:keepNext w:val="0"/>
                    <w:keepLines w:val="0"/>
                    <w:widowControl/>
                    <w:suppressLineNumbers w:val="0"/>
                    <w:jc w:val="center"/>
                    <w:textAlignment w:val="center"/>
                    <w:rPr>
                      <w:rFonts w:hint="default" w:ascii="Times New Roman" w:hAnsi="Times New Roman" w:cs="Times New Roman"/>
                      <w:kern w:val="13"/>
                      <w:position w:val="6"/>
                      <w:sz w:val="18"/>
                      <w:szCs w:val="18"/>
                    </w:rPr>
                  </w:pPr>
                  <w:r>
                    <w:rPr>
                      <w:rFonts w:hint="default" w:ascii="Times New Roman" w:hAnsi="Times New Roman" w:eastAsia="宋体" w:cs="Times New Roman"/>
                      <w:i w:val="0"/>
                      <w:iCs w:val="0"/>
                      <w:color w:val="000000"/>
                      <w:kern w:val="0"/>
                      <w:sz w:val="18"/>
                      <w:szCs w:val="18"/>
                      <w:u w:val="none"/>
                      <w:lang w:val="en-US" w:eastAsia="zh-CN" w:bidi="ar"/>
                    </w:rPr>
                    <w:t>VOCs</w:t>
                  </w:r>
                  <w:r>
                    <w:rPr>
                      <w:rFonts w:hint="eastAsia" w:ascii="Times New Roman" w:hAnsi="Times New Roman" w:cs="Times New Roman"/>
                      <w:i w:val="0"/>
                      <w:iCs w:val="0"/>
                      <w:color w:val="000000"/>
                      <w:kern w:val="0"/>
                      <w:sz w:val="18"/>
                      <w:szCs w:val="18"/>
                      <w:u w:val="none"/>
                      <w:lang w:val="en-US" w:eastAsia="zh-CN" w:bidi="ar"/>
                    </w:rPr>
                    <w:t>（含甲醛、苯酚）</w:t>
                  </w:r>
                </w:p>
              </w:tc>
              <w:tc>
                <w:tcPr>
                  <w:tcW w:w="1139" w:type="dxa"/>
                  <w:tcBorders>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cs="Times New Roman"/>
                      <w:i w:val="0"/>
                      <w:iCs w:val="0"/>
                      <w:color w:val="000000"/>
                      <w:kern w:val="0"/>
                      <w:sz w:val="18"/>
                      <w:szCs w:val="18"/>
                      <w:u w:val="none"/>
                      <w:lang w:val="en-US" w:eastAsia="zh-CN" w:bidi="ar"/>
                    </w:rPr>
                    <w:t>98</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Merge w:val="restart"/>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废水</w:t>
                  </w:r>
                </w:p>
              </w:tc>
              <w:tc>
                <w:tcPr>
                  <w:tcW w:w="1283" w:type="dxa"/>
                  <w:vMerge w:val="restart"/>
                  <w:vAlign w:val="center"/>
                </w:tcPr>
                <w:p>
                  <w:pPr>
                    <w:jc w:val="center"/>
                    <w:textAlignment w:val="baseline"/>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kern w:val="13"/>
                      <w:position w:val="6"/>
                      <w:sz w:val="18"/>
                      <w:szCs w:val="18"/>
                      <w:highlight w:val="none"/>
                    </w:rPr>
                    <w:t>生活污水（</w:t>
                  </w:r>
                  <w:r>
                    <w:rPr>
                      <w:rFonts w:hint="eastAsia" w:cs="Times New Roman"/>
                      <w:kern w:val="13"/>
                      <w:position w:val="6"/>
                      <w:sz w:val="18"/>
                      <w:szCs w:val="18"/>
                      <w:highlight w:val="none"/>
                      <w:lang w:val="en-US" w:eastAsia="zh-CN"/>
                    </w:rPr>
                    <w:t>364</w:t>
                  </w:r>
                  <w:r>
                    <w:rPr>
                      <w:rFonts w:hint="eastAsia" w:ascii="Times New Roman" w:hAnsi="Times New Roman" w:cs="Times New Roman"/>
                      <w:kern w:val="13"/>
                      <w:position w:val="6"/>
                      <w:sz w:val="18"/>
                      <w:szCs w:val="18"/>
                      <w:highlight w:val="none"/>
                      <w:lang w:val="en-US" w:eastAsia="zh-CN"/>
                    </w:rPr>
                    <w:t>.</w:t>
                  </w:r>
                  <w:r>
                    <w:rPr>
                      <w:rFonts w:hint="eastAsia" w:cs="Times New Roman"/>
                      <w:kern w:val="13"/>
                      <w:position w:val="6"/>
                      <w:sz w:val="18"/>
                      <w:szCs w:val="18"/>
                      <w:highlight w:val="none"/>
                      <w:lang w:val="en-US" w:eastAsia="zh-CN"/>
                    </w:rPr>
                    <w:t>8</w:t>
                  </w:r>
                  <w:r>
                    <w:rPr>
                      <w:rFonts w:hint="default" w:ascii="Times New Roman" w:hAnsi="Times New Roman" w:cs="Times New Roman"/>
                      <w:kern w:val="13"/>
                      <w:position w:val="6"/>
                      <w:sz w:val="18"/>
                      <w:szCs w:val="18"/>
                      <w:highlight w:val="none"/>
                    </w:rPr>
                    <w:t>m</w:t>
                  </w:r>
                  <w:r>
                    <w:rPr>
                      <w:rFonts w:hint="default" w:ascii="Times New Roman" w:hAnsi="Times New Roman" w:cs="Times New Roman"/>
                      <w:kern w:val="13"/>
                      <w:position w:val="6"/>
                      <w:sz w:val="18"/>
                      <w:szCs w:val="18"/>
                      <w:highlight w:val="none"/>
                      <w:vertAlign w:val="superscript"/>
                    </w:rPr>
                    <w:t>3</w:t>
                  </w:r>
                  <w:r>
                    <w:rPr>
                      <w:rFonts w:hint="default" w:ascii="Times New Roman" w:hAnsi="Times New Roman" w:cs="Times New Roman"/>
                      <w:kern w:val="13"/>
                      <w:position w:val="6"/>
                      <w:sz w:val="18"/>
                      <w:szCs w:val="18"/>
                      <w:highlight w:val="none"/>
                    </w:rPr>
                    <w:t>/a）</w:t>
                  </w:r>
                </w:p>
              </w:tc>
              <w:tc>
                <w:tcPr>
                  <w:tcW w:w="2278" w:type="dxa"/>
                  <w:vAlign w:val="center"/>
                </w:tcPr>
                <w:p>
                  <w:pPr>
                    <w:jc w:val="center"/>
                    <w:textAlignment w:val="baseline"/>
                    <w:rPr>
                      <w:rFonts w:hint="default" w:ascii="Times New Roman" w:hAnsi="Times New Roman" w:eastAsia="宋体" w:cs="Times New Roman"/>
                      <w:kern w:val="2"/>
                      <w:sz w:val="18"/>
                      <w:szCs w:val="18"/>
                      <w:highlight w:val="none"/>
                      <w:vertAlign w:val="baseline"/>
                      <w:lang w:val="en-US" w:eastAsia="zh-CN" w:bidi="ar-SA"/>
                    </w:rPr>
                  </w:pPr>
                  <w:r>
                    <w:rPr>
                      <w:rFonts w:hint="default" w:ascii="Times New Roman" w:hAnsi="Times New Roman" w:cs="Times New Roman"/>
                      <w:sz w:val="18"/>
                      <w:szCs w:val="18"/>
                      <w:highlight w:val="none"/>
                    </w:rPr>
                    <w:t>COD</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cs="Times New Roman"/>
                      <w:sz w:val="18"/>
                      <w:szCs w:val="18"/>
                      <w:highlight w:val="none"/>
                      <w:lang w:val="en-US" w:eastAsia="zh-CN"/>
                    </w:rPr>
                    <w:t>0.</w:t>
                  </w:r>
                  <w:r>
                    <w:rPr>
                      <w:rFonts w:hint="eastAsia" w:ascii="Times New Roman" w:hAnsi="Times New Roman" w:cs="Times New Roman"/>
                      <w:sz w:val="18"/>
                      <w:szCs w:val="18"/>
                      <w:highlight w:val="none"/>
                      <w:lang w:val="en-US" w:eastAsia="zh-CN"/>
                    </w:rPr>
                    <w:t>0</w:t>
                  </w:r>
                  <w:r>
                    <w:rPr>
                      <w:rFonts w:hint="eastAsia" w:cs="Times New Roman"/>
                      <w:sz w:val="18"/>
                      <w:szCs w:val="18"/>
                      <w:highlight w:val="none"/>
                      <w:lang w:val="en-US" w:eastAsia="zh-CN"/>
                    </w:rPr>
                    <w:t>199</w:t>
                  </w:r>
                </w:p>
              </w:tc>
              <w:tc>
                <w:tcPr>
                  <w:tcW w:w="1802" w:type="dxa"/>
                  <w:vMerge w:val="restart"/>
                  <w:tcBorders>
                    <w:left w:val="single" w:color="000000" w:sz="8" w:space="0"/>
                  </w:tcBorders>
                  <w:vAlign w:val="center"/>
                </w:tcPr>
                <w:p>
                  <w:pPr>
                    <w:jc w:val="center"/>
                    <w:textAlignment w:val="baseline"/>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由化粪池</w:t>
                  </w:r>
                  <w:r>
                    <w:rPr>
                      <w:rFonts w:hint="default" w:ascii="Times New Roman" w:hAnsi="Times New Roman" w:cs="Times New Roman"/>
                      <w:sz w:val="18"/>
                      <w:szCs w:val="18"/>
                      <w:highlight w:val="none"/>
                      <w:lang w:eastAsia="zh-CN"/>
                    </w:rPr>
                    <w:t>暂存</w:t>
                  </w:r>
                  <w:r>
                    <w:rPr>
                      <w:rFonts w:hint="default" w:ascii="Times New Roman" w:hAnsi="Times New Roman" w:cs="Times New Roman"/>
                      <w:sz w:val="18"/>
                      <w:szCs w:val="18"/>
                      <w:highlight w:val="none"/>
                    </w:rPr>
                    <w:t>后经污水处理管网排入淄博</w:t>
                  </w:r>
                  <w:r>
                    <w:rPr>
                      <w:rFonts w:hint="default" w:ascii="Times New Roman" w:hAnsi="Times New Roman" w:cs="Times New Roman"/>
                      <w:sz w:val="18"/>
                      <w:szCs w:val="18"/>
                      <w:highlight w:val="none"/>
                      <w:lang w:eastAsia="zh-CN"/>
                    </w:rPr>
                    <w:t>市</w:t>
                  </w:r>
                  <w:r>
                    <w:rPr>
                      <w:rFonts w:hint="default" w:ascii="Times New Roman" w:hAnsi="Times New Roman" w:cs="Times New Roman"/>
                      <w:sz w:val="18"/>
                      <w:szCs w:val="18"/>
                      <w:highlight w:val="none"/>
                    </w:rPr>
                    <w:t>利民净化水有限公司进一步处理。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Merge w:val="continue"/>
                  <w:vAlign w:val="center"/>
                </w:tcPr>
                <w:p>
                  <w:pPr>
                    <w:jc w:val="center"/>
                    <w:textAlignment w:val="baseline"/>
                    <w:rPr>
                      <w:rFonts w:hint="default" w:ascii="Times New Roman" w:hAnsi="Times New Roman" w:cs="Times New Roman"/>
                      <w:kern w:val="13"/>
                      <w:position w:val="6"/>
                      <w:sz w:val="18"/>
                      <w:szCs w:val="18"/>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highlight w:val="none"/>
                    </w:rPr>
                  </w:pPr>
                </w:p>
              </w:tc>
              <w:tc>
                <w:tcPr>
                  <w:tcW w:w="2278" w:type="dxa"/>
                  <w:vAlign w:val="center"/>
                </w:tcPr>
                <w:p>
                  <w:pPr>
                    <w:jc w:val="center"/>
                    <w:textAlignment w:val="baseline"/>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氨氮</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0.00</w:t>
                  </w:r>
                  <w:r>
                    <w:rPr>
                      <w:rFonts w:hint="eastAsia" w:ascii="Times New Roman" w:hAnsi="Times New Roman" w:cs="Times New Roman"/>
                      <w:sz w:val="18"/>
                      <w:szCs w:val="18"/>
                      <w:highlight w:val="none"/>
                      <w:lang w:val="en-US" w:eastAsia="zh-CN"/>
                    </w:rPr>
                    <w:t>0</w:t>
                  </w:r>
                  <w:r>
                    <w:rPr>
                      <w:rFonts w:hint="eastAsia" w:cs="Times New Roman"/>
                      <w:sz w:val="18"/>
                      <w:szCs w:val="18"/>
                      <w:highlight w:val="none"/>
                      <w:lang w:val="en-US" w:eastAsia="zh-CN"/>
                    </w:rPr>
                    <w:t>6</w:t>
                  </w:r>
                </w:p>
              </w:tc>
              <w:tc>
                <w:tcPr>
                  <w:tcW w:w="1802" w:type="dxa"/>
                  <w:vMerge w:val="continue"/>
                  <w:tcBorders>
                    <w:left w:val="single" w:color="000000" w:sz="8" w:space="0"/>
                  </w:tcBorders>
                  <w:vAlign w:val="center"/>
                </w:tcPr>
                <w:p>
                  <w:pPr>
                    <w:jc w:val="center"/>
                    <w:textAlignment w:val="baseline"/>
                    <w:rPr>
                      <w:rFonts w:hint="default" w:ascii="Times New Roman" w:hAnsi="Times New Roman" w:cs="Times New Roman"/>
                      <w:sz w:val="18"/>
                      <w:szCs w:val="1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restart"/>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固废</w:t>
                  </w:r>
                </w:p>
              </w:tc>
              <w:tc>
                <w:tcPr>
                  <w:tcW w:w="762" w:type="dxa"/>
                  <w:gridSpan w:val="2"/>
                  <w:vMerge w:val="restart"/>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一般工业固废</w:t>
                  </w:r>
                </w:p>
              </w:tc>
              <w:tc>
                <w:tcPr>
                  <w:tcW w:w="1283" w:type="dxa"/>
                  <w:vMerge w:val="restart"/>
                  <w:vAlign w:val="center"/>
                </w:tcPr>
                <w:p>
                  <w:pPr>
                    <w:jc w:val="center"/>
                    <w:textAlignment w:val="baseline"/>
                    <w:rPr>
                      <w:rFonts w:hint="default" w:ascii="Times New Roman" w:hAnsi="Times New Roman" w:cs="Times New Roman"/>
                      <w:kern w:val="13"/>
                      <w:position w:val="6"/>
                      <w:sz w:val="18"/>
                      <w:szCs w:val="18"/>
                    </w:rPr>
                  </w:pPr>
                  <w:r>
                    <w:rPr>
                      <w:rFonts w:hint="default" w:ascii="Times New Roman" w:hAnsi="Times New Roman" w:cs="Times New Roman"/>
                      <w:kern w:val="13"/>
                      <w:position w:val="6"/>
                      <w:sz w:val="18"/>
                      <w:szCs w:val="18"/>
                    </w:rPr>
                    <w:t>生产过程</w:t>
                  </w:r>
                </w:p>
              </w:tc>
              <w:tc>
                <w:tcPr>
                  <w:tcW w:w="2278"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eastAsia"/>
                      <w:sz w:val="18"/>
                      <w:szCs w:val="18"/>
                      <w:lang w:eastAsia="zh-CN"/>
                    </w:rPr>
                    <w:t>涤纶排管不合格品及下脚料</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eastAsia" w:cs="Times New Roman"/>
                      <w:kern w:val="13"/>
                      <w:position w:val="6"/>
                      <w:sz w:val="18"/>
                      <w:szCs w:val="18"/>
                      <w:lang w:val="en-US" w:eastAsia="zh-CN"/>
                    </w:rPr>
                    <w:t>4</w:t>
                  </w:r>
                </w:p>
              </w:tc>
              <w:tc>
                <w:tcPr>
                  <w:tcW w:w="1802" w:type="dxa"/>
                  <w:vMerge w:val="restart"/>
                  <w:tcBorders>
                    <w:left w:val="single" w:color="000000" w:sz="8" w:space="0"/>
                  </w:tcBorders>
                  <w:vAlign w:val="center"/>
                </w:tcPr>
                <w:p>
                  <w:pPr>
                    <w:jc w:val="center"/>
                    <w:textAlignment w:val="baseline"/>
                    <w:rPr>
                      <w:rFonts w:hint="default" w:ascii="Times New Roman" w:hAnsi="Times New Roman" w:cs="Times New Roman"/>
                      <w:kern w:val="13"/>
                      <w:position w:val="6"/>
                      <w:sz w:val="18"/>
                      <w:szCs w:val="18"/>
                    </w:rPr>
                  </w:pPr>
                  <w:r>
                    <w:rPr>
                      <w:rFonts w:hint="eastAsia"/>
                      <w:sz w:val="18"/>
                      <w:szCs w:val="18"/>
                      <w:lang w:val="en-US" w:eastAsia="zh-CN"/>
                    </w:rPr>
                    <w:t>收集后外卖处理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Merge w:val="continue"/>
                  <w:vAlign w:val="center"/>
                </w:tcPr>
                <w:p>
                  <w:pPr>
                    <w:jc w:val="center"/>
                    <w:textAlignment w:val="baseline"/>
                    <w:rPr>
                      <w:rFonts w:hint="default" w:ascii="Times New Roman" w:hAnsi="Times New Roman" w:cs="Times New Roman"/>
                      <w:kern w:val="13"/>
                      <w:position w:val="6"/>
                      <w:sz w:val="18"/>
                      <w:szCs w:val="18"/>
                      <w:lang w:eastAsia="zh-CN"/>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78" w:type="dxa"/>
                  <w:vAlign w:val="center"/>
                </w:tcPr>
                <w:p>
                  <w:pPr>
                    <w:jc w:val="center"/>
                    <w:textAlignment w:val="baseline"/>
                    <w:rPr>
                      <w:rFonts w:hint="eastAsia" w:ascii="Times New Roman" w:hAnsi="Times New Roman" w:eastAsia="宋体" w:cs="Times New Roman"/>
                      <w:kern w:val="2"/>
                      <w:sz w:val="18"/>
                      <w:szCs w:val="18"/>
                      <w:lang w:val="en-US" w:eastAsia="zh-CN" w:bidi="ar-SA"/>
                    </w:rPr>
                  </w:pPr>
                  <w:r>
                    <w:rPr>
                      <w:rFonts w:hint="eastAsia"/>
                      <w:sz w:val="18"/>
                      <w:szCs w:val="18"/>
                      <w:lang w:eastAsia="zh-CN"/>
                    </w:rPr>
                    <w:t>废原料包装袋</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bidi="ar-SA"/>
                    </w:rPr>
                  </w:pPr>
                  <w:r>
                    <w:rPr>
                      <w:rFonts w:hint="eastAsia" w:cs="Times New Roman"/>
                      <w:kern w:val="13"/>
                      <w:position w:val="6"/>
                      <w:sz w:val="18"/>
                      <w:szCs w:val="18"/>
                      <w:lang w:val="en-US" w:eastAsia="zh-CN"/>
                    </w:rPr>
                    <w:t>0.2</w:t>
                  </w:r>
                </w:p>
              </w:tc>
              <w:tc>
                <w:tcPr>
                  <w:tcW w:w="1802" w:type="dxa"/>
                  <w:vMerge w:val="continue"/>
                  <w:tcBorders>
                    <w:left w:val="single" w:color="000000" w:sz="8" w:space="0"/>
                  </w:tcBorders>
                  <w:vAlign w:val="center"/>
                </w:tcPr>
                <w:p>
                  <w:pPr>
                    <w:jc w:val="center"/>
                    <w:textAlignment w:val="baseline"/>
                    <w:rPr>
                      <w:rFonts w:hint="eastAsia"/>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Merge w:val="continue"/>
                  <w:vAlign w:val="center"/>
                </w:tcPr>
                <w:p>
                  <w:pPr>
                    <w:jc w:val="center"/>
                    <w:textAlignment w:val="baseline"/>
                    <w:rPr>
                      <w:rFonts w:hint="default" w:ascii="Times New Roman" w:hAnsi="Times New Roman" w:cs="Times New Roman"/>
                      <w:kern w:val="13"/>
                      <w:position w:val="6"/>
                      <w:sz w:val="18"/>
                      <w:szCs w:val="18"/>
                    </w:rPr>
                  </w:pPr>
                </w:p>
              </w:tc>
              <w:tc>
                <w:tcPr>
                  <w:tcW w:w="1283"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2278" w:type="dxa"/>
                  <w:vAlign w:val="center"/>
                </w:tcPr>
                <w:p>
                  <w:pPr>
                    <w:numPr>
                      <w:ilvl w:val="0"/>
                      <w:numId w:val="0"/>
                    </w:numPr>
                    <w:spacing w:line="360" w:lineRule="auto"/>
                    <w:jc w:val="center"/>
                    <w:rPr>
                      <w:rFonts w:hint="default" w:ascii="Times New Roman" w:hAnsi="Times New Roman" w:eastAsia="宋体" w:cs="Times New Roman"/>
                      <w:kern w:val="13"/>
                      <w:position w:val="6"/>
                      <w:sz w:val="18"/>
                      <w:szCs w:val="18"/>
                      <w:lang w:eastAsia="zh-CN"/>
                    </w:rPr>
                  </w:pPr>
                  <w:r>
                    <w:rPr>
                      <w:rFonts w:hint="eastAsia"/>
                      <w:sz w:val="18"/>
                      <w:szCs w:val="18"/>
                      <w:lang w:eastAsia="zh-CN"/>
                    </w:rPr>
                    <w:t>注塑不合格品</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eastAsia" w:ascii="Times New Roman" w:hAnsi="Times New Roman" w:cs="Times New Roman"/>
                      <w:kern w:val="13"/>
                      <w:position w:val="6"/>
                      <w:sz w:val="18"/>
                      <w:szCs w:val="18"/>
                      <w:lang w:val="en-US" w:eastAsia="zh-CN"/>
                    </w:rPr>
                    <w:t>0.0</w:t>
                  </w:r>
                  <w:r>
                    <w:rPr>
                      <w:rFonts w:hint="eastAsia" w:cs="Times New Roman"/>
                      <w:kern w:val="13"/>
                      <w:position w:val="6"/>
                      <w:sz w:val="18"/>
                      <w:szCs w:val="18"/>
                      <w:lang w:val="en-US" w:eastAsia="zh-CN"/>
                    </w:rPr>
                    <w:t>5</w:t>
                  </w:r>
                </w:p>
              </w:tc>
              <w:tc>
                <w:tcPr>
                  <w:tcW w:w="1802" w:type="dxa"/>
                  <w:tcBorders>
                    <w:left w:val="single" w:color="000000" w:sz="8" w:space="0"/>
                  </w:tcBorders>
                  <w:vAlign w:val="center"/>
                </w:tcPr>
                <w:p>
                  <w:pPr>
                    <w:jc w:val="center"/>
                    <w:textAlignment w:val="baseline"/>
                    <w:rPr>
                      <w:rFonts w:hint="default" w:ascii="Times New Roman" w:hAnsi="Times New Roman" w:cs="Times New Roman"/>
                      <w:kern w:val="13"/>
                      <w:position w:val="6"/>
                      <w:sz w:val="18"/>
                      <w:szCs w:val="18"/>
                    </w:rPr>
                  </w:pPr>
                  <w:r>
                    <w:rPr>
                      <w:rFonts w:hint="eastAsia"/>
                      <w:sz w:val="18"/>
                      <w:szCs w:val="18"/>
                      <w:lang w:val="en-US" w:eastAsia="zh-CN"/>
                    </w:rPr>
                    <w:t>收集后外协破碎，回用于生产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危险废物</w:t>
                  </w:r>
                </w:p>
              </w:tc>
              <w:tc>
                <w:tcPr>
                  <w:tcW w:w="1283"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废气处理</w:t>
                  </w:r>
                </w:p>
              </w:tc>
              <w:tc>
                <w:tcPr>
                  <w:tcW w:w="2278" w:type="dxa"/>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default" w:ascii="Times New Roman" w:hAnsi="Times New Roman" w:cs="Times New Roman"/>
                      <w:sz w:val="18"/>
                      <w:szCs w:val="18"/>
                    </w:rPr>
                    <w:t>废</w:t>
                  </w:r>
                  <w:r>
                    <w:rPr>
                      <w:rFonts w:hint="eastAsia" w:ascii="Times New Roman" w:hAnsi="Times New Roman" w:cs="Times New Roman"/>
                      <w:sz w:val="18"/>
                      <w:szCs w:val="18"/>
                      <w:lang w:val="en-US" w:eastAsia="zh-CN"/>
                    </w:rPr>
                    <w:t>UV灯管</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default" w:ascii="Times New Roman" w:hAnsi="Times New Roman" w:cs="Times New Roman"/>
                      <w:kern w:val="13"/>
                      <w:position w:val="6"/>
                      <w:sz w:val="18"/>
                      <w:szCs w:val="18"/>
                      <w:lang w:val="en-US" w:eastAsia="zh-CN"/>
                    </w:rPr>
                    <w:t>0.</w:t>
                  </w:r>
                  <w:r>
                    <w:rPr>
                      <w:rFonts w:hint="eastAsia" w:ascii="Times New Roman" w:hAnsi="Times New Roman" w:cs="Times New Roman"/>
                      <w:kern w:val="13"/>
                      <w:position w:val="6"/>
                      <w:sz w:val="18"/>
                      <w:szCs w:val="18"/>
                      <w:lang w:val="en-US" w:eastAsia="zh-CN"/>
                    </w:rPr>
                    <w:t>0</w:t>
                  </w:r>
                  <w:r>
                    <w:rPr>
                      <w:rFonts w:hint="eastAsia" w:cs="Times New Roman"/>
                      <w:kern w:val="13"/>
                      <w:position w:val="6"/>
                      <w:sz w:val="18"/>
                      <w:szCs w:val="18"/>
                      <w:lang w:val="en-US" w:eastAsia="zh-CN"/>
                    </w:rPr>
                    <w:t>5</w:t>
                  </w:r>
                </w:p>
              </w:tc>
              <w:tc>
                <w:tcPr>
                  <w:tcW w:w="1802" w:type="dxa"/>
                  <w:tcBorders>
                    <w:left w:val="single" w:color="000000" w:sz="8" w:space="0"/>
                  </w:tcBorders>
                  <w:vAlign w:val="center"/>
                </w:tcPr>
                <w:p>
                  <w:pPr>
                    <w:jc w:val="center"/>
                    <w:textAlignment w:val="baseline"/>
                    <w:rPr>
                      <w:rFonts w:hint="default" w:ascii="Times New Roman" w:hAnsi="Times New Roman" w:cs="Times New Roman"/>
                      <w:sz w:val="18"/>
                      <w:szCs w:val="18"/>
                    </w:rPr>
                  </w:pPr>
                  <w:r>
                    <w:rPr>
                      <w:rFonts w:hint="default" w:ascii="Times New Roman" w:hAnsi="Times New Roman" w:cs="Times New Roman"/>
                      <w:sz w:val="18"/>
                      <w:szCs w:val="18"/>
                    </w:rPr>
                    <w:t>委托危废处置资质单位定期处置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762" w:type="dxa"/>
                  <w:vMerge w:val="continue"/>
                  <w:vAlign w:val="center"/>
                </w:tcPr>
                <w:p>
                  <w:pPr>
                    <w:jc w:val="center"/>
                    <w:textAlignment w:val="baseline"/>
                    <w:rPr>
                      <w:rFonts w:hint="default" w:ascii="Times New Roman" w:hAnsi="Times New Roman" w:cs="Times New Roman"/>
                      <w:kern w:val="13"/>
                      <w:position w:val="6"/>
                      <w:sz w:val="18"/>
                      <w:szCs w:val="18"/>
                    </w:rPr>
                  </w:pPr>
                </w:p>
              </w:tc>
              <w:tc>
                <w:tcPr>
                  <w:tcW w:w="762" w:type="dxa"/>
                  <w:gridSpan w:val="2"/>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生活固废</w:t>
                  </w:r>
                </w:p>
              </w:tc>
              <w:tc>
                <w:tcPr>
                  <w:tcW w:w="1283"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职工生活</w:t>
                  </w:r>
                </w:p>
              </w:tc>
              <w:tc>
                <w:tcPr>
                  <w:tcW w:w="2278" w:type="dxa"/>
                  <w:vAlign w:val="center"/>
                </w:tcPr>
                <w:p>
                  <w:pPr>
                    <w:jc w:val="center"/>
                    <w:textAlignment w:val="baseline"/>
                    <w:rPr>
                      <w:rFonts w:hint="default" w:ascii="Times New Roman" w:hAnsi="Times New Roman" w:eastAsia="宋体" w:cs="Times New Roman"/>
                      <w:kern w:val="13"/>
                      <w:position w:val="6"/>
                      <w:sz w:val="18"/>
                      <w:szCs w:val="18"/>
                      <w:lang w:eastAsia="zh-CN"/>
                    </w:rPr>
                  </w:pPr>
                  <w:r>
                    <w:rPr>
                      <w:rFonts w:hint="default" w:ascii="Times New Roman" w:hAnsi="Times New Roman" w:cs="Times New Roman"/>
                      <w:kern w:val="13"/>
                      <w:position w:val="6"/>
                      <w:sz w:val="18"/>
                      <w:szCs w:val="18"/>
                      <w:lang w:eastAsia="zh-CN"/>
                    </w:rPr>
                    <w:t>生活垃圾</w:t>
                  </w:r>
                </w:p>
              </w:tc>
              <w:tc>
                <w:tcPr>
                  <w:tcW w:w="1139" w:type="dxa"/>
                  <w:tcBorders>
                    <w:right w:val="single" w:color="000000" w:sz="8" w:space="0"/>
                  </w:tcBorders>
                  <w:vAlign w:val="center"/>
                </w:tcPr>
                <w:p>
                  <w:pPr>
                    <w:jc w:val="center"/>
                    <w:textAlignment w:val="baseline"/>
                    <w:rPr>
                      <w:rFonts w:hint="default" w:ascii="Times New Roman" w:hAnsi="Times New Roman" w:eastAsia="宋体" w:cs="Times New Roman"/>
                      <w:kern w:val="13"/>
                      <w:position w:val="6"/>
                      <w:sz w:val="18"/>
                      <w:szCs w:val="18"/>
                      <w:lang w:val="en-US" w:eastAsia="zh-CN"/>
                    </w:rPr>
                  </w:pPr>
                  <w:r>
                    <w:rPr>
                      <w:rFonts w:hint="eastAsia" w:cs="Times New Roman"/>
                      <w:kern w:val="13"/>
                      <w:position w:val="6"/>
                      <w:sz w:val="18"/>
                      <w:szCs w:val="18"/>
                      <w:lang w:val="en-US" w:eastAsia="zh-CN"/>
                    </w:rPr>
                    <w:t>5.7</w:t>
                  </w:r>
                </w:p>
              </w:tc>
              <w:tc>
                <w:tcPr>
                  <w:tcW w:w="1802" w:type="dxa"/>
                  <w:tcBorders>
                    <w:left w:val="single" w:color="000000" w:sz="8" w:space="0"/>
                  </w:tcBorders>
                  <w:vAlign w:val="center"/>
                </w:tcPr>
                <w:p>
                  <w:pPr>
                    <w:jc w:val="center"/>
                    <w:textAlignment w:val="baseline"/>
                    <w:rPr>
                      <w:rFonts w:hint="default" w:ascii="Times New Roman" w:hAnsi="Times New Roman" w:eastAsia="宋体" w:cs="Times New Roman"/>
                      <w:sz w:val="18"/>
                      <w:szCs w:val="18"/>
                      <w:lang w:eastAsia="zh-CN"/>
                    </w:rPr>
                  </w:pPr>
                  <w:r>
                    <w:rPr>
                      <w:rFonts w:hint="default" w:ascii="Times New Roman" w:hAnsi="Times New Roman" w:cs="Times New Roman"/>
                      <w:sz w:val="18"/>
                      <w:szCs w:val="18"/>
                      <w:lang w:eastAsia="zh-CN"/>
                    </w:rPr>
                    <w:t>环卫清运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1524" w:type="dxa"/>
                  <w:gridSpan w:val="3"/>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噪声</w:t>
                  </w:r>
                </w:p>
              </w:tc>
              <w:tc>
                <w:tcPr>
                  <w:tcW w:w="1283"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设备运行</w:t>
                  </w:r>
                </w:p>
              </w:tc>
              <w:tc>
                <w:tcPr>
                  <w:tcW w:w="2278" w:type="dxa"/>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噪声</w:t>
                  </w:r>
                </w:p>
              </w:tc>
              <w:tc>
                <w:tcPr>
                  <w:tcW w:w="1139" w:type="dxa"/>
                  <w:tcBorders>
                    <w:right w:val="single" w:color="000000" w:sz="8"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802" w:type="dxa"/>
                  <w:tcBorders>
                    <w:left w:val="single" w:color="000000" w:sz="8" w:space="0"/>
                  </w:tcBorders>
                  <w:vAlign w:val="center"/>
                </w:tcPr>
                <w:p>
                  <w:pPr>
                    <w:rPr>
                      <w:rFonts w:hint="default" w:ascii="Times New Roman" w:hAnsi="Times New Roman" w:cs="Times New Roman"/>
                      <w:sz w:val="18"/>
                      <w:szCs w:val="18"/>
                    </w:rPr>
                  </w:pPr>
                  <w:r>
                    <w:rPr>
                      <w:rFonts w:hint="default" w:ascii="Times New Roman" w:hAnsi="Times New Roman" w:cs="Times New Roman"/>
                      <w:sz w:val="18"/>
                      <w:szCs w:val="18"/>
                    </w:rPr>
                    <w:t>昼间：≤60dB（A）</w:t>
                  </w:r>
                </w:p>
                <w:p>
                  <w:pPr>
                    <w:rPr>
                      <w:rFonts w:hint="default" w:ascii="Times New Roman" w:hAnsi="Times New Roman" w:cs="Times New Roman"/>
                      <w:sz w:val="18"/>
                      <w:szCs w:val="18"/>
                    </w:rPr>
                  </w:pPr>
                  <w:r>
                    <w:rPr>
                      <w:rFonts w:hint="default" w:ascii="Times New Roman" w:hAnsi="Times New Roman" w:cs="Times New Roman"/>
                      <w:sz w:val="18"/>
                      <w:szCs w:val="18"/>
                    </w:rPr>
                    <w:t>夜间：≤50dB（A）</w:t>
                  </w:r>
                </w:p>
              </w:tc>
            </w:tr>
          </w:tbl>
          <w:p>
            <w:pPr>
              <w:adjustRightInd w:val="0"/>
              <w:snapToGrid w:val="0"/>
              <w:spacing w:line="360" w:lineRule="auto"/>
              <w:ind w:firstLine="420" w:firstLineChars="200"/>
              <w:rPr>
                <w:rFonts w:hint="eastAsia" w:eastAsiaTheme="minorEastAsia"/>
                <w:kern w:val="0"/>
                <w:sz w:val="21"/>
                <w:szCs w:val="21"/>
                <w:highlight w:val="none"/>
                <w:lang w:val="en-US" w:eastAsia="zh-CN"/>
              </w:rPr>
            </w:pPr>
            <w:r>
              <w:rPr>
                <w:rFonts w:hint="eastAsia" w:eastAsiaTheme="minorEastAsia"/>
                <w:kern w:val="0"/>
                <w:sz w:val="21"/>
                <w:szCs w:val="21"/>
                <w:lang w:val="de-DE"/>
              </w:rPr>
              <w:t>根据《</w:t>
            </w:r>
            <w:r>
              <w:rPr>
                <w:rFonts w:hint="eastAsia" w:eastAsiaTheme="minorEastAsia"/>
                <w:bCs/>
                <w:kern w:val="0"/>
                <w:sz w:val="21"/>
                <w:szCs w:val="21"/>
                <w:lang w:val="de-DE" w:eastAsia="zh-CN"/>
              </w:rPr>
              <w:t>淄博市淄川龙昊电源器材厂</w:t>
            </w:r>
            <w:r>
              <w:rPr>
                <w:rFonts w:hint="eastAsia"/>
                <w:bCs/>
                <w:kern w:val="0"/>
                <w:sz w:val="21"/>
                <w:szCs w:val="21"/>
                <w:lang w:val="de-DE"/>
              </w:rPr>
              <w:t>年产</w:t>
            </w:r>
            <w:r>
              <w:rPr>
                <w:rFonts w:hint="eastAsia"/>
                <w:bCs/>
                <w:kern w:val="0"/>
                <w:sz w:val="21"/>
                <w:szCs w:val="21"/>
                <w:lang w:val="en-US" w:eastAsia="zh-CN"/>
              </w:rPr>
              <w:t>20万m</w:t>
            </w:r>
            <w:r>
              <w:rPr>
                <w:rFonts w:hint="eastAsia"/>
                <w:bCs/>
                <w:kern w:val="0"/>
                <w:sz w:val="21"/>
                <w:szCs w:val="21"/>
                <w:vertAlign w:val="superscript"/>
                <w:lang w:val="en-US" w:eastAsia="zh-CN"/>
              </w:rPr>
              <w:t>2</w:t>
            </w:r>
            <w:r>
              <w:rPr>
                <w:rFonts w:hint="eastAsia"/>
                <w:bCs/>
                <w:kern w:val="0"/>
                <w:sz w:val="21"/>
                <w:szCs w:val="21"/>
                <w:lang w:val="en-US" w:eastAsia="zh-CN"/>
              </w:rPr>
              <w:t>涤纶丝排管</w:t>
            </w:r>
            <w:r>
              <w:rPr>
                <w:rFonts w:hint="eastAsia"/>
                <w:bCs/>
                <w:kern w:val="0"/>
                <w:sz w:val="21"/>
                <w:szCs w:val="21"/>
                <w:lang w:val="de-DE"/>
              </w:rPr>
              <w:t>项目</w:t>
            </w:r>
            <w:r>
              <w:rPr>
                <w:rFonts w:hint="eastAsia" w:eastAsiaTheme="minorEastAsia"/>
                <w:kern w:val="0"/>
                <w:sz w:val="21"/>
                <w:szCs w:val="21"/>
                <w:lang w:val="de-DE"/>
              </w:rPr>
              <w:t>》总量</w:t>
            </w:r>
            <w:r>
              <w:rPr>
                <w:rFonts w:eastAsiaTheme="minorEastAsia"/>
                <w:kern w:val="0"/>
                <w:sz w:val="21"/>
                <w:szCs w:val="21"/>
                <w:lang w:val="de-DE"/>
              </w:rPr>
              <w:t>确认书</w:t>
            </w:r>
            <w:r>
              <w:rPr>
                <w:rFonts w:hint="eastAsia" w:eastAsiaTheme="minorEastAsia"/>
                <w:kern w:val="0"/>
                <w:sz w:val="21"/>
                <w:szCs w:val="21"/>
                <w:lang w:val="de-DE" w:eastAsia="zh-CN"/>
              </w:rPr>
              <w:t>（</w:t>
            </w:r>
            <w:r>
              <w:rPr>
                <w:rFonts w:hint="eastAsia" w:eastAsiaTheme="minorEastAsia"/>
                <w:kern w:val="0"/>
                <w:sz w:val="21"/>
                <w:szCs w:val="21"/>
                <w:lang w:val="en-US" w:eastAsia="zh-CN"/>
              </w:rPr>
              <w:t>ZBZL（2019）号</w:t>
            </w:r>
            <w:r>
              <w:rPr>
                <w:rFonts w:hint="eastAsia" w:eastAsiaTheme="minorEastAsia"/>
                <w:kern w:val="0"/>
                <w:sz w:val="21"/>
                <w:szCs w:val="21"/>
                <w:lang w:val="de-DE" w:eastAsia="zh-CN"/>
              </w:rPr>
              <w:t>）</w:t>
            </w:r>
            <w:r>
              <w:rPr>
                <w:rFonts w:hint="eastAsia" w:eastAsiaTheme="minorEastAsia"/>
                <w:kern w:val="0"/>
                <w:sz w:val="21"/>
                <w:szCs w:val="21"/>
                <w:lang w:val="de-DE"/>
              </w:rPr>
              <w:t>，</w:t>
            </w:r>
            <w:r>
              <w:rPr>
                <w:rFonts w:hint="eastAsia" w:eastAsiaTheme="minorEastAsia"/>
                <w:kern w:val="0"/>
                <w:sz w:val="21"/>
                <w:szCs w:val="21"/>
                <w:lang w:val="de-DE" w:eastAsia="zh-CN"/>
              </w:rPr>
              <w:t>现有</w:t>
            </w:r>
            <w:r>
              <w:rPr>
                <w:rFonts w:eastAsiaTheme="minorEastAsia"/>
                <w:kern w:val="0"/>
                <w:sz w:val="21"/>
                <w:szCs w:val="21"/>
                <w:lang w:val="de-DE"/>
              </w:rPr>
              <w:t>项目已有总量为</w:t>
            </w:r>
            <w:r>
              <w:rPr>
                <w:rFonts w:hint="eastAsia" w:eastAsiaTheme="minorEastAsia"/>
                <w:kern w:val="0"/>
                <w:sz w:val="21"/>
                <w:szCs w:val="21"/>
                <w:lang w:val="en-US" w:eastAsia="zh-CN"/>
              </w:rPr>
              <w:t>VOCs</w:t>
            </w:r>
            <w:r>
              <w:rPr>
                <w:rFonts w:eastAsiaTheme="minorEastAsia"/>
                <w:kern w:val="0"/>
                <w:sz w:val="21"/>
                <w:szCs w:val="21"/>
                <w:lang w:val="de-DE"/>
              </w:rPr>
              <w:t>0.</w:t>
            </w:r>
            <w:r>
              <w:rPr>
                <w:rFonts w:hint="eastAsia" w:eastAsiaTheme="minorEastAsia"/>
                <w:kern w:val="0"/>
                <w:sz w:val="21"/>
                <w:szCs w:val="21"/>
                <w:lang w:val="en-US" w:eastAsia="zh-CN"/>
              </w:rPr>
              <w:t>3551t/a</w:t>
            </w:r>
            <w:r>
              <w:rPr>
                <w:rFonts w:eastAsiaTheme="minorEastAsia"/>
                <w:kern w:val="0"/>
                <w:sz w:val="21"/>
                <w:szCs w:val="21"/>
                <w:highlight w:val="none"/>
                <w:lang w:val="de-DE"/>
              </w:rPr>
              <w:t>。</w:t>
            </w:r>
            <w:r>
              <w:rPr>
                <w:rFonts w:hint="eastAsia" w:eastAsiaTheme="minorEastAsia"/>
                <w:kern w:val="0"/>
                <w:sz w:val="21"/>
                <w:szCs w:val="21"/>
                <w:highlight w:val="none"/>
                <w:lang w:val="de-DE" w:eastAsia="zh-CN"/>
              </w:rPr>
              <w:t>现有项目有组织</w:t>
            </w:r>
            <w:r>
              <w:rPr>
                <w:rFonts w:hint="eastAsia" w:eastAsiaTheme="minorEastAsia"/>
                <w:kern w:val="0"/>
                <w:sz w:val="21"/>
                <w:szCs w:val="21"/>
                <w:highlight w:val="none"/>
                <w:lang w:val="en-US" w:eastAsia="zh-CN"/>
              </w:rPr>
              <w:t>VOCs排放量0.312t/a，满足现有总量指标要求。</w:t>
            </w:r>
          </w:p>
          <w:p>
            <w:pPr>
              <w:widowControl/>
              <w:spacing w:line="360" w:lineRule="auto"/>
              <w:ind w:firstLine="420" w:firstLineChars="200"/>
              <w:rPr>
                <w:rFonts w:hint="eastAsia"/>
              </w:rPr>
            </w:pPr>
            <w:r>
              <w:rPr>
                <w:rFonts w:hint="eastAsia"/>
                <w:lang w:eastAsia="zh-CN"/>
              </w:rPr>
              <w:t>五、</w:t>
            </w:r>
            <w:r>
              <w:rPr>
                <w:rFonts w:hint="eastAsia"/>
              </w:rPr>
              <w:t>搬迁后场地遗留问题及拟采取的环保措施</w:t>
            </w:r>
          </w:p>
          <w:p>
            <w:pPr>
              <w:widowControl/>
              <w:spacing w:line="360" w:lineRule="auto"/>
              <w:ind w:firstLine="420" w:firstLineChars="200"/>
              <w:rPr>
                <w:rFonts w:hint="eastAsia"/>
                <w:lang w:eastAsia="zh-CN"/>
              </w:rPr>
            </w:pPr>
            <w:r>
              <w:rPr>
                <w:rFonts w:hint="eastAsia"/>
              </w:rPr>
              <w:t>搬迁后主要遗留问题主要为生产场地内遗留的废旧金属及由于设备搬动对地面造成的硬化地面损伤，使地表土壤裸露。企业搬迁后应对生产场所遗留的废旧物料及废弃设备及时进行处理，并将土壤裸露部位进行硬化，降低后期进驻企业的环境污染</w:t>
            </w:r>
            <w:r>
              <w:rPr>
                <w:rFonts w:hint="eastAsia"/>
                <w:lang w:eastAsia="zh-CN"/>
              </w:rPr>
              <w:t>风险。</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widowControl/>
              <w:spacing w:line="360" w:lineRule="auto"/>
              <w:rPr>
                <w:rFonts w:hint="default" w:ascii="Times New Roman" w:hAnsi="Times New Roman" w:cs="Times New Roman"/>
                <w:szCs w:val="21"/>
              </w:rPr>
            </w:pPr>
          </w:p>
        </w:tc>
      </w:tr>
    </w:tbl>
    <w:p>
      <w:pPr>
        <w:pStyle w:val="80"/>
        <w:spacing w:line="420" w:lineRule="exact"/>
        <w:jc w:val="center"/>
        <w:rPr>
          <w:snapToGrid w:val="0"/>
          <w:sz w:val="36"/>
          <w:szCs w:val="36"/>
        </w:rPr>
        <w:sectPr>
          <w:pgSz w:w="11906" w:h="16838"/>
          <w:pgMar w:top="1701" w:right="1531" w:bottom="1701" w:left="1531" w:header="851" w:footer="851" w:gutter="0"/>
          <w:pgNumType w:fmt="numberInDash"/>
          <w:cols w:space="720" w:num="1"/>
          <w:docGrid w:linePitch="312" w:charSpace="0"/>
        </w:sectPr>
      </w:pPr>
    </w:p>
    <w:p>
      <w:pPr>
        <w:pStyle w:val="80"/>
        <w:spacing w:before="0" w:beforeAutospacing="0" w:after="0" w:afterAutospacing="0" w:line="420" w:lineRule="exact"/>
        <w:jc w:val="center"/>
        <w:outlineLvl w:val="0"/>
        <w:rPr>
          <w:rFonts w:hint="eastAsia" w:ascii="宋体" w:hAnsi="宋体" w:eastAsia="宋体" w:cs="宋体"/>
          <w:b/>
          <w:bCs/>
          <w:snapToGrid w:val="0"/>
          <w:sz w:val="30"/>
          <w:szCs w:val="30"/>
        </w:rPr>
      </w:pPr>
      <w:r>
        <w:rPr>
          <w:rFonts w:hint="eastAsia" w:ascii="宋体" w:hAnsi="宋体" w:eastAsia="宋体" w:cs="宋体"/>
          <w:b/>
          <w:bCs/>
          <w:snapToGrid w:val="0"/>
          <w:sz w:val="30"/>
          <w:szCs w:val="30"/>
        </w:rPr>
        <w:t>三、区域环境质量现状、环境保护目标及评价标准</w:t>
      </w:r>
    </w:p>
    <w:tbl>
      <w:tblPr>
        <w:tblStyle w:val="8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0" w:type="dxa"/>
            <w:tcBorders>
              <w:top w:val="single" w:color="auto" w:sz="8" w:space="0"/>
            </w:tcBorders>
            <w:vAlign w:val="center"/>
          </w:tcPr>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区域</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质量</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现状</w:t>
            </w:r>
          </w:p>
        </w:tc>
        <w:tc>
          <w:tcPr>
            <w:tcW w:w="8190" w:type="dxa"/>
            <w:tcBorders>
              <w:top w:val="single" w:color="auto" w:sz="8" w:space="0"/>
            </w:tcBorders>
            <w:vAlign w:val="center"/>
          </w:tcPr>
          <w:p>
            <w:pPr>
              <w:pStyle w:val="8"/>
              <w:spacing w:before="0" w:after="0" w:line="42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一、环境功能区划</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根据《淄博市城区环境空气质量功能区管理规定的通知》（淄政发[1999]113号）、关于印发《淄博市城区噪声标准适用区域划分及管理规定》的通知（淄政办字[2019]43号）及淄博市水资源管理办公室、淄博市水文局发布的《淄博市水功能区划》（2012.2），项目所在区域属于《环境空气质量标准》（GB3095-2012）及其修改单二级标准适用区；区域噪声执行《声环境质量标准》（GB3096-2008）的</w:t>
            </w:r>
            <w:r>
              <w:rPr>
                <w:rFonts w:hint="eastAsia" w:cs="Times New Roman"/>
                <w:szCs w:val="21"/>
                <w:lang w:val="en-US" w:eastAsia="zh-CN"/>
              </w:rPr>
              <w:t>3</w:t>
            </w:r>
            <w:r>
              <w:rPr>
                <w:rFonts w:hint="default" w:ascii="Times New Roman" w:hAnsi="Times New Roman" w:cs="Times New Roman"/>
                <w:szCs w:val="21"/>
              </w:rPr>
              <w:t>类标准；根据《淄博市地下水功能区划分及保护现状评价》，项目所在区的地下水环境执行《地下水质量标准》（GB/T14848-2017）Ⅲ类标准；区域地表水孝妇河执行《地表水环境质量标准》（GB3838-2002）V类标准。</w:t>
            </w:r>
          </w:p>
          <w:p>
            <w:pPr>
              <w:pStyle w:val="8"/>
              <w:spacing w:before="0" w:after="0" w:line="420" w:lineRule="exact"/>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二、环境质量现状</w:t>
            </w:r>
          </w:p>
          <w:p>
            <w:pPr>
              <w:pStyle w:val="10"/>
              <w:spacing w:before="0" w:after="0" w:line="420" w:lineRule="exact"/>
              <w:ind w:firstLine="482"/>
              <w:rPr>
                <w:rFonts w:hint="default" w:ascii="Times New Roman" w:hAnsi="Times New Roman" w:cs="Times New Roman"/>
                <w:b w:val="0"/>
                <w:bCs w:val="0"/>
                <w:sz w:val="21"/>
                <w:szCs w:val="21"/>
              </w:rPr>
            </w:pPr>
            <w:r>
              <w:rPr>
                <w:rFonts w:hint="default" w:ascii="Times New Roman" w:hAnsi="Times New Roman" w:eastAsia="黑体" w:cs="Times New Roman"/>
                <w:b w:val="0"/>
                <w:bCs w:val="0"/>
                <w:sz w:val="21"/>
                <w:szCs w:val="21"/>
              </w:rPr>
              <w:t>1、环境空气质</w:t>
            </w:r>
            <w:r>
              <w:rPr>
                <w:rFonts w:hint="default" w:ascii="Times New Roman" w:hAnsi="Times New Roman" w:cs="Times New Roman"/>
                <w:b w:val="0"/>
                <w:bCs w:val="0"/>
                <w:sz w:val="21"/>
                <w:szCs w:val="21"/>
              </w:rPr>
              <w:t>量</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（1）基本污染物</w:t>
            </w:r>
          </w:p>
          <w:p>
            <w:pPr>
              <w:widowControl/>
              <w:spacing w:line="360" w:lineRule="auto"/>
              <w:ind w:firstLine="420" w:firstLineChars="200"/>
              <w:rPr>
                <w:rFonts w:hint="default" w:ascii="Times New Roman" w:hAnsi="Times New Roman" w:cs="Times New Roman"/>
                <w:color w:val="000000"/>
                <w:kern w:val="0"/>
                <w:szCs w:val="21"/>
                <w:lang w:bidi="ar"/>
              </w:rPr>
            </w:pPr>
            <w:bookmarkStart w:id="6" w:name="_Hlk88550716"/>
            <w:r>
              <w:rPr>
                <w:rFonts w:hint="default" w:ascii="Times New Roman" w:hAnsi="Times New Roman" w:cs="Times New Roman"/>
                <w:color w:val="000000"/>
                <w:kern w:val="0"/>
                <w:szCs w:val="21"/>
                <w:lang w:bidi="ar"/>
              </w:rPr>
              <w:t>根据淄博市生态环境委员会办公室发布的《生态淄博建设工作简报-202</w:t>
            </w:r>
            <w:r>
              <w:rPr>
                <w:rFonts w:hint="eastAsia" w:cs="Times New Roman"/>
                <w:color w:val="000000"/>
                <w:kern w:val="0"/>
                <w:szCs w:val="21"/>
                <w:lang w:val="en-US" w:eastAsia="zh-CN" w:bidi="ar"/>
              </w:rPr>
              <w:t>1</w:t>
            </w:r>
            <w:r>
              <w:rPr>
                <w:rFonts w:hint="default" w:ascii="Times New Roman" w:hAnsi="Times New Roman" w:cs="Times New Roman"/>
                <w:color w:val="000000"/>
                <w:kern w:val="0"/>
                <w:szCs w:val="21"/>
                <w:lang w:bidi="ar"/>
              </w:rPr>
              <w:t>年 12月份及全年环境质量情况通报》(202</w:t>
            </w:r>
            <w:r>
              <w:rPr>
                <w:rFonts w:hint="eastAsia" w:cs="Times New Roman"/>
                <w:color w:val="000000"/>
                <w:kern w:val="0"/>
                <w:szCs w:val="21"/>
                <w:lang w:val="en-US" w:eastAsia="zh-CN" w:bidi="ar"/>
              </w:rPr>
              <w:t>2</w:t>
            </w:r>
            <w:r>
              <w:rPr>
                <w:rFonts w:hint="default" w:ascii="Times New Roman" w:hAnsi="Times New Roman" w:cs="Times New Roman"/>
                <w:color w:val="000000"/>
                <w:kern w:val="0"/>
                <w:szCs w:val="21"/>
                <w:lang w:bidi="ar"/>
              </w:rPr>
              <w:t>年第1期)，202</w:t>
            </w:r>
            <w:r>
              <w:rPr>
                <w:rFonts w:hint="eastAsia" w:cs="Times New Roman"/>
                <w:color w:val="000000"/>
                <w:kern w:val="0"/>
                <w:szCs w:val="21"/>
                <w:lang w:val="en-US" w:eastAsia="zh-CN" w:bidi="ar"/>
              </w:rPr>
              <w:t>1</w:t>
            </w:r>
            <w:r>
              <w:rPr>
                <w:rFonts w:hint="default" w:ascii="Times New Roman" w:hAnsi="Times New Roman" w:cs="Times New Roman"/>
                <w:color w:val="000000"/>
                <w:kern w:val="0"/>
                <w:szCs w:val="21"/>
                <w:lang w:bidi="ar"/>
              </w:rPr>
              <w:t>年，淄川区SO</w:t>
            </w:r>
            <w:r>
              <w:rPr>
                <w:rFonts w:hint="default" w:ascii="Times New Roman" w:hAnsi="Times New Roman" w:cs="Times New Roman"/>
                <w:color w:val="000000"/>
                <w:kern w:val="0"/>
                <w:szCs w:val="21"/>
                <w:vertAlign w:val="subscript"/>
                <w:lang w:bidi="ar"/>
              </w:rPr>
              <w:t>2</w:t>
            </w:r>
            <w:r>
              <w:rPr>
                <w:rFonts w:hint="default" w:ascii="Times New Roman" w:hAnsi="Times New Roman" w:cs="Times New Roman"/>
                <w:color w:val="000000"/>
                <w:kern w:val="0"/>
                <w:szCs w:val="21"/>
                <w:lang w:bidi="ar"/>
              </w:rPr>
              <w:t>、NO</w:t>
            </w:r>
            <w:r>
              <w:rPr>
                <w:rFonts w:hint="default" w:ascii="Times New Roman" w:hAnsi="Times New Roman" w:cs="Times New Roman"/>
                <w:color w:val="000000"/>
                <w:kern w:val="0"/>
                <w:szCs w:val="21"/>
                <w:vertAlign w:val="subscript"/>
                <w:lang w:bidi="ar"/>
              </w:rPr>
              <w:t>2</w:t>
            </w:r>
            <w:r>
              <w:rPr>
                <w:rFonts w:hint="default" w:ascii="Times New Roman" w:hAnsi="Times New Roman" w:cs="Times New Roman"/>
                <w:color w:val="000000"/>
                <w:kern w:val="0"/>
                <w:szCs w:val="21"/>
                <w:lang w:bidi="ar"/>
              </w:rPr>
              <w:t>年均浓度满足《环境空气质量标准》（GB3095-2012）二级标准要求；PM</w:t>
            </w:r>
            <w:r>
              <w:rPr>
                <w:rFonts w:hint="default" w:ascii="Times New Roman" w:hAnsi="Times New Roman" w:cs="Times New Roman"/>
                <w:color w:val="000000"/>
                <w:kern w:val="0"/>
                <w:szCs w:val="21"/>
                <w:vertAlign w:val="subscript"/>
                <w:lang w:bidi="ar"/>
              </w:rPr>
              <w:t xml:space="preserve"> 2.5</w:t>
            </w:r>
            <w:r>
              <w:rPr>
                <w:rFonts w:hint="default" w:ascii="Times New Roman" w:hAnsi="Times New Roman" w:cs="Times New Roman"/>
                <w:color w:val="000000"/>
                <w:kern w:val="0"/>
                <w:szCs w:val="21"/>
                <w:lang w:bidi="ar"/>
              </w:rPr>
              <w:t>、PM</w:t>
            </w:r>
            <w:r>
              <w:rPr>
                <w:rFonts w:hint="default" w:ascii="Times New Roman" w:hAnsi="Times New Roman" w:cs="Times New Roman"/>
                <w:color w:val="000000"/>
                <w:kern w:val="0"/>
                <w:szCs w:val="21"/>
                <w:vertAlign w:val="subscript"/>
                <w:lang w:bidi="ar"/>
              </w:rPr>
              <w:t>10</w:t>
            </w:r>
            <w:r>
              <w:rPr>
                <w:rFonts w:hint="eastAsia" w:cs="Times New Roman"/>
                <w:color w:val="000000"/>
                <w:kern w:val="0"/>
                <w:szCs w:val="21"/>
                <w:vertAlign w:val="subscript"/>
                <w:lang w:eastAsia="zh-CN" w:bidi="ar"/>
              </w:rPr>
              <w:t>、</w:t>
            </w:r>
            <w:r>
              <w:rPr>
                <w:rFonts w:hint="default" w:ascii="Times New Roman" w:hAnsi="Times New Roman" w:cs="Times New Roman"/>
                <w:color w:val="000000"/>
                <w:kern w:val="0"/>
                <w:szCs w:val="21"/>
                <w:lang w:bidi="ar"/>
              </w:rPr>
              <w:t>O</w:t>
            </w:r>
            <w:r>
              <w:rPr>
                <w:rFonts w:hint="default" w:ascii="Times New Roman" w:hAnsi="Times New Roman" w:cs="Times New Roman"/>
                <w:color w:val="000000"/>
                <w:kern w:val="0"/>
                <w:szCs w:val="21"/>
                <w:vertAlign w:val="subscript"/>
                <w:lang w:bidi="ar"/>
              </w:rPr>
              <w:t>3</w:t>
            </w:r>
            <w:r>
              <w:rPr>
                <w:rFonts w:hint="default" w:ascii="Times New Roman" w:hAnsi="Times New Roman" w:cs="Times New Roman"/>
                <w:color w:val="000000"/>
                <w:kern w:val="0"/>
                <w:szCs w:val="21"/>
                <w:lang w:bidi="ar"/>
              </w:rPr>
              <w:t>的年均浓度不能满足标准要求，项目处于不达标区。</w:t>
            </w:r>
          </w:p>
          <w:p>
            <w:pPr>
              <w:widowControl/>
              <w:spacing w:line="360" w:lineRule="auto"/>
              <w:ind w:firstLine="420" w:firstLineChars="200"/>
              <w:rPr>
                <w:rFonts w:hint="default" w:ascii="Times New Roman" w:hAnsi="Times New Roman" w:cs="Times New Roman"/>
                <w:szCs w:val="21"/>
              </w:rPr>
            </w:pPr>
            <w:r>
              <w:rPr>
                <w:rFonts w:hint="default" w:ascii="Times New Roman" w:hAnsi="Times New Roman" w:cs="Times New Roman"/>
                <w:color w:val="000000"/>
                <w:kern w:val="0"/>
                <w:szCs w:val="21"/>
                <w:lang w:bidi="ar"/>
              </w:rPr>
              <w:t>本次评价同时收集了距离项目最近的淄川气象站例行监测点（项目S</w:t>
            </w:r>
            <w:r>
              <w:rPr>
                <w:rFonts w:hint="eastAsia" w:cs="Times New Roman"/>
                <w:color w:val="000000"/>
                <w:kern w:val="0"/>
                <w:szCs w:val="21"/>
                <w:lang w:val="en-US" w:eastAsia="zh-CN" w:bidi="ar"/>
              </w:rPr>
              <w:t>E</w:t>
            </w:r>
            <w:r>
              <w:rPr>
                <w:rFonts w:hint="default" w:ascii="Times New Roman" w:hAnsi="Times New Roman" w:cs="Times New Roman"/>
                <w:color w:val="000000"/>
                <w:kern w:val="0"/>
                <w:szCs w:val="21"/>
                <w:lang w:bidi="ar"/>
              </w:rPr>
              <w:t>方向</w:t>
            </w:r>
            <w:r>
              <w:rPr>
                <w:rFonts w:hint="eastAsia" w:cs="Times New Roman"/>
                <w:color w:val="000000"/>
                <w:kern w:val="0"/>
                <w:szCs w:val="21"/>
                <w:highlight w:val="none"/>
                <w:lang w:val="en-US" w:eastAsia="zh-CN" w:bidi="ar"/>
              </w:rPr>
              <w:t>3.7</w:t>
            </w:r>
            <w:r>
              <w:rPr>
                <w:rFonts w:hint="default" w:ascii="Times New Roman" w:hAnsi="Times New Roman" w:cs="Times New Roman"/>
                <w:color w:val="000000"/>
                <w:kern w:val="0"/>
                <w:szCs w:val="21"/>
                <w:highlight w:val="none"/>
                <w:lang w:bidi="ar"/>
              </w:rPr>
              <w:t>km）</w:t>
            </w:r>
            <w:r>
              <w:rPr>
                <w:rFonts w:hint="default" w:ascii="Times New Roman" w:hAnsi="Times New Roman" w:cs="Times New Roman"/>
                <w:color w:val="000000"/>
                <w:kern w:val="0"/>
                <w:szCs w:val="21"/>
                <w:lang w:bidi="ar"/>
              </w:rPr>
              <w:t>202</w:t>
            </w:r>
            <w:r>
              <w:rPr>
                <w:rFonts w:hint="eastAsia" w:cs="Times New Roman"/>
                <w:color w:val="000000"/>
                <w:kern w:val="0"/>
                <w:szCs w:val="21"/>
                <w:lang w:val="en-US" w:eastAsia="zh-CN" w:bidi="ar"/>
              </w:rPr>
              <w:t>1</w:t>
            </w:r>
            <w:r>
              <w:rPr>
                <w:rFonts w:hint="default" w:ascii="Times New Roman" w:hAnsi="Times New Roman" w:cs="Times New Roman"/>
                <w:color w:val="000000"/>
                <w:kern w:val="0"/>
                <w:szCs w:val="21"/>
                <w:lang w:bidi="ar"/>
              </w:rPr>
              <w:t>年连续一年的监测数据，数据统计及评价情况见表</w:t>
            </w:r>
            <w:r>
              <w:rPr>
                <w:rFonts w:hint="default" w:ascii="Times New Roman" w:hAnsi="Times New Roman" w:cs="Times New Roman"/>
                <w:szCs w:val="21"/>
              </w:rPr>
              <w:t>：</w:t>
            </w:r>
          </w:p>
          <w:p>
            <w:pPr>
              <w:pStyle w:val="1383"/>
              <w:adjustRightInd w:val="0"/>
              <w:snapToGrid w:val="0"/>
              <w:spacing w:line="240" w:lineRule="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表3-1 淄川区气象站例行点基本污染物监测数据统计及评价结果一览表（202</w:t>
            </w:r>
            <w:r>
              <w:rPr>
                <w:rFonts w:hint="eastAsia" w:ascii="Times New Roman" w:hAnsi="Times New Roman" w:eastAsia="宋体" w:cs="Times New Roman"/>
                <w:b/>
                <w:bCs/>
                <w:spacing w:val="-6"/>
                <w:sz w:val="21"/>
                <w:szCs w:val="21"/>
                <w:lang w:val="en-US" w:eastAsia="zh-CN"/>
              </w:rPr>
              <w:t>1</w:t>
            </w:r>
            <w:r>
              <w:rPr>
                <w:rFonts w:hint="default" w:ascii="Times New Roman" w:hAnsi="Times New Roman" w:eastAsia="宋体" w:cs="Times New Roman"/>
                <w:b/>
                <w:bCs/>
                <w:spacing w:val="-6"/>
                <w:sz w:val="21"/>
                <w:szCs w:val="21"/>
              </w:rPr>
              <w:t>年）</w:t>
            </w:r>
          </w:p>
          <w:tbl>
            <w:tblPr>
              <w:tblStyle w:val="8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685"/>
              <w:gridCol w:w="686"/>
              <w:gridCol w:w="2787"/>
              <w:gridCol w:w="762"/>
              <w:gridCol w:w="762"/>
              <w:gridCol w:w="762"/>
              <w:gridCol w:w="760"/>
              <w:gridCol w:w="7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424" w:hRule="atLeast"/>
              </w:trPr>
              <w:tc>
                <w:tcPr>
                  <w:tcW w:w="904"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污染物</w:t>
                  </w:r>
                </w:p>
              </w:tc>
              <w:tc>
                <w:tcPr>
                  <w:tcW w:w="905"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单位</w:t>
                  </w:r>
                </w:p>
              </w:tc>
              <w:tc>
                <w:tcPr>
                  <w:tcW w:w="3702"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年评价指标</w:t>
                  </w:r>
                </w:p>
              </w:tc>
              <w:tc>
                <w:tcPr>
                  <w:tcW w:w="1007"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现状浓度</w:t>
                  </w:r>
                </w:p>
              </w:tc>
              <w:tc>
                <w:tcPr>
                  <w:tcW w:w="1007"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评价标准</w:t>
                  </w:r>
                </w:p>
              </w:tc>
              <w:tc>
                <w:tcPr>
                  <w:tcW w:w="1007" w:type="dxa"/>
                  <w:shd w:val="clear" w:color="000000" w:fill="FFFFFF"/>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占标率</w:t>
                  </w:r>
                </w:p>
              </w:tc>
              <w:tc>
                <w:tcPr>
                  <w:tcW w:w="1005"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达标</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情况</w:t>
                  </w:r>
                </w:p>
              </w:tc>
              <w:tc>
                <w:tcPr>
                  <w:tcW w:w="1005"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lang w:eastAsia="zh-CN"/>
                    </w:rPr>
                  </w:pPr>
                  <w:r>
                    <w:rPr>
                      <w:rFonts w:hint="default" w:ascii="Times New Roman" w:hAnsi="Times New Roman" w:eastAsia="宋体" w:cs="Times New Roman"/>
                      <w:kern w:val="0"/>
                      <w:sz w:val="18"/>
                      <w:szCs w:val="18"/>
                      <w:lang w:eastAsia="zh-CN"/>
                    </w:rPr>
                    <w:t>达标区判定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SO</w:t>
                  </w:r>
                  <w:r>
                    <w:rPr>
                      <w:rFonts w:hint="default" w:ascii="Times New Roman" w:hAnsi="Times New Roman" w:eastAsia="宋体" w:cs="Times New Roman"/>
                      <w:kern w:val="0"/>
                      <w:sz w:val="18"/>
                      <w:szCs w:val="18"/>
                      <w:vertAlign w:val="subscript"/>
                    </w:rPr>
                    <w:t>2</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μg/m</w:t>
                  </w:r>
                  <w:r>
                    <w:rPr>
                      <w:rFonts w:hint="default" w:ascii="Times New Roman" w:hAnsi="Times New Roman" w:eastAsia="宋体" w:cs="Times New Roman"/>
                      <w:kern w:val="0"/>
                      <w:sz w:val="18"/>
                      <w:szCs w:val="18"/>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val="en-US" w:eastAsia="zh-CN"/>
                    </w:rPr>
                    <w:t>6</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60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26.67</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达标</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Cs/>
                      <w:color w:val="auto"/>
                      <w:sz w:val="18"/>
                      <w:szCs w:val="18"/>
                      <w:highlight w:val="none"/>
                      <w:lang w:eastAsia="zh-CN"/>
                    </w:rPr>
                    <w:t>不达标区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98%保证率日平均浓度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（共36</w:t>
                  </w: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eastAsia="zh-CN"/>
                    </w:rPr>
                    <w:t>个有效数据，第35</w:t>
                  </w:r>
                  <w:r>
                    <w:rPr>
                      <w:rFonts w:hint="default"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39</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150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26.00</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NO</w:t>
                  </w:r>
                  <w:r>
                    <w:rPr>
                      <w:rFonts w:hint="default" w:ascii="Times New Roman" w:hAnsi="Times New Roman" w:eastAsia="宋体" w:cs="Times New Roman"/>
                      <w:kern w:val="0"/>
                      <w:sz w:val="18"/>
                      <w:szCs w:val="18"/>
                      <w:vertAlign w:val="subscript"/>
                    </w:rPr>
                    <w:t>2</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μg/m</w:t>
                  </w:r>
                  <w:r>
                    <w:rPr>
                      <w:rFonts w:hint="default" w:ascii="Times New Roman" w:hAnsi="Times New Roman" w:eastAsia="宋体" w:cs="Times New Roman"/>
                      <w:kern w:val="0"/>
                      <w:sz w:val="18"/>
                      <w:szCs w:val="18"/>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3</w:t>
                  </w:r>
                  <w:r>
                    <w:rPr>
                      <w:rFonts w:hint="default" w:ascii="Times New Roman" w:hAnsi="Times New Roman" w:eastAsia="宋体" w:cs="Times New Roman"/>
                      <w:sz w:val="18"/>
                      <w:szCs w:val="18"/>
                      <w:lang w:val="en-US" w:eastAsia="zh-CN"/>
                    </w:rPr>
                    <w:t>3</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40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8</w:t>
                  </w:r>
                  <w:r>
                    <w:rPr>
                      <w:rFonts w:hint="default" w:ascii="Times New Roman" w:hAnsi="Times New Roman" w:eastAsia="宋体" w:cs="Times New Roman"/>
                      <w:sz w:val="18"/>
                      <w:szCs w:val="18"/>
                      <w:lang w:val="en-US" w:eastAsia="zh-CN"/>
                    </w:rPr>
                    <w:t>2.50</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sz w:val="18"/>
                      <w:szCs w:val="18"/>
                    </w:rPr>
                    <w:t>达标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98%保证率日平均浓度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（共</w:t>
                  </w:r>
                  <w:r>
                    <w:rPr>
                      <w:rFonts w:hint="default" w:ascii="Times New Roman" w:hAnsi="Times New Roman" w:eastAsia="宋体" w:cs="Times New Roman"/>
                      <w:spacing w:val="-53"/>
                      <w:sz w:val="18"/>
                      <w:szCs w:val="18"/>
                      <w:lang w:eastAsia="zh-CN"/>
                    </w:rPr>
                    <w:t xml:space="preserve"> </w:t>
                  </w:r>
                  <w:r>
                    <w:rPr>
                      <w:rFonts w:hint="default" w:ascii="Times New Roman" w:hAnsi="Times New Roman" w:eastAsia="宋体" w:cs="Times New Roman"/>
                      <w:sz w:val="18"/>
                      <w:szCs w:val="18"/>
                      <w:lang w:eastAsia="zh-CN"/>
                    </w:rPr>
                    <w:t>36</w:t>
                  </w: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eastAsia="zh-CN"/>
                    </w:rPr>
                    <w:t>个有效数据，第</w:t>
                  </w:r>
                  <w:r>
                    <w:rPr>
                      <w:rFonts w:hint="default" w:ascii="Times New Roman" w:hAnsi="Times New Roman" w:eastAsia="宋体" w:cs="Times New Roman"/>
                      <w:spacing w:val="-55"/>
                      <w:sz w:val="18"/>
                      <w:szCs w:val="18"/>
                      <w:lang w:eastAsia="zh-CN"/>
                    </w:rPr>
                    <w:t xml:space="preserve"> </w:t>
                  </w:r>
                  <w:r>
                    <w:rPr>
                      <w:rFonts w:hint="default" w:ascii="Times New Roman" w:hAnsi="Times New Roman" w:eastAsia="宋体" w:cs="Times New Roman"/>
                      <w:sz w:val="18"/>
                      <w:szCs w:val="18"/>
                      <w:lang w:eastAsia="zh-CN"/>
                    </w:rPr>
                    <w:t>35</w:t>
                  </w:r>
                  <w:r>
                    <w:rPr>
                      <w:rFonts w:hint="default" w:ascii="Times New Roman" w:hAnsi="Times New Roman" w:eastAsia="宋体" w:cs="Times New Roman"/>
                      <w:sz w:val="18"/>
                      <w:szCs w:val="18"/>
                      <w:lang w:val="en-US" w:eastAsia="zh-CN"/>
                    </w:rPr>
                    <w:t>8</w:t>
                  </w:r>
                  <w:r>
                    <w:rPr>
                      <w:rFonts w:hint="default" w:ascii="Times New Roman" w:hAnsi="Times New Roman" w:eastAsia="宋体" w:cs="Times New Roman"/>
                      <w:sz w:val="18"/>
                      <w:szCs w:val="18"/>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73</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80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91.25</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PM</w:t>
                  </w:r>
                  <w:r>
                    <w:rPr>
                      <w:rFonts w:hint="default" w:ascii="Times New Roman" w:hAnsi="Times New Roman" w:eastAsia="宋体" w:cs="Times New Roman"/>
                      <w:kern w:val="0"/>
                      <w:sz w:val="18"/>
                      <w:szCs w:val="18"/>
                      <w:vertAlign w:val="subscript"/>
                    </w:rPr>
                    <w:t>10</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μg/m</w:t>
                  </w:r>
                  <w:r>
                    <w:rPr>
                      <w:rFonts w:hint="default" w:ascii="Times New Roman" w:hAnsi="Times New Roman" w:eastAsia="宋体" w:cs="Times New Roman"/>
                      <w:kern w:val="0"/>
                      <w:sz w:val="18"/>
                      <w:szCs w:val="18"/>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85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70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val="en-US" w:eastAsia="zh-CN"/>
                    </w:rPr>
                    <w:t>21.43</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bCs/>
                      <w:sz w:val="18"/>
                      <w:szCs w:val="18"/>
                    </w:rPr>
                    <w:t>超标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95%保证率日平均浓度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（共</w:t>
                  </w:r>
                  <w:r>
                    <w:rPr>
                      <w:rFonts w:hint="default" w:ascii="Times New Roman" w:hAnsi="Times New Roman" w:eastAsia="宋体" w:cs="Times New Roman"/>
                      <w:spacing w:val="-53"/>
                      <w:sz w:val="18"/>
                      <w:szCs w:val="18"/>
                      <w:lang w:eastAsia="zh-CN"/>
                    </w:rPr>
                    <w:t xml:space="preserve"> </w:t>
                  </w:r>
                  <w:r>
                    <w:rPr>
                      <w:rFonts w:hint="default" w:ascii="Times New Roman" w:hAnsi="Times New Roman" w:eastAsia="宋体" w:cs="Times New Roman"/>
                      <w:sz w:val="18"/>
                      <w:szCs w:val="18"/>
                      <w:lang w:eastAsia="zh-CN"/>
                    </w:rPr>
                    <w:t>36</w:t>
                  </w: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eastAsia="zh-CN"/>
                    </w:rPr>
                    <w:t>个有效数据，第</w:t>
                  </w:r>
                  <w:r>
                    <w:rPr>
                      <w:rFonts w:hint="default" w:ascii="Times New Roman" w:hAnsi="Times New Roman" w:eastAsia="宋体" w:cs="Times New Roman"/>
                      <w:spacing w:val="-55"/>
                      <w:sz w:val="18"/>
                      <w:szCs w:val="18"/>
                      <w:lang w:eastAsia="zh-CN"/>
                    </w:rPr>
                    <w:t xml:space="preserve"> </w:t>
                  </w:r>
                  <w:r>
                    <w:rPr>
                      <w:rFonts w:hint="default" w:ascii="Times New Roman" w:hAnsi="Times New Roman" w:eastAsia="宋体" w:cs="Times New Roman"/>
                      <w:sz w:val="18"/>
                      <w:szCs w:val="18"/>
                      <w:lang w:eastAsia="zh-CN"/>
                    </w:rPr>
                    <w:t>3</w:t>
                  </w:r>
                  <w:r>
                    <w:rPr>
                      <w:rFonts w:hint="default" w:ascii="Times New Roman" w:hAnsi="Times New Roman" w:eastAsia="宋体" w:cs="Times New Roman"/>
                      <w:sz w:val="18"/>
                      <w:szCs w:val="18"/>
                      <w:lang w:val="en-US" w:eastAsia="zh-CN"/>
                    </w:rPr>
                    <w:t>47</w:t>
                  </w:r>
                  <w:r>
                    <w:rPr>
                      <w:rFonts w:hint="default" w:ascii="Times New Roman" w:hAnsi="Times New Roman" w:eastAsia="宋体" w:cs="Times New Roman"/>
                      <w:sz w:val="18"/>
                      <w:szCs w:val="18"/>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2</w:t>
                  </w:r>
                  <w:r>
                    <w:rPr>
                      <w:rFonts w:hint="default" w:ascii="Times New Roman" w:hAnsi="Times New Roman" w:eastAsia="宋体" w:cs="Times New Roman"/>
                      <w:sz w:val="18"/>
                      <w:szCs w:val="18"/>
                      <w:lang w:val="en-US" w:eastAsia="zh-CN"/>
                    </w:rPr>
                    <w:t>17</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150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val="en-US" w:eastAsia="zh-CN"/>
                    </w:rPr>
                    <w:t>44.67</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PM</w:t>
                  </w:r>
                  <w:r>
                    <w:rPr>
                      <w:rFonts w:hint="default" w:ascii="Times New Roman" w:hAnsi="Times New Roman" w:eastAsia="宋体" w:cs="Times New Roman"/>
                      <w:kern w:val="0"/>
                      <w:sz w:val="18"/>
                      <w:szCs w:val="18"/>
                      <w:vertAlign w:val="subscript"/>
                    </w:rPr>
                    <w:t>2.5</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μg/m</w:t>
                  </w:r>
                  <w:r>
                    <w:rPr>
                      <w:rFonts w:hint="default" w:ascii="Times New Roman" w:hAnsi="Times New Roman" w:eastAsia="宋体" w:cs="Times New Roman"/>
                      <w:kern w:val="0"/>
                      <w:sz w:val="18"/>
                      <w:szCs w:val="18"/>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46</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35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val="en-US" w:eastAsia="zh-CN"/>
                    </w:rPr>
                    <w:t>31.43</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sz w:val="18"/>
                      <w:szCs w:val="18"/>
                    </w:rPr>
                  </w:pPr>
                  <w:r>
                    <w:rPr>
                      <w:rFonts w:hint="default" w:ascii="Times New Roman" w:hAnsi="Times New Roman" w:eastAsia="宋体" w:cs="Times New Roman"/>
                      <w:b/>
                      <w:bCs/>
                      <w:sz w:val="18"/>
                      <w:szCs w:val="18"/>
                    </w:rPr>
                    <w:t>超标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95%保证率日平均浓度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（共</w:t>
                  </w:r>
                  <w:r>
                    <w:rPr>
                      <w:rFonts w:hint="default" w:ascii="Times New Roman" w:hAnsi="Times New Roman" w:eastAsia="宋体" w:cs="Times New Roman"/>
                      <w:spacing w:val="-53"/>
                      <w:sz w:val="18"/>
                      <w:szCs w:val="18"/>
                      <w:lang w:eastAsia="zh-CN"/>
                    </w:rPr>
                    <w:t xml:space="preserve"> </w:t>
                  </w:r>
                  <w:r>
                    <w:rPr>
                      <w:rFonts w:hint="default" w:ascii="Times New Roman" w:hAnsi="Times New Roman" w:eastAsia="宋体" w:cs="Times New Roman"/>
                      <w:sz w:val="18"/>
                      <w:szCs w:val="18"/>
                      <w:lang w:eastAsia="zh-CN"/>
                    </w:rPr>
                    <w:t>3</w:t>
                  </w:r>
                  <w:r>
                    <w:rPr>
                      <w:rFonts w:hint="default" w:ascii="Times New Roman" w:hAnsi="Times New Roman" w:eastAsia="宋体" w:cs="Times New Roman"/>
                      <w:sz w:val="18"/>
                      <w:szCs w:val="18"/>
                      <w:lang w:val="en-US" w:eastAsia="zh-CN"/>
                    </w:rPr>
                    <w:t>64</w:t>
                  </w:r>
                  <w:r>
                    <w:rPr>
                      <w:rFonts w:hint="default" w:ascii="Times New Roman" w:hAnsi="Times New Roman" w:eastAsia="宋体" w:cs="Times New Roman"/>
                      <w:sz w:val="18"/>
                      <w:szCs w:val="18"/>
                      <w:lang w:eastAsia="zh-CN"/>
                    </w:rPr>
                    <w:t>个有效数据，第</w:t>
                  </w:r>
                  <w:r>
                    <w:rPr>
                      <w:rFonts w:hint="default" w:ascii="Times New Roman" w:hAnsi="Times New Roman" w:eastAsia="宋体" w:cs="Times New Roman"/>
                      <w:spacing w:val="-55"/>
                      <w:sz w:val="18"/>
                      <w:szCs w:val="18"/>
                      <w:lang w:eastAsia="zh-CN"/>
                    </w:rPr>
                    <w:t xml:space="preserve"> </w:t>
                  </w:r>
                  <w:r>
                    <w:rPr>
                      <w:rFonts w:hint="default" w:ascii="Times New Roman" w:hAnsi="Times New Roman" w:eastAsia="宋体" w:cs="Times New Roman"/>
                      <w:sz w:val="18"/>
                      <w:szCs w:val="18"/>
                      <w:lang w:eastAsia="zh-CN"/>
                    </w:rPr>
                    <w:t>3</w:t>
                  </w:r>
                  <w:r>
                    <w:rPr>
                      <w:rFonts w:hint="default" w:ascii="Times New Roman" w:hAnsi="Times New Roman" w:eastAsia="宋体" w:cs="Times New Roman"/>
                      <w:sz w:val="18"/>
                      <w:szCs w:val="18"/>
                      <w:lang w:val="en-US" w:eastAsia="zh-CN"/>
                    </w:rPr>
                    <w:t>46</w:t>
                  </w:r>
                  <w:r>
                    <w:rPr>
                      <w:rFonts w:hint="default" w:ascii="Times New Roman" w:hAnsi="Times New Roman" w:eastAsia="宋体" w:cs="Times New Roman"/>
                      <w:sz w:val="18"/>
                      <w:szCs w:val="18"/>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11</w:t>
                  </w:r>
                  <w:r>
                    <w:rPr>
                      <w:rFonts w:hint="default" w:ascii="Times New Roman" w:hAnsi="Times New Roman" w:eastAsia="宋体" w:cs="Times New Roman"/>
                      <w:sz w:val="18"/>
                      <w:szCs w:val="18"/>
                      <w:lang w:val="en-US" w:eastAsia="zh-CN"/>
                    </w:rPr>
                    <w:t>6</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75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val="en-US" w:eastAsia="zh-CN"/>
                    </w:rPr>
                    <w:t>54.67</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CO</w:t>
                  </w:r>
                </w:p>
              </w:tc>
              <w:tc>
                <w:tcPr>
                  <w:tcW w:w="90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mg/m</w:t>
                  </w:r>
                  <w:r>
                    <w:rPr>
                      <w:rFonts w:hint="default" w:ascii="Times New Roman" w:hAnsi="Times New Roman" w:eastAsia="宋体" w:cs="Times New Roman"/>
                      <w:kern w:val="0"/>
                      <w:sz w:val="18"/>
                      <w:szCs w:val="18"/>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95%保证率日平均浓度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（共</w:t>
                  </w:r>
                  <w:r>
                    <w:rPr>
                      <w:rFonts w:hint="default" w:ascii="Times New Roman" w:hAnsi="Times New Roman" w:eastAsia="宋体" w:cs="Times New Roman"/>
                      <w:spacing w:val="-53"/>
                      <w:sz w:val="18"/>
                      <w:szCs w:val="18"/>
                      <w:lang w:eastAsia="zh-CN"/>
                    </w:rPr>
                    <w:t xml:space="preserve"> </w:t>
                  </w:r>
                  <w:r>
                    <w:rPr>
                      <w:rFonts w:hint="default" w:ascii="Times New Roman" w:hAnsi="Times New Roman" w:eastAsia="宋体" w:cs="Times New Roman"/>
                      <w:sz w:val="18"/>
                      <w:szCs w:val="18"/>
                      <w:lang w:eastAsia="zh-CN"/>
                    </w:rPr>
                    <w:t>36</w:t>
                  </w: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eastAsia="zh-CN"/>
                    </w:rPr>
                    <w:t>个有效数据，第</w:t>
                  </w:r>
                  <w:r>
                    <w:rPr>
                      <w:rFonts w:hint="default" w:ascii="Times New Roman" w:hAnsi="Times New Roman" w:eastAsia="宋体" w:cs="Times New Roman"/>
                      <w:spacing w:val="-55"/>
                      <w:sz w:val="18"/>
                      <w:szCs w:val="18"/>
                      <w:lang w:eastAsia="zh-CN"/>
                    </w:rPr>
                    <w:t xml:space="preserve"> </w:t>
                  </w:r>
                  <w:r>
                    <w:rPr>
                      <w:rFonts w:hint="default" w:ascii="Times New Roman" w:hAnsi="Times New Roman" w:eastAsia="宋体" w:cs="Times New Roman"/>
                      <w:sz w:val="18"/>
                      <w:szCs w:val="18"/>
                      <w:lang w:eastAsia="zh-CN"/>
                    </w:rPr>
                    <w:t>347大值）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1.5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4</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37.50</w:t>
                  </w:r>
                </w:p>
              </w:tc>
              <w:tc>
                <w:tcPr>
                  <w:tcW w:w="1005"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达标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O</w:t>
                  </w:r>
                  <w:r>
                    <w:rPr>
                      <w:rFonts w:hint="default" w:ascii="Times New Roman" w:hAnsi="Times New Roman" w:eastAsia="宋体" w:cs="Times New Roman"/>
                      <w:kern w:val="0"/>
                      <w:sz w:val="18"/>
                      <w:szCs w:val="18"/>
                      <w:vertAlign w:val="subscript"/>
                    </w:rPr>
                    <w:t>3</w:t>
                  </w:r>
                </w:p>
              </w:tc>
              <w:tc>
                <w:tcPr>
                  <w:tcW w:w="90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μg/m</w:t>
                  </w:r>
                  <w:r>
                    <w:rPr>
                      <w:rFonts w:hint="default" w:ascii="Times New Roman" w:hAnsi="Times New Roman" w:eastAsia="宋体" w:cs="Times New Roman"/>
                      <w:kern w:val="0"/>
                      <w:sz w:val="18"/>
                      <w:szCs w:val="18"/>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90%保证率日最大</w:t>
                  </w:r>
                  <w:r>
                    <w:rPr>
                      <w:rFonts w:hint="default" w:ascii="Times New Roman" w:hAnsi="Times New Roman" w:eastAsia="宋体" w:cs="Times New Roman"/>
                      <w:spacing w:val="-51"/>
                      <w:sz w:val="18"/>
                      <w:szCs w:val="18"/>
                      <w:lang w:eastAsia="zh-CN"/>
                    </w:rPr>
                    <w:t xml:space="preserve"> </w:t>
                  </w:r>
                  <w:r>
                    <w:rPr>
                      <w:rFonts w:hint="default" w:ascii="Times New Roman" w:hAnsi="Times New Roman" w:eastAsia="宋体" w:cs="Times New Roman"/>
                      <w:sz w:val="18"/>
                      <w:szCs w:val="18"/>
                      <w:lang w:eastAsia="zh-CN"/>
                    </w:rPr>
                    <w:t>8h</w:t>
                  </w:r>
                  <w:r>
                    <w:rPr>
                      <w:rFonts w:hint="default" w:ascii="Times New Roman" w:hAnsi="Times New Roman" w:eastAsia="宋体" w:cs="Times New Roman"/>
                      <w:spacing w:val="-54"/>
                      <w:sz w:val="18"/>
                      <w:szCs w:val="18"/>
                      <w:lang w:eastAsia="zh-CN"/>
                    </w:rPr>
                    <w:t xml:space="preserve"> </w:t>
                  </w:r>
                  <w:r>
                    <w:rPr>
                      <w:rFonts w:hint="default" w:ascii="Times New Roman" w:hAnsi="Times New Roman" w:eastAsia="宋体" w:cs="Times New Roman"/>
                      <w:sz w:val="18"/>
                      <w:szCs w:val="18"/>
                      <w:lang w:eastAsia="zh-CN"/>
                    </w:rPr>
                    <w:t>滑动平均浓度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（共</w:t>
                  </w:r>
                  <w:r>
                    <w:rPr>
                      <w:rFonts w:hint="default" w:ascii="Times New Roman" w:hAnsi="Times New Roman" w:eastAsia="宋体" w:cs="Times New Roman"/>
                      <w:spacing w:val="-53"/>
                      <w:sz w:val="18"/>
                      <w:szCs w:val="18"/>
                      <w:lang w:eastAsia="zh-CN"/>
                    </w:rPr>
                    <w:t xml:space="preserve"> </w:t>
                  </w:r>
                  <w:r>
                    <w:rPr>
                      <w:rFonts w:hint="default" w:ascii="Times New Roman" w:hAnsi="Times New Roman" w:eastAsia="宋体" w:cs="Times New Roman"/>
                      <w:sz w:val="18"/>
                      <w:szCs w:val="18"/>
                      <w:lang w:eastAsia="zh-CN"/>
                    </w:rPr>
                    <w:t>36</w:t>
                  </w:r>
                  <w:r>
                    <w:rPr>
                      <w:rFonts w:hint="default" w:ascii="Times New Roman" w:hAnsi="Times New Roman" w:eastAsia="宋体" w:cs="Times New Roman"/>
                      <w:sz w:val="18"/>
                      <w:szCs w:val="18"/>
                      <w:lang w:val="en-US" w:eastAsia="zh-CN"/>
                    </w:rPr>
                    <w:t>5</w:t>
                  </w:r>
                  <w:r>
                    <w:rPr>
                      <w:rFonts w:hint="default" w:ascii="Times New Roman" w:hAnsi="Times New Roman" w:eastAsia="宋体" w:cs="Times New Roman"/>
                      <w:sz w:val="18"/>
                      <w:szCs w:val="18"/>
                      <w:lang w:eastAsia="zh-CN"/>
                    </w:rPr>
                    <w:t>个有效数据，第</w:t>
                  </w:r>
                  <w:r>
                    <w:rPr>
                      <w:rFonts w:hint="default" w:ascii="Times New Roman" w:hAnsi="Times New Roman" w:eastAsia="宋体" w:cs="Times New Roman"/>
                      <w:spacing w:val="-55"/>
                      <w:sz w:val="18"/>
                      <w:szCs w:val="18"/>
                      <w:lang w:eastAsia="zh-CN"/>
                    </w:rPr>
                    <w:t xml:space="preserve"> </w:t>
                  </w:r>
                  <w:r>
                    <w:rPr>
                      <w:rFonts w:hint="default" w:ascii="Times New Roman" w:hAnsi="Times New Roman" w:eastAsia="宋体" w:cs="Times New Roman"/>
                      <w:sz w:val="18"/>
                      <w:szCs w:val="18"/>
                      <w:lang w:eastAsia="zh-CN"/>
                    </w:rPr>
                    <w:t>3</w:t>
                  </w:r>
                  <w:r>
                    <w:rPr>
                      <w:rFonts w:hint="default" w:ascii="Times New Roman" w:hAnsi="Times New Roman" w:eastAsia="宋体" w:cs="Times New Roman"/>
                      <w:sz w:val="18"/>
                      <w:szCs w:val="18"/>
                      <w:lang w:val="en-US" w:eastAsia="zh-CN"/>
                    </w:rPr>
                    <w:t>29</w:t>
                  </w:r>
                  <w:r>
                    <w:rPr>
                      <w:rFonts w:hint="default" w:ascii="Times New Roman" w:hAnsi="Times New Roman" w:eastAsia="宋体" w:cs="Times New Roman"/>
                      <w:sz w:val="18"/>
                      <w:szCs w:val="18"/>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2</w:t>
                  </w:r>
                  <w:r>
                    <w:rPr>
                      <w:rFonts w:hint="default" w:ascii="Times New Roman" w:hAnsi="Times New Roman" w:eastAsia="宋体" w:cs="Times New Roman"/>
                      <w:sz w:val="18"/>
                      <w:szCs w:val="18"/>
                      <w:lang w:val="en-US" w:eastAsia="zh-CN"/>
                    </w:rPr>
                    <w:t>15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zh-CN"/>
                    </w:rPr>
                    <w:t>160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1</w:t>
                  </w:r>
                  <w:r>
                    <w:rPr>
                      <w:rFonts w:hint="default" w:ascii="Times New Roman" w:hAnsi="Times New Roman" w:eastAsia="宋体" w:cs="Times New Roman"/>
                      <w:sz w:val="18"/>
                      <w:szCs w:val="18"/>
                      <w:lang w:val="en-US" w:eastAsia="zh-CN"/>
                    </w:rPr>
                    <w:t>34.38</w:t>
                  </w:r>
                </w:p>
              </w:tc>
              <w:tc>
                <w:tcPr>
                  <w:tcW w:w="1005"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bCs/>
                      <w:sz w:val="18"/>
                      <w:szCs w:val="18"/>
                    </w:rPr>
                    <w:t>超标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bCs/>
                      <w:sz w:val="18"/>
                      <w:szCs w:val="18"/>
                    </w:rPr>
                  </w:pPr>
                </w:p>
              </w:tc>
            </w:tr>
          </w:tbl>
          <w:p>
            <w:pPr>
              <w:pStyle w:val="2"/>
              <w:spacing w:after="0" w:line="360" w:lineRule="auto"/>
              <w:ind w:left="0" w:leftChars="0" w:firstLine="31680"/>
              <w:rPr>
                <w:rFonts w:hint="default" w:ascii="Times New Roman" w:hAnsi="Times New Roman" w:cs="Times New Roman"/>
                <w:szCs w:val="21"/>
              </w:rPr>
            </w:pPr>
            <w:r>
              <w:rPr>
                <w:rFonts w:hint="default" w:ascii="Times New Roman" w:hAnsi="Times New Roman" w:cs="Times New Roman"/>
                <w:color w:val="000000"/>
                <w:kern w:val="0"/>
                <w:szCs w:val="21"/>
                <w:lang w:bidi="ar"/>
              </w:rPr>
              <w:t>由上表可见，202</w:t>
            </w:r>
            <w:r>
              <w:rPr>
                <w:rFonts w:hint="eastAsia" w:cs="Times New Roman"/>
                <w:color w:val="000000"/>
                <w:kern w:val="0"/>
                <w:szCs w:val="21"/>
                <w:lang w:val="en-US" w:eastAsia="zh-CN" w:bidi="ar"/>
              </w:rPr>
              <w:t>1</w:t>
            </w:r>
            <w:r>
              <w:rPr>
                <w:rFonts w:hint="default" w:ascii="Times New Roman" w:hAnsi="Times New Roman" w:cs="Times New Roman"/>
                <w:color w:val="000000"/>
                <w:kern w:val="0"/>
                <w:szCs w:val="21"/>
                <w:lang w:bidi="ar"/>
              </w:rPr>
              <w:t>年淄川区气象站环境空气例行监测点环境空气中PM</w:t>
            </w:r>
            <w:r>
              <w:rPr>
                <w:rFonts w:hint="default" w:ascii="Times New Roman" w:hAnsi="Times New Roman" w:cs="Times New Roman"/>
                <w:color w:val="000000"/>
                <w:kern w:val="0"/>
                <w:szCs w:val="21"/>
                <w:vertAlign w:val="subscript"/>
                <w:lang w:bidi="ar"/>
              </w:rPr>
              <w:t>10</w:t>
            </w:r>
            <w:r>
              <w:rPr>
                <w:rFonts w:hint="default" w:ascii="Times New Roman" w:hAnsi="Times New Roman" w:cs="Times New Roman"/>
                <w:color w:val="000000"/>
                <w:kern w:val="0"/>
                <w:szCs w:val="21"/>
                <w:lang w:bidi="ar"/>
              </w:rPr>
              <w:t>、PM</w:t>
            </w:r>
            <w:r>
              <w:rPr>
                <w:rFonts w:hint="default" w:ascii="Times New Roman" w:hAnsi="Times New Roman" w:cs="Times New Roman"/>
                <w:color w:val="000000"/>
                <w:kern w:val="0"/>
                <w:szCs w:val="21"/>
                <w:vertAlign w:val="subscript"/>
                <w:lang w:bidi="ar"/>
              </w:rPr>
              <w:t>2.5</w:t>
            </w:r>
            <w:r>
              <w:rPr>
                <w:rFonts w:hint="default" w:ascii="Times New Roman" w:hAnsi="Times New Roman" w:cs="Times New Roman"/>
                <w:color w:val="000000"/>
                <w:kern w:val="0"/>
                <w:szCs w:val="21"/>
                <w:lang w:bidi="ar"/>
              </w:rPr>
              <w:t>、O</w:t>
            </w:r>
            <w:r>
              <w:rPr>
                <w:rFonts w:hint="default" w:ascii="Times New Roman" w:hAnsi="Times New Roman" w:cs="Times New Roman"/>
                <w:color w:val="000000"/>
                <w:kern w:val="0"/>
                <w:szCs w:val="21"/>
                <w:vertAlign w:val="subscript"/>
                <w:lang w:bidi="ar"/>
              </w:rPr>
              <w:t>3</w:t>
            </w:r>
            <w:r>
              <w:rPr>
                <w:rFonts w:hint="default" w:ascii="Times New Roman" w:hAnsi="Times New Roman" w:cs="Times New Roman"/>
                <w:color w:val="000000"/>
                <w:kern w:val="0"/>
                <w:szCs w:val="21"/>
                <w:lang w:bidi="ar"/>
              </w:rPr>
              <w:t>年均浓度或相应百分位数24h、8h平均质量浓度不能满足《环境空气质量标准》（GB3095-2012）二级标准，SO</w:t>
            </w:r>
            <w:r>
              <w:rPr>
                <w:rFonts w:hint="default" w:ascii="Times New Roman" w:hAnsi="Times New Roman" w:cs="Times New Roman"/>
                <w:color w:val="000000"/>
                <w:kern w:val="0"/>
                <w:szCs w:val="21"/>
                <w:vertAlign w:val="subscript"/>
                <w:lang w:bidi="ar"/>
              </w:rPr>
              <w:t>2</w:t>
            </w:r>
            <w:r>
              <w:rPr>
                <w:rFonts w:hint="default" w:ascii="Times New Roman" w:hAnsi="Times New Roman" w:cs="Times New Roman"/>
                <w:color w:val="000000"/>
                <w:kern w:val="0"/>
                <w:szCs w:val="21"/>
                <w:lang w:bidi="ar"/>
              </w:rPr>
              <w:t>、NO</w:t>
            </w:r>
            <w:r>
              <w:rPr>
                <w:rFonts w:hint="default" w:ascii="Times New Roman" w:hAnsi="Times New Roman" w:cs="Times New Roman"/>
                <w:color w:val="000000"/>
                <w:kern w:val="0"/>
                <w:szCs w:val="21"/>
                <w:vertAlign w:val="subscript"/>
                <w:lang w:bidi="ar"/>
              </w:rPr>
              <w:t>2</w:t>
            </w:r>
            <w:r>
              <w:rPr>
                <w:rFonts w:hint="default" w:ascii="Times New Roman" w:hAnsi="Times New Roman" w:cs="Times New Roman"/>
                <w:color w:val="000000"/>
                <w:kern w:val="0"/>
                <w:szCs w:val="21"/>
                <w:lang w:bidi="ar"/>
              </w:rPr>
              <w:t>、CO年均浓度和相应百分位数24h平均浓度满足《环境空气质量标准》（GB3095-2012）二级标准。</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超标原因主要为工业废气排放及交通源污染等综合因素。为了不断改善区域环境质量，淄博市采取了一系列大气污染治理措施，不断加强环境空气污染治理和环境空气质量考核，区域环境空气质量将持续改善。</w:t>
            </w:r>
          </w:p>
          <w:bookmarkEnd w:id="6"/>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（1）特征污染物</w:t>
            </w:r>
          </w:p>
          <w:p>
            <w:pPr>
              <w:spacing w:line="420" w:lineRule="exact"/>
              <w:ind w:firstLine="420" w:firstLineChars="200"/>
              <w:rPr>
                <w:rFonts w:hint="default" w:ascii="Times New Roman" w:hAnsi="Times New Roman" w:cs="Times New Roman"/>
                <w:sz w:val="21"/>
                <w:szCs w:val="21"/>
              </w:rPr>
            </w:pPr>
            <w:r>
              <w:rPr>
                <w:rFonts w:hint="default" w:ascii="Times New Roman" w:hAnsi="Times New Roman" w:cs="Times New Roman"/>
                <w:szCs w:val="21"/>
              </w:rPr>
              <w:t>本项目特征污</w:t>
            </w:r>
            <w:r>
              <w:rPr>
                <w:rFonts w:hint="default" w:ascii="Times New Roman" w:hAnsi="Times New Roman" w:cs="Times New Roman"/>
                <w:sz w:val="21"/>
                <w:szCs w:val="21"/>
              </w:rPr>
              <w:t>染物有非甲烷总烃、</w:t>
            </w:r>
            <w:r>
              <w:rPr>
                <w:rFonts w:hint="eastAsia" w:cs="Times New Roman"/>
                <w:sz w:val="21"/>
                <w:szCs w:val="21"/>
                <w:lang w:eastAsia="zh-CN"/>
              </w:rPr>
              <w:t>甲醛、苯酚</w:t>
            </w:r>
            <w:r>
              <w:rPr>
                <w:rFonts w:hint="default" w:ascii="Times New Roman" w:hAnsi="Times New Roman" w:cs="Times New Roman"/>
                <w:sz w:val="21"/>
                <w:szCs w:val="21"/>
              </w:rPr>
              <w:t>，</w:t>
            </w:r>
            <w:r>
              <w:rPr>
                <w:rFonts w:hint="default" w:ascii="Times New Roman" w:hAnsi="Times New Roman" w:eastAsia="宋体" w:cs="Times New Roman"/>
                <w:sz w:val="21"/>
                <w:szCs w:val="21"/>
              </w:rPr>
              <w:t>山东</w:t>
            </w:r>
            <w:r>
              <w:rPr>
                <w:rFonts w:hint="default" w:ascii="Times New Roman" w:hAnsi="Times New Roman" w:eastAsia="宋体" w:cs="Times New Roman"/>
                <w:sz w:val="21"/>
                <w:szCs w:val="21"/>
                <w:lang w:eastAsia="zh-CN"/>
              </w:rPr>
              <w:t>方信</w:t>
            </w:r>
            <w:r>
              <w:rPr>
                <w:rFonts w:hint="default" w:ascii="Times New Roman" w:hAnsi="Times New Roman" w:eastAsia="宋体" w:cs="Times New Roman"/>
                <w:sz w:val="21"/>
                <w:szCs w:val="21"/>
              </w:rPr>
              <w:t>环境检测有限公司于20</w:t>
            </w:r>
            <w:r>
              <w:rPr>
                <w:rFonts w:hint="default"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月2</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日～</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日对</w:t>
            </w:r>
            <w:r>
              <w:rPr>
                <w:rFonts w:hint="eastAsia" w:cs="Times New Roman"/>
                <w:sz w:val="21"/>
                <w:szCs w:val="21"/>
                <w:lang w:eastAsia="zh-CN"/>
              </w:rPr>
              <w:t>淄博龙昊电源科技有限公司</w:t>
            </w:r>
            <w:r>
              <w:rPr>
                <w:rFonts w:eastAsiaTheme="minorEastAsia"/>
                <w:sz w:val="21"/>
                <w:szCs w:val="21"/>
                <w:highlight w:val="none"/>
                <w:lang w:eastAsia="zh-CN"/>
              </w:rPr>
              <w:t>厂址所在地</w:t>
            </w:r>
            <w:r>
              <w:rPr>
                <w:rFonts w:hint="eastAsia" w:eastAsiaTheme="minorEastAsia"/>
                <w:sz w:val="21"/>
                <w:szCs w:val="21"/>
                <w:highlight w:val="none"/>
                <w:lang w:eastAsia="zh-CN"/>
              </w:rPr>
              <w:t>下风向东谭村</w:t>
            </w:r>
            <w:r>
              <w:rPr>
                <w:rFonts w:hint="default" w:ascii="Times New Roman" w:hAnsi="Times New Roman" w:eastAsia="宋体" w:cs="Times New Roman"/>
                <w:sz w:val="21"/>
                <w:szCs w:val="21"/>
              </w:rPr>
              <w:t>的环境空气质量</w:t>
            </w:r>
            <w:r>
              <w:rPr>
                <w:rFonts w:hint="eastAsia" w:ascii="Times New Roman" w:hAnsi="Times New Roman" w:eastAsia="宋体" w:cs="Times New Roman"/>
                <w:sz w:val="21"/>
                <w:szCs w:val="21"/>
                <w:lang w:eastAsia="zh-CN"/>
              </w:rPr>
              <w:t>（非甲烷总烃）</w:t>
            </w:r>
            <w:r>
              <w:rPr>
                <w:rFonts w:hint="default" w:ascii="Times New Roman" w:hAnsi="Times New Roman" w:eastAsia="宋体" w:cs="Times New Roman"/>
                <w:sz w:val="21"/>
                <w:szCs w:val="21"/>
              </w:rPr>
              <w:t>进行了现状监测</w:t>
            </w:r>
            <w:r>
              <w:rPr>
                <w:rFonts w:hint="eastAsia" w:ascii="Times New Roman" w:hAnsi="Times New Roman" w:eastAsia="宋体" w:cs="Times New Roman"/>
                <w:sz w:val="21"/>
                <w:szCs w:val="21"/>
                <w:lang w:eastAsia="zh-CN"/>
              </w:rPr>
              <w:t>。</w:t>
            </w:r>
            <w:r>
              <w:rPr>
                <w:rFonts w:hint="eastAsia" w:eastAsiaTheme="minorEastAsia"/>
                <w:sz w:val="21"/>
                <w:szCs w:val="21"/>
                <w:lang w:eastAsia="zh-CN"/>
              </w:rPr>
              <w:t>山东嘉誉测试科技有限公司</w:t>
            </w:r>
            <w:r>
              <w:rPr>
                <w:rFonts w:eastAsiaTheme="minorEastAsia"/>
                <w:sz w:val="21"/>
                <w:szCs w:val="21"/>
                <w:lang w:eastAsia="zh-CN"/>
              </w:rPr>
              <w:t>于202</w:t>
            </w:r>
            <w:r>
              <w:rPr>
                <w:rFonts w:hint="eastAsia" w:eastAsiaTheme="minorEastAsia"/>
                <w:sz w:val="21"/>
                <w:szCs w:val="21"/>
                <w:lang w:val="en-US" w:eastAsia="zh-CN"/>
              </w:rPr>
              <w:t>2</w:t>
            </w:r>
            <w:r>
              <w:rPr>
                <w:rFonts w:eastAsiaTheme="minorEastAsia"/>
                <w:sz w:val="21"/>
                <w:szCs w:val="21"/>
                <w:lang w:eastAsia="zh-CN"/>
              </w:rPr>
              <w:t>年</w:t>
            </w:r>
            <w:r>
              <w:rPr>
                <w:rFonts w:hint="eastAsia" w:eastAsiaTheme="minorEastAsia"/>
                <w:sz w:val="21"/>
                <w:szCs w:val="21"/>
                <w:highlight w:val="none"/>
                <w:lang w:val="en-US" w:eastAsia="zh-CN"/>
              </w:rPr>
              <w:t>1</w:t>
            </w:r>
            <w:r>
              <w:rPr>
                <w:rFonts w:eastAsiaTheme="minorEastAsia"/>
                <w:sz w:val="21"/>
                <w:szCs w:val="21"/>
                <w:highlight w:val="none"/>
                <w:lang w:eastAsia="zh-CN"/>
              </w:rPr>
              <w:t>2月0</w:t>
            </w:r>
            <w:r>
              <w:rPr>
                <w:rFonts w:hint="eastAsia" w:eastAsiaTheme="minorEastAsia"/>
                <w:sz w:val="21"/>
                <w:szCs w:val="21"/>
                <w:highlight w:val="none"/>
                <w:lang w:val="en-US" w:eastAsia="zh-CN"/>
              </w:rPr>
              <w:t>1</w:t>
            </w:r>
            <w:r>
              <w:rPr>
                <w:rFonts w:eastAsiaTheme="minorEastAsia"/>
                <w:sz w:val="21"/>
                <w:szCs w:val="21"/>
                <w:highlight w:val="none"/>
                <w:lang w:eastAsia="zh-CN"/>
              </w:rPr>
              <w:t>日至</w:t>
            </w:r>
            <w:r>
              <w:rPr>
                <w:rFonts w:hint="eastAsia" w:eastAsiaTheme="minorEastAsia"/>
                <w:sz w:val="21"/>
                <w:szCs w:val="21"/>
                <w:highlight w:val="none"/>
                <w:lang w:val="en-US" w:eastAsia="zh-CN"/>
              </w:rPr>
              <w:t>2022年1</w:t>
            </w:r>
            <w:r>
              <w:rPr>
                <w:rFonts w:eastAsiaTheme="minorEastAsia"/>
                <w:sz w:val="21"/>
                <w:szCs w:val="21"/>
                <w:highlight w:val="none"/>
                <w:lang w:eastAsia="zh-CN"/>
              </w:rPr>
              <w:t>2月0</w:t>
            </w:r>
            <w:r>
              <w:rPr>
                <w:rFonts w:hint="eastAsia" w:eastAsiaTheme="minorEastAsia"/>
                <w:sz w:val="21"/>
                <w:szCs w:val="21"/>
                <w:highlight w:val="none"/>
                <w:lang w:val="en-US" w:eastAsia="zh-CN"/>
              </w:rPr>
              <w:t>7</w:t>
            </w:r>
            <w:r>
              <w:rPr>
                <w:rFonts w:eastAsiaTheme="minorEastAsia"/>
                <w:sz w:val="21"/>
                <w:szCs w:val="21"/>
                <w:highlight w:val="none"/>
                <w:lang w:eastAsia="zh-CN"/>
              </w:rPr>
              <w:t>日对</w:t>
            </w:r>
            <w:r>
              <w:rPr>
                <w:rFonts w:hint="eastAsia" w:cs="Times New Roman"/>
                <w:sz w:val="21"/>
                <w:szCs w:val="21"/>
                <w:lang w:eastAsia="zh-CN"/>
              </w:rPr>
              <w:t>淄博龙昊电源科技有限公司</w:t>
            </w:r>
            <w:r>
              <w:rPr>
                <w:rFonts w:eastAsiaTheme="minorEastAsia"/>
                <w:sz w:val="21"/>
                <w:szCs w:val="21"/>
                <w:highlight w:val="none"/>
                <w:lang w:eastAsia="zh-CN"/>
              </w:rPr>
              <w:t>厂址所在地</w:t>
            </w:r>
            <w:r>
              <w:rPr>
                <w:rFonts w:hint="eastAsia" w:eastAsiaTheme="minorEastAsia"/>
                <w:sz w:val="21"/>
                <w:szCs w:val="21"/>
                <w:highlight w:val="none"/>
                <w:lang w:eastAsia="zh-CN"/>
              </w:rPr>
              <w:t>西北侧</w:t>
            </w:r>
            <w:r>
              <w:rPr>
                <w:rFonts w:hint="eastAsia" w:eastAsiaTheme="minorEastAsia"/>
                <w:sz w:val="21"/>
                <w:szCs w:val="21"/>
                <w:highlight w:val="none"/>
                <w:lang w:val="en-US" w:eastAsia="zh-CN"/>
              </w:rPr>
              <w:t>1647m的</w:t>
            </w:r>
            <w:r>
              <w:rPr>
                <w:rFonts w:hint="eastAsia" w:eastAsiaTheme="minorEastAsia"/>
                <w:sz w:val="21"/>
                <w:szCs w:val="21"/>
                <w:highlight w:val="none"/>
                <w:lang w:eastAsia="zh-CN"/>
              </w:rPr>
              <w:t>前孟村</w:t>
            </w:r>
            <w:r>
              <w:rPr>
                <w:rFonts w:eastAsiaTheme="minorEastAsia"/>
                <w:sz w:val="21"/>
                <w:szCs w:val="21"/>
                <w:highlight w:val="none"/>
                <w:lang w:eastAsia="zh-CN"/>
              </w:rPr>
              <w:t>环境空气</w:t>
            </w:r>
            <w:r>
              <w:rPr>
                <w:rFonts w:eastAsiaTheme="minorEastAsia"/>
                <w:sz w:val="21"/>
                <w:szCs w:val="21"/>
                <w:lang w:eastAsia="zh-CN"/>
              </w:rPr>
              <w:t>质量</w:t>
            </w:r>
            <w:r>
              <w:rPr>
                <w:rFonts w:hint="eastAsia" w:eastAsiaTheme="minorEastAsia"/>
                <w:sz w:val="21"/>
                <w:szCs w:val="21"/>
                <w:lang w:eastAsia="zh-CN"/>
              </w:rPr>
              <w:t>（甲醛）</w:t>
            </w:r>
            <w:r>
              <w:rPr>
                <w:rFonts w:eastAsiaTheme="minorEastAsia"/>
                <w:sz w:val="21"/>
                <w:szCs w:val="21"/>
                <w:lang w:eastAsia="zh-CN"/>
              </w:rPr>
              <w:t>进行了监测</w:t>
            </w:r>
            <w:r>
              <w:rPr>
                <w:rFonts w:hint="eastAsia" w:ascii="Times New Roman" w:hAnsi="Times New Roman" w:eastAsia="宋体" w:cs="Times New Roman"/>
                <w:sz w:val="21"/>
                <w:szCs w:val="21"/>
                <w:lang w:eastAsia="zh-CN"/>
              </w:rPr>
              <w:t>。</w:t>
            </w:r>
            <w:r>
              <w:rPr>
                <w:rFonts w:hint="eastAsia" w:ascii="Times New Roman" w:hAnsi="Times New Roman" w:cs="Times New Roman"/>
                <w:sz w:val="21"/>
                <w:szCs w:val="21"/>
                <w:lang w:eastAsia="zh-CN"/>
              </w:rPr>
              <w:t>环境空气质量</w:t>
            </w:r>
            <w:r>
              <w:rPr>
                <w:rFonts w:hint="default" w:ascii="Times New Roman" w:hAnsi="Times New Roman" w:cs="Times New Roman"/>
                <w:sz w:val="21"/>
                <w:szCs w:val="21"/>
              </w:rPr>
              <w:t>监测结果详见下表：</w:t>
            </w:r>
          </w:p>
          <w:p>
            <w:pPr>
              <w:pStyle w:val="1383"/>
              <w:adjustRightInd w:val="0"/>
              <w:snapToGrid w:val="0"/>
              <w:spacing w:beforeLines="50"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rPr>
              <w:t>表3-2  非甲烷总烃环境空气质量监测结果（</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rPr>
              <w:t>）</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0"/>
              <w:gridCol w:w="2492"/>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100" w:type="dxa"/>
                  <w:gridSpan w:val="2"/>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检测日期</w:t>
                  </w:r>
                </w:p>
              </w:tc>
              <w:tc>
                <w:tcPr>
                  <w:tcW w:w="2128"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非甲烷总烃</w:t>
                  </w:r>
                  <w:r>
                    <w:rPr>
                      <w:rFonts w:ascii="Times New Roman"/>
                      <w:b/>
                      <w:bCs/>
                      <w:color w:val="auto"/>
                      <w:sz w:val="18"/>
                      <w:szCs w:val="18"/>
                    </w:rPr>
                    <w:t>（mg/m</w:t>
                  </w:r>
                  <w:r>
                    <w:rPr>
                      <w:rFonts w:ascii="Times New Roman"/>
                      <w:b/>
                      <w:bCs/>
                      <w:color w:val="auto"/>
                      <w:sz w:val="18"/>
                      <w:szCs w:val="18"/>
                      <w:vertAlign w:val="superscript"/>
                    </w:rPr>
                    <w:t>3</w:t>
                  </w:r>
                  <w:r>
                    <w:rPr>
                      <w:rFonts w:ascii="Times New Roman"/>
                      <w:b/>
                      <w:bCs/>
                      <w:color w:val="auto"/>
                      <w:sz w:val="18"/>
                      <w:szCs w:val="18"/>
                    </w:rPr>
                    <w:t>）</w:t>
                  </w:r>
                </w:p>
                <w:p>
                  <w:pPr>
                    <w:pStyle w:val="3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（2</w:t>
                  </w:r>
                  <w:r>
                    <w:rPr>
                      <w:rFonts w:hint="default" w:ascii="Times New Roman" w:hAnsi="Times New Roman" w:eastAsia="宋体" w:cs="Times New Roman"/>
                      <w:b/>
                      <w:bCs/>
                      <w:sz w:val="18"/>
                      <w:szCs w:val="18"/>
                      <w:lang w:val="en-US" w:eastAsia="zh-CN"/>
                    </w:rPr>
                    <w:t>#东谭村</w:t>
                  </w:r>
                  <w:r>
                    <w:rPr>
                      <w:rFonts w:hint="eastAsia" w:ascii="Times New Roman" w:hAnsi="Times New Roman" w:eastAsia="宋体" w:cs="Times New Roman"/>
                      <w:b/>
                      <w:bCs/>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shd w:val="clear" w:color="auto" w:fill="FFFFFF"/>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lang w:val="en-US" w:eastAsia="zh-CN"/>
                    </w:rPr>
                    <w:t>2022年05月24日</w:t>
                  </w: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02:03</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08:07</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14:13</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shd w:val="clear" w:color="auto" w:fill="auto"/>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20:13</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shd w:val="clear" w:color="auto" w:fill="auto"/>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auto"/>
                      <w:sz w:val="18"/>
                      <w:szCs w:val="18"/>
                      <w:lang w:val="en-US" w:eastAsia="zh-CN"/>
                    </w:rPr>
                    <w:t>2022年05月25日</w:t>
                  </w: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02:14</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lang w:val="en-US" w:eastAsia="zh-CN"/>
                    </w:rPr>
                    <w:t>2022年05月26日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02:15</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lang w:val="en-US" w:eastAsia="zh-CN"/>
                    </w:rPr>
                    <w:t>2022年05月27日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02:17</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lang w:val="en-US" w:eastAsia="zh-CN"/>
                    </w:rPr>
                    <w:t>2022年05月28日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02:15</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color w:val="auto"/>
                      <w:sz w:val="18"/>
                      <w:szCs w:val="18"/>
                      <w:lang w:val="en-US" w:eastAsia="zh-CN"/>
                    </w:rPr>
                    <w:t>2022年05月29日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color w:val="auto"/>
                      <w:sz w:val="18"/>
                      <w:szCs w:val="18"/>
                      <w:lang w:val="en-US" w:eastAsia="zh-CN"/>
                    </w:rPr>
                    <w:t>2022年05月30日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02:13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14:12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18"/>
                      <w:szCs w:val="18"/>
                      <w:lang w:val="en-US" w:eastAsia="zh-CN" w:bidi="ar-SA"/>
                    </w:rPr>
                  </w:pPr>
                  <w:r>
                    <w:rPr>
                      <w:rFonts w:hint="default" w:ascii="Times New Roman" w:hAnsi="Times New Roman" w:eastAsia="宋体" w:cs="Times New Roman"/>
                      <w:bCs/>
                      <w:color w:val="auto"/>
                      <w:sz w:val="18"/>
                      <w:szCs w:val="18"/>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0.80</w:t>
                  </w:r>
                </w:p>
              </w:tc>
            </w:tr>
          </w:tbl>
          <w:p>
            <w:pPr>
              <w:pStyle w:val="1383"/>
              <w:adjustRightInd w:val="0"/>
              <w:snapToGrid w:val="0"/>
              <w:spacing w:beforeLines="50" w:line="240" w:lineRule="auto"/>
              <w:rPr>
                <w:rFonts w:hint="default" w:ascii="Times New Roman" w:hAnsi="Times New Roman" w:cs="Times New Roman"/>
                <w:b/>
                <w:bCs/>
                <w:sz w:val="21"/>
                <w:szCs w:val="21"/>
              </w:rPr>
            </w:pPr>
            <w:r>
              <w:rPr>
                <w:rFonts w:hint="default" w:ascii="Times New Roman" w:hAnsi="Times New Roman" w:cs="Times New Roman"/>
                <w:b/>
                <w:bCs/>
                <w:sz w:val="21"/>
                <w:szCs w:val="21"/>
              </w:rPr>
              <w:t xml:space="preserve">表3-2  </w:t>
            </w:r>
            <w:r>
              <w:rPr>
                <w:rFonts w:hint="eastAsia" w:ascii="Times New Roman" w:hAnsi="Times New Roman" w:cs="Times New Roman"/>
                <w:b/>
                <w:bCs/>
                <w:sz w:val="21"/>
                <w:szCs w:val="21"/>
                <w:lang w:eastAsia="zh-CN"/>
              </w:rPr>
              <w:t>甲醛</w:t>
            </w:r>
            <w:r>
              <w:rPr>
                <w:rFonts w:hint="default" w:ascii="Times New Roman" w:hAnsi="Times New Roman" w:cs="Times New Roman"/>
                <w:b/>
                <w:bCs/>
                <w:sz w:val="21"/>
                <w:szCs w:val="21"/>
              </w:rPr>
              <w:t>环境空气质量监测结果（</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rPr>
              <w:t>）</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3328"/>
              <w:gridCol w:w="2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7" w:type="dxa"/>
                  <w:vMerge w:val="restart"/>
                  <w:noWrap w:val="0"/>
                  <w:vAlign w:val="center"/>
                </w:tcPr>
                <w:p>
                  <w:pPr>
                    <w:pStyle w:val="198"/>
                    <w:spacing w:before="24" w:after="24"/>
                    <w:rPr>
                      <w:rFonts w:ascii="Times New Roman"/>
                      <w:b/>
                      <w:bCs/>
                      <w:color w:val="auto"/>
                      <w:sz w:val="18"/>
                      <w:szCs w:val="18"/>
                    </w:rPr>
                  </w:pPr>
                  <w:r>
                    <w:rPr>
                      <w:rFonts w:ascii="Times New Roman"/>
                      <w:b/>
                      <w:bCs/>
                      <w:color w:val="auto"/>
                      <w:sz w:val="18"/>
                      <w:szCs w:val="18"/>
                    </w:rPr>
                    <w:t>采样日期</w:t>
                  </w:r>
                </w:p>
              </w:tc>
              <w:tc>
                <w:tcPr>
                  <w:tcW w:w="3029" w:type="dxa"/>
                  <w:vMerge w:val="restart"/>
                  <w:noWrap w:val="0"/>
                  <w:vAlign w:val="center"/>
                </w:tcPr>
                <w:p>
                  <w:pPr>
                    <w:pStyle w:val="198"/>
                    <w:spacing w:before="24" w:after="24"/>
                    <w:rPr>
                      <w:rFonts w:ascii="Times New Roman"/>
                      <w:b/>
                      <w:bCs/>
                      <w:color w:val="auto"/>
                      <w:sz w:val="18"/>
                      <w:szCs w:val="18"/>
                    </w:rPr>
                  </w:pPr>
                  <w:r>
                    <w:rPr>
                      <w:rFonts w:ascii="Times New Roman"/>
                      <w:b/>
                      <w:bCs/>
                      <w:color w:val="auto"/>
                      <w:sz w:val="18"/>
                      <w:szCs w:val="18"/>
                    </w:rPr>
                    <w:t>采样时间</w:t>
                  </w:r>
                </w:p>
              </w:tc>
              <w:tc>
                <w:tcPr>
                  <w:tcW w:w="2632" w:type="dxa"/>
                  <w:vMerge w:val="restart"/>
                  <w:tcBorders>
                    <w:right w:val="single" w:color="000000" w:sz="8" w:space="0"/>
                  </w:tcBorders>
                  <w:noWrap w:val="0"/>
                  <w:vAlign w:val="center"/>
                </w:tcPr>
                <w:p>
                  <w:pPr>
                    <w:pStyle w:val="198"/>
                    <w:spacing w:before="24" w:after="24"/>
                    <w:jc w:val="center"/>
                    <w:rPr>
                      <w:b/>
                      <w:bCs/>
                      <w:sz w:val="18"/>
                      <w:szCs w:val="18"/>
                    </w:rPr>
                  </w:pPr>
                  <w:r>
                    <w:rPr>
                      <w:rFonts w:hint="eastAsia"/>
                      <w:b/>
                      <w:bCs/>
                      <w:sz w:val="18"/>
                      <w:szCs w:val="18"/>
                      <w:lang w:eastAsia="zh-CN"/>
                    </w:rPr>
                    <w:t>甲醛</w:t>
                  </w:r>
                  <w:r>
                    <w:rPr>
                      <w:b/>
                      <w:bCs/>
                      <w:sz w:val="18"/>
                      <w:szCs w:val="18"/>
                    </w:rPr>
                    <w:t>（</w:t>
                  </w:r>
                  <w:r>
                    <w:rPr>
                      <w:rFonts w:hint="default"/>
                      <w:b/>
                      <w:bCs/>
                      <w:sz w:val="18"/>
                      <w:szCs w:val="18"/>
                    </w:rPr>
                    <w:t>μg</w:t>
                  </w:r>
                  <w:r>
                    <w:rPr>
                      <w:rFonts w:hint="eastAsia"/>
                      <w:b/>
                      <w:bCs/>
                      <w:sz w:val="18"/>
                      <w:szCs w:val="18"/>
                    </w:rPr>
                    <w:t>/</w:t>
                  </w:r>
                  <w:r>
                    <w:rPr>
                      <w:rFonts w:ascii="Times New Roman"/>
                      <w:b/>
                      <w:bCs/>
                      <w:color w:val="auto"/>
                      <w:sz w:val="18"/>
                      <w:szCs w:val="18"/>
                    </w:rPr>
                    <w:t>m</w:t>
                  </w:r>
                  <w:r>
                    <w:rPr>
                      <w:rFonts w:ascii="Times New Roman"/>
                      <w:b/>
                      <w:bCs/>
                      <w:color w:val="auto"/>
                      <w:sz w:val="18"/>
                      <w:szCs w:val="18"/>
                      <w:vertAlign w:val="superscript"/>
                    </w:rPr>
                    <w:t>3</w:t>
                  </w:r>
                  <w:r>
                    <w:rPr>
                      <w:b/>
                      <w:bCs/>
                      <w:sz w:val="18"/>
                      <w:szCs w:val="18"/>
                    </w:rPr>
                    <w:t>）</w:t>
                  </w:r>
                </w:p>
                <w:p>
                  <w:pPr>
                    <w:jc w:val="center"/>
                    <w:rPr>
                      <w:rFonts w:hint="eastAsia" w:eastAsia="宋体"/>
                      <w:sz w:val="18"/>
                      <w:szCs w:val="18"/>
                      <w:lang w:eastAsia="zh-CN"/>
                    </w:rPr>
                  </w:pPr>
                  <w:r>
                    <w:rPr>
                      <w:rFonts w:hint="eastAsia" w:eastAsia="宋体"/>
                      <w:b/>
                      <w:bCs/>
                      <w:color w:val="auto"/>
                      <w:sz w:val="18"/>
                      <w:szCs w:val="18"/>
                      <w:lang w:eastAsia="zh-CN"/>
                    </w:rPr>
                    <w:t>（</w:t>
                  </w:r>
                  <w:r>
                    <w:rPr>
                      <w:rFonts w:hint="eastAsia" w:eastAsia="宋体"/>
                      <w:b/>
                      <w:bCs/>
                      <w:color w:val="auto"/>
                      <w:sz w:val="18"/>
                      <w:szCs w:val="18"/>
                      <w:lang w:val="en-US" w:eastAsia="zh-CN"/>
                    </w:rPr>
                    <w:t>1#前孟村</w:t>
                  </w:r>
                  <w:r>
                    <w:rPr>
                      <w:rFonts w:hint="eastAsia" w:eastAsia="宋体"/>
                      <w:b/>
                      <w:bCs/>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vMerge w:val="continue"/>
                  <w:noWrap w:val="0"/>
                  <w:vAlign w:val="center"/>
                </w:tcPr>
                <w:p>
                  <w:pPr>
                    <w:pStyle w:val="198"/>
                    <w:spacing w:before="24" w:after="24"/>
                    <w:rPr>
                      <w:rFonts w:ascii="Times New Roman"/>
                      <w:color w:val="auto"/>
                      <w:sz w:val="18"/>
                      <w:szCs w:val="18"/>
                    </w:rPr>
                  </w:pPr>
                </w:p>
              </w:tc>
              <w:tc>
                <w:tcPr>
                  <w:tcW w:w="2632" w:type="dxa"/>
                  <w:vMerge w:val="continue"/>
                  <w:tcBorders>
                    <w:right w:val="single" w:color="000000" w:sz="8" w:space="0"/>
                  </w:tcBorders>
                  <w:noWrap w:val="0"/>
                  <w:vAlign w:val="center"/>
                </w:tcPr>
                <w:p>
                  <w:pPr>
                    <w:pStyle w:val="198"/>
                    <w:spacing w:before="24" w:after="24"/>
                    <w:rPr>
                      <w:rFonts w:ascii="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12.01</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12.02</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12.03</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eastAsia" w:ascii="Times New Roman" w:eastAsia="宋体"/>
                      <w:color w:val="auto"/>
                      <w:sz w:val="18"/>
                      <w:szCs w:val="18"/>
                      <w:lang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12.04</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12.05</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eastAsia" w:ascii="Times New Roman" w:eastAsia="宋体"/>
                      <w:color w:val="auto"/>
                      <w:sz w:val="18"/>
                      <w:szCs w:val="18"/>
                      <w:lang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12.06</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ascii="Times New Roman"/>
                      <w:color w:val="auto"/>
                      <w:sz w:val="18"/>
                      <w:szCs w:val="18"/>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restart"/>
                  <w:noWrap w:val="0"/>
                  <w:vAlign w:val="center"/>
                </w:tcPr>
                <w:p>
                  <w:pPr>
                    <w:pStyle w:val="198"/>
                    <w:spacing w:before="24" w:after="24"/>
                    <w:rPr>
                      <w:rFonts w:hint="default" w:ascii="Times New Roman" w:eastAsia="宋体"/>
                      <w:color w:val="auto"/>
                      <w:sz w:val="18"/>
                      <w:szCs w:val="18"/>
                      <w:lang w:val="en-US" w:eastAsia="zh-CN"/>
                    </w:rPr>
                  </w:pPr>
                  <w:r>
                    <w:rPr>
                      <w:rFonts w:hint="eastAsia" w:ascii="Times New Roman" w:hAnsi="Times New Roman" w:cs="Times New Roman"/>
                      <w:sz w:val="18"/>
                      <w:szCs w:val="18"/>
                    </w:rPr>
                    <w:t>202</w:t>
                  </w:r>
                  <w:r>
                    <w:rPr>
                      <w:rFonts w:hint="eastAsia" w:ascii="Times New Roman" w:eastAsia="宋体" w:cs="Times New Roman"/>
                      <w:sz w:val="18"/>
                      <w:szCs w:val="18"/>
                      <w:lang w:val="en-US" w:eastAsia="zh-CN"/>
                    </w:rPr>
                    <w:t>2</w:t>
                  </w:r>
                  <w:r>
                    <w:rPr>
                      <w:rFonts w:hint="eastAsia" w:ascii="Times New Roman" w:hAnsi="Times New Roman" w:cs="Times New Roman"/>
                      <w:sz w:val="18"/>
                      <w:szCs w:val="18"/>
                    </w:rPr>
                    <w:t>.</w:t>
                  </w:r>
                  <w:r>
                    <w:rPr>
                      <w:rFonts w:hint="eastAsia" w:ascii="Times New Roman"/>
                      <w:color w:val="auto"/>
                      <w:sz w:val="18"/>
                      <w:szCs w:val="18"/>
                      <w:lang w:val="en-US" w:eastAsia="zh-CN" w:bidi="ar"/>
                    </w:rPr>
                    <w:t>12.07</w:t>
                  </w: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02:00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08:00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14:00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87" w:type="dxa"/>
                  <w:vMerge w:val="continue"/>
                  <w:noWrap w:val="0"/>
                  <w:vAlign w:val="center"/>
                </w:tcPr>
                <w:p>
                  <w:pPr>
                    <w:pStyle w:val="198"/>
                    <w:spacing w:before="24" w:after="24"/>
                    <w:rPr>
                      <w:rFonts w:ascii="Times New Roman"/>
                      <w:color w:val="auto"/>
                      <w:sz w:val="18"/>
                      <w:szCs w:val="18"/>
                    </w:rPr>
                  </w:pPr>
                </w:p>
              </w:tc>
              <w:tc>
                <w:tcPr>
                  <w:tcW w:w="3029" w:type="dxa"/>
                  <w:noWrap w:val="0"/>
                  <w:vAlign w:val="center"/>
                </w:tcPr>
                <w:p>
                  <w:pPr>
                    <w:pStyle w:val="198"/>
                    <w:spacing w:before="24" w:after="24"/>
                    <w:rPr>
                      <w:rFonts w:ascii="Times New Roman"/>
                      <w:color w:val="auto"/>
                      <w:sz w:val="18"/>
                      <w:szCs w:val="18"/>
                    </w:rPr>
                  </w:pPr>
                  <w:r>
                    <w:rPr>
                      <w:rFonts w:ascii="Times New Roman"/>
                      <w:color w:val="auto"/>
                      <w:sz w:val="18"/>
                      <w:szCs w:val="18"/>
                    </w:rPr>
                    <w:t>20:00</w:t>
                  </w:r>
                </w:p>
              </w:tc>
              <w:tc>
                <w:tcPr>
                  <w:tcW w:w="2632" w:type="dxa"/>
                  <w:tcBorders>
                    <w:right w:val="single" w:color="000000" w:sz="8" w:space="0"/>
                  </w:tcBorders>
                  <w:noWrap w:val="0"/>
                  <w:vAlign w:val="center"/>
                </w:tcPr>
                <w:p>
                  <w:pPr>
                    <w:spacing w:before="24" w:after="24"/>
                    <w:jc w:val="center"/>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48" w:type="dxa"/>
                  <w:gridSpan w:val="3"/>
                  <w:tcBorders>
                    <w:right w:val="single" w:color="000000" w:sz="8" w:space="0"/>
                  </w:tcBorders>
                  <w:noWrap w:val="0"/>
                  <w:vAlign w:val="center"/>
                </w:tcPr>
                <w:p>
                  <w:pPr>
                    <w:spacing w:before="24" w:after="24"/>
                    <w:jc w:val="both"/>
                    <w:rPr>
                      <w:rFonts w:hint="default" w:ascii="Times New Roman" w:eastAsia="宋体"/>
                      <w:color w:val="auto"/>
                      <w:sz w:val="18"/>
                      <w:szCs w:val="18"/>
                      <w:lang w:val="en-US" w:eastAsia="zh-CN"/>
                    </w:rPr>
                  </w:pPr>
                  <w:r>
                    <w:rPr>
                      <w:rFonts w:hint="eastAsia" w:ascii="Times New Roman" w:eastAsia="宋体"/>
                      <w:color w:val="auto"/>
                      <w:sz w:val="18"/>
                      <w:szCs w:val="18"/>
                      <w:lang w:val="en-US" w:eastAsia="zh-CN"/>
                    </w:rPr>
                    <w:t>注：“ND”表示未检出</w:t>
                  </w:r>
                </w:p>
              </w:tc>
            </w:tr>
          </w:tbl>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rPr>
              <w:t>由表3-2可知，项目区域</w:t>
            </w:r>
            <w:r>
              <w:rPr>
                <w:rFonts w:hint="default" w:ascii="Times New Roman" w:hAnsi="Times New Roman" w:cs="Times New Roman"/>
                <w:highlight w:val="none"/>
              </w:rPr>
              <w:t>内</w:t>
            </w:r>
            <w:r>
              <w:rPr>
                <w:rFonts w:hint="eastAsia" w:cs="Times New Roman"/>
                <w:highlight w:val="none"/>
                <w:lang w:eastAsia="zh-CN"/>
              </w:rPr>
              <w:t>甲醛</w:t>
            </w:r>
            <w:r>
              <w:rPr>
                <w:rFonts w:hint="default" w:ascii="Times New Roman" w:hAnsi="Times New Roman" w:cs="Times New Roman"/>
                <w:highlight w:val="none"/>
              </w:rPr>
              <w:t>均未检出，VO</w:t>
            </w:r>
            <w:r>
              <w:rPr>
                <w:rFonts w:hint="default" w:ascii="Times New Roman" w:hAnsi="Times New Roman" w:cs="Times New Roman"/>
              </w:rPr>
              <w:t>Cs浓度符合《大气污染综合排放标准》（GB16297-1996）详解中非甲烷总烃标准（2.0mg/m</w:t>
            </w:r>
            <w:r>
              <w:rPr>
                <w:rFonts w:hint="default" w:ascii="Times New Roman" w:hAnsi="Times New Roman" w:cs="Times New Roman"/>
                <w:vertAlign w:val="superscript"/>
              </w:rPr>
              <w:t>3</w:t>
            </w:r>
            <w:r>
              <w:rPr>
                <w:rFonts w:hint="default" w:ascii="Times New Roman" w:hAnsi="Times New Roman" w:cs="Times New Roman"/>
              </w:rPr>
              <w:t>），</w:t>
            </w:r>
            <w:r>
              <w:rPr>
                <w:rFonts w:hint="eastAsia" w:cs="Times New Roman"/>
                <w:lang w:eastAsia="zh-CN"/>
              </w:rPr>
              <w:t>甲醛</w:t>
            </w:r>
            <w:r>
              <w:rPr>
                <w:rFonts w:hint="default" w:ascii="Times New Roman" w:hAnsi="Times New Roman" w:cs="Times New Roman"/>
              </w:rPr>
              <w:t>浓度满足《环境影响评价技术导则 大气环境》（HJ 2.2-2018）。</w:t>
            </w:r>
          </w:p>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2、地表水环境质量</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本项目的</w:t>
            </w:r>
            <w:r>
              <w:rPr>
                <w:rFonts w:hint="default" w:ascii="Times New Roman" w:hAnsi="Times New Roman" w:cs="Times New Roman"/>
                <w:lang w:eastAsia="zh-CN"/>
              </w:rPr>
              <w:t>废水</w:t>
            </w:r>
            <w:r>
              <w:rPr>
                <w:rFonts w:hint="default" w:ascii="Times New Roman" w:hAnsi="Times New Roman" w:cs="Times New Roman"/>
              </w:rPr>
              <w:t>排入淄博市利民净化水有限公司进一步处理，经处理达标后排入孝妇河，出水汇入孝妇河淄川区南外环断面所处的V类水功能区。根据《2021年12月份及全年环境质量情况通报》（生态淄博建设工作简报2022年第1期），2021年仅有临淄区乌河东沙断面氨氮超标，不能满足IV类水质要求，其余断面均全部达到年度目标要求，</w:t>
            </w:r>
            <w:r>
              <w:rPr>
                <w:rFonts w:hint="eastAsia" w:cs="Times New Roman"/>
                <w:lang w:eastAsia="zh-CN"/>
              </w:rPr>
              <w:t>稳定</w:t>
            </w:r>
            <w:r>
              <w:rPr>
                <w:rFonts w:hint="default" w:ascii="Times New Roman" w:hAnsi="Times New Roman" w:cs="Times New Roman"/>
              </w:rPr>
              <w:t>达到IV类及以上。距离本项目最近的淄川区孝妇河南外环断面指数为6.3130，全部考核因子均满足III类水质指标，水质符合《地表水环境质量标准》（GB3838-2002）V类水质要求。</w:t>
            </w:r>
          </w:p>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3、声环境质量</w:t>
            </w:r>
          </w:p>
          <w:p>
            <w:pPr>
              <w:widowControl/>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经现场勘查，项目区周围为道路或其他企业，厂界外周边50米范围内无声环境保护目标。</w:t>
            </w:r>
          </w:p>
          <w:p>
            <w:pPr>
              <w:widowControl/>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4、地下水</w:t>
            </w:r>
          </w:p>
          <w:p>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szCs w:val="21"/>
              </w:rPr>
              <w:t>经现场勘查，项目区周围为道路或其他企业，厂界外周边500米范围内无集中式饮用水水源和热水、矿泉水、温泉等特殊地下水资源</w:t>
            </w:r>
            <w:r>
              <w:rPr>
                <w:rFonts w:hint="default" w:ascii="Times New Roman" w:hAnsi="Times New Roman" w:cs="Times New Roman"/>
              </w:rPr>
              <w:t>。</w:t>
            </w:r>
          </w:p>
          <w:p>
            <w:pPr>
              <w:widowControl/>
              <w:spacing w:line="360" w:lineRule="auto"/>
              <w:ind w:firstLine="420" w:firstLineChars="200"/>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5、土壤</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项目选址周边土壤质量良好。</w:t>
            </w:r>
          </w:p>
          <w:p>
            <w:pPr>
              <w:widowControl/>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6、生态环境</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淄博市地处华北地台鲁西台北斜鲁中隆断区的北缘，为一向斜构造，称“淄博向斜”。构造特征是褶皱平缓舒展而不甚发育，除较高一级的“淄博向斜”外，其它系与“淄博向斜”相伴生的次级小型褶皱；区内断层构造较为发育，尤以张性正断层为主，纵横切割。岩浆岩石分布面广，并具有多期活动的特点。主要有金岭闪长岩杂岩体、昆仑辉长岩体等。地势南高北低，南部及东西两翼山峦起伏跌宕，中部低陷向北倾伏，南北落差千余米。以胶济铁路为界，以南大部分为山区、丘陵，岩溶地貌发达；以北大部分为山前冲积平原和黄泛平原，土地平坦肥沃。北部有黄河、小清河流经，发源于淄博的河流有沂河、淄河、孝妇河等。全市山区、丘陵、平原面积分别占全市总面积的42%、29.9%和28.1%。根据地质勘探资料，厂区所处区域地貌单元属鲁中低山丘陵区北部边缘。本项目租赁已建成车间组织经营活动，不新增占地，且用地范围内无生态环境保护目标，无需进行生态现状调查。</w:t>
            </w:r>
          </w:p>
          <w:p>
            <w:pPr>
              <w:widowControl/>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7、电磁辐射</w:t>
            </w:r>
          </w:p>
          <w:p>
            <w:pPr>
              <w:widowControl/>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项目不属于新建或改建、扩建广播电台、差转台、电视塔台、卫星地球上行站、雷达等电磁辐射类项目，无需对电磁辐射现状开展监测与评价。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800" w:type="dxa"/>
            <w:vAlign w:val="center"/>
          </w:tcPr>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8190" w:type="dxa"/>
            <w:vAlign w:val="center"/>
          </w:tcPr>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本项目厂界500米范围内无自然保护区、风景名胜区、文化区，存在居住区和农村地区中人群较集中的区域，无地下水集中式饮用水水源和热水、矿泉水、温泉等特殊地下水资源。厂界50米范围内无声环境保护目标。本项目环境保护目标情况一览表如下。</w:t>
            </w:r>
          </w:p>
          <w:p>
            <w:pPr>
              <w:pStyle w:val="1383"/>
              <w:adjustRightInd w:val="0"/>
              <w:snapToGrid w:val="0"/>
              <w:spacing w:beforeLines="50" w:line="240" w:lineRule="auto"/>
              <w:rPr>
                <w:rFonts w:hint="default" w:ascii="Times New Roman" w:hAnsi="Times New Roman" w:cs="Times New Roman"/>
                <w:sz w:val="21"/>
                <w:szCs w:val="21"/>
              </w:rPr>
            </w:pPr>
            <w:r>
              <w:rPr>
                <w:rFonts w:hint="default" w:ascii="Times New Roman" w:hAnsi="Times New Roman" w:cs="Times New Roman"/>
                <w:sz w:val="21"/>
                <w:szCs w:val="21"/>
              </w:rPr>
              <w:t>表3-</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 xml:space="preserve"> 主要环境保护目标一览表</w:t>
            </w:r>
          </w:p>
          <w:tbl>
            <w:tblPr>
              <w:tblStyle w:val="85"/>
              <w:tblW w:w="4949"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2318"/>
              <w:gridCol w:w="1932"/>
              <w:gridCol w:w="1050"/>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9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名称</w:t>
                  </w:r>
                </w:p>
              </w:tc>
              <w:tc>
                <w:tcPr>
                  <w:tcW w:w="147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保护对象</w:t>
                  </w:r>
                </w:p>
              </w:tc>
              <w:tc>
                <w:tcPr>
                  <w:tcW w:w="1225"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环境功能区</w:t>
                  </w:r>
                </w:p>
              </w:tc>
              <w:tc>
                <w:tcPr>
                  <w:tcW w:w="665"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相对厂</w:t>
                  </w:r>
                </w:p>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址方位</w:t>
                  </w:r>
                </w:p>
              </w:tc>
              <w:tc>
                <w:tcPr>
                  <w:tcW w:w="948"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相对厂</w:t>
                  </w:r>
                </w:p>
                <w:p>
                  <w:pPr>
                    <w:pStyle w:val="1231"/>
                    <w:adjustRightInd w:val="0"/>
                    <w:snapToGrid w:val="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restart"/>
                  <w:tcBorders>
                    <w:top w:val="single" w:color="auto" w:sz="4" w:space="0"/>
                    <w:left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环境空气</w:t>
                  </w:r>
                </w:p>
              </w:tc>
              <w:tc>
                <w:tcPr>
                  <w:tcW w:w="147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lang w:eastAsia="zh-CN"/>
                    </w:rPr>
                  </w:pPr>
                  <w:r>
                    <w:rPr>
                      <w:rFonts w:hint="eastAsia" w:cs="Times New Roman"/>
                      <w:sz w:val="18"/>
                      <w:szCs w:val="18"/>
                      <w:lang w:eastAsia="zh-CN"/>
                    </w:rPr>
                    <w:t>淄博延强医院</w:t>
                  </w:r>
                </w:p>
              </w:tc>
              <w:tc>
                <w:tcPr>
                  <w:tcW w:w="1225" w:type="pct"/>
                  <w:vMerge w:val="restart"/>
                  <w:tcBorders>
                    <w:top w:val="single" w:color="auto" w:sz="4" w:space="0"/>
                    <w:left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《环境空气质量标准》(GB3095-2012) 二级标准及修改单要求</w:t>
                  </w:r>
                </w:p>
              </w:tc>
              <w:tc>
                <w:tcPr>
                  <w:tcW w:w="665"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SE</w:t>
                  </w:r>
                </w:p>
              </w:tc>
              <w:tc>
                <w:tcPr>
                  <w:tcW w:w="948"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lang w:val="en-US" w:eastAsia="zh-CN"/>
                    </w:rPr>
                  </w:pPr>
                  <w:r>
                    <w:rPr>
                      <w:rFonts w:hint="eastAsia" w:cs="Times New Roman"/>
                      <w:sz w:val="18"/>
                      <w:szCs w:val="18"/>
                      <w:lang w:val="en-US" w:eastAsia="zh-CN"/>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vMerge w:val="continue"/>
                  <w:tcBorders>
                    <w:left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p>
              </w:tc>
              <w:tc>
                <w:tcPr>
                  <w:tcW w:w="147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eastAsia" w:cs="Times New Roman"/>
                      <w:sz w:val="18"/>
                      <w:szCs w:val="18"/>
                      <w:lang w:eastAsia="zh-CN"/>
                    </w:rPr>
                  </w:pPr>
                  <w:r>
                    <w:rPr>
                      <w:rFonts w:hint="eastAsia" w:cs="Times New Roman"/>
                      <w:sz w:val="18"/>
                      <w:szCs w:val="18"/>
                      <w:lang w:eastAsia="zh-CN"/>
                    </w:rPr>
                    <w:t>淄川明圣医院</w:t>
                  </w:r>
                </w:p>
              </w:tc>
              <w:tc>
                <w:tcPr>
                  <w:tcW w:w="1225" w:type="pct"/>
                  <w:vMerge w:val="continue"/>
                  <w:tcBorders>
                    <w:left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p>
              </w:tc>
              <w:tc>
                <w:tcPr>
                  <w:tcW w:w="665"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eastAsia" w:cs="Times New Roman"/>
                      <w:sz w:val="18"/>
                      <w:szCs w:val="18"/>
                      <w:lang w:val="en-US" w:eastAsia="zh-CN"/>
                    </w:rPr>
                  </w:pPr>
                  <w:r>
                    <w:rPr>
                      <w:rFonts w:hint="eastAsia" w:cs="Times New Roman"/>
                      <w:sz w:val="18"/>
                      <w:szCs w:val="18"/>
                      <w:lang w:val="en-US" w:eastAsia="zh-CN"/>
                    </w:rPr>
                    <w:t>SE</w:t>
                  </w:r>
                </w:p>
              </w:tc>
              <w:tc>
                <w:tcPr>
                  <w:tcW w:w="948"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cs="Times New Roman"/>
                      <w:sz w:val="18"/>
                      <w:szCs w:val="18"/>
                      <w:lang w:val="en-US" w:eastAsia="zh-CN"/>
                    </w:rPr>
                  </w:pPr>
                  <w:r>
                    <w:rPr>
                      <w:rFonts w:hint="eastAsia" w:cs="Times New Roman"/>
                      <w:sz w:val="18"/>
                      <w:szCs w:val="18"/>
                      <w:lang w:val="en-US" w:eastAsia="zh-CN"/>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声环境</w:t>
                  </w:r>
                </w:p>
              </w:tc>
              <w:tc>
                <w:tcPr>
                  <w:tcW w:w="4309" w:type="pct"/>
                  <w:gridSpan w:val="4"/>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50m范围内无声环境敏感目标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地表水</w:t>
                  </w:r>
                </w:p>
              </w:tc>
              <w:tc>
                <w:tcPr>
                  <w:tcW w:w="147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孝妇河</w:t>
                  </w:r>
                </w:p>
              </w:tc>
              <w:tc>
                <w:tcPr>
                  <w:tcW w:w="1225"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《地表水环境质量标准》（GB3838-2002）</w:t>
                  </w:r>
                  <w:r>
                    <w:rPr>
                      <w:rFonts w:hint="default" w:ascii="Times New Roman" w:hAnsi="Times New Roman" w:cs="Times New Roman"/>
                      <w:kern w:val="0"/>
                      <w:sz w:val="18"/>
                      <w:szCs w:val="18"/>
                    </w:rPr>
                    <w:t>V</w:t>
                  </w:r>
                  <w:r>
                    <w:rPr>
                      <w:rFonts w:hint="default" w:ascii="Times New Roman" w:hAnsi="Times New Roman" w:cs="Times New Roman"/>
                      <w:sz w:val="18"/>
                      <w:szCs w:val="18"/>
                    </w:rPr>
                    <w:t>类标准</w:t>
                  </w:r>
                </w:p>
              </w:tc>
              <w:tc>
                <w:tcPr>
                  <w:tcW w:w="665"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eastAsia" w:cs="Times New Roman"/>
                      <w:sz w:val="18"/>
                      <w:szCs w:val="18"/>
                      <w:lang w:val="en-US" w:eastAsia="zh-CN"/>
                    </w:rPr>
                    <w:t>S</w:t>
                  </w:r>
                  <w:r>
                    <w:rPr>
                      <w:rFonts w:hint="default" w:ascii="Times New Roman" w:hAnsi="Times New Roman" w:cs="Times New Roman"/>
                      <w:sz w:val="18"/>
                      <w:szCs w:val="18"/>
                    </w:rPr>
                    <w:t>E</w:t>
                  </w:r>
                </w:p>
              </w:tc>
              <w:tc>
                <w:tcPr>
                  <w:tcW w:w="948"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地下水</w:t>
                  </w:r>
                </w:p>
              </w:tc>
              <w:tc>
                <w:tcPr>
                  <w:tcW w:w="4309" w:type="pct"/>
                  <w:gridSpan w:val="4"/>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厂界周边500m范围内无地下水集中式饮用水水源和热水、矿泉水、温泉等特殊地下水资源。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pct"/>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生态</w:t>
                  </w:r>
                </w:p>
              </w:tc>
              <w:tc>
                <w:tcPr>
                  <w:tcW w:w="4309" w:type="pct"/>
                  <w:gridSpan w:val="4"/>
                  <w:tcBorders>
                    <w:top w:val="single" w:color="auto" w:sz="4" w:space="0"/>
                    <w:left w:val="single" w:color="auto" w:sz="4" w:space="0"/>
                    <w:bottom w:val="single" w:color="auto" w:sz="4" w:space="0"/>
                    <w:right w:val="single" w:color="auto" w:sz="4" w:space="0"/>
                  </w:tcBorders>
                  <w:vAlign w:val="center"/>
                </w:tcPr>
                <w:p>
                  <w:pPr>
                    <w:pStyle w:val="1231"/>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项目用地范围内无生态环境保护目标</w:t>
                  </w:r>
                </w:p>
              </w:tc>
            </w:tr>
          </w:tbl>
          <w:p>
            <w:pPr>
              <w:pStyle w:val="2"/>
              <w:ind w:left="31680" w:firstLine="31680"/>
              <w:rPr>
                <w:rFonts w:hint="default" w:ascii="Times New Roman" w:hAnsi="Times New Roman"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00" w:type="dxa"/>
            <w:tcMar>
              <w:left w:w="28" w:type="dxa"/>
              <w:right w:w="28" w:type="dxa"/>
            </w:tcMar>
            <w:vAlign w:val="center"/>
          </w:tcPr>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8190" w:type="dxa"/>
            <w:vAlign w:val="center"/>
          </w:tcPr>
          <w:p>
            <w:pPr>
              <w:pStyle w:val="995"/>
              <w:spacing w:line="360" w:lineRule="auto"/>
              <w:ind w:firstLine="31680"/>
              <w:rPr>
                <w:rFonts w:hint="default" w:ascii="Times New Roman" w:hAnsi="Times New Roman" w:eastAsia="黑体" w:cs="Times New Roman"/>
                <w:bCs/>
                <w:szCs w:val="21"/>
              </w:rPr>
            </w:pPr>
            <w:r>
              <w:rPr>
                <w:rFonts w:hint="default" w:ascii="Times New Roman" w:hAnsi="Times New Roman" w:eastAsia="黑体" w:cs="Times New Roman"/>
                <w:bCs/>
                <w:szCs w:val="21"/>
              </w:rPr>
              <w:t>1、噪声</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营运期噪声执行《工业企业厂界环境噪声排放标准》（GB12348-2008）</w:t>
            </w:r>
            <w:r>
              <w:rPr>
                <w:rFonts w:hint="eastAsia" w:cs="Times New Roman"/>
                <w:szCs w:val="21"/>
                <w:lang w:val="en-US" w:eastAsia="zh-CN"/>
              </w:rPr>
              <w:t>3</w:t>
            </w:r>
            <w:r>
              <w:rPr>
                <w:rFonts w:hint="default" w:ascii="Times New Roman" w:hAnsi="Times New Roman" w:cs="Times New Roman"/>
                <w:szCs w:val="21"/>
              </w:rPr>
              <w:t>类标准，具体标准值见表3-</w:t>
            </w:r>
            <w:r>
              <w:rPr>
                <w:rFonts w:hint="eastAsia" w:cs="Times New Roman"/>
                <w:szCs w:val="21"/>
                <w:lang w:val="en-US" w:eastAsia="zh-CN"/>
              </w:rPr>
              <w:t>4</w:t>
            </w:r>
            <w:r>
              <w:rPr>
                <w:rFonts w:hint="default" w:ascii="Times New Roman" w:hAnsi="Times New Roman" w:cs="Times New Roman"/>
                <w:szCs w:val="21"/>
              </w:rPr>
              <w:t>。</w:t>
            </w:r>
          </w:p>
          <w:p>
            <w:pPr>
              <w:pStyle w:val="1383"/>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表3-</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 xml:space="preserve"> 工业企业厂界环境噪声排放标准       单位：dB(A)</w:t>
            </w:r>
          </w:p>
          <w:tbl>
            <w:tblPr>
              <w:tblStyle w:val="85"/>
              <w:tblW w:w="4950" w:type="pct"/>
              <w:jc w:val="center"/>
              <w:tblBorders>
                <w:top w:val="single" w:color="auto" w:sz="2" w:space="0"/>
                <w:left w:val="single" w:color="auto" w:sz="4" w:space="0"/>
                <w:bottom w:val="single" w:color="auto" w:sz="2"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289"/>
              <w:gridCol w:w="1218"/>
              <w:gridCol w:w="1293"/>
              <w:gridCol w:w="4084"/>
            </w:tblGrid>
            <w:tr>
              <w:tblPrEx>
                <w:tblBorders>
                  <w:top w:val="single" w:color="auto" w:sz="2" w:space="0"/>
                  <w:left w:val="single" w:color="auto" w:sz="4"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9" w:hRule="atLeast"/>
                <w:jc w:val="center"/>
              </w:trPr>
              <w:tc>
                <w:tcPr>
                  <w:tcW w:w="1396" w:type="dxa"/>
                  <w:tcBorders>
                    <w:top w:val="single" w:color="auto" w:sz="2" w:space="0"/>
                    <w:left w:val="single" w:color="auto" w:sz="4" w:space="0"/>
                    <w:bottom w:val="single" w:color="auto" w:sz="2" w:space="0"/>
                    <w:right w:val="single" w:color="auto" w:sz="2" w:space="0"/>
                  </w:tcBorders>
                  <w:vAlign w:val="center"/>
                </w:tcPr>
                <w:p>
                  <w:pPr>
                    <w:spacing w:line="42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类别</w:t>
                  </w:r>
                </w:p>
              </w:tc>
              <w:tc>
                <w:tcPr>
                  <w:tcW w:w="1317" w:type="dxa"/>
                  <w:tcBorders>
                    <w:top w:val="single" w:color="auto" w:sz="2" w:space="0"/>
                    <w:left w:val="single" w:color="auto" w:sz="2" w:space="0"/>
                    <w:bottom w:val="single" w:color="auto" w:sz="2" w:space="0"/>
                    <w:right w:val="single" w:color="auto" w:sz="2" w:space="0"/>
                  </w:tcBorders>
                  <w:vAlign w:val="center"/>
                </w:tcPr>
                <w:p>
                  <w:pPr>
                    <w:spacing w:line="42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昼间</w:t>
                  </w:r>
                </w:p>
              </w:tc>
              <w:tc>
                <w:tcPr>
                  <w:tcW w:w="1400" w:type="dxa"/>
                  <w:tcBorders>
                    <w:top w:val="single" w:color="auto" w:sz="2" w:space="0"/>
                    <w:left w:val="single" w:color="auto" w:sz="2" w:space="0"/>
                    <w:bottom w:val="single" w:color="auto" w:sz="2" w:space="0"/>
                    <w:right w:val="single" w:color="auto" w:sz="2" w:space="0"/>
                  </w:tcBorders>
                  <w:vAlign w:val="center"/>
                </w:tcPr>
                <w:p>
                  <w:pPr>
                    <w:spacing w:line="42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夜间</w:t>
                  </w:r>
                </w:p>
              </w:tc>
              <w:tc>
                <w:tcPr>
                  <w:tcW w:w="4474" w:type="dxa"/>
                  <w:tcBorders>
                    <w:top w:val="single" w:color="auto" w:sz="2" w:space="0"/>
                    <w:left w:val="single" w:color="auto" w:sz="2" w:space="0"/>
                    <w:bottom w:val="single" w:color="auto" w:sz="2" w:space="0"/>
                    <w:right w:val="single" w:color="auto" w:sz="4" w:space="0"/>
                  </w:tcBorders>
                  <w:vAlign w:val="center"/>
                </w:tcPr>
                <w:p>
                  <w:pPr>
                    <w:spacing w:line="42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标准来源</w:t>
                  </w:r>
                </w:p>
              </w:tc>
            </w:tr>
            <w:tr>
              <w:tblPrEx>
                <w:tblBorders>
                  <w:top w:val="single" w:color="auto" w:sz="2" w:space="0"/>
                  <w:left w:val="single" w:color="auto" w:sz="4" w:space="0"/>
                  <w:bottom w:val="single" w:color="auto" w:sz="2"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96" w:type="dxa"/>
                  <w:tcBorders>
                    <w:top w:val="single" w:color="auto" w:sz="2" w:space="0"/>
                    <w:left w:val="single" w:color="auto" w:sz="4" w:space="0"/>
                    <w:bottom w:val="single" w:color="auto" w:sz="2" w:space="0"/>
                    <w:right w:val="single" w:color="auto" w:sz="2" w:space="0"/>
                  </w:tcBorders>
                  <w:vAlign w:val="center"/>
                </w:tcPr>
                <w:p>
                  <w:pPr>
                    <w:spacing w:line="420" w:lineRule="exact"/>
                    <w:jc w:val="center"/>
                    <w:rPr>
                      <w:rFonts w:hint="eastAsia" w:ascii="Times New Roman" w:hAnsi="Times New Roman" w:eastAsia="宋体" w:cs="Times New Roman"/>
                      <w:bCs/>
                      <w:sz w:val="18"/>
                      <w:szCs w:val="18"/>
                      <w:lang w:eastAsia="zh-CN"/>
                    </w:rPr>
                  </w:pPr>
                  <w:r>
                    <w:rPr>
                      <w:rFonts w:hint="eastAsia" w:cs="Times New Roman"/>
                      <w:bCs/>
                      <w:sz w:val="18"/>
                      <w:szCs w:val="18"/>
                      <w:lang w:val="en-US" w:eastAsia="zh-CN"/>
                    </w:rPr>
                    <w:t>3</w:t>
                  </w:r>
                </w:p>
              </w:tc>
              <w:tc>
                <w:tcPr>
                  <w:tcW w:w="1317" w:type="dxa"/>
                  <w:tcBorders>
                    <w:top w:val="single" w:color="auto" w:sz="2" w:space="0"/>
                    <w:left w:val="single" w:color="auto" w:sz="2" w:space="0"/>
                    <w:bottom w:val="single" w:color="auto" w:sz="2" w:space="0"/>
                    <w:right w:val="single" w:color="auto" w:sz="2" w:space="0"/>
                  </w:tcBorders>
                  <w:vAlign w:val="center"/>
                </w:tcPr>
                <w:p>
                  <w:pPr>
                    <w:spacing w:line="420" w:lineRule="exact"/>
                    <w:jc w:val="center"/>
                    <w:rPr>
                      <w:rFonts w:hint="eastAsia" w:ascii="Times New Roman" w:hAnsi="Times New Roman" w:eastAsia="宋体" w:cs="Times New Roman"/>
                      <w:bCs/>
                      <w:sz w:val="18"/>
                      <w:szCs w:val="18"/>
                      <w:lang w:eastAsia="zh-CN"/>
                    </w:rPr>
                  </w:pPr>
                  <w:r>
                    <w:rPr>
                      <w:rFonts w:hint="default" w:ascii="Times New Roman" w:hAnsi="Times New Roman" w:cs="Times New Roman"/>
                      <w:bCs/>
                      <w:sz w:val="18"/>
                      <w:szCs w:val="18"/>
                    </w:rPr>
                    <w:t>6</w:t>
                  </w:r>
                  <w:r>
                    <w:rPr>
                      <w:rFonts w:hint="eastAsia" w:cs="Times New Roman"/>
                      <w:bCs/>
                      <w:sz w:val="18"/>
                      <w:szCs w:val="18"/>
                      <w:lang w:val="en-US" w:eastAsia="zh-CN"/>
                    </w:rPr>
                    <w:t>5</w:t>
                  </w:r>
                </w:p>
              </w:tc>
              <w:tc>
                <w:tcPr>
                  <w:tcW w:w="1400" w:type="dxa"/>
                  <w:tcBorders>
                    <w:top w:val="single" w:color="auto" w:sz="2" w:space="0"/>
                    <w:left w:val="single" w:color="auto" w:sz="2" w:space="0"/>
                    <w:bottom w:val="single" w:color="auto" w:sz="2" w:space="0"/>
                    <w:right w:val="single" w:color="auto" w:sz="2" w:space="0"/>
                  </w:tcBorders>
                  <w:vAlign w:val="center"/>
                </w:tcPr>
                <w:p>
                  <w:pPr>
                    <w:spacing w:line="420" w:lineRule="exact"/>
                    <w:jc w:val="center"/>
                    <w:rPr>
                      <w:rFonts w:hint="eastAsia" w:ascii="Times New Roman" w:hAnsi="Times New Roman" w:eastAsia="宋体" w:cs="Times New Roman"/>
                      <w:bCs/>
                      <w:sz w:val="18"/>
                      <w:szCs w:val="18"/>
                      <w:lang w:eastAsia="zh-CN"/>
                    </w:rPr>
                  </w:pPr>
                  <w:r>
                    <w:rPr>
                      <w:rFonts w:hint="default" w:ascii="Times New Roman" w:hAnsi="Times New Roman" w:cs="Times New Roman"/>
                      <w:bCs/>
                      <w:sz w:val="18"/>
                      <w:szCs w:val="18"/>
                    </w:rPr>
                    <w:t>5</w:t>
                  </w:r>
                  <w:r>
                    <w:rPr>
                      <w:rFonts w:hint="eastAsia" w:cs="Times New Roman"/>
                      <w:bCs/>
                      <w:sz w:val="18"/>
                      <w:szCs w:val="18"/>
                      <w:lang w:val="en-US" w:eastAsia="zh-CN"/>
                    </w:rPr>
                    <w:t>5</w:t>
                  </w:r>
                </w:p>
              </w:tc>
              <w:tc>
                <w:tcPr>
                  <w:tcW w:w="4474" w:type="dxa"/>
                  <w:tcBorders>
                    <w:top w:val="single" w:color="auto" w:sz="2" w:space="0"/>
                    <w:left w:val="single" w:color="auto" w:sz="2" w:space="0"/>
                    <w:bottom w:val="single" w:color="auto" w:sz="2" w:space="0"/>
                    <w:right w:val="single" w:color="auto" w:sz="4" w:space="0"/>
                  </w:tcBorders>
                  <w:vAlign w:val="center"/>
                </w:tcPr>
                <w:p>
                  <w:pPr>
                    <w:spacing w:line="420" w:lineRule="exact"/>
                    <w:jc w:val="center"/>
                    <w:rPr>
                      <w:rFonts w:hint="default" w:ascii="Times New Roman" w:hAnsi="Times New Roman" w:cs="Times New Roman"/>
                      <w:bCs/>
                      <w:sz w:val="18"/>
                      <w:szCs w:val="18"/>
                    </w:rPr>
                  </w:pPr>
                  <w:r>
                    <w:rPr>
                      <w:rFonts w:hint="default" w:ascii="Times New Roman" w:hAnsi="Times New Roman" w:cs="Times New Roman"/>
                      <w:sz w:val="18"/>
                      <w:szCs w:val="18"/>
                    </w:rPr>
                    <w:t>（GB12348-2008）</w:t>
                  </w:r>
                  <w:r>
                    <w:rPr>
                      <w:rFonts w:hint="eastAsia" w:cs="Times New Roman"/>
                      <w:bCs/>
                      <w:sz w:val="18"/>
                      <w:szCs w:val="18"/>
                      <w:lang w:val="en-US" w:eastAsia="zh-CN"/>
                    </w:rPr>
                    <w:t>3</w:t>
                  </w:r>
                  <w:r>
                    <w:rPr>
                      <w:rFonts w:hint="default" w:ascii="Times New Roman" w:hAnsi="Times New Roman" w:cs="Times New Roman"/>
                      <w:sz w:val="18"/>
                      <w:szCs w:val="18"/>
                    </w:rPr>
                    <w:t>类标准</w:t>
                  </w:r>
                </w:p>
              </w:tc>
            </w:tr>
          </w:tbl>
          <w:p>
            <w:pPr>
              <w:autoSpaceDE w:val="0"/>
              <w:autoSpaceDN w:val="0"/>
              <w:adjustRightInd w:val="0"/>
              <w:spacing w:line="420" w:lineRule="exact"/>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2、废气</w:t>
            </w:r>
          </w:p>
          <w:p>
            <w:pPr>
              <w:spacing w:line="420" w:lineRule="exact"/>
              <w:ind w:firstLine="420" w:firstLineChars="200"/>
              <w:rPr>
                <w:rFonts w:hint="eastAsia" w:ascii="Times New Roman" w:hAnsi="Times New Roman" w:eastAsia="宋体" w:cs="Times New Roman"/>
                <w:szCs w:val="21"/>
                <w:lang w:eastAsia="zh-CN"/>
              </w:rPr>
            </w:pPr>
            <w:r>
              <w:rPr>
                <w:rFonts w:hint="default" w:ascii="Times New Roman" w:hAnsi="Times New Roman" w:cs="Times New Roman"/>
                <w:szCs w:val="21"/>
              </w:rPr>
              <w:t>本项目</w:t>
            </w:r>
            <w:r>
              <w:rPr>
                <w:rFonts w:hint="eastAsia" w:ascii="Times New Roman" w:hAnsi="Times New Roman" w:cs="Times New Roman"/>
                <w:szCs w:val="21"/>
                <w:lang w:eastAsia="zh-CN"/>
              </w:rPr>
              <w:t>营运期</w:t>
            </w:r>
            <w:r>
              <w:rPr>
                <w:rFonts w:hint="default" w:ascii="Times New Roman" w:hAnsi="Times New Roman" w:cs="Times New Roman"/>
              </w:rPr>
              <w:t>有组织VOCs</w:t>
            </w:r>
            <w:r>
              <w:rPr>
                <w:rFonts w:hint="eastAsia" w:cs="Times New Roman"/>
                <w:lang w:eastAsia="zh-CN"/>
              </w:rPr>
              <w:t>、苯酚、甲醛</w:t>
            </w:r>
            <w:r>
              <w:rPr>
                <w:rFonts w:hint="default" w:ascii="Times New Roman" w:hAnsi="Times New Roman" w:cs="Times New Roman"/>
              </w:rPr>
              <w:t>执行</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6</w:t>
            </w:r>
            <w:r>
              <w:rPr>
                <w:rFonts w:hint="default" w:ascii="Times New Roman" w:hAnsi="Times New Roman" w:cs="Times New Roman"/>
                <w:szCs w:val="21"/>
              </w:rPr>
              <w:t>-201</w:t>
            </w:r>
            <w:r>
              <w:rPr>
                <w:rFonts w:hint="eastAsia" w:cs="Times New Roman"/>
                <w:szCs w:val="21"/>
                <w:lang w:val="en-US" w:eastAsia="zh-CN"/>
              </w:rPr>
              <w:t>8</w:t>
            </w:r>
            <w:r>
              <w:rPr>
                <w:rFonts w:hint="default" w:ascii="Times New Roman" w:hAnsi="Times New Roman" w:cs="Times New Roman"/>
                <w:szCs w:val="21"/>
              </w:rPr>
              <w:t>）表</w:t>
            </w:r>
            <w:r>
              <w:rPr>
                <w:rFonts w:hint="eastAsia" w:cs="Times New Roman"/>
                <w:szCs w:val="21"/>
                <w:lang w:val="en-US" w:eastAsia="zh-CN"/>
              </w:rPr>
              <w:t>1、表2中</w:t>
            </w:r>
            <w:r>
              <w:rPr>
                <w:rFonts w:hint="default" w:ascii="Times New Roman" w:hAnsi="Times New Roman" w:cs="Times New Roman"/>
                <w:szCs w:val="21"/>
              </w:rPr>
              <w:t>排放限值</w:t>
            </w:r>
            <w:r>
              <w:rPr>
                <w:rFonts w:hint="eastAsia" w:cs="Times New Roman"/>
                <w:szCs w:val="21"/>
                <w:lang w:eastAsia="zh-CN"/>
              </w:rPr>
              <w:t>；</w:t>
            </w:r>
            <w:r>
              <w:rPr>
                <w:rFonts w:hint="eastAsia" w:cs="Times New Roman"/>
                <w:lang w:eastAsia="zh-CN"/>
              </w:rPr>
              <w:t>苯酚、甲醛排放速率</w:t>
            </w:r>
            <w:r>
              <w:rPr>
                <w:rFonts w:hint="default" w:ascii="Times New Roman" w:hAnsi="Times New Roman" w:cs="Times New Roman"/>
              </w:rPr>
              <w:t>执行</w:t>
            </w:r>
            <w:r>
              <w:rPr>
                <w:rFonts w:hint="default" w:ascii="Times New Roman" w:hAnsi="Times New Roman" w:cs="Times New Roman"/>
                <w:szCs w:val="21"/>
              </w:rPr>
              <w:t>《</w:t>
            </w:r>
            <w:r>
              <w:rPr>
                <w:rFonts w:hint="eastAsia" w:cs="Times New Roman"/>
                <w:szCs w:val="21"/>
                <w:lang w:eastAsia="zh-CN"/>
              </w:rPr>
              <w:t>大气污染物综合排放标准</w:t>
            </w:r>
            <w:r>
              <w:rPr>
                <w:rFonts w:hint="default" w:ascii="Times New Roman" w:hAnsi="Times New Roman" w:cs="Times New Roman"/>
                <w:szCs w:val="21"/>
              </w:rPr>
              <w:t>》（</w:t>
            </w:r>
            <w:r>
              <w:rPr>
                <w:rFonts w:hint="eastAsia" w:cs="Times New Roman"/>
                <w:szCs w:val="21"/>
                <w:lang w:val="en-US" w:eastAsia="zh-CN"/>
              </w:rPr>
              <w:t>GB16297-1996</w:t>
            </w:r>
            <w:r>
              <w:rPr>
                <w:rFonts w:hint="default" w:ascii="Times New Roman" w:hAnsi="Times New Roman" w:cs="Times New Roman"/>
                <w:szCs w:val="21"/>
              </w:rPr>
              <w:t>）表</w:t>
            </w:r>
            <w:r>
              <w:rPr>
                <w:rFonts w:hint="eastAsia" w:cs="Times New Roman"/>
                <w:szCs w:val="21"/>
                <w:lang w:val="en-US" w:eastAsia="zh-CN"/>
              </w:rPr>
              <w:t>2中酚类、甲醛15m有组织</w:t>
            </w:r>
            <w:r>
              <w:rPr>
                <w:rFonts w:hint="default" w:ascii="Times New Roman" w:hAnsi="Times New Roman" w:cs="Times New Roman"/>
                <w:szCs w:val="21"/>
              </w:rPr>
              <w:t>排放限值</w:t>
            </w:r>
            <w:r>
              <w:rPr>
                <w:rFonts w:hint="eastAsia" w:cs="Times New Roman"/>
                <w:szCs w:val="21"/>
                <w:lang w:eastAsia="zh-CN"/>
              </w:rPr>
              <w:t>。</w:t>
            </w:r>
          </w:p>
          <w:p>
            <w:pPr>
              <w:spacing w:line="420" w:lineRule="exact"/>
              <w:ind w:firstLine="420" w:firstLineChars="200"/>
              <w:rPr>
                <w:rFonts w:hint="default" w:ascii="Times New Roman" w:hAnsi="Times New Roman" w:cs="Times New Roman"/>
              </w:rPr>
            </w:pPr>
            <w:r>
              <w:rPr>
                <w:rFonts w:hint="default" w:ascii="Times New Roman" w:hAnsi="Times New Roman" w:cs="Times New Roman"/>
                <w:szCs w:val="21"/>
              </w:rPr>
              <w:t>本项目</w:t>
            </w:r>
            <w:r>
              <w:rPr>
                <w:rFonts w:hint="eastAsia" w:cs="Times New Roman"/>
                <w:szCs w:val="21"/>
                <w:lang w:eastAsia="zh-CN"/>
              </w:rPr>
              <w:t>营运期</w:t>
            </w:r>
            <w:r>
              <w:rPr>
                <w:rFonts w:hint="default" w:ascii="Times New Roman" w:hAnsi="Times New Roman" w:cs="Times New Roman"/>
              </w:rPr>
              <w:t>厂界无组织VOCs执行</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6</w:t>
            </w:r>
            <w:r>
              <w:rPr>
                <w:rFonts w:hint="default" w:ascii="Times New Roman" w:hAnsi="Times New Roman" w:cs="Times New Roman"/>
                <w:szCs w:val="21"/>
              </w:rPr>
              <w:t>-201</w:t>
            </w:r>
            <w:r>
              <w:rPr>
                <w:rFonts w:hint="eastAsia" w:cs="Times New Roman"/>
                <w:szCs w:val="21"/>
                <w:lang w:val="en-US" w:eastAsia="zh-CN"/>
              </w:rPr>
              <w:t>8</w:t>
            </w:r>
            <w:r>
              <w:rPr>
                <w:rFonts w:hint="default" w:ascii="Times New Roman" w:hAnsi="Times New Roman" w:cs="Times New Roman"/>
                <w:szCs w:val="21"/>
              </w:rPr>
              <w:t>）表</w:t>
            </w:r>
            <w:r>
              <w:rPr>
                <w:rFonts w:hint="eastAsia" w:cs="Times New Roman"/>
                <w:szCs w:val="21"/>
                <w:lang w:val="en-US" w:eastAsia="zh-CN"/>
              </w:rPr>
              <w:t>2</w:t>
            </w:r>
            <w:r>
              <w:rPr>
                <w:rFonts w:hint="default" w:ascii="Times New Roman" w:hAnsi="Times New Roman" w:cs="Times New Roman"/>
                <w:szCs w:val="21"/>
              </w:rPr>
              <w:t>厂界监控点浓度限值；</w:t>
            </w:r>
            <w:r>
              <w:rPr>
                <w:rFonts w:hint="default" w:ascii="Times New Roman" w:hAnsi="Times New Roman" w:cs="Times New Roman"/>
              </w:rPr>
              <w:t>无组织</w:t>
            </w:r>
            <w:r>
              <w:rPr>
                <w:rFonts w:hint="eastAsia" w:cs="Times New Roman"/>
                <w:lang w:eastAsia="zh-CN"/>
              </w:rPr>
              <w:t>甲醛</w:t>
            </w:r>
            <w:r>
              <w:rPr>
                <w:rFonts w:hint="default" w:ascii="Times New Roman" w:hAnsi="Times New Roman" w:cs="Times New Roman"/>
              </w:rPr>
              <w:t>执行</w:t>
            </w:r>
            <w:r>
              <w:rPr>
                <w:rFonts w:hint="default" w:ascii="Times New Roman" w:hAnsi="Times New Roman" w:cs="Times New Roman"/>
                <w:szCs w:val="21"/>
              </w:rPr>
              <w:t>《挥发性有机物排放标准 第</w:t>
            </w:r>
            <w:r>
              <w:rPr>
                <w:rFonts w:hint="eastAsia" w:cs="Times New Roman"/>
                <w:szCs w:val="21"/>
                <w:lang w:val="en-US" w:eastAsia="zh-CN"/>
              </w:rPr>
              <w:t>7</w:t>
            </w:r>
            <w:r>
              <w:rPr>
                <w:rFonts w:hint="default" w:ascii="Times New Roman" w:hAnsi="Times New Roman" w:cs="Times New Roman"/>
                <w:szCs w:val="21"/>
              </w:rPr>
              <w:t>部分：</w:t>
            </w:r>
            <w:r>
              <w:rPr>
                <w:rFonts w:hint="eastAsia" w:cs="Times New Roman"/>
                <w:szCs w:val="21"/>
                <w:lang w:eastAsia="zh-CN"/>
              </w:rPr>
              <w:t>其他</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w:t>
            </w:r>
            <w:r>
              <w:rPr>
                <w:rFonts w:hint="eastAsia" w:cs="Times New Roman"/>
                <w:szCs w:val="21"/>
                <w:lang w:val="en-US" w:eastAsia="zh-CN"/>
              </w:rPr>
              <w:t>表3</w:t>
            </w:r>
            <w:r>
              <w:rPr>
                <w:rFonts w:hint="default" w:ascii="Times New Roman" w:hAnsi="Times New Roman" w:cs="Times New Roman"/>
                <w:szCs w:val="21"/>
              </w:rPr>
              <w:t>厂界监控点浓度限值</w:t>
            </w:r>
            <w:r>
              <w:rPr>
                <w:rFonts w:hint="eastAsia" w:ascii="Times New Roman" w:hAnsi="Times New Roman" w:cs="Times New Roman"/>
                <w:szCs w:val="21"/>
                <w:lang w:eastAsia="zh-CN"/>
              </w:rPr>
              <w:t>；</w:t>
            </w:r>
            <w:r>
              <w:rPr>
                <w:rFonts w:hint="eastAsia" w:cs="Times New Roman"/>
                <w:szCs w:val="21"/>
                <w:lang w:eastAsia="zh-CN"/>
              </w:rPr>
              <w:t>无组织苯酚执行《大气污染物综合排放标准》（</w:t>
            </w:r>
            <w:r>
              <w:rPr>
                <w:rFonts w:hint="eastAsia" w:cs="Times New Roman"/>
                <w:szCs w:val="21"/>
                <w:lang w:val="en-US" w:eastAsia="zh-CN"/>
              </w:rPr>
              <w:t>GB16297-1996</w:t>
            </w:r>
            <w:r>
              <w:rPr>
                <w:rFonts w:hint="eastAsia" w:cs="Times New Roman"/>
                <w:szCs w:val="21"/>
                <w:lang w:eastAsia="zh-CN"/>
              </w:rPr>
              <w:t>）表</w:t>
            </w:r>
            <w:r>
              <w:rPr>
                <w:rFonts w:hint="eastAsia" w:cs="Times New Roman"/>
                <w:szCs w:val="21"/>
                <w:lang w:val="en-US" w:eastAsia="zh-CN"/>
              </w:rPr>
              <w:t>2厂界监控点浓度限值；</w:t>
            </w:r>
            <w:r>
              <w:rPr>
                <w:rFonts w:hint="default" w:ascii="Times New Roman" w:hAnsi="Times New Roman" w:cs="Times New Roman"/>
                <w:szCs w:val="21"/>
              </w:rPr>
              <w:t>厂区内无组织VOCs（以非甲烷总烃表征）执行</w:t>
            </w:r>
            <w:r>
              <w:rPr>
                <w:rFonts w:hint="default" w:ascii="Times New Roman" w:hAnsi="Times New Roman" w:cs="Times New Roman"/>
              </w:rPr>
              <w:t>《挥发性有机物无组织排放控制标准》（GB37822-2019）附录A中表A.1厂区内无组织排放限值。</w:t>
            </w:r>
          </w:p>
          <w:p>
            <w:pPr>
              <w:pStyle w:val="1383"/>
              <w:adjustRightInd w:val="0"/>
              <w:snapToGrid w:val="0"/>
              <w:spacing w:beforeLines="50" w:line="240" w:lineRule="auto"/>
              <w:rPr>
                <w:rFonts w:hint="default" w:ascii="Times New Roman" w:hAnsi="Times New Roman" w:cs="Times New Roman"/>
                <w:sz w:val="21"/>
                <w:szCs w:val="21"/>
              </w:rPr>
            </w:pPr>
            <w:r>
              <w:rPr>
                <w:rFonts w:hint="default" w:ascii="Times New Roman" w:hAnsi="Times New Roman" w:cs="Times New Roman"/>
                <w:sz w:val="21"/>
                <w:szCs w:val="21"/>
              </w:rPr>
              <w:t>表3-</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项目废气排放浓度及速率执行标准</w:t>
            </w:r>
          </w:p>
          <w:tbl>
            <w:tblPr>
              <w:tblStyle w:val="85"/>
              <w:tblW w:w="495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71"/>
              <w:gridCol w:w="1277"/>
              <w:gridCol w:w="993"/>
              <w:gridCol w:w="1135"/>
              <w:gridCol w:w="2528"/>
              <w:gridCol w:w="98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971" w:type="dxa"/>
                  <w:vMerge w:val="restart"/>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污染物名称</w:t>
                  </w:r>
                </w:p>
              </w:tc>
              <w:tc>
                <w:tcPr>
                  <w:tcW w:w="1277" w:type="dxa"/>
                  <w:vMerge w:val="restart"/>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排放浓度mg/m</w:t>
                  </w:r>
                  <w:r>
                    <w:rPr>
                      <w:rFonts w:hint="default" w:ascii="Times New Roman" w:hAnsi="Times New Roman" w:cs="Times New Roman"/>
                      <w:color w:val="000000"/>
                      <w:sz w:val="18"/>
                      <w:szCs w:val="18"/>
                      <w:vertAlign w:val="superscript"/>
                    </w:rPr>
                    <w:t>3</w:t>
                  </w:r>
                </w:p>
              </w:tc>
              <w:tc>
                <w:tcPr>
                  <w:tcW w:w="212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最高允许排放速率，kg/h</w:t>
                  </w:r>
                </w:p>
              </w:tc>
              <w:tc>
                <w:tcPr>
                  <w:tcW w:w="3509"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无组织排放浓度限值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971" w:type="dxa"/>
                  <w:vMerge w:val="continue"/>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1277" w:type="dxa"/>
                  <w:vMerge w:val="continue"/>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99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排气筒高度</w:t>
                  </w:r>
                </w:p>
              </w:tc>
              <w:tc>
                <w:tcPr>
                  <w:tcW w:w="113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速率限值</w:t>
                  </w:r>
                </w:p>
              </w:tc>
              <w:tc>
                <w:tcPr>
                  <w:tcW w:w="25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监控点</w:t>
                  </w:r>
                </w:p>
              </w:tc>
              <w:tc>
                <w:tcPr>
                  <w:tcW w:w="9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浓度mg/m</w:t>
                  </w:r>
                  <w:r>
                    <w:rPr>
                      <w:rFonts w:hint="default" w:ascii="Times New Roman" w:hAnsi="Times New Roman" w:cs="Times New Roman"/>
                      <w:color w:val="000000"/>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971" w:type="dxa"/>
                  <w:vMerge w:val="restart"/>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sz w:val="18"/>
                      <w:szCs w:val="18"/>
                    </w:rPr>
                    <w:t>VOCs</w:t>
                  </w:r>
                </w:p>
              </w:tc>
              <w:tc>
                <w:tcPr>
                  <w:tcW w:w="1277" w:type="dxa"/>
                  <w:vMerge w:val="restart"/>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60</w:t>
                  </w:r>
                </w:p>
              </w:tc>
              <w:tc>
                <w:tcPr>
                  <w:tcW w:w="993" w:type="dxa"/>
                  <w:vMerge w:val="restart"/>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w:t>
                  </w:r>
                </w:p>
              </w:tc>
              <w:tc>
                <w:tcPr>
                  <w:tcW w:w="1135" w:type="dxa"/>
                  <w:vMerge w:val="restart"/>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eastAsia" w:cs="Times New Roman"/>
                      <w:color w:val="000000"/>
                      <w:sz w:val="18"/>
                      <w:szCs w:val="18"/>
                      <w:lang w:val="en-US" w:eastAsia="zh-CN"/>
                    </w:rPr>
                    <w:t>3</w:t>
                  </w:r>
                </w:p>
              </w:tc>
              <w:tc>
                <w:tcPr>
                  <w:tcW w:w="25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厂界监控点浓度限值</w:t>
                  </w:r>
                </w:p>
              </w:tc>
              <w:tc>
                <w:tcPr>
                  <w:tcW w:w="9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971" w:type="dxa"/>
                  <w:vMerge w:val="continue"/>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sz w:val="18"/>
                      <w:szCs w:val="18"/>
                    </w:rPr>
                  </w:pPr>
                </w:p>
              </w:tc>
              <w:tc>
                <w:tcPr>
                  <w:tcW w:w="1277" w:type="dxa"/>
                  <w:vMerge w:val="continue"/>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993" w:type="dxa"/>
                  <w:vMerge w:val="continue"/>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1135" w:type="dxa"/>
                  <w:vMerge w:val="continue"/>
                  <w:tcBorders>
                    <w:top w:val="single" w:color="auto" w:sz="6" w:space="0"/>
                    <w:left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25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sz w:val="18"/>
                      <w:szCs w:val="18"/>
                    </w:rPr>
                    <w:t>厂内监控点</w:t>
                  </w:r>
                  <w:r>
                    <w:rPr>
                      <w:rFonts w:hint="default" w:ascii="Times New Roman" w:hAnsi="Times New Roman" w:cs="Times New Roman"/>
                      <w:color w:val="000000"/>
                      <w:sz w:val="18"/>
                      <w:szCs w:val="18"/>
                    </w:rPr>
                    <w:t>1h平均浓度限值</w:t>
                  </w:r>
                </w:p>
              </w:tc>
              <w:tc>
                <w:tcPr>
                  <w:tcW w:w="9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spacing w:val="6"/>
                      <w:sz w:val="18"/>
                      <w:szCs w:val="18"/>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971" w:type="dxa"/>
                  <w:vMerge w:val="continue"/>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sz w:val="18"/>
                      <w:szCs w:val="18"/>
                    </w:rPr>
                  </w:pPr>
                </w:p>
              </w:tc>
              <w:tc>
                <w:tcPr>
                  <w:tcW w:w="1277" w:type="dxa"/>
                  <w:vMerge w:val="continue"/>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993" w:type="dxa"/>
                  <w:vMerge w:val="continue"/>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1135" w:type="dxa"/>
                  <w:vMerge w:val="continue"/>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p>
              </w:tc>
              <w:tc>
                <w:tcPr>
                  <w:tcW w:w="25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sz w:val="18"/>
                      <w:szCs w:val="18"/>
                    </w:rPr>
                  </w:pPr>
                  <w:r>
                    <w:rPr>
                      <w:rFonts w:hint="default" w:ascii="Times New Roman" w:hAnsi="Times New Roman" w:cs="Times New Roman"/>
                      <w:sz w:val="18"/>
                      <w:szCs w:val="18"/>
                    </w:rPr>
                    <w:t>厂内监控点任意1次值浓度限值</w:t>
                  </w:r>
                </w:p>
              </w:tc>
              <w:tc>
                <w:tcPr>
                  <w:tcW w:w="9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spacing w:val="6"/>
                      <w:sz w:val="18"/>
                      <w:szCs w:val="18"/>
                    </w:rPr>
                  </w:pPr>
                  <w:r>
                    <w:rPr>
                      <w:rFonts w:hint="default" w:ascii="Times New Roman" w:hAnsi="Times New Roman" w:cs="Times New Roman"/>
                      <w:spacing w:val="6"/>
                      <w:sz w:val="18"/>
                      <w:szCs w:val="18"/>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971"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eastAsia="zh-CN"/>
                    </w:rPr>
                    <w:t>甲醛</w:t>
                  </w:r>
                </w:p>
              </w:tc>
              <w:tc>
                <w:tcPr>
                  <w:tcW w:w="1277"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sz w:val="18"/>
                      <w:szCs w:val="18"/>
                      <w:lang w:val="en-US" w:eastAsia="zh-CN"/>
                    </w:rPr>
                    <w:t>5</w:t>
                  </w:r>
                </w:p>
              </w:tc>
              <w:tc>
                <w:tcPr>
                  <w:tcW w:w="993"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lang w:val="en-US" w:eastAsia="zh-CN"/>
                    </w:rPr>
                    <w:t>15</w:t>
                  </w:r>
                </w:p>
              </w:tc>
              <w:tc>
                <w:tcPr>
                  <w:tcW w:w="1135"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0.26</w:t>
                  </w:r>
                </w:p>
              </w:tc>
              <w:tc>
                <w:tcPr>
                  <w:tcW w:w="25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color w:val="000000"/>
                      <w:sz w:val="18"/>
                      <w:szCs w:val="18"/>
                    </w:rPr>
                    <w:t>厂界监控点浓度限值</w:t>
                  </w:r>
                </w:p>
              </w:tc>
              <w:tc>
                <w:tcPr>
                  <w:tcW w:w="9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eastAsia="宋体" w:cs="Times New Roman"/>
                      <w:spacing w:val="6"/>
                      <w:kern w:val="2"/>
                      <w:sz w:val="18"/>
                      <w:szCs w:val="18"/>
                      <w:lang w:val="en-US" w:eastAsia="zh-CN" w:bidi="ar-SA"/>
                    </w:rPr>
                  </w:pPr>
                  <w:r>
                    <w:rPr>
                      <w:rFonts w:hint="default" w:ascii="Times New Roman" w:hAnsi="Times New Roman" w:cs="Times New Roman"/>
                      <w:spacing w:val="6"/>
                      <w:sz w:val="18"/>
                      <w:szCs w:val="18"/>
                      <w:lang w:val="en-US" w:eastAsia="zh-CN"/>
                    </w:rPr>
                    <w:t>0.</w:t>
                  </w:r>
                  <w:r>
                    <w:rPr>
                      <w:rFonts w:hint="eastAsia" w:cs="Times New Roman"/>
                      <w:spacing w:val="6"/>
                      <w:sz w:val="18"/>
                      <w:szCs w:val="18"/>
                      <w:lang w:val="en-US" w:eastAsia="zh-CN"/>
                    </w:rPr>
                    <w:t>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971"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eastAsia" w:cs="Times New Roman"/>
                      <w:sz w:val="18"/>
                      <w:szCs w:val="18"/>
                      <w:lang w:eastAsia="zh-CN"/>
                    </w:rPr>
                  </w:pPr>
                  <w:r>
                    <w:rPr>
                      <w:rFonts w:hint="eastAsia" w:cs="Times New Roman"/>
                      <w:sz w:val="18"/>
                      <w:szCs w:val="18"/>
                      <w:lang w:eastAsia="zh-CN"/>
                    </w:rPr>
                    <w:t>苯酚</w:t>
                  </w:r>
                </w:p>
              </w:tc>
              <w:tc>
                <w:tcPr>
                  <w:tcW w:w="1277"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cs="Times New Roman"/>
                      <w:color w:val="000000"/>
                      <w:sz w:val="18"/>
                      <w:szCs w:val="18"/>
                      <w:lang w:val="en-US" w:eastAsia="zh-CN"/>
                    </w:rPr>
                  </w:pPr>
                  <w:r>
                    <w:rPr>
                      <w:rFonts w:hint="eastAsia" w:cs="Times New Roman"/>
                      <w:color w:val="000000"/>
                      <w:sz w:val="18"/>
                      <w:szCs w:val="18"/>
                      <w:lang w:val="en-US" w:eastAsia="zh-CN"/>
                    </w:rPr>
                    <w:t>15</w:t>
                  </w:r>
                </w:p>
              </w:tc>
              <w:tc>
                <w:tcPr>
                  <w:tcW w:w="993"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lang w:val="en-US" w:eastAsia="zh-CN"/>
                    </w:rPr>
                  </w:pPr>
                  <w:r>
                    <w:rPr>
                      <w:rFonts w:hint="eastAsia" w:cs="Times New Roman"/>
                      <w:color w:val="000000"/>
                      <w:sz w:val="18"/>
                      <w:szCs w:val="18"/>
                      <w:lang w:val="en-US" w:eastAsia="zh-CN"/>
                    </w:rPr>
                    <w:t>15</w:t>
                  </w:r>
                </w:p>
              </w:tc>
              <w:tc>
                <w:tcPr>
                  <w:tcW w:w="1135" w:type="dxa"/>
                  <w:tcBorders>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lang w:val="en-US" w:eastAsia="zh-CN"/>
                    </w:rPr>
                  </w:pPr>
                  <w:r>
                    <w:rPr>
                      <w:rFonts w:hint="eastAsia" w:cs="Times New Roman"/>
                      <w:color w:val="000000"/>
                      <w:sz w:val="18"/>
                      <w:szCs w:val="18"/>
                      <w:lang w:val="en-US" w:eastAsia="zh-CN"/>
                    </w:rPr>
                    <w:t>0.1</w:t>
                  </w:r>
                </w:p>
              </w:tc>
              <w:tc>
                <w:tcPr>
                  <w:tcW w:w="252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厂界监控点浓度限值</w:t>
                  </w:r>
                </w:p>
              </w:tc>
              <w:tc>
                <w:tcPr>
                  <w:tcW w:w="98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rPr>
                      <w:rFonts w:hint="default" w:ascii="Times New Roman" w:hAnsi="Times New Roman" w:cs="Times New Roman"/>
                      <w:spacing w:val="6"/>
                      <w:sz w:val="18"/>
                      <w:szCs w:val="18"/>
                      <w:lang w:val="en-US" w:eastAsia="zh-CN"/>
                    </w:rPr>
                  </w:pPr>
                  <w:r>
                    <w:rPr>
                      <w:rFonts w:hint="eastAsia" w:cs="Times New Roman"/>
                      <w:spacing w:val="6"/>
                      <w:sz w:val="18"/>
                      <w:szCs w:val="18"/>
                      <w:lang w:val="en-US" w:eastAsia="zh-CN"/>
                    </w:rPr>
                    <w:t>0.08</w:t>
                  </w:r>
                </w:p>
              </w:tc>
            </w:tr>
          </w:tbl>
          <w:p>
            <w:pPr>
              <w:spacing w:line="360" w:lineRule="auto"/>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3、废水</w:t>
            </w:r>
          </w:p>
          <w:p>
            <w:pPr>
              <w:pStyle w:val="2"/>
              <w:spacing w:after="0" w:line="360" w:lineRule="auto"/>
              <w:ind w:left="0" w:leftChars="0" w:firstLine="31680"/>
              <w:rPr>
                <w:rFonts w:hint="default" w:ascii="Times New Roman" w:hAnsi="Times New Roman" w:cs="Times New Roman"/>
                <w:szCs w:val="21"/>
              </w:rPr>
            </w:pPr>
            <w:r>
              <w:rPr>
                <w:rFonts w:hint="default" w:ascii="Times New Roman" w:hAnsi="Times New Roman" w:cs="Times New Roman"/>
                <w:szCs w:val="21"/>
              </w:rPr>
              <w:t>生活污水中的BOD</w:t>
            </w:r>
            <w:r>
              <w:rPr>
                <w:rFonts w:hint="default" w:ascii="Times New Roman" w:hAnsi="Times New Roman" w:cs="Times New Roman"/>
                <w:szCs w:val="21"/>
                <w:vertAlign w:val="subscript"/>
              </w:rPr>
              <w:t>5</w:t>
            </w:r>
            <w:r>
              <w:rPr>
                <w:rFonts w:hint="default" w:ascii="Times New Roman" w:hAnsi="Times New Roman" w:cs="Times New Roman"/>
                <w:szCs w:val="21"/>
              </w:rPr>
              <w:t>排放浓度执行《污水综合排放标准》（GB 8978-1996）中三级标准，其余污染因子的排放浓度执行《污水排入城镇下水道水质标准》（GB/T31962-2015）B等级标准，见下表：</w:t>
            </w:r>
          </w:p>
          <w:p>
            <w:pPr>
              <w:pStyle w:val="1383"/>
              <w:adjustRightInd w:val="0"/>
              <w:snapToGrid w:val="0"/>
              <w:rPr>
                <w:rFonts w:hint="default" w:ascii="Times New Roman" w:hAnsi="Times New Roman" w:cs="Times New Roman"/>
                <w:sz w:val="21"/>
                <w:szCs w:val="21"/>
              </w:rPr>
            </w:pPr>
            <w:r>
              <w:rPr>
                <w:rFonts w:hint="default" w:ascii="Times New Roman" w:hAnsi="Times New Roman" w:cs="Times New Roman"/>
                <w:sz w:val="21"/>
                <w:szCs w:val="21"/>
              </w:rPr>
              <w:t>表3-</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本项目污水排放限值    单位：mg/L，pH无量纲</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436"/>
              <w:gridCol w:w="1620"/>
              <w:gridCol w:w="1487"/>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污染因子</w:t>
                  </w:r>
                </w:p>
              </w:tc>
              <w:tc>
                <w:tcPr>
                  <w:tcW w:w="9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p>
              </w:tc>
              <w:tc>
                <w:tcPr>
                  <w:tcW w:w="93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97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悬浮物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浓度限值</w:t>
                  </w:r>
                </w:p>
              </w:tc>
              <w:tc>
                <w:tcPr>
                  <w:tcW w:w="9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500</w:t>
                  </w:r>
                </w:p>
              </w:tc>
              <w:tc>
                <w:tcPr>
                  <w:tcW w:w="101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300</w:t>
                  </w:r>
                </w:p>
              </w:tc>
              <w:tc>
                <w:tcPr>
                  <w:tcW w:w="93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97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400</w:t>
                  </w:r>
                </w:p>
              </w:tc>
            </w:tr>
          </w:tbl>
          <w:p>
            <w:pPr>
              <w:spacing w:line="420" w:lineRule="exact"/>
              <w:ind w:firstLine="420" w:firstLineChars="200"/>
              <w:rPr>
                <w:rFonts w:hint="default" w:ascii="Times New Roman" w:hAnsi="Times New Roman" w:eastAsia="黑体" w:cs="Times New Roman"/>
                <w:bCs/>
                <w:szCs w:val="21"/>
              </w:rPr>
            </w:pPr>
            <w:r>
              <w:rPr>
                <w:rFonts w:hint="eastAsia" w:eastAsia="黑体" w:cs="Times New Roman"/>
                <w:bCs/>
                <w:szCs w:val="21"/>
                <w:lang w:val="en-US" w:eastAsia="zh-CN"/>
              </w:rPr>
              <w:t>4</w:t>
            </w:r>
            <w:r>
              <w:rPr>
                <w:rFonts w:hint="default" w:ascii="Times New Roman" w:hAnsi="Times New Roman" w:eastAsia="黑体" w:cs="Times New Roman"/>
                <w:bCs/>
                <w:szCs w:val="21"/>
              </w:rPr>
              <w:t>、固废</w:t>
            </w:r>
          </w:p>
          <w:p>
            <w:pPr>
              <w:adjustRightInd w:val="0"/>
              <w:snapToGrid w:val="0"/>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一般固体废物执行《中华人民共和国固体废物污染环境防治法》相关要求，采取防扬散、防流失、防渗漏或者其他防止污染环境的措施，不得擅自倾倒、堆放、丢弃、遗撒，管理过程中应符合《一般工业固体废物管理台账制定指南（试行）》（公告 2021 年第 82 号）要求，危险废物执行危险废物执行《危险废物贮存污染控制标准》（GB18597-20</w:t>
            </w:r>
            <w:r>
              <w:rPr>
                <w:rFonts w:hint="eastAsia" w:cs="Times New Roman"/>
                <w:szCs w:val="21"/>
                <w:lang w:val="en-US" w:eastAsia="zh-CN"/>
              </w:rPr>
              <w:t>23</w:t>
            </w:r>
            <w:r>
              <w:rPr>
                <w:rFonts w:hint="default" w:ascii="Times New Roman" w:hAnsi="Times New Roman" w:cs="Times New Roman"/>
                <w:szCs w:val="21"/>
              </w:rPr>
              <w:t>）及淄博市对固废处置的有关规定。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0" w:type="dxa"/>
            <w:tcBorders>
              <w:bottom w:val="single" w:color="auto" w:sz="8" w:space="0"/>
            </w:tcBorders>
            <w:vAlign w:val="center"/>
          </w:tcPr>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总量</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控制</w:t>
            </w:r>
          </w:p>
          <w:p>
            <w:pPr>
              <w:adjustRightInd w:val="0"/>
              <w:snapToGrid w:val="0"/>
              <w:spacing w:line="42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8190" w:type="dxa"/>
            <w:tcBorders>
              <w:bottom w:val="single" w:color="auto" w:sz="8" w:space="0"/>
            </w:tcBorders>
            <w:vAlign w:val="center"/>
          </w:tcPr>
          <w:p>
            <w:pPr>
              <w:spacing w:line="360" w:lineRule="auto"/>
              <w:ind w:firstLine="420" w:firstLineChars="200"/>
              <w:rPr>
                <w:rFonts w:hint="default" w:ascii="Times New Roman" w:hAnsi="Times New Roman" w:cs="Times New Roman"/>
                <w:highlight w:val="none"/>
              </w:rPr>
            </w:pPr>
            <w:r>
              <w:rPr>
                <w:rFonts w:hint="default" w:ascii="Times New Roman" w:hAnsi="Times New Roman" w:cs="Times New Roman"/>
              </w:rPr>
              <w:t>根据《山东省建设项目主要大气污染物排放总量替代指标核算及管理办法》（鲁环发[2019]132号），山东省二氧化硫、氮氧化物、烟粉尘、挥发性有机物四项大气污染物排放总量进行替代指标的核算。用于建设项目的“可替代总量指标”不得低于建设项目所需替代的主要大气污染物排放总量指标。上一年度环境空气质量年平均浓度达标的城市，相关污染物进行等量替代。上一年度环境空气质量年平均浓度不达标的城市，相关污染物应按照建设项目所需替代的污染物排放总量指标的2倍进行削减替代（燃煤发电机组大气污染物排放浓度达到超低排放标准的进行等量替代）。上一年度细颗粒物年平均浓度超标的设区的市，实行二氧化硫、氮氧化物、烟粉尘、挥发性有机物</w:t>
            </w:r>
            <w:r>
              <w:rPr>
                <w:rFonts w:hint="default" w:ascii="Times New Roman" w:hAnsi="Times New Roman" w:cs="Times New Roman"/>
                <w:highlight w:val="none"/>
              </w:rPr>
              <w:t>四项污染物排放总量指标2倍削减替代。</w:t>
            </w:r>
          </w:p>
          <w:p>
            <w:pPr>
              <w:spacing w:line="360" w:lineRule="auto"/>
              <w:ind w:firstLine="420" w:firstLineChars="200"/>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本</w:t>
            </w:r>
            <w:r>
              <w:rPr>
                <w:rFonts w:hint="default" w:ascii="Times New Roman" w:hAnsi="Times New Roman" w:cs="Times New Roman"/>
                <w:sz w:val="21"/>
                <w:szCs w:val="21"/>
                <w:highlight w:val="none"/>
              </w:rPr>
              <w:t>项目</w:t>
            </w:r>
            <w:r>
              <w:rPr>
                <w:rFonts w:hint="eastAsia" w:cs="Times New Roman"/>
                <w:sz w:val="21"/>
                <w:szCs w:val="21"/>
                <w:highlight w:val="none"/>
                <w:lang w:eastAsia="zh-CN"/>
              </w:rPr>
              <w:t>完成后，全厂</w:t>
            </w:r>
            <w:r>
              <w:rPr>
                <w:rFonts w:hint="default" w:ascii="Times New Roman" w:hAnsi="Times New Roman" w:cs="Times New Roman"/>
                <w:sz w:val="21"/>
                <w:szCs w:val="21"/>
                <w:highlight w:val="none"/>
              </w:rPr>
              <w:t>有组织</w:t>
            </w:r>
            <w:r>
              <w:rPr>
                <w:rFonts w:hint="eastAsia" w:cs="Times New Roman"/>
                <w:sz w:val="21"/>
                <w:szCs w:val="21"/>
                <w:highlight w:val="none"/>
                <w:lang w:val="en-US" w:eastAsia="zh-CN"/>
              </w:rPr>
              <w:t>VOCs</w:t>
            </w:r>
            <w:r>
              <w:rPr>
                <w:rFonts w:hint="default" w:ascii="Times New Roman" w:hAnsi="Times New Roman" w:cs="Times New Roman"/>
                <w:sz w:val="21"/>
                <w:szCs w:val="21"/>
                <w:highlight w:val="none"/>
              </w:rPr>
              <w:t>排放量为0.</w:t>
            </w:r>
            <w:r>
              <w:rPr>
                <w:rFonts w:hint="eastAsia" w:cs="Times New Roman"/>
                <w:sz w:val="21"/>
                <w:szCs w:val="21"/>
                <w:highlight w:val="none"/>
                <w:lang w:val="en-US" w:eastAsia="zh-CN"/>
              </w:rPr>
              <w:t>302</w:t>
            </w:r>
            <w:r>
              <w:rPr>
                <w:rFonts w:hint="default" w:ascii="Times New Roman" w:hAnsi="Times New Roman" w:cs="Times New Roman"/>
                <w:sz w:val="21"/>
                <w:szCs w:val="21"/>
                <w:highlight w:val="none"/>
              </w:rPr>
              <w:t>t/a</w:t>
            </w:r>
            <w:r>
              <w:rPr>
                <w:rFonts w:hint="eastAsia" w:cs="Times New Roman"/>
                <w:sz w:val="21"/>
                <w:szCs w:val="21"/>
                <w:highlight w:val="none"/>
                <w:lang w:eastAsia="zh-CN"/>
              </w:rPr>
              <w:t>。</w:t>
            </w:r>
          </w:p>
          <w:p>
            <w:pPr>
              <w:spacing w:line="360" w:lineRule="auto"/>
              <w:ind w:firstLine="420" w:firstLineChars="200"/>
              <w:rPr>
                <w:rFonts w:hint="default" w:ascii="Times New Roman" w:hAnsi="Times New Roman" w:cs="Times New Roman" w:eastAsiaTheme="minorEastAsia"/>
                <w:kern w:val="0"/>
                <w:sz w:val="21"/>
                <w:szCs w:val="21"/>
                <w:highlight w:val="none"/>
                <w:lang w:val="en-US" w:eastAsia="zh-CN"/>
              </w:rPr>
            </w:pPr>
            <w:r>
              <w:rPr>
                <w:rFonts w:hint="default" w:ascii="Times New Roman" w:hAnsi="Times New Roman" w:cs="Times New Roman" w:eastAsiaTheme="minorEastAsia"/>
                <w:kern w:val="0"/>
                <w:sz w:val="21"/>
                <w:szCs w:val="21"/>
                <w:lang w:val="de-DE"/>
              </w:rPr>
              <w:t>根据《</w:t>
            </w:r>
            <w:r>
              <w:rPr>
                <w:rFonts w:hint="eastAsia" w:cs="Times New Roman" w:eastAsiaTheme="minorEastAsia"/>
                <w:bCs/>
                <w:kern w:val="0"/>
                <w:sz w:val="21"/>
                <w:szCs w:val="21"/>
                <w:lang w:val="de-DE" w:eastAsia="zh-CN"/>
              </w:rPr>
              <w:t>淄博龙昊电源科技有限公司</w:t>
            </w:r>
            <w:r>
              <w:rPr>
                <w:rFonts w:hint="default" w:ascii="Times New Roman" w:hAnsi="Times New Roman" w:cs="Times New Roman"/>
                <w:bCs/>
                <w:kern w:val="0"/>
                <w:sz w:val="21"/>
                <w:szCs w:val="21"/>
                <w:lang w:val="de-DE"/>
              </w:rPr>
              <w:t>年产</w:t>
            </w:r>
            <w:r>
              <w:rPr>
                <w:rFonts w:hint="eastAsia" w:cs="Times New Roman"/>
                <w:bCs/>
                <w:kern w:val="0"/>
                <w:sz w:val="21"/>
                <w:szCs w:val="21"/>
                <w:lang w:val="en-US" w:eastAsia="zh-CN"/>
              </w:rPr>
              <w:t>20万m</w:t>
            </w:r>
            <w:r>
              <w:rPr>
                <w:rFonts w:hint="eastAsia" w:cs="Times New Roman"/>
                <w:bCs/>
                <w:kern w:val="0"/>
                <w:sz w:val="21"/>
                <w:szCs w:val="21"/>
                <w:vertAlign w:val="superscript"/>
                <w:lang w:val="en-US" w:eastAsia="zh-CN"/>
              </w:rPr>
              <w:t>2</w:t>
            </w:r>
            <w:r>
              <w:rPr>
                <w:rFonts w:hint="eastAsia" w:cs="Times New Roman"/>
                <w:bCs/>
                <w:kern w:val="0"/>
                <w:sz w:val="21"/>
                <w:szCs w:val="21"/>
                <w:vertAlign w:val="baseline"/>
                <w:lang w:val="en-US" w:eastAsia="zh-CN"/>
              </w:rPr>
              <w:t>涤纶丝排管</w:t>
            </w:r>
            <w:r>
              <w:rPr>
                <w:rFonts w:hint="default" w:ascii="Times New Roman" w:hAnsi="Times New Roman" w:cs="Times New Roman"/>
                <w:bCs/>
                <w:kern w:val="0"/>
                <w:sz w:val="21"/>
                <w:szCs w:val="21"/>
                <w:lang w:val="de-DE"/>
              </w:rPr>
              <w:t>项目</w:t>
            </w:r>
            <w:r>
              <w:rPr>
                <w:rFonts w:hint="default" w:ascii="Times New Roman" w:hAnsi="Times New Roman" w:cs="Times New Roman" w:eastAsiaTheme="minorEastAsia"/>
                <w:kern w:val="0"/>
                <w:sz w:val="21"/>
                <w:szCs w:val="21"/>
                <w:lang w:val="de-DE"/>
              </w:rPr>
              <w:t>》总量确认书</w:t>
            </w:r>
            <w:r>
              <w:rPr>
                <w:rFonts w:hint="eastAsia" w:cs="Times New Roman" w:eastAsiaTheme="minorEastAsia"/>
                <w:kern w:val="0"/>
                <w:sz w:val="21"/>
                <w:szCs w:val="21"/>
                <w:lang w:val="de-DE" w:eastAsia="zh-CN"/>
              </w:rPr>
              <w:t>（</w:t>
            </w:r>
            <w:r>
              <w:rPr>
                <w:rFonts w:hint="eastAsia"/>
              </w:rPr>
              <w:t>2019年3月</w:t>
            </w:r>
            <w:r>
              <w:rPr>
                <w:rFonts w:hint="eastAsia" w:cs="Times New Roman" w:eastAsiaTheme="minorEastAsia"/>
                <w:kern w:val="0"/>
                <w:sz w:val="21"/>
                <w:szCs w:val="21"/>
                <w:lang w:val="de-DE" w:eastAsia="zh-CN"/>
              </w:rPr>
              <w:t>）</w:t>
            </w:r>
            <w:r>
              <w:rPr>
                <w:rFonts w:hint="default" w:ascii="Times New Roman" w:hAnsi="Times New Roman" w:cs="Times New Roman" w:eastAsiaTheme="minorEastAsia"/>
                <w:kern w:val="0"/>
                <w:sz w:val="21"/>
                <w:szCs w:val="21"/>
                <w:lang w:val="de-DE"/>
              </w:rPr>
              <w:t>，</w:t>
            </w:r>
            <w:r>
              <w:rPr>
                <w:rFonts w:hint="default" w:ascii="Times New Roman" w:hAnsi="Times New Roman" w:cs="Times New Roman" w:eastAsiaTheme="minorEastAsia"/>
                <w:kern w:val="0"/>
                <w:sz w:val="21"/>
                <w:szCs w:val="21"/>
                <w:lang w:val="de-DE" w:eastAsia="zh-CN"/>
              </w:rPr>
              <w:t>企业</w:t>
            </w:r>
            <w:r>
              <w:rPr>
                <w:rFonts w:hint="default" w:ascii="Times New Roman" w:hAnsi="Times New Roman" w:cs="Times New Roman" w:eastAsiaTheme="minorEastAsia"/>
                <w:kern w:val="0"/>
                <w:sz w:val="21"/>
                <w:szCs w:val="21"/>
                <w:lang w:val="de-DE"/>
              </w:rPr>
              <w:t>已有总量</w:t>
            </w:r>
            <w:r>
              <w:rPr>
                <w:rFonts w:hint="default" w:ascii="Times New Roman" w:hAnsi="Times New Roman" w:cs="Times New Roman" w:eastAsiaTheme="minorEastAsia"/>
                <w:kern w:val="0"/>
                <w:sz w:val="21"/>
                <w:szCs w:val="21"/>
                <w:lang w:val="de-DE" w:eastAsia="zh-CN"/>
              </w:rPr>
              <w:t>指标</w:t>
            </w:r>
            <w:r>
              <w:rPr>
                <w:rFonts w:hint="default" w:ascii="Times New Roman" w:hAnsi="Times New Roman" w:cs="Times New Roman" w:eastAsiaTheme="minorEastAsia"/>
                <w:kern w:val="0"/>
                <w:sz w:val="21"/>
                <w:szCs w:val="21"/>
                <w:lang w:val="de-DE"/>
              </w:rPr>
              <w:t>为</w:t>
            </w:r>
            <w:r>
              <w:rPr>
                <w:rFonts w:hint="eastAsia" w:cs="Times New Roman" w:eastAsiaTheme="minorEastAsia"/>
                <w:kern w:val="0"/>
                <w:sz w:val="21"/>
                <w:szCs w:val="21"/>
                <w:highlight w:val="none"/>
                <w:lang w:val="en-US" w:eastAsia="zh-CN"/>
              </w:rPr>
              <w:t>VOCs0.3551t/a。</w:t>
            </w:r>
          </w:p>
          <w:p>
            <w:pPr>
              <w:spacing w:line="360" w:lineRule="auto"/>
              <w:ind w:firstLine="420" w:firstLineChars="200"/>
              <w:rPr>
                <w:rFonts w:hint="default" w:ascii="Times New Roman" w:hAnsi="Times New Roman" w:cs="Times New Roman"/>
                <w:sz w:val="21"/>
                <w:szCs w:val="21"/>
                <w:highlight w:val="none"/>
              </w:rPr>
            </w:pPr>
            <w:r>
              <w:rPr>
                <w:rFonts w:hint="eastAsia" w:cs="Times New Roman"/>
                <w:sz w:val="21"/>
                <w:szCs w:val="21"/>
                <w:highlight w:val="none"/>
                <w:lang w:eastAsia="zh-CN"/>
              </w:rPr>
              <w:t>本项目完成后，</w:t>
            </w:r>
            <w:r>
              <w:rPr>
                <w:rFonts w:hint="default" w:ascii="Times New Roman" w:hAnsi="Times New Roman" w:cs="Times New Roman"/>
                <w:sz w:val="21"/>
                <w:szCs w:val="21"/>
                <w:highlight w:val="none"/>
                <w:lang w:eastAsia="zh-CN"/>
              </w:rPr>
              <w:t>现有总量指标满足总量需求，</w:t>
            </w:r>
            <w:r>
              <w:rPr>
                <w:rFonts w:hint="eastAsia" w:cs="Times New Roman"/>
                <w:sz w:val="21"/>
                <w:szCs w:val="21"/>
                <w:highlight w:val="none"/>
                <w:lang w:eastAsia="zh-CN"/>
              </w:rPr>
              <w:t>不</w:t>
            </w:r>
            <w:r>
              <w:rPr>
                <w:rFonts w:hint="default" w:ascii="Times New Roman" w:hAnsi="Times New Roman" w:cs="Times New Roman"/>
                <w:sz w:val="21"/>
                <w:szCs w:val="21"/>
                <w:highlight w:val="none"/>
              </w:rPr>
              <w:t>需</w:t>
            </w:r>
            <w:r>
              <w:rPr>
                <w:rFonts w:hint="eastAsia" w:cs="Times New Roman"/>
                <w:sz w:val="21"/>
                <w:szCs w:val="21"/>
                <w:highlight w:val="none"/>
                <w:lang w:eastAsia="zh-CN"/>
              </w:rPr>
              <w:t>重新申请总量</w:t>
            </w:r>
            <w:r>
              <w:rPr>
                <w:rFonts w:hint="default" w:ascii="Times New Roman" w:hAnsi="Times New Roman" w:cs="Times New Roman"/>
                <w:sz w:val="21"/>
                <w:szCs w:val="21"/>
                <w:highlight w:val="none"/>
              </w:rPr>
              <w:t>。</w:t>
            </w: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项目COD和氨氮总量由淄博市利民净化水有限公司进行分配，无需申请总量</w:t>
            </w:r>
            <w:r>
              <w:rPr>
                <w:rFonts w:hint="eastAsia" w:cs="Times New Roman"/>
                <w:kern w:val="2"/>
                <w:sz w:val="21"/>
                <w:szCs w:val="21"/>
                <w:highlight w:val="none"/>
                <w:lang w:val="en-US" w:eastAsia="zh-CN" w:bidi="ar-SA"/>
              </w:rPr>
              <w:t>。</w:t>
            </w: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pStyle w:val="377"/>
              <w:spacing w:line="360" w:lineRule="auto"/>
              <w:ind w:firstLine="420"/>
              <w:rPr>
                <w:rFonts w:hint="default" w:ascii="Times New Roman" w:hAnsi="Times New Roman" w:eastAsia="宋体" w:cs="Times New Roman"/>
                <w:kern w:val="2"/>
                <w:sz w:val="21"/>
                <w:szCs w:val="21"/>
                <w:highlight w:val="none"/>
                <w:lang w:val="en-US" w:eastAsia="zh-CN" w:bidi="ar-SA"/>
              </w:rPr>
            </w:pPr>
          </w:p>
          <w:p>
            <w:pPr>
              <w:spacing w:line="360" w:lineRule="auto"/>
              <w:ind w:firstLine="420" w:firstLineChars="200"/>
              <w:rPr>
                <w:rFonts w:hint="default" w:ascii="Times New Roman" w:hAnsi="Times New Roman" w:cs="Times New Roman"/>
                <w:highlight w:val="yellow"/>
              </w:rPr>
            </w:pPr>
          </w:p>
          <w:p>
            <w:pPr>
              <w:pStyle w:val="2"/>
              <w:rPr>
                <w:rFonts w:hint="default" w:ascii="Times New Roman" w:hAnsi="Times New Roman" w:cs="Times New Roman"/>
                <w:highlight w:val="yellow"/>
              </w:rPr>
            </w:pPr>
          </w:p>
          <w:p>
            <w:pPr>
              <w:rPr>
                <w:rFonts w:hint="default" w:ascii="Times New Roman" w:hAnsi="Times New Roman" w:cs="Times New Roman"/>
                <w:highlight w:val="yellow"/>
              </w:rPr>
            </w:pPr>
          </w:p>
          <w:p>
            <w:pPr>
              <w:pStyle w:val="2"/>
              <w:rPr>
                <w:rFonts w:hint="default" w:ascii="Times New Roman" w:hAnsi="Times New Roman" w:cs="Times New Roman"/>
                <w:highlight w:val="yellow"/>
              </w:rPr>
            </w:pPr>
          </w:p>
          <w:p>
            <w:pPr>
              <w:rPr>
                <w:rFonts w:hint="default" w:ascii="Times New Roman" w:hAnsi="Times New Roman" w:cs="Times New Roman"/>
                <w:highlight w:val="yellow"/>
              </w:rPr>
            </w:pPr>
          </w:p>
          <w:p>
            <w:pPr>
              <w:rPr>
                <w:rFonts w:hint="default" w:ascii="Times New Roman" w:hAnsi="Times New Roman" w:cs="Times New Roman"/>
                <w:highlight w:val="yellow"/>
              </w:rPr>
            </w:pPr>
          </w:p>
          <w:p>
            <w:pPr>
              <w:rPr>
                <w:rFonts w:hint="default" w:ascii="Times New Roman" w:hAnsi="Times New Roman" w:cs="Times New Roman"/>
                <w:highlight w:val="yellow"/>
              </w:rPr>
            </w:pPr>
          </w:p>
          <w:p>
            <w:pPr>
              <w:pStyle w:val="2"/>
              <w:rPr>
                <w:rFonts w:hint="default"/>
              </w:rPr>
            </w:pPr>
          </w:p>
          <w:p>
            <w:pPr>
              <w:pStyle w:val="2"/>
              <w:rPr>
                <w:rFonts w:hint="default" w:ascii="Times New Roman" w:hAnsi="Times New Roman" w:cs="Times New Roman"/>
                <w:highlight w:val="yellow"/>
              </w:rPr>
            </w:pPr>
          </w:p>
          <w:p>
            <w:pPr>
              <w:rPr>
                <w:rFonts w:hint="default" w:ascii="Times New Roman" w:hAnsi="Times New Roman" w:cs="Times New Roman"/>
                <w:highlight w:val="yellow"/>
              </w:rPr>
            </w:pPr>
          </w:p>
          <w:p>
            <w:pPr>
              <w:pStyle w:val="2"/>
              <w:rPr>
                <w:rFonts w:hint="default"/>
              </w:rPr>
            </w:pPr>
          </w:p>
          <w:p>
            <w:pPr>
              <w:spacing w:line="360" w:lineRule="auto"/>
              <w:ind w:firstLine="420" w:firstLineChars="200"/>
              <w:rPr>
                <w:rFonts w:hint="default" w:ascii="Times New Roman" w:hAnsi="Times New Roman" w:cs="Times New Roman"/>
              </w:rPr>
            </w:pPr>
          </w:p>
        </w:tc>
      </w:tr>
    </w:tbl>
    <w:p>
      <w:pPr>
        <w:adjustRightInd w:val="0"/>
        <w:snapToGrid w:val="0"/>
        <w:spacing w:line="420" w:lineRule="exact"/>
        <w:rPr>
          <w:rFonts w:ascii="宋体" w:cs="宋体"/>
          <w:b/>
          <w:kern w:val="0"/>
          <w:sz w:val="28"/>
          <w:szCs w:val="28"/>
        </w:rPr>
        <w:sectPr>
          <w:pgSz w:w="11907" w:h="16840"/>
          <w:pgMar w:top="1701" w:right="1531" w:bottom="2127" w:left="1531" w:header="851" w:footer="851" w:gutter="0"/>
          <w:pgNumType w:fmt="numberInDash"/>
          <w:cols w:space="720" w:num="1"/>
          <w:docGrid w:linePitch="312" w:charSpace="0"/>
        </w:sectPr>
      </w:pPr>
    </w:p>
    <w:p>
      <w:pPr>
        <w:pStyle w:val="80"/>
        <w:spacing w:line="420" w:lineRule="exact"/>
        <w:jc w:val="center"/>
        <w:outlineLvl w:val="0"/>
        <w:rPr>
          <w:b/>
          <w:bCs/>
          <w:snapToGrid w:val="0"/>
          <w:sz w:val="30"/>
          <w:szCs w:val="30"/>
        </w:rPr>
      </w:pPr>
      <w:r>
        <w:rPr>
          <w:rFonts w:hint="eastAsia"/>
          <w:b/>
          <w:bCs/>
          <w:snapToGrid w:val="0"/>
          <w:sz w:val="30"/>
          <w:szCs w:val="30"/>
        </w:rPr>
        <w:t>四、主要环境影响和保护措施</w:t>
      </w:r>
    </w:p>
    <w:tbl>
      <w:tblPr>
        <w:tblStyle w:val="8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施工</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期环</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境影</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响和</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保护</w:t>
            </w:r>
          </w:p>
          <w:p>
            <w:pPr>
              <w:pStyle w:val="80"/>
              <w:spacing w:before="0" w:beforeAutospacing="0" w:after="0" w:afterAutospacing="0" w:line="420" w:lineRule="exact"/>
              <w:jc w:val="center"/>
              <w:outlineLvl w:val="0"/>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措施</w:t>
            </w:r>
          </w:p>
        </w:tc>
        <w:tc>
          <w:tcPr>
            <w:tcW w:w="7988" w:type="dxa"/>
            <w:vAlign w:val="center"/>
          </w:tcPr>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eastAsia="宋体"/>
                <w:sz w:val="21"/>
                <w:szCs w:val="21"/>
                <w:lang w:eastAsia="zh-CN"/>
              </w:rPr>
            </w:pPr>
            <w:r>
              <w:rPr>
                <w:rFonts w:hint="eastAsia"/>
                <w:sz w:val="21"/>
                <w:szCs w:val="21"/>
              </w:rPr>
              <w:t>本项目</w:t>
            </w:r>
            <w:r>
              <w:rPr>
                <w:rFonts w:hint="eastAsia"/>
                <w:sz w:val="21"/>
                <w:szCs w:val="21"/>
                <w:lang w:eastAsia="zh-CN"/>
              </w:rPr>
              <w:t>在现有厂区已建成厂房内进行生产，</w:t>
            </w:r>
            <w:r>
              <w:rPr>
                <w:rFonts w:hint="eastAsia"/>
                <w:sz w:val="21"/>
                <w:szCs w:val="21"/>
              </w:rPr>
              <w:t>施工期不进行土木建设，仅进行新的设备及管线、零部件的安装，施工期工程量小，对周围环境影响较小，且随着施工期的结束而结束，故本评价对其不做主要分析</w:t>
            </w:r>
            <w:r>
              <w:rPr>
                <w:rFonts w:hint="eastAsia"/>
                <w:sz w:val="21"/>
                <w:szCs w:val="21"/>
                <w:lang w:eastAsia="zh-CN"/>
              </w:rPr>
              <w:t>。</w:t>
            </w: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101"/>
              <w:snapToGrid w:val="0"/>
              <w:spacing w:beforeLines="50" w:line="360" w:lineRule="auto"/>
              <w:ind w:firstLine="420" w:firstLineChars="200"/>
              <w:rPr>
                <w:rFonts w:hint="eastAsia"/>
                <w:sz w:val="21"/>
                <w:szCs w:val="21"/>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p>
            <w:pPr>
              <w:pStyle w:val="80"/>
              <w:spacing w:before="0" w:beforeAutospacing="0" w:after="0" w:afterAutospacing="0" w:line="360" w:lineRule="auto"/>
              <w:ind w:firstLine="600" w:firstLineChars="200"/>
              <w:jc w:val="center"/>
              <w:outlineLvl w:val="0"/>
              <w:rPr>
                <w:rFonts w:hint="default" w:ascii="Times New Roman" w:hAnsi="Times New Roman" w:cs="Times New Roman"/>
                <w:snapToGrid w:val="0"/>
                <w:sz w:val="30"/>
                <w:szCs w:val="30"/>
              </w:rPr>
            </w:pPr>
          </w:p>
        </w:tc>
      </w:tr>
    </w:tbl>
    <w:p>
      <w:pPr>
        <w:pStyle w:val="80"/>
        <w:spacing w:line="420" w:lineRule="exact"/>
        <w:outlineLvl w:val="0"/>
        <w:rPr>
          <w:snapToGrid w:val="0"/>
          <w:sz w:val="30"/>
          <w:szCs w:val="30"/>
        </w:rPr>
        <w:sectPr>
          <w:pgSz w:w="11906" w:h="16838"/>
          <w:pgMar w:top="1701" w:right="1531" w:bottom="1701" w:left="1531" w:header="851" w:footer="851" w:gutter="0"/>
          <w:pgNumType w:fmt="numberInDash"/>
          <w:cols w:space="720" w:num="1"/>
          <w:docGrid w:linePitch="312" w:charSpace="0"/>
        </w:sectPr>
      </w:pPr>
    </w:p>
    <w:p/>
    <w:tbl>
      <w:tblPr>
        <w:tblStyle w:val="85"/>
        <w:tblW w:w="51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7"/>
        <w:gridCol w:w="1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4" w:hRule="atLeast"/>
          <w:jc w:val="center"/>
        </w:trPr>
        <w:tc>
          <w:tcPr>
            <w:tcW w:w="417" w:type="dxa"/>
            <w:vAlign w:val="center"/>
          </w:tcPr>
          <w:p>
            <w:pPr>
              <w:adjustRightInd w:val="0"/>
              <w:snapToGrid w:val="0"/>
              <w:spacing w:line="420" w:lineRule="exact"/>
              <w:jc w:val="center"/>
              <w:rPr>
                <w:rFonts w:ascii="宋体" w:cs="宋体"/>
                <w:bCs/>
                <w:szCs w:val="21"/>
              </w:rPr>
            </w:pPr>
            <w:r>
              <w:rPr>
                <w:rFonts w:hint="eastAsia" w:ascii="宋体" w:hAnsi="宋体" w:cs="宋体"/>
                <w:bCs/>
                <w:szCs w:val="21"/>
              </w:rPr>
              <w:t>运营</w:t>
            </w:r>
          </w:p>
          <w:p>
            <w:pPr>
              <w:adjustRightInd w:val="0"/>
              <w:snapToGrid w:val="0"/>
              <w:spacing w:line="420" w:lineRule="exact"/>
              <w:jc w:val="center"/>
              <w:rPr>
                <w:rFonts w:ascii="宋体" w:cs="宋体"/>
                <w:bCs/>
                <w:szCs w:val="21"/>
              </w:rPr>
            </w:pPr>
            <w:r>
              <w:rPr>
                <w:rFonts w:hint="eastAsia" w:ascii="宋体" w:hAnsi="宋体" w:cs="宋体"/>
                <w:bCs/>
                <w:szCs w:val="21"/>
              </w:rPr>
              <w:t>期环</w:t>
            </w:r>
          </w:p>
          <w:p>
            <w:pPr>
              <w:adjustRightInd w:val="0"/>
              <w:snapToGrid w:val="0"/>
              <w:spacing w:line="420" w:lineRule="exact"/>
              <w:jc w:val="center"/>
              <w:rPr>
                <w:rFonts w:ascii="宋体" w:cs="宋体"/>
                <w:bCs/>
                <w:szCs w:val="21"/>
              </w:rPr>
            </w:pPr>
            <w:r>
              <w:rPr>
                <w:rFonts w:hint="eastAsia" w:ascii="宋体" w:hAnsi="宋体" w:cs="宋体"/>
                <w:bCs/>
                <w:szCs w:val="21"/>
              </w:rPr>
              <w:t>境影</w:t>
            </w:r>
          </w:p>
          <w:p>
            <w:pPr>
              <w:adjustRightInd w:val="0"/>
              <w:snapToGrid w:val="0"/>
              <w:spacing w:line="420" w:lineRule="exact"/>
              <w:jc w:val="center"/>
              <w:rPr>
                <w:rFonts w:ascii="宋体" w:cs="宋体"/>
                <w:bCs/>
                <w:szCs w:val="21"/>
              </w:rPr>
            </w:pPr>
            <w:r>
              <w:rPr>
                <w:rFonts w:hint="eastAsia" w:ascii="宋体" w:hAnsi="宋体" w:cs="宋体"/>
                <w:bCs/>
                <w:szCs w:val="21"/>
              </w:rPr>
              <w:t>响和</w:t>
            </w:r>
          </w:p>
          <w:p>
            <w:pPr>
              <w:adjustRightInd w:val="0"/>
              <w:snapToGrid w:val="0"/>
              <w:spacing w:line="420" w:lineRule="exact"/>
              <w:jc w:val="center"/>
              <w:rPr>
                <w:rFonts w:ascii="宋体" w:cs="宋体"/>
                <w:bCs/>
                <w:szCs w:val="21"/>
              </w:rPr>
            </w:pPr>
            <w:r>
              <w:rPr>
                <w:rFonts w:hint="eastAsia" w:ascii="宋体" w:hAnsi="宋体" w:cs="宋体"/>
                <w:bCs/>
                <w:szCs w:val="21"/>
              </w:rPr>
              <w:t>保护</w:t>
            </w:r>
          </w:p>
          <w:p>
            <w:pPr>
              <w:adjustRightInd w:val="0"/>
              <w:snapToGrid w:val="0"/>
              <w:spacing w:line="420" w:lineRule="exact"/>
              <w:jc w:val="center"/>
              <w:rPr>
                <w:rFonts w:ascii="宋体"/>
              </w:rPr>
            </w:pPr>
            <w:r>
              <w:rPr>
                <w:rFonts w:hint="eastAsia" w:ascii="宋体" w:hAnsi="宋体" w:cs="宋体"/>
                <w:bCs/>
                <w:szCs w:val="21"/>
              </w:rPr>
              <w:t>措施</w:t>
            </w:r>
          </w:p>
        </w:tc>
        <w:tc>
          <w:tcPr>
            <w:tcW w:w="13302" w:type="dxa"/>
            <w:vAlign w:val="center"/>
          </w:tcPr>
          <w:p>
            <w:pPr>
              <w:pStyle w:val="377"/>
              <w:spacing w:line="240" w:lineRule="auto"/>
              <w:ind w:firstLine="31680"/>
              <w:rPr>
                <w:rFonts w:ascii="黑体" w:hAnsi="黑体" w:eastAsia="黑体"/>
                <w:sz w:val="21"/>
                <w:szCs w:val="21"/>
              </w:rPr>
            </w:pPr>
            <w:r>
              <w:rPr>
                <w:rFonts w:hint="eastAsia" w:ascii="黑体" w:hAnsi="黑体" w:eastAsia="黑体"/>
                <w:sz w:val="21"/>
                <w:szCs w:val="21"/>
              </w:rPr>
              <w:t>一、大气污染物</w:t>
            </w:r>
          </w:p>
          <w:p>
            <w:pPr>
              <w:pStyle w:val="2"/>
              <w:spacing w:after="0" w:line="240" w:lineRule="auto"/>
              <w:ind w:left="0" w:leftChars="0" w:firstLine="31680"/>
              <w:jc w:val="left"/>
              <w:rPr>
                <w:rFonts w:hint="eastAsia" w:ascii="黑体" w:hAnsi="黑体" w:eastAsia="黑体"/>
                <w:szCs w:val="21"/>
              </w:rPr>
            </w:pPr>
            <w:r>
              <w:rPr>
                <w:rFonts w:ascii="黑体" w:hAnsi="黑体" w:eastAsia="黑体"/>
                <w:szCs w:val="21"/>
              </w:rPr>
              <w:t>1</w:t>
            </w:r>
            <w:r>
              <w:rPr>
                <w:rFonts w:hint="eastAsia" w:ascii="黑体" w:hAnsi="黑体" w:eastAsia="黑体"/>
                <w:szCs w:val="21"/>
              </w:rPr>
              <w:t>、产排污环节、污染治理设施及废气排放情况汇总</w:t>
            </w:r>
          </w:p>
          <w:p>
            <w:pPr>
              <w:pStyle w:val="1383"/>
              <w:adjustRightInd w:val="0"/>
              <w:snapToGrid w:val="0"/>
              <w:spacing w:line="240" w:lineRule="auto"/>
              <w:rPr>
                <w:sz w:val="21"/>
                <w:szCs w:val="21"/>
              </w:rPr>
            </w:pPr>
            <w:r>
              <w:rPr>
                <w:rFonts w:hint="eastAsia"/>
                <w:sz w:val="21"/>
                <w:szCs w:val="21"/>
              </w:rPr>
              <w:t>表</w:t>
            </w:r>
            <w:r>
              <w:rPr>
                <w:sz w:val="21"/>
                <w:szCs w:val="21"/>
              </w:rPr>
              <w:t xml:space="preserve"> 4-</w:t>
            </w:r>
            <w:r>
              <w:rPr>
                <w:rFonts w:hint="eastAsia"/>
                <w:sz w:val="21"/>
                <w:szCs w:val="21"/>
                <w:lang w:val="en-US" w:eastAsia="zh-CN"/>
              </w:rPr>
              <w:t>1</w:t>
            </w:r>
            <w:r>
              <w:rPr>
                <w:sz w:val="21"/>
                <w:szCs w:val="21"/>
              </w:rPr>
              <w:t xml:space="preserve"> </w:t>
            </w:r>
            <w:r>
              <w:rPr>
                <w:rFonts w:hint="eastAsia"/>
                <w:sz w:val="21"/>
                <w:szCs w:val="21"/>
                <w:lang w:eastAsia="zh-CN"/>
              </w:rPr>
              <w:t>项目</w:t>
            </w:r>
            <w:r>
              <w:rPr>
                <w:rFonts w:hint="eastAsia"/>
                <w:sz w:val="21"/>
                <w:szCs w:val="21"/>
              </w:rPr>
              <w:t>废气产排污节点、污染物及污染治理设施信息表</w:t>
            </w:r>
          </w:p>
          <w:tbl>
            <w:tblPr>
              <w:tblStyle w:val="85"/>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2"/>
              <w:gridCol w:w="646"/>
              <w:gridCol w:w="648"/>
              <w:gridCol w:w="824"/>
              <w:gridCol w:w="942"/>
              <w:gridCol w:w="1008"/>
              <w:gridCol w:w="859"/>
              <w:gridCol w:w="613"/>
              <w:gridCol w:w="678"/>
              <w:gridCol w:w="514"/>
              <w:gridCol w:w="597"/>
              <w:gridCol w:w="745"/>
              <w:gridCol w:w="794"/>
              <w:gridCol w:w="810"/>
              <w:gridCol w:w="592"/>
              <w:gridCol w:w="552"/>
              <w:gridCol w:w="857"/>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62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产污环节</w:t>
                  </w:r>
                </w:p>
              </w:tc>
              <w:tc>
                <w:tcPr>
                  <w:tcW w:w="64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污染物</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种类</w:t>
                  </w:r>
                </w:p>
              </w:tc>
              <w:tc>
                <w:tcPr>
                  <w:tcW w:w="648"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产生量t/a</w:t>
                  </w:r>
                </w:p>
              </w:tc>
              <w:tc>
                <w:tcPr>
                  <w:tcW w:w="2774"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污染物产生</w:t>
                  </w:r>
                </w:p>
              </w:tc>
              <w:tc>
                <w:tcPr>
                  <w:tcW w:w="3261"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治理设施</w:t>
                  </w:r>
                </w:p>
              </w:tc>
              <w:tc>
                <w:tcPr>
                  <w:tcW w:w="3493"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污染物排放</w:t>
                  </w:r>
                </w:p>
              </w:tc>
              <w:tc>
                <w:tcPr>
                  <w:tcW w:w="1714"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62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8"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eastAsia="zh-CN"/>
                    </w:rPr>
                    <w:t>有组织</w:t>
                  </w:r>
                  <w:r>
                    <w:rPr>
                      <w:rFonts w:hint="default" w:ascii="Times New Roman" w:hAnsi="Times New Roman" w:cs="Times New Roman"/>
                      <w:sz w:val="18"/>
                      <w:szCs w:val="18"/>
                    </w:rPr>
                    <w:t>产生量t/a</w:t>
                  </w:r>
                </w:p>
              </w:tc>
              <w:tc>
                <w:tcPr>
                  <w:tcW w:w="9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产生浓度mg/m</w:t>
                  </w:r>
                  <w:r>
                    <w:rPr>
                      <w:rFonts w:hint="default" w:ascii="Times New Roman" w:hAnsi="Times New Roman" w:cs="Times New Roman"/>
                      <w:sz w:val="18"/>
                      <w:szCs w:val="18"/>
                      <w:vertAlign w:val="superscript"/>
                    </w:rPr>
                    <w:t>3</w:t>
                  </w:r>
                </w:p>
              </w:tc>
              <w:tc>
                <w:tcPr>
                  <w:tcW w:w="10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eastAsia="zh-CN"/>
                    </w:rPr>
                    <w:t>产生速率</w:t>
                  </w:r>
                  <w:r>
                    <w:rPr>
                      <w:rFonts w:hint="eastAsia" w:cs="Times New Roman"/>
                      <w:sz w:val="18"/>
                      <w:szCs w:val="18"/>
                      <w:lang w:val="en-US" w:eastAsia="zh-CN"/>
                    </w:rPr>
                    <w:t>kg/h</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处理能力m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/h</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收集率%</w:t>
                  </w:r>
                </w:p>
              </w:tc>
              <w:tc>
                <w:tcPr>
                  <w:tcW w:w="6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治理工艺</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去除率%</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是否为可行技术</w:t>
                  </w:r>
                </w:p>
              </w:tc>
              <w:tc>
                <w:tcPr>
                  <w:tcW w:w="74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排放量t/a</w:t>
                  </w:r>
                </w:p>
              </w:tc>
              <w:tc>
                <w:tcPr>
                  <w:tcW w:w="79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排放浓度mg/m</w:t>
                  </w:r>
                  <w:r>
                    <w:rPr>
                      <w:rFonts w:hint="default" w:ascii="Times New Roman" w:hAnsi="Times New Roman" w:cs="Times New Roman"/>
                      <w:sz w:val="18"/>
                      <w:szCs w:val="18"/>
                      <w:vertAlign w:val="superscript"/>
                    </w:rPr>
                    <w:t>3</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排放速率kg/h</w:t>
                  </w:r>
                </w:p>
              </w:tc>
              <w:tc>
                <w:tcPr>
                  <w:tcW w:w="59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持续时间</w:t>
                  </w:r>
                </w:p>
                <w:p>
                  <w:pPr>
                    <w:pStyle w:val="2"/>
                    <w:spacing w:line="240" w:lineRule="auto"/>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h/a</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排放形式</w:t>
                  </w:r>
                </w:p>
              </w:tc>
              <w:tc>
                <w:tcPr>
                  <w:tcW w:w="85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eastAsia="zh-CN"/>
                    </w:rPr>
                  </w:pPr>
                  <w:r>
                    <w:rPr>
                      <w:rFonts w:hint="eastAsia" w:cs="Times New Roman"/>
                      <w:sz w:val="18"/>
                      <w:szCs w:val="18"/>
                      <w:lang w:eastAsia="zh-CN"/>
                    </w:rPr>
                    <w:t>浓度</w:t>
                  </w:r>
                  <w:r>
                    <w:rPr>
                      <w:rFonts w:hint="default" w:ascii="Times New Roman" w:hAnsi="Times New Roman" w:cs="Times New Roman"/>
                      <w:sz w:val="18"/>
                      <w:szCs w:val="18"/>
                    </w:rPr>
                    <w:t>mg/m</w:t>
                  </w:r>
                  <w:r>
                    <w:rPr>
                      <w:rFonts w:hint="default" w:ascii="Times New Roman" w:hAnsi="Times New Roman" w:cs="Times New Roman"/>
                      <w:sz w:val="18"/>
                      <w:szCs w:val="18"/>
                      <w:vertAlign w:val="superscript"/>
                    </w:rPr>
                    <w:t>3</w:t>
                  </w:r>
                </w:p>
              </w:tc>
              <w:tc>
                <w:tcPr>
                  <w:tcW w:w="85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eastAsia="zh-CN"/>
                    </w:rPr>
                  </w:pPr>
                  <w:r>
                    <w:rPr>
                      <w:rFonts w:hint="eastAsia" w:cs="Times New Roman"/>
                      <w:sz w:val="18"/>
                      <w:szCs w:val="18"/>
                      <w:lang w:eastAsia="zh-CN"/>
                    </w:rPr>
                    <w:t>速率</w:t>
                  </w:r>
                  <w:r>
                    <w:rPr>
                      <w:rFonts w:hint="eastAsia" w:cs="Times New Roman"/>
                      <w:sz w:val="18"/>
                      <w:szCs w:val="18"/>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restart"/>
                  <w:tcBorders>
                    <w:top w:val="single" w:color="auto" w:sz="2"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bCs/>
                      <w:sz w:val="18"/>
                      <w:szCs w:val="18"/>
                      <w:lang w:eastAsia="zh-CN"/>
                    </w:rPr>
                    <w:t>搅拌、涂胶、烘干、注塑</w:t>
                  </w: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vertAlign w:val="baseline"/>
                      <w:lang w:val="en-US" w:eastAsia="zh-CN"/>
                    </w:rPr>
                  </w:pPr>
                  <w:r>
                    <w:rPr>
                      <w:rFonts w:hint="eastAsia" w:cs="Times New Roman"/>
                      <w:sz w:val="18"/>
                      <w:szCs w:val="18"/>
                      <w:vertAlign w:val="baseline"/>
                      <w:lang w:val="en-US" w:eastAsia="zh-CN"/>
                    </w:rPr>
                    <w:t>0.644</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0.58</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24.2 </w:t>
                  </w:r>
                </w:p>
              </w:tc>
              <w:tc>
                <w:tcPr>
                  <w:tcW w:w="1008" w:type="dxa"/>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0.2417 </w:t>
                  </w:r>
                </w:p>
              </w:tc>
              <w:tc>
                <w:tcPr>
                  <w:tcW w:w="859"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10000</w:t>
                  </w:r>
                </w:p>
              </w:tc>
              <w:tc>
                <w:tcPr>
                  <w:tcW w:w="613"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90</w:t>
                  </w:r>
                </w:p>
              </w:tc>
              <w:tc>
                <w:tcPr>
                  <w:tcW w:w="678"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两级活性炭吸附</w:t>
                  </w:r>
                </w:p>
              </w:tc>
              <w:tc>
                <w:tcPr>
                  <w:tcW w:w="514"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80</w:t>
                  </w:r>
                </w:p>
              </w:tc>
              <w:tc>
                <w:tcPr>
                  <w:tcW w:w="597"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eastAsia="zh-CN"/>
                    </w:rPr>
                  </w:pPr>
                  <w:r>
                    <w:rPr>
                      <w:rFonts w:hint="eastAsia" w:cs="Times New Roman"/>
                      <w:sz w:val="18"/>
                      <w:szCs w:val="18"/>
                      <w:lang w:eastAsia="zh-CN"/>
                    </w:rPr>
                    <w:t>是</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0.116</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4.8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0.0483 </w:t>
                  </w:r>
                </w:p>
              </w:tc>
              <w:tc>
                <w:tcPr>
                  <w:tcW w:w="592"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2400</w:t>
                  </w:r>
                </w:p>
              </w:tc>
              <w:tc>
                <w:tcPr>
                  <w:tcW w:w="552"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排气筒</w:t>
                  </w:r>
                </w:p>
              </w:tc>
              <w:tc>
                <w:tcPr>
                  <w:tcW w:w="857" w:type="dxa"/>
                  <w:tcBorders>
                    <w:top w:val="single" w:color="auto" w:sz="4" w:space="0"/>
                    <w:left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15</w:t>
                  </w:r>
                </w:p>
              </w:tc>
              <w:tc>
                <w:tcPr>
                  <w:tcW w:w="857" w:type="dxa"/>
                  <w:tcBorders>
                    <w:top w:val="single" w:color="auto" w:sz="4" w:space="0"/>
                    <w:left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vertAlign w:val="baseline"/>
                      <w:lang w:val="en-US" w:eastAsia="zh-CN"/>
                    </w:rPr>
                  </w:pPr>
                  <w:r>
                    <w:rPr>
                      <w:rFonts w:hint="eastAsia" w:cs="Times New Roman"/>
                      <w:sz w:val="18"/>
                      <w:szCs w:val="18"/>
                      <w:vertAlign w:val="baseline"/>
                      <w:lang w:val="en-US" w:eastAsia="zh-CN"/>
                    </w:rPr>
                    <w:t>0.014</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0.013</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0.5 </w:t>
                  </w:r>
                </w:p>
              </w:tc>
              <w:tc>
                <w:tcPr>
                  <w:tcW w:w="1008"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0.0054 </w:t>
                  </w:r>
                </w:p>
              </w:tc>
              <w:tc>
                <w:tcPr>
                  <w:tcW w:w="85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613"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p>
              </w:tc>
              <w:tc>
                <w:tcPr>
                  <w:tcW w:w="67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14"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597"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0.0013 </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658</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0.592</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24.7 </w:t>
                  </w:r>
                </w:p>
              </w:tc>
              <w:tc>
                <w:tcPr>
                  <w:tcW w:w="1008"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0.2471 </w:t>
                  </w:r>
                </w:p>
              </w:tc>
              <w:tc>
                <w:tcPr>
                  <w:tcW w:w="859"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613"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p>
              </w:tc>
              <w:tc>
                <w:tcPr>
                  <w:tcW w:w="678"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14"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597"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0.119</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5.0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0.0496 </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60</w:t>
                  </w: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0.064</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1008"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859"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678"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车间密闭</w:t>
                  </w:r>
                </w:p>
              </w:tc>
              <w:tc>
                <w:tcPr>
                  <w:tcW w:w="514"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0.064</w:t>
                  </w:r>
                </w:p>
              </w:tc>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w:t>
                  </w:r>
                </w:p>
              </w:tc>
              <w:tc>
                <w:tcPr>
                  <w:tcW w:w="857" w:type="dxa"/>
                  <w:tcBorders>
                    <w:left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0.001</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1008"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859"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67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14"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0.001</w:t>
                  </w:r>
                </w:p>
              </w:tc>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066</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1008"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859"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678"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14"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066</w:t>
                  </w:r>
                </w:p>
              </w:tc>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restart"/>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r>
                    <w:rPr>
                      <w:rFonts w:hint="eastAsia"/>
                      <w:bCs/>
                      <w:sz w:val="18"/>
                      <w:szCs w:val="18"/>
                      <w:lang w:eastAsia="zh-CN"/>
                    </w:rPr>
                    <w:t>固化、切割</w:t>
                  </w: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966</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0.869</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12.1 </w:t>
                  </w:r>
                </w:p>
              </w:tc>
              <w:tc>
                <w:tcPr>
                  <w:tcW w:w="1008"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0.1207 </w:t>
                  </w:r>
                </w:p>
              </w:tc>
              <w:tc>
                <w:tcPr>
                  <w:tcW w:w="859"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10000</w:t>
                  </w:r>
                </w:p>
              </w:tc>
              <w:tc>
                <w:tcPr>
                  <w:tcW w:w="613"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90</w:t>
                  </w:r>
                </w:p>
              </w:tc>
              <w:tc>
                <w:tcPr>
                  <w:tcW w:w="678"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r>
                    <w:rPr>
                      <w:rFonts w:hint="eastAsia" w:cs="Times New Roman"/>
                      <w:sz w:val="18"/>
                      <w:szCs w:val="18"/>
                      <w:lang w:eastAsia="zh-CN"/>
                    </w:rPr>
                    <w:t>两级活性炭吸附</w:t>
                  </w:r>
                </w:p>
              </w:tc>
              <w:tc>
                <w:tcPr>
                  <w:tcW w:w="514"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80</w:t>
                  </w:r>
                </w:p>
              </w:tc>
              <w:tc>
                <w:tcPr>
                  <w:tcW w:w="597"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r>
                    <w:rPr>
                      <w:rFonts w:hint="eastAsia" w:cs="Times New Roman"/>
                      <w:sz w:val="18"/>
                      <w:szCs w:val="18"/>
                      <w:lang w:eastAsia="zh-CN"/>
                    </w:rPr>
                    <w:t>是</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0.174</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0.0242 </w:t>
                  </w:r>
                </w:p>
              </w:tc>
              <w:tc>
                <w:tcPr>
                  <w:tcW w:w="592"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7200</w:t>
                  </w:r>
                </w:p>
              </w:tc>
              <w:tc>
                <w:tcPr>
                  <w:tcW w:w="552" w:type="dxa"/>
                  <w:vMerge w:val="restart"/>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排气筒</w:t>
                  </w:r>
                </w:p>
              </w:tc>
              <w:tc>
                <w:tcPr>
                  <w:tcW w:w="857"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15</w:t>
                  </w:r>
                </w:p>
              </w:tc>
              <w:tc>
                <w:tcPr>
                  <w:tcW w:w="857"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vertAlign w:val="baseline"/>
                      <w:lang w:val="en-US" w:eastAsia="zh-CN"/>
                    </w:rPr>
                    <w:t>0.021</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0.019</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 </w:t>
                  </w:r>
                </w:p>
              </w:tc>
              <w:tc>
                <w:tcPr>
                  <w:tcW w:w="1008"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0.0026 </w:t>
                  </w:r>
                </w:p>
              </w:tc>
              <w:tc>
                <w:tcPr>
                  <w:tcW w:w="85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613"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67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14"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597"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0.004</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0.0006 </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5</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vertAlign w:val="baseline"/>
                      <w:lang w:val="en-US" w:eastAsia="zh-CN"/>
                    </w:rPr>
                    <w:t>0.987</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0.888</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12.3 </w:t>
                  </w:r>
                </w:p>
              </w:tc>
              <w:tc>
                <w:tcPr>
                  <w:tcW w:w="1008"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0.1233 </w:t>
                  </w:r>
                </w:p>
              </w:tc>
              <w:tc>
                <w:tcPr>
                  <w:tcW w:w="859"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613"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678"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14"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597"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0.178</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2.5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0.0247 </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60</w:t>
                  </w: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0.097</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78"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车间密闭</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0"/>
                      <w:sz w:val="18"/>
                      <w:szCs w:val="18"/>
                      <w:lang w:val="en-US" w:eastAsia="zh-CN"/>
                    </w:rPr>
                  </w:pPr>
                  <w:r>
                    <w:rPr>
                      <w:rFonts w:hint="eastAsia" w:cs="Times New Roman"/>
                      <w:sz w:val="18"/>
                      <w:szCs w:val="18"/>
                      <w:lang w:val="en-US" w:eastAsia="zh-CN"/>
                    </w:rPr>
                    <w:t>0.097</w:t>
                  </w:r>
                </w:p>
              </w:tc>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无组织排放</w:t>
                  </w:r>
                </w:p>
              </w:tc>
              <w:tc>
                <w:tcPr>
                  <w:tcW w:w="857" w:type="dxa"/>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c>
                <w:tcPr>
                  <w:tcW w:w="857" w:type="dxa"/>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0.002</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78" w:type="dxa"/>
                  <w:vMerge w:val="continue"/>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18"/>
                      <w:szCs w:val="18"/>
                      <w:lang w:val="en-US" w:eastAsia="zh-CN"/>
                    </w:rPr>
                  </w:pPr>
                  <w:r>
                    <w:rPr>
                      <w:rFonts w:hint="eastAsia" w:cs="Times New Roman"/>
                      <w:sz w:val="18"/>
                      <w:szCs w:val="18"/>
                      <w:lang w:val="en-US" w:eastAsia="zh-CN"/>
                    </w:rPr>
                    <w:t>0.002</w:t>
                  </w:r>
                </w:p>
              </w:tc>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0.099</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78"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18"/>
                      <w:szCs w:val="18"/>
                      <w:lang w:val="en-US" w:eastAsia="zh-CN"/>
                    </w:rPr>
                  </w:pPr>
                  <w:r>
                    <w:rPr>
                      <w:rFonts w:hint="eastAsia" w:cs="Times New Roman"/>
                      <w:sz w:val="18"/>
                      <w:szCs w:val="18"/>
                      <w:lang w:val="en-US" w:eastAsia="zh-CN"/>
                    </w:rPr>
                    <w:t>0.099</w:t>
                  </w:r>
                </w:p>
              </w:tc>
              <w:tc>
                <w:tcPr>
                  <w:tcW w:w="794"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注塑</w:t>
                  </w: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0.027</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0.024</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cs="Times New Roman"/>
                      <w:i w:val="0"/>
                      <w:iCs w:val="0"/>
                      <w:color w:val="000000"/>
                      <w:kern w:val="0"/>
                      <w:sz w:val="18"/>
                      <w:szCs w:val="18"/>
                      <w:u w:val="none"/>
                      <w:lang w:val="en-US" w:eastAsia="zh-CN" w:bidi="ar"/>
                    </w:rPr>
                    <w:t>0</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10000</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90</w:t>
                  </w:r>
                </w:p>
              </w:tc>
              <w:tc>
                <w:tcPr>
                  <w:tcW w:w="6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两级活性炭吸附</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80</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是</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0.005</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 </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0.0021 </w:t>
                  </w:r>
                </w:p>
              </w:tc>
              <w:tc>
                <w:tcPr>
                  <w:tcW w:w="592"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2400</w:t>
                  </w:r>
                </w:p>
              </w:tc>
              <w:tc>
                <w:tcPr>
                  <w:tcW w:w="552" w:type="dxa"/>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排气筒</w:t>
                  </w:r>
                </w:p>
              </w:tc>
              <w:tc>
                <w:tcPr>
                  <w:tcW w:w="857" w:type="dxa"/>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60</w:t>
                  </w:r>
                </w:p>
              </w:tc>
              <w:tc>
                <w:tcPr>
                  <w:tcW w:w="857" w:type="dxa"/>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0.003</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车间密闭</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0.003</w:t>
                  </w:r>
                </w:p>
              </w:tc>
              <w:tc>
                <w:tcPr>
                  <w:tcW w:w="79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9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552"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w:t>
                  </w:r>
                </w:p>
              </w:tc>
              <w:tc>
                <w:tcPr>
                  <w:tcW w:w="857" w:type="dxa"/>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有组织合计</w:t>
                  </w: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1.449</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36.2 </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0.3624 </w:t>
                  </w:r>
                </w:p>
              </w:tc>
              <w:tc>
                <w:tcPr>
                  <w:tcW w:w="859"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10000</w:t>
                  </w:r>
                </w:p>
              </w:tc>
              <w:tc>
                <w:tcPr>
                  <w:tcW w:w="613"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90</w:t>
                  </w:r>
                </w:p>
              </w:tc>
              <w:tc>
                <w:tcPr>
                  <w:tcW w:w="678"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两级活性炭吸附</w:t>
                  </w:r>
                </w:p>
              </w:tc>
              <w:tc>
                <w:tcPr>
                  <w:tcW w:w="514"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80</w:t>
                  </w:r>
                </w:p>
              </w:tc>
              <w:tc>
                <w:tcPr>
                  <w:tcW w:w="597"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是</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0.29</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0.0725 </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vMerge w:val="restart"/>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排气筒</w:t>
                  </w:r>
                </w:p>
              </w:tc>
              <w:tc>
                <w:tcPr>
                  <w:tcW w:w="857"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15</w:t>
                  </w:r>
                </w:p>
              </w:tc>
              <w:tc>
                <w:tcPr>
                  <w:tcW w:w="857"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0.035</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0.032</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0.8 </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0.0081 </w:t>
                  </w:r>
                </w:p>
              </w:tc>
              <w:tc>
                <w:tcPr>
                  <w:tcW w:w="859"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613"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67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14"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97"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0.0018 </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5</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1.672</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1.505</w:t>
                  </w:r>
                </w:p>
              </w:tc>
              <w:tc>
                <w:tcPr>
                  <w:tcW w:w="942"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38.0 </w:t>
                  </w:r>
                </w:p>
              </w:tc>
              <w:tc>
                <w:tcPr>
                  <w:tcW w:w="10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0.3804 </w:t>
                  </w:r>
                </w:p>
              </w:tc>
              <w:tc>
                <w:tcPr>
                  <w:tcW w:w="859"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613"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678"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14"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97"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0.302</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0.0764 </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60</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无组织合计</w:t>
                  </w: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0.161</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0.161</w:t>
                  </w:r>
                </w:p>
              </w:tc>
              <w:tc>
                <w:tcPr>
                  <w:tcW w:w="79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0.0224</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79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0.0004</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0.168</w:t>
                  </w:r>
                </w:p>
              </w:tc>
              <w:tc>
                <w:tcPr>
                  <w:tcW w:w="82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9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1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0.168</w:t>
                  </w:r>
                </w:p>
              </w:tc>
              <w:tc>
                <w:tcPr>
                  <w:tcW w:w="79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0.0233</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全厂合计</w:t>
                  </w: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1.771</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1.449</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1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0.451</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0.038</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0.032</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1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9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622" w:type="dxa"/>
                  <w:vMerge w:val="continue"/>
                  <w:tcBorders>
                    <w:left w:val="single" w:color="auto" w:sz="4" w:space="0"/>
                    <w:bottom w:val="single" w:color="auto" w:sz="2"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64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1.505</w:t>
                  </w:r>
                </w:p>
              </w:tc>
              <w:tc>
                <w:tcPr>
                  <w:tcW w:w="94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859"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7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1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74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0.47</w:t>
                  </w:r>
                </w:p>
              </w:tc>
              <w:tc>
                <w:tcPr>
                  <w:tcW w:w="79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81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92"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52"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c>
                <w:tcPr>
                  <w:tcW w:w="857"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bl>
          <w:p>
            <w:pPr>
              <w:pStyle w:val="1383"/>
              <w:adjustRightInd w:val="0"/>
              <w:snapToGrid w:val="0"/>
              <w:spacing w:line="240" w:lineRule="auto"/>
              <w:jc w:val="center"/>
              <w:rPr>
                <w:rFonts w:hint="eastAsia"/>
                <w:sz w:val="21"/>
                <w:szCs w:val="21"/>
              </w:rPr>
            </w:pPr>
          </w:p>
          <w:p>
            <w:pPr>
              <w:pStyle w:val="1383"/>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sz w:val="21"/>
                <w:szCs w:val="21"/>
              </w:rPr>
            </w:pPr>
            <w:r>
              <w:rPr>
                <w:rFonts w:hint="eastAsia"/>
                <w:sz w:val="21"/>
                <w:szCs w:val="21"/>
              </w:rPr>
              <w:t>表</w:t>
            </w:r>
            <w:r>
              <w:rPr>
                <w:sz w:val="21"/>
                <w:szCs w:val="21"/>
              </w:rPr>
              <w:t>4-</w:t>
            </w:r>
            <w:r>
              <w:rPr>
                <w:rFonts w:hint="eastAsia"/>
                <w:sz w:val="21"/>
                <w:szCs w:val="21"/>
                <w:lang w:val="en-US" w:eastAsia="zh-CN"/>
              </w:rPr>
              <w:t>2</w:t>
            </w:r>
            <w:r>
              <w:rPr>
                <w:rFonts w:hint="eastAsia"/>
                <w:sz w:val="21"/>
                <w:szCs w:val="21"/>
              </w:rPr>
              <w:t>大气污染物排放口基本情况表</w:t>
            </w:r>
          </w:p>
          <w:tbl>
            <w:tblPr>
              <w:tblStyle w:val="85"/>
              <w:tblpPr w:leftFromText="180" w:rightFromText="180" w:vertAnchor="text" w:horzAnchor="page" w:tblpXSpec="center" w:tblpY="348"/>
              <w:tblOverlap w:val="never"/>
              <w:tblW w:w="49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7"/>
              <w:gridCol w:w="1058"/>
              <w:gridCol w:w="1024"/>
              <w:gridCol w:w="1466"/>
              <w:gridCol w:w="2243"/>
              <w:gridCol w:w="1479"/>
              <w:gridCol w:w="1289"/>
              <w:gridCol w:w="1424"/>
              <w:gridCol w:w="1208"/>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717"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序号</w:t>
                  </w:r>
                </w:p>
              </w:tc>
              <w:tc>
                <w:tcPr>
                  <w:tcW w:w="1058"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排放口</w:t>
                  </w:r>
                </w:p>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编号</w:t>
                  </w:r>
                </w:p>
              </w:tc>
              <w:tc>
                <w:tcPr>
                  <w:tcW w:w="1024"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排放口</w:t>
                  </w:r>
                </w:p>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名称</w:t>
                  </w:r>
                </w:p>
              </w:tc>
              <w:tc>
                <w:tcPr>
                  <w:tcW w:w="1466"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排放口</w:t>
                  </w:r>
                </w:p>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类型</w:t>
                  </w:r>
                </w:p>
              </w:tc>
              <w:tc>
                <w:tcPr>
                  <w:tcW w:w="2243"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污染物种类</w:t>
                  </w:r>
                </w:p>
              </w:tc>
              <w:tc>
                <w:tcPr>
                  <w:tcW w:w="1479"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排放口地理坐标</w:t>
                  </w:r>
                </w:p>
              </w:tc>
              <w:tc>
                <w:tcPr>
                  <w:tcW w:w="1289"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排气筒高度（m）</w:t>
                  </w:r>
                </w:p>
              </w:tc>
              <w:tc>
                <w:tcPr>
                  <w:tcW w:w="1424"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排气筒出口内径（m）</w:t>
                  </w:r>
                </w:p>
              </w:tc>
              <w:tc>
                <w:tcPr>
                  <w:tcW w:w="1208" w:type="dxa"/>
                  <w:vMerge w:val="restart"/>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排气</w:t>
                  </w:r>
                </w:p>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温度（℃）</w:t>
                  </w:r>
                </w:p>
              </w:tc>
              <w:tc>
                <w:tcPr>
                  <w:tcW w:w="1208"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eastAsia" w:ascii="Times New Roman" w:hAnsi="Times New Roman" w:eastAsia="宋体" w:cs="Times New Roman"/>
                      <w:color w:val="000000"/>
                      <w:sz w:val="18"/>
                      <w:szCs w:val="18"/>
                      <w:lang w:eastAsia="zh-CN"/>
                    </w:rPr>
                  </w:pPr>
                  <w:r>
                    <w:rPr>
                      <w:rFonts w:hint="eastAsia" w:cs="Times New Roman"/>
                      <w:color w:val="000000"/>
                      <w:sz w:val="18"/>
                      <w:szCs w:val="18"/>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717"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058"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024"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466"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2243"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479"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经度、纬度</w:t>
                  </w:r>
                </w:p>
              </w:tc>
              <w:tc>
                <w:tcPr>
                  <w:tcW w:w="1289"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424"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208" w:type="dxa"/>
                  <w:vMerge w:val="continue"/>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208"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717"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w:t>
                  </w:r>
                </w:p>
              </w:tc>
              <w:tc>
                <w:tcPr>
                  <w:tcW w:w="1058"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1#</w:t>
                  </w:r>
                </w:p>
              </w:tc>
              <w:tc>
                <w:tcPr>
                  <w:tcW w:w="1024"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1#排气筒</w:t>
                  </w:r>
                </w:p>
              </w:tc>
              <w:tc>
                <w:tcPr>
                  <w:tcW w:w="1466"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一般排放口</w:t>
                  </w:r>
                </w:p>
              </w:tc>
              <w:tc>
                <w:tcPr>
                  <w:tcW w:w="2243"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sz w:val="18"/>
                      <w:szCs w:val="18"/>
                      <w:lang w:val="en-US" w:eastAsia="zh-CN"/>
                    </w:rPr>
                    <w:t>VOCs</w:t>
                  </w:r>
                </w:p>
              </w:tc>
              <w:tc>
                <w:tcPr>
                  <w:tcW w:w="1479"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highlight w:val="none"/>
                    </w:rPr>
                  </w:pPr>
                  <w:r>
                    <w:rPr>
                      <w:rFonts w:hint="default" w:ascii="Times New Roman" w:hAnsi="Times New Roman" w:cs="Times New Roman"/>
                      <w:color w:val="000000"/>
                      <w:sz w:val="18"/>
                      <w:szCs w:val="18"/>
                      <w:highlight w:val="none"/>
                    </w:rPr>
                    <w:t>36.</w:t>
                  </w:r>
                  <w:r>
                    <w:rPr>
                      <w:rFonts w:hint="eastAsia" w:cs="Times New Roman"/>
                      <w:color w:val="000000"/>
                      <w:sz w:val="18"/>
                      <w:szCs w:val="18"/>
                      <w:highlight w:val="none"/>
                      <w:lang w:val="en-US" w:eastAsia="zh-CN"/>
                    </w:rPr>
                    <w:t>668678</w:t>
                  </w:r>
                  <w:r>
                    <w:rPr>
                      <w:rFonts w:hint="default" w:ascii="Times New Roman" w:hAnsi="Times New Roman" w:cs="Times New Roman"/>
                      <w:color w:val="000000"/>
                      <w:sz w:val="18"/>
                      <w:szCs w:val="18"/>
                      <w:highlight w:val="none"/>
                    </w:rPr>
                    <w:t>°N</w:t>
                  </w:r>
                </w:p>
                <w:p>
                  <w:pPr>
                    <w:spacing w:line="240" w:lineRule="auto"/>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highlight w:val="none"/>
                    </w:rPr>
                    <w:t>117.9</w:t>
                  </w:r>
                  <w:r>
                    <w:rPr>
                      <w:rFonts w:hint="eastAsia" w:cs="Times New Roman"/>
                      <w:color w:val="000000"/>
                      <w:sz w:val="18"/>
                      <w:szCs w:val="18"/>
                      <w:highlight w:val="none"/>
                      <w:lang w:val="en-US" w:eastAsia="zh-CN"/>
                    </w:rPr>
                    <w:t>38336</w:t>
                  </w:r>
                  <w:r>
                    <w:rPr>
                      <w:rFonts w:hint="default" w:ascii="Times New Roman" w:hAnsi="Times New Roman" w:cs="Times New Roman"/>
                      <w:color w:val="000000"/>
                      <w:sz w:val="18"/>
                      <w:szCs w:val="18"/>
                      <w:highlight w:val="none"/>
                    </w:rPr>
                    <w:t>°E</w:t>
                  </w:r>
                </w:p>
              </w:tc>
              <w:tc>
                <w:tcPr>
                  <w:tcW w:w="1289"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15</w:t>
                  </w:r>
                </w:p>
              </w:tc>
              <w:tc>
                <w:tcPr>
                  <w:tcW w:w="1424"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eastAsia="宋体" w:cs="Times New Roman"/>
                      <w:color w:val="000000"/>
                      <w:sz w:val="18"/>
                      <w:szCs w:val="18"/>
                      <w:lang w:val="en-US" w:eastAsia="zh-CN"/>
                    </w:rPr>
                  </w:pPr>
                  <w:r>
                    <w:rPr>
                      <w:rFonts w:hint="default" w:ascii="Times New Roman" w:hAnsi="Times New Roman" w:cs="Times New Roman"/>
                      <w:color w:val="000000"/>
                      <w:sz w:val="18"/>
                      <w:szCs w:val="18"/>
                    </w:rPr>
                    <w:t>0.</w:t>
                  </w:r>
                  <w:r>
                    <w:rPr>
                      <w:rFonts w:hint="eastAsia" w:cs="Times New Roman"/>
                      <w:color w:val="000000"/>
                      <w:sz w:val="18"/>
                      <w:szCs w:val="18"/>
                      <w:lang w:val="en-US" w:eastAsia="zh-CN"/>
                    </w:rPr>
                    <w:t>4</w:t>
                  </w:r>
                </w:p>
              </w:tc>
              <w:tc>
                <w:tcPr>
                  <w:tcW w:w="1208" w:type="dxa"/>
                  <w:vMerge w:val="restart"/>
                  <w:tcBorders>
                    <w:top w:val="single" w:color="auto" w:sz="4" w:space="0"/>
                    <w:left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25</w:t>
                  </w:r>
                </w:p>
              </w:tc>
              <w:tc>
                <w:tcPr>
                  <w:tcW w:w="1208"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eastAsia" w:ascii="Times New Roman" w:hAnsi="Times New Roman" w:eastAsia="宋体" w:cs="Times New Roman"/>
                      <w:color w:val="000000"/>
                      <w:sz w:val="18"/>
                      <w:szCs w:val="18"/>
                      <w:lang w:eastAsia="zh-CN"/>
                    </w:rPr>
                  </w:pPr>
                  <w:r>
                    <w:rPr>
                      <w:rFonts w:hint="eastAsia" w:cs="Times New Roman"/>
                      <w:color w:val="000000"/>
                      <w:sz w:val="18"/>
                      <w:szCs w:val="18"/>
                      <w:lang w:eastAsia="zh-CN"/>
                    </w:rPr>
                    <w:t>半年一次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717"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058"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eastAsia" w:cs="Times New Roman"/>
                      <w:color w:val="000000"/>
                      <w:sz w:val="18"/>
                      <w:szCs w:val="18"/>
                      <w:lang w:val="en-US" w:eastAsia="zh-CN"/>
                    </w:rPr>
                  </w:pPr>
                </w:p>
              </w:tc>
              <w:tc>
                <w:tcPr>
                  <w:tcW w:w="1024"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eastAsia" w:cs="Times New Roman"/>
                      <w:color w:val="000000"/>
                      <w:sz w:val="18"/>
                      <w:szCs w:val="18"/>
                      <w:lang w:val="en-US" w:eastAsia="zh-CN"/>
                    </w:rPr>
                  </w:pPr>
                </w:p>
              </w:tc>
              <w:tc>
                <w:tcPr>
                  <w:tcW w:w="1466"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2243"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sz w:val="18"/>
                      <w:szCs w:val="18"/>
                      <w:lang w:val="en-US" w:eastAsia="zh-CN"/>
                    </w:rPr>
                  </w:pPr>
                  <w:r>
                    <w:rPr>
                      <w:rFonts w:hint="eastAsia" w:cs="Times New Roman"/>
                      <w:sz w:val="18"/>
                      <w:szCs w:val="18"/>
                      <w:lang w:val="en-US" w:eastAsia="zh-CN"/>
                    </w:rPr>
                    <w:t>苯酚、甲醛</w:t>
                  </w:r>
                </w:p>
              </w:tc>
              <w:tc>
                <w:tcPr>
                  <w:tcW w:w="1479"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color w:val="000000"/>
                      <w:sz w:val="18"/>
                      <w:szCs w:val="18"/>
                      <w:highlight w:val="none"/>
                    </w:rPr>
                  </w:pPr>
                </w:p>
              </w:tc>
              <w:tc>
                <w:tcPr>
                  <w:tcW w:w="1289"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424"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208" w:type="dxa"/>
                  <w:vMerge w:val="continue"/>
                  <w:tcBorders>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ascii="Times New Roman" w:hAnsi="Times New Roman" w:cs="Times New Roman"/>
                      <w:color w:val="000000"/>
                      <w:sz w:val="18"/>
                      <w:szCs w:val="18"/>
                    </w:rPr>
                  </w:pPr>
                </w:p>
              </w:tc>
              <w:tc>
                <w:tcPr>
                  <w:tcW w:w="1208"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eastAsia" w:cs="Times New Roman"/>
                      <w:color w:val="000000"/>
                      <w:sz w:val="18"/>
                      <w:szCs w:val="18"/>
                      <w:lang w:eastAsia="zh-CN"/>
                    </w:rPr>
                  </w:pPr>
                  <w:r>
                    <w:rPr>
                      <w:rFonts w:hint="eastAsia" w:cs="Times New Roman"/>
                      <w:color w:val="000000"/>
                      <w:sz w:val="18"/>
                      <w:szCs w:val="18"/>
                      <w:lang w:eastAsia="zh-CN"/>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717" w:type="dxa"/>
                  <w:tcBorders>
                    <w:left w:val="single" w:color="auto" w:sz="4" w:space="0"/>
                    <w:right w:val="single" w:color="auto" w:sz="4" w:space="0"/>
                  </w:tcBorders>
                  <w:vAlign w:val="center"/>
                </w:tcPr>
                <w:p>
                  <w:pPr>
                    <w:pStyle w:val="2"/>
                    <w:spacing w:after="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2</w:t>
                  </w:r>
                </w:p>
              </w:tc>
              <w:tc>
                <w:tcPr>
                  <w:tcW w:w="1058" w:type="dxa"/>
                  <w:tcBorders>
                    <w:left w:val="single" w:color="auto" w:sz="4" w:space="0"/>
                    <w:right w:val="single" w:color="auto" w:sz="4" w:space="0"/>
                  </w:tcBorders>
                  <w:vAlign w:val="center"/>
                </w:tcPr>
                <w:p>
                  <w:pPr>
                    <w:pStyle w:val="2"/>
                    <w:spacing w:after="0" w:line="240" w:lineRule="auto"/>
                    <w:ind w:left="0" w:leftChars="0" w:firstLine="0" w:firstLineChars="0"/>
                    <w:jc w:val="center"/>
                    <w:rPr>
                      <w:rFonts w:hint="eastAsia" w:cs="Times New Roman"/>
                      <w:color w:val="000000"/>
                      <w:sz w:val="18"/>
                      <w:szCs w:val="18"/>
                      <w:lang w:val="en-US" w:eastAsia="zh-CN"/>
                    </w:rPr>
                  </w:pPr>
                  <w:r>
                    <w:rPr>
                      <w:rFonts w:hint="eastAsia" w:cs="Times New Roman"/>
                      <w:color w:val="000000"/>
                      <w:sz w:val="18"/>
                      <w:szCs w:val="18"/>
                      <w:lang w:val="en-US" w:eastAsia="zh-CN"/>
                    </w:rPr>
                    <w:t>厂界</w:t>
                  </w:r>
                </w:p>
              </w:tc>
              <w:tc>
                <w:tcPr>
                  <w:tcW w:w="1024" w:type="dxa"/>
                  <w:tcBorders>
                    <w:left w:val="single" w:color="auto" w:sz="4" w:space="0"/>
                    <w:right w:val="single" w:color="auto" w:sz="4" w:space="0"/>
                  </w:tcBorders>
                  <w:vAlign w:val="center"/>
                </w:tcPr>
                <w:p>
                  <w:pPr>
                    <w:pStyle w:val="2"/>
                    <w:spacing w:after="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466" w:type="dxa"/>
                  <w:tcBorders>
                    <w:left w:val="single" w:color="auto" w:sz="4" w:space="0"/>
                    <w:right w:val="single" w:color="auto" w:sz="4" w:space="0"/>
                  </w:tcBorders>
                  <w:vAlign w:val="center"/>
                </w:tcPr>
                <w:p>
                  <w:pPr>
                    <w:spacing w:after="0" w:line="240" w:lineRule="auto"/>
                    <w:ind w:left="0" w:leftChars="0"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w:t>
                  </w:r>
                </w:p>
              </w:tc>
              <w:tc>
                <w:tcPr>
                  <w:tcW w:w="2243"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default" w:cs="Times New Roman"/>
                      <w:sz w:val="18"/>
                      <w:szCs w:val="18"/>
                      <w:lang w:val="en-US" w:eastAsia="zh-CN"/>
                    </w:rPr>
                  </w:pPr>
                  <w:r>
                    <w:rPr>
                      <w:rFonts w:hint="eastAsia" w:cs="Times New Roman"/>
                      <w:sz w:val="18"/>
                      <w:szCs w:val="18"/>
                      <w:lang w:val="en-US" w:eastAsia="zh-CN"/>
                    </w:rPr>
                    <w:t>VOCs、苯酚、甲醛</w:t>
                  </w:r>
                </w:p>
              </w:tc>
              <w:tc>
                <w:tcPr>
                  <w:tcW w:w="1479" w:type="dxa"/>
                  <w:tcBorders>
                    <w:left w:val="single" w:color="auto" w:sz="4" w:space="0"/>
                    <w:right w:val="single" w:color="auto" w:sz="4" w:space="0"/>
                  </w:tcBorders>
                  <w:vAlign w:val="center"/>
                </w:tcPr>
                <w:p>
                  <w:pPr>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289" w:type="dxa"/>
                  <w:tcBorders>
                    <w:left w:val="single" w:color="auto" w:sz="4" w:space="0"/>
                    <w:right w:val="single" w:color="auto" w:sz="4" w:space="0"/>
                  </w:tcBorders>
                  <w:vAlign w:val="center"/>
                </w:tcPr>
                <w:p>
                  <w:pPr>
                    <w:spacing w:line="240" w:lineRule="auto"/>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424" w:type="dxa"/>
                  <w:tcBorders>
                    <w:left w:val="single" w:color="auto" w:sz="4" w:space="0"/>
                    <w:right w:val="single" w:color="auto" w:sz="4" w:space="0"/>
                  </w:tcBorders>
                  <w:vAlign w:val="center"/>
                </w:tcPr>
                <w:p>
                  <w:pPr>
                    <w:spacing w:line="240" w:lineRule="auto"/>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208" w:type="dxa"/>
                  <w:tcBorders>
                    <w:left w:val="single" w:color="auto" w:sz="4" w:space="0"/>
                    <w:right w:val="single" w:color="auto" w:sz="4" w:space="0"/>
                  </w:tcBorders>
                  <w:vAlign w:val="center"/>
                </w:tcPr>
                <w:p>
                  <w:pPr>
                    <w:spacing w:line="240" w:lineRule="auto"/>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208" w:type="dxa"/>
                  <w:tcBorders>
                    <w:left w:val="single" w:color="auto" w:sz="4" w:space="0"/>
                    <w:right w:val="single" w:color="auto" w:sz="4" w:space="0"/>
                  </w:tcBorders>
                  <w:vAlign w:val="center"/>
                </w:tcPr>
                <w:p>
                  <w:pPr>
                    <w:spacing w:line="240" w:lineRule="auto"/>
                    <w:jc w:val="center"/>
                    <w:rPr>
                      <w:rFonts w:hint="eastAsia" w:cs="Times New Roman"/>
                      <w:color w:val="000000"/>
                      <w:sz w:val="18"/>
                      <w:szCs w:val="18"/>
                      <w:lang w:eastAsia="zh-CN"/>
                    </w:rPr>
                  </w:pPr>
                  <w:r>
                    <w:rPr>
                      <w:rFonts w:hint="eastAsia" w:cs="Times New Roman"/>
                      <w:color w:val="000000"/>
                      <w:sz w:val="18"/>
                      <w:szCs w:val="18"/>
                      <w:lang w:eastAsia="zh-CN"/>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717" w:type="dxa"/>
                  <w:tcBorders>
                    <w:left w:val="single" w:color="auto" w:sz="4" w:space="0"/>
                    <w:right w:val="single" w:color="auto" w:sz="4" w:space="0"/>
                  </w:tcBorders>
                  <w:vAlign w:val="center"/>
                </w:tcPr>
                <w:p>
                  <w:pPr>
                    <w:pStyle w:val="2"/>
                    <w:spacing w:after="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3</w:t>
                  </w:r>
                </w:p>
              </w:tc>
              <w:tc>
                <w:tcPr>
                  <w:tcW w:w="1058" w:type="dxa"/>
                  <w:tcBorders>
                    <w:left w:val="single" w:color="auto" w:sz="4" w:space="0"/>
                    <w:right w:val="single" w:color="auto" w:sz="4" w:space="0"/>
                  </w:tcBorders>
                  <w:vAlign w:val="center"/>
                </w:tcPr>
                <w:p>
                  <w:pPr>
                    <w:pStyle w:val="2"/>
                    <w:spacing w:after="0" w:line="240" w:lineRule="auto"/>
                    <w:ind w:left="0" w:leftChars="0" w:firstLine="0" w:firstLineChars="0"/>
                    <w:jc w:val="center"/>
                    <w:rPr>
                      <w:rFonts w:hint="eastAsia" w:cs="Times New Roman"/>
                      <w:color w:val="000000"/>
                      <w:sz w:val="18"/>
                      <w:szCs w:val="18"/>
                      <w:lang w:val="en-US" w:eastAsia="zh-CN"/>
                    </w:rPr>
                  </w:pPr>
                  <w:r>
                    <w:rPr>
                      <w:rFonts w:hint="eastAsia" w:cs="Times New Roman"/>
                      <w:color w:val="000000"/>
                      <w:sz w:val="18"/>
                      <w:szCs w:val="18"/>
                      <w:lang w:val="en-US" w:eastAsia="zh-CN"/>
                    </w:rPr>
                    <w:t>厂区内</w:t>
                  </w:r>
                </w:p>
              </w:tc>
              <w:tc>
                <w:tcPr>
                  <w:tcW w:w="1024" w:type="dxa"/>
                  <w:tcBorders>
                    <w:left w:val="single" w:color="auto" w:sz="4" w:space="0"/>
                    <w:right w:val="single" w:color="auto" w:sz="4" w:space="0"/>
                  </w:tcBorders>
                  <w:vAlign w:val="center"/>
                </w:tcPr>
                <w:p>
                  <w:pPr>
                    <w:pStyle w:val="2"/>
                    <w:spacing w:after="0" w:line="240" w:lineRule="auto"/>
                    <w:ind w:left="0" w:leftChars="0" w:firstLine="0" w:firstLineChars="0"/>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466" w:type="dxa"/>
                  <w:tcBorders>
                    <w:left w:val="single" w:color="auto" w:sz="4" w:space="0"/>
                    <w:right w:val="single" w:color="auto" w:sz="4" w:space="0"/>
                  </w:tcBorders>
                  <w:vAlign w:val="center"/>
                </w:tcPr>
                <w:p>
                  <w:pPr>
                    <w:spacing w:after="0" w:line="240" w:lineRule="auto"/>
                    <w:ind w:left="0" w:leftChars="0"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w:t>
                  </w:r>
                </w:p>
              </w:tc>
              <w:tc>
                <w:tcPr>
                  <w:tcW w:w="2243" w:type="dxa"/>
                  <w:tcBorders>
                    <w:top w:val="single" w:color="auto" w:sz="4" w:space="0"/>
                    <w:left w:val="single" w:color="auto" w:sz="4" w:space="0"/>
                    <w:bottom w:val="single" w:color="auto" w:sz="4" w:space="0"/>
                    <w:right w:val="single" w:color="auto" w:sz="4" w:space="0"/>
                  </w:tcBorders>
                  <w:vAlign w:val="center"/>
                </w:tcPr>
                <w:p>
                  <w:pPr>
                    <w:pStyle w:val="2"/>
                    <w:spacing w:after="0" w:line="240" w:lineRule="auto"/>
                    <w:ind w:left="0" w:leftChars="0" w:firstLine="0" w:firstLineChars="0"/>
                    <w:jc w:val="center"/>
                    <w:rPr>
                      <w:rFonts w:hint="eastAsia" w:cs="Times New Roman"/>
                      <w:sz w:val="18"/>
                      <w:szCs w:val="18"/>
                      <w:lang w:eastAsia="zh-CN"/>
                    </w:rPr>
                  </w:pPr>
                  <w:r>
                    <w:rPr>
                      <w:rFonts w:hint="eastAsia" w:cs="Times New Roman"/>
                      <w:sz w:val="18"/>
                      <w:szCs w:val="18"/>
                      <w:lang w:val="en-US" w:eastAsia="zh-CN"/>
                    </w:rPr>
                    <w:t>VOCs（以NMHC表征）</w:t>
                  </w:r>
                </w:p>
              </w:tc>
              <w:tc>
                <w:tcPr>
                  <w:tcW w:w="1479" w:type="dxa"/>
                  <w:tcBorders>
                    <w:left w:val="single" w:color="auto" w:sz="4" w:space="0"/>
                    <w:right w:val="single" w:color="auto" w:sz="4" w:space="0"/>
                  </w:tcBorders>
                  <w:vAlign w:val="center"/>
                </w:tcPr>
                <w:p>
                  <w:pPr>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289" w:type="dxa"/>
                  <w:tcBorders>
                    <w:left w:val="single" w:color="auto" w:sz="4" w:space="0"/>
                    <w:right w:val="single" w:color="auto" w:sz="4" w:space="0"/>
                  </w:tcBorders>
                  <w:vAlign w:val="center"/>
                </w:tcPr>
                <w:p>
                  <w:pPr>
                    <w:spacing w:line="240" w:lineRule="auto"/>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424" w:type="dxa"/>
                  <w:tcBorders>
                    <w:left w:val="single" w:color="auto" w:sz="4" w:space="0"/>
                    <w:right w:val="single" w:color="auto" w:sz="4" w:space="0"/>
                  </w:tcBorders>
                  <w:vAlign w:val="center"/>
                </w:tcPr>
                <w:p>
                  <w:pPr>
                    <w:spacing w:line="240" w:lineRule="auto"/>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208" w:type="dxa"/>
                  <w:tcBorders>
                    <w:left w:val="single" w:color="auto" w:sz="4" w:space="0"/>
                    <w:right w:val="single" w:color="auto" w:sz="4" w:space="0"/>
                  </w:tcBorders>
                  <w:vAlign w:val="center"/>
                </w:tcPr>
                <w:p>
                  <w:pPr>
                    <w:spacing w:line="240" w:lineRule="auto"/>
                    <w:jc w:val="center"/>
                    <w:rPr>
                      <w:rFonts w:hint="default" w:cs="Times New Roman"/>
                      <w:color w:val="000000"/>
                      <w:sz w:val="18"/>
                      <w:szCs w:val="18"/>
                      <w:lang w:val="en-US" w:eastAsia="zh-CN"/>
                    </w:rPr>
                  </w:pPr>
                  <w:r>
                    <w:rPr>
                      <w:rFonts w:hint="eastAsia" w:cs="Times New Roman"/>
                      <w:color w:val="000000"/>
                      <w:sz w:val="18"/>
                      <w:szCs w:val="18"/>
                      <w:lang w:val="en-US" w:eastAsia="zh-CN"/>
                    </w:rPr>
                    <w:t>-</w:t>
                  </w:r>
                </w:p>
              </w:tc>
              <w:tc>
                <w:tcPr>
                  <w:tcW w:w="1208" w:type="dxa"/>
                  <w:tcBorders>
                    <w:left w:val="single" w:color="auto" w:sz="4" w:space="0"/>
                    <w:right w:val="single" w:color="auto" w:sz="4" w:space="0"/>
                  </w:tcBorders>
                  <w:vAlign w:val="center"/>
                </w:tcPr>
                <w:p>
                  <w:pPr>
                    <w:spacing w:line="240" w:lineRule="auto"/>
                    <w:jc w:val="center"/>
                    <w:rPr>
                      <w:rFonts w:hint="eastAsia" w:cs="Times New Roman"/>
                      <w:color w:val="000000"/>
                      <w:sz w:val="18"/>
                      <w:szCs w:val="18"/>
                      <w:lang w:eastAsia="zh-CN"/>
                    </w:rPr>
                  </w:pPr>
                  <w:r>
                    <w:rPr>
                      <w:rFonts w:hint="eastAsia" w:cs="Times New Roman"/>
                      <w:color w:val="000000"/>
                      <w:sz w:val="18"/>
                      <w:szCs w:val="18"/>
                      <w:lang w:eastAsia="zh-CN"/>
                    </w:rPr>
                    <w:t>每年一次</w:t>
                  </w:r>
                </w:p>
              </w:tc>
            </w:tr>
          </w:tbl>
          <w:p>
            <w:pPr>
              <w:pStyle w:val="2"/>
              <w:ind w:left="0" w:leftChars="0" w:firstLine="0" w:firstLineChars="0"/>
              <w:rPr>
                <w:rFonts w:ascii="宋体"/>
              </w:rPr>
            </w:pPr>
          </w:p>
        </w:tc>
      </w:tr>
    </w:tbl>
    <w:p>
      <w:pPr>
        <w:pStyle w:val="2"/>
        <w:ind w:left="0" w:leftChars="0" w:firstLine="0" w:firstLineChars="0"/>
        <w:rPr>
          <w:rFonts w:ascii="宋体"/>
        </w:rPr>
        <w:sectPr>
          <w:pgSz w:w="16838" w:h="11906" w:orient="landscape"/>
          <w:pgMar w:top="1531" w:right="1701" w:bottom="1531" w:left="1701" w:header="851" w:footer="851" w:gutter="0"/>
          <w:pgNumType w:fmt="numberInDash"/>
          <w:cols w:space="720" w:num="1"/>
          <w:docGrid w:linePitch="312" w:charSpace="0"/>
        </w:sectPr>
      </w:pP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45" w:type="dxa"/>
          <w:bottom w:w="0" w:type="dxa"/>
          <w:right w:w="45" w:type="dxa"/>
        </w:tblCellMar>
      </w:tblPr>
      <w:tblGrid>
        <w:gridCol w:w="300"/>
        <w:gridCol w:w="8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5" w:type="dxa"/>
            <w:bottom w:w="0" w:type="dxa"/>
            <w:right w:w="45" w:type="dxa"/>
          </w:tblCellMar>
        </w:tblPrEx>
        <w:trPr>
          <w:trHeight w:val="13070" w:hRule="atLeast"/>
        </w:trPr>
        <w:tc>
          <w:tcPr>
            <w:tcW w:w="300" w:type="dxa"/>
            <w:vAlign w:val="center"/>
          </w:tcPr>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运营</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期环</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境影</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响和</w:t>
            </w:r>
          </w:p>
          <w:p>
            <w:pPr>
              <w:adjustRightInd w:val="0"/>
              <w:snapToGrid w:val="0"/>
              <w:spacing w:line="420" w:lineRule="exact"/>
              <w:jc w:val="center"/>
              <w:rPr>
                <w:rFonts w:hint="default" w:ascii="Times New Roman" w:hAnsi="Times New Roman" w:cs="Times New Roman"/>
                <w:bCs/>
                <w:szCs w:val="21"/>
              </w:rPr>
            </w:pPr>
            <w:r>
              <w:rPr>
                <w:rFonts w:hint="default" w:ascii="Times New Roman" w:hAnsi="Times New Roman" w:cs="Times New Roman"/>
                <w:bCs/>
                <w:szCs w:val="21"/>
              </w:rPr>
              <w:t>保护</w:t>
            </w:r>
          </w:p>
          <w:p>
            <w:pPr>
              <w:adjustRightInd w:val="0"/>
              <w:snapToGrid w:val="0"/>
              <w:spacing w:line="420" w:lineRule="exact"/>
              <w:jc w:val="center"/>
              <w:rPr>
                <w:rFonts w:hint="default" w:ascii="Times New Roman" w:hAnsi="Times New Roman" w:cs="Times New Roman"/>
              </w:rPr>
            </w:pPr>
            <w:r>
              <w:rPr>
                <w:rFonts w:hint="default" w:ascii="Times New Roman" w:hAnsi="Times New Roman" w:cs="Times New Roman"/>
                <w:bCs/>
                <w:szCs w:val="21"/>
              </w:rPr>
              <w:t>措施</w:t>
            </w:r>
          </w:p>
        </w:tc>
        <w:tc>
          <w:tcPr>
            <w:tcW w:w="8534" w:type="dxa"/>
          </w:tcPr>
          <w:p>
            <w:pPr>
              <w:tabs>
                <w:tab w:val="left" w:pos="1800"/>
              </w:tabs>
              <w:adjustRightInd w:val="0"/>
              <w:snapToGrid w:val="0"/>
              <w:spacing w:line="360" w:lineRule="auto"/>
              <w:ind w:firstLine="420" w:firstLineChars="200"/>
              <w:rPr>
                <w:rFonts w:hint="default" w:ascii="Times New Roman" w:hAnsi="Times New Roman" w:eastAsia="黑体" w:cs="Times New Roman"/>
                <w:kern w:val="24"/>
                <w:szCs w:val="21"/>
              </w:rPr>
            </w:pPr>
            <w:r>
              <w:rPr>
                <w:rFonts w:hint="default" w:ascii="Times New Roman" w:hAnsi="Times New Roman" w:eastAsia="黑体" w:cs="Times New Roman"/>
                <w:kern w:val="24"/>
                <w:szCs w:val="21"/>
              </w:rPr>
              <w:t>2、源强核算：</w:t>
            </w:r>
          </w:p>
          <w:p>
            <w:pPr>
              <w:pStyle w:val="377"/>
              <w:numPr>
                <w:ilvl w:val="0"/>
                <w:numId w:val="0"/>
              </w:numPr>
              <w:ind w:firstLine="420" w:firstLineChars="200"/>
              <w:rPr>
                <w:rFonts w:hint="default" w:ascii="Times New Roman" w:hAnsi="Times New Roman" w:eastAsia="宋体" w:cs="Times New Roman"/>
                <w:lang w:val="en-US" w:eastAsia="zh-CN"/>
              </w:rPr>
            </w:pPr>
            <w:r>
              <w:rPr>
                <w:rFonts w:hint="eastAsia" w:cs="Times New Roman"/>
                <w:sz w:val="21"/>
                <w:szCs w:val="21"/>
                <w:lang w:val="en-US" w:eastAsia="zh-CN"/>
              </w:rPr>
              <w:t>本</w:t>
            </w:r>
            <w:r>
              <w:rPr>
                <w:rFonts w:hint="default" w:ascii="Times New Roman" w:hAnsi="Times New Roman" w:eastAsia="宋体" w:cs="Times New Roman"/>
                <w:sz w:val="21"/>
                <w:szCs w:val="21"/>
                <w:lang w:eastAsia="zh-CN"/>
              </w:rPr>
              <w:t>项目</w:t>
            </w:r>
            <w:r>
              <w:rPr>
                <w:rFonts w:hint="eastAsia" w:cs="Times New Roman"/>
                <w:sz w:val="21"/>
                <w:szCs w:val="21"/>
                <w:lang w:eastAsia="zh-CN"/>
              </w:rPr>
              <w:t>废气主要为有组织废气及无组织废气，有组织废气</w:t>
            </w:r>
            <w:r>
              <w:rPr>
                <w:rFonts w:hint="default" w:ascii="Times New Roman" w:hAnsi="Times New Roman" w:eastAsia="宋体" w:cs="Times New Roman"/>
                <w:sz w:val="21"/>
                <w:szCs w:val="21"/>
                <w:lang w:eastAsia="zh-CN"/>
              </w:rPr>
              <w:t>主要为</w:t>
            </w:r>
            <w:r>
              <w:rPr>
                <w:rFonts w:hint="eastAsia" w:cs="Times New Roman"/>
                <w:sz w:val="21"/>
                <w:szCs w:val="21"/>
                <w:lang w:eastAsia="zh-CN"/>
              </w:rPr>
              <w:t>搅拌、涂胶、烘干、固化、切割</w:t>
            </w:r>
            <w:r>
              <w:rPr>
                <w:rFonts w:hint="default" w:ascii="Times New Roman" w:hAnsi="Times New Roman" w:eastAsia="宋体" w:cs="Times New Roman"/>
                <w:sz w:val="21"/>
                <w:szCs w:val="21"/>
                <w:lang w:eastAsia="zh-CN"/>
              </w:rPr>
              <w:t>工序</w:t>
            </w:r>
            <w:r>
              <w:rPr>
                <w:rFonts w:hint="eastAsia" w:cs="Times New Roman"/>
                <w:sz w:val="21"/>
                <w:szCs w:val="21"/>
                <w:lang w:eastAsia="zh-CN"/>
              </w:rPr>
              <w:t>集气罩收集</w:t>
            </w:r>
            <w:r>
              <w:rPr>
                <w:rFonts w:hint="default" w:ascii="Times New Roman" w:hAnsi="Times New Roman" w:eastAsia="宋体" w:cs="Times New Roman"/>
                <w:sz w:val="21"/>
                <w:szCs w:val="21"/>
                <w:lang w:eastAsia="zh-CN"/>
              </w:rPr>
              <w:t>的</w:t>
            </w:r>
            <w:r>
              <w:rPr>
                <w:rFonts w:hint="eastAsia" w:cs="Times New Roman"/>
                <w:sz w:val="21"/>
                <w:szCs w:val="21"/>
                <w:lang w:eastAsia="zh-CN"/>
              </w:rPr>
              <w:t>苯酚、甲醛、</w:t>
            </w:r>
            <w:r>
              <w:rPr>
                <w:rFonts w:hint="eastAsia" w:cs="Times New Roman"/>
                <w:sz w:val="21"/>
                <w:szCs w:val="21"/>
                <w:lang w:val="en-US" w:eastAsia="zh-CN"/>
              </w:rPr>
              <w:t>VOCs</w:t>
            </w:r>
            <w:r>
              <w:rPr>
                <w:rFonts w:hint="default" w:ascii="Times New Roman" w:hAnsi="Times New Roman" w:eastAsia="宋体" w:cs="Times New Roman"/>
                <w:sz w:val="21"/>
                <w:szCs w:val="21"/>
                <w:lang w:eastAsia="zh-CN"/>
              </w:rPr>
              <w:t>；</w:t>
            </w:r>
            <w:r>
              <w:rPr>
                <w:rFonts w:hint="eastAsia" w:cs="Times New Roman"/>
                <w:sz w:val="21"/>
                <w:szCs w:val="21"/>
                <w:lang w:eastAsia="zh-CN"/>
              </w:rPr>
              <w:t>注塑过程集气罩收集的</w:t>
            </w:r>
            <w:r>
              <w:rPr>
                <w:rFonts w:hint="eastAsia" w:cs="Times New Roman"/>
                <w:sz w:val="21"/>
                <w:szCs w:val="21"/>
                <w:lang w:val="en-US" w:eastAsia="zh-CN"/>
              </w:rPr>
              <w:t>VOCs。无组织废气主要为集气罩未收集的苯酚、甲醛、VOCs。</w:t>
            </w:r>
          </w:p>
          <w:p>
            <w:pPr>
              <w:pStyle w:val="377"/>
              <w:ind w:firstLine="31680"/>
              <w:rPr>
                <w:rFonts w:hint="eastAsia" w:cs="Times New Roman"/>
                <w:sz w:val="21"/>
                <w:szCs w:val="21"/>
                <w:lang w:eastAsia="zh-CN"/>
              </w:rPr>
            </w:pPr>
            <w:r>
              <w:rPr>
                <w:rFonts w:hint="eastAsia" w:cs="Times New Roman"/>
                <w:sz w:val="21"/>
                <w:szCs w:val="21"/>
                <w:lang w:eastAsia="zh-CN"/>
              </w:rPr>
              <w:t>（一）源强分析</w:t>
            </w:r>
          </w:p>
          <w:p>
            <w:pPr>
              <w:pStyle w:val="377"/>
              <w:ind w:firstLine="31680"/>
              <w:rPr>
                <w:rFonts w:hint="default" w:cs="Times New Roman"/>
                <w:sz w:val="21"/>
                <w:szCs w:val="21"/>
                <w:lang w:val="en-US" w:eastAsia="zh-CN"/>
              </w:rPr>
            </w:pPr>
            <w:r>
              <w:rPr>
                <w:rFonts w:hint="eastAsia" w:cs="Times New Roman"/>
                <w:sz w:val="21"/>
                <w:szCs w:val="21"/>
                <w:lang w:val="en-US" w:eastAsia="zh-CN"/>
              </w:rPr>
              <w:t>（1）</w:t>
            </w:r>
            <w:r>
              <w:rPr>
                <w:rFonts w:hint="eastAsia" w:cs="Times New Roman"/>
                <w:sz w:val="21"/>
                <w:szCs w:val="21"/>
                <w:lang w:eastAsia="zh-CN"/>
              </w:rPr>
              <w:t>涤纶排管生产过程源强分析</w:t>
            </w:r>
          </w:p>
          <w:p>
            <w:pPr>
              <w:pStyle w:val="377"/>
              <w:ind w:firstLine="31680"/>
              <w:rPr>
                <w:rFonts w:hint="default" w:ascii="Times New Roman" w:hAnsi="Times New Roman" w:eastAsia="宋体" w:cs="Times New Roman"/>
                <w:sz w:val="21"/>
                <w:szCs w:val="21"/>
                <w:lang w:val="en-US" w:eastAsia="zh-CN"/>
              </w:rPr>
            </w:pPr>
            <w:r>
              <w:rPr>
                <w:rFonts w:hint="eastAsia" w:cs="Times New Roman"/>
                <w:sz w:val="21"/>
                <w:szCs w:val="21"/>
                <w:lang w:eastAsia="zh-CN"/>
              </w:rPr>
              <w:t>项目生产涤纶排管，酚醛树脂胶用量共</w:t>
            </w:r>
            <w:r>
              <w:rPr>
                <w:rFonts w:hint="eastAsia" w:cs="Times New Roman"/>
                <w:sz w:val="21"/>
                <w:szCs w:val="21"/>
                <w:lang w:val="en-US" w:eastAsia="zh-CN"/>
              </w:rPr>
              <w:t>70t/a，根据厂家提供的成分分析报告，具体见表4-3。</w:t>
            </w:r>
          </w:p>
          <w:p>
            <w:pPr>
              <w:spacing w:line="360" w:lineRule="auto"/>
              <w:jc w:val="center"/>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表</w:t>
            </w:r>
            <w:r>
              <w:rPr>
                <w:rFonts w:hint="eastAsia" w:eastAsia="黑体" w:cs="Times New Roman"/>
                <w:bCs/>
                <w:kern w:val="0"/>
                <w:szCs w:val="21"/>
                <w:lang w:val="en-US" w:eastAsia="zh-CN"/>
              </w:rPr>
              <w:t>4</w:t>
            </w:r>
            <w:r>
              <w:rPr>
                <w:rFonts w:hint="default" w:ascii="Times New Roman" w:hAnsi="Times New Roman" w:eastAsia="黑体" w:cs="Times New Roman"/>
                <w:bCs/>
                <w:kern w:val="0"/>
                <w:szCs w:val="21"/>
              </w:rPr>
              <w:t>-</w:t>
            </w:r>
            <w:r>
              <w:rPr>
                <w:rFonts w:hint="eastAsia" w:eastAsia="黑体" w:cs="Times New Roman"/>
                <w:bCs/>
                <w:kern w:val="0"/>
                <w:szCs w:val="21"/>
                <w:lang w:val="en-US" w:eastAsia="zh-CN"/>
              </w:rPr>
              <w:t>3</w:t>
            </w:r>
            <w:r>
              <w:rPr>
                <w:rFonts w:hint="default" w:ascii="Times New Roman" w:hAnsi="Times New Roman" w:eastAsia="黑体" w:cs="Times New Roman"/>
                <w:bCs/>
                <w:kern w:val="0"/>
                <w:szCs w:val="21"/>
              </w:rPr>
              <w:t xml:space="preserve">  </w:t>
            </w:r>
            <w:r>
              <w:rPr>
                <w:rFonts w:hint="eastAsia" w:eastAsia="黑体" w:cs="Times New Roman"/>
                <w:bCs/>
                <w:kern w:val="0"/>
                <w:szCs w:val="21"/>
                <w:lang w:eastAsia="zh-CN"/>
              </w:rPr>
              <w:t>酚醛树脂胶</w:t>
            </w:r>
            <w:r>
              <w:rPr>
                <w:rFonts w:hint="default" w:ascii="Times New Roman" w:hAnsi="Times New Roman" w:eastAsia="黑体" w:cs="Times New Roman"/>
                <w:bCs/>
                <w:kern w:val="0"/>
                <w:szCs w:val="21"/>
              </w:rPr>
              <w:t>主要成分一览表</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672"/>
              <w:gridCol w:w="3671"/>
              <w:gridCol w:w="2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noWrap w:val="0"/>
                  <w:vAlign w:val="center"/>
                </w:tcPr>
                <w:p>
                  <w:pPr>
                    <w:spacing w:line="240" w:lineRule="auto"/>
                    <w:jc w:val="center"/>
                    <w:outlineLvl w:val="0"/>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型号</w:t>
                  </w:r>
                </w:p>
              </w:tc>
              <w:tc>
                <w:tcPr>
                  <w:tcW w:w="1672" w:type="dxa"/>
                  <w:noWrap w:val="0"/>
                  <w:vAlign w:val="center"/>
                </w:tcPr>
                <w:p>
                  <w:pPr>
                    <w:spacing w:line="240" w:lineRule="auto"/>
                    <w:jc w:val="center"/>
                    <w:outlineLvl w:val="0"/>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序号</w:t>
                  </w:r>
                </w:p>
              </w:tc>
              <w:tc>
                <w:tcPr>
                  <w:tcW w:w="3671" w:type="dxa"/>
                  <w:noWrap w:val="0"/>
                  <w:vAlign w:val="center"/>
                </w:tcPr>
                <w:p>
                  <w:pPr>
                    <w:spacing w:line="240" w:lineRule="auto"/>
                    <w:jc w:val="center"/>
                    <w:outlineLvl w:val="0"/>
                    <w:rPr>
                      <w:rFonts w:hint="eastAsia" w:ascii="Times New Roman" w:hAnsi="Times New Roman" w:eastAsia="宋体" w:cs="Times New Roman"/>
                      <w:b/>
                      <w:bCs/>
                      <w:sz w:val="18"/>
                      <w:szCs w:val="18"/>
                      <w:highlight w:val="none"/>
                      <w:lang w:eastAsia="zh-CN"/>
                    </w:rPr>
                  </w:pPr>
                  <w:r>
                    <w:rPr>
                      <w:rFonts w:hint="eastAsia" w:cs="Times New Roman"/>
                      <w:b/>
                      <w:bCs/>
                      <w:sz w:val="18"/>
                      <w:szCs w:val="18"/>
                      <w:highlight w:val="none"/>
                      <w:lang w:eastAsia="zh-CN"/>
                    </w:rPr>
                    <w:t>成分名称</w:t>
                  </w:r>
                </w:p>
              </w:tc>
              <w:tc>
                <w:tcPr>
                  <w:tcW w:w="2109" w:type="dxa"/>
                  <w:noWrap w:val="0"/>
                  <w:vAlign w:val="center"/>
                </w:tcPr>
                <w:p>
                  <w:pPr>
                    <w:spacing w:line="240" w:lineRule="auto"/>
                    <w:jc w:val="center"/>
                    <w:outlineLvl w:val="0"/>
                    <w:rPr>
                      <w:rFonts w:hint="default" w:ascii="Times New Roman" w:hAnsi="Times New Roman" w:cs="Times New Roman"/>
                      <w:b/>
                      <w:bCs/>
                      <w:sz w:val="18"/>
                      <w:szCs w:val="18"/>
                      <w:highlight w:val="none"/>
                    </w:rPr>
                  </w:pPr>
                  <w:r>
                    <w:rPr>
                      <w:rFonts w:hint="eastAsia" w:cs="Times New Roman"/>
                      <w:b/>
                      <w:bCs/>
                      <w:sz w:val="18"/>
                      <w:szCs w:val="18"/>
                      <w:highlight w:val="none"/>
                      <w:lang w:eastAsia="zh-CN"/>
                    </w:rPr>
                    <w:t>质量</w:t>
                  </w:r>
                  <w:r>
                    <w:rPr>
                      <w:rFonts w:hint="default" w:ascii="Times New Roman" w:hAnsi="Times New Roman" w:cs="Times New Roman"/>
                      <w:b/>
                      <w:bCs/>
                      <w:sz w:val="18"/>
                      <w:szCs w:val="18"/>
                      <w:highlight w:val="none"/>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restart"/>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eastAsia="zh-CN"/>
                    </w:rPr>
                    <w:t>液体</w:t>
                  </w:r>
                </w:p>
              </w:tc>
              <w:tc>
                <w:tcPr>
                  <w:tcW w:w="1672"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w:t>
                  </w:r>
                </w:p>
              </w:tc>
              <w:tc>
                <w:tcPr>
                  <w:tcW w:w="3671" w:type="dxa"/>
                  <w:noWrap w:val="0"/>
                  <w:vAlign w:val="center"/>
                </w:tcPr>
                <w:p>
                  <w:pPr>
                    <w:spacing w:line="240" w:lineRule="auto"/>
                    <w:jc w:val="center"/>
                    <w:outlineLvl w:val="0"/>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酚醛树脂</w:t>
                  </w:r>
                </w:p>
              </w:tc>
              <w:tc>
                <w:tcPr>
                  <w:tcW w:w="2109"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95.95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noWrap w:val="0"/>
                  <w:vAlign w:val="center"/>
                </w:tcPr>
                <w:p>
                  <w:pPr>
                    <w:spacing w:line="240" w:lineRule="auto"/>
                    <w:jc w:val="center"/>
                    <w:outlineLvl w:val="0"/>
                    <w:rPr>
                      <w:rFonts w:hint="default" w:ascii="Times New Roman" w:hAnsi="Times New Roman" w:cs="Times New Roman"/>
                      <w:sz w:val="18"/>
                      <w:szCs w:val="18"/>
                      <w:highlight w:val="none"/>
                    </w:rPr>
                  </w:pPr>
                </w:p>
              </w:tc>
              <w:tc>
                <w:tcPr>
                  <w:tcW w:w="1672" w:type="dxa"/>
                  <w:noWrap w:val="0"/>
                  <w:vAlign w:val="center"/>
                </w:tcPr>
                <w:p>
                  <w:pPr>
                    <w:spacing w:line="240" w:lineRule="auto"/>
                    <w:jc w:val="center"/>
                    <w:outlineLvl w:val="0"/>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w:t>
                  </w:r>
                </w:p>
              </w:tc>
              <w:tc>
                <w:tcPr>
                  <w:tcW w:w="3671" w:type="dxa"/>
                  <w:noWrap w:val="0"/>
                  <w:vAlign w:val="center"/>
                </w:tcPr>
                <w:p>
                  <w:pPr>
                    <w:spacing w:line="240" w:lineRule="auto"/>
                    <w:jc w:val="center"/>
                    <w:outlineLvl w:val="0"/>
                    <w:rPr>
                      <w:rFonts w:hint="default" w:ascii="Times New Roman" w:hAnsi="Times New Roman" w:eastAsia="宋体" w:cs="Times New Roman"/>
                      <w:kern w:val="2"/>
                      <w:sz w:val="18"/>
                      <w:szCs w:val="18"/>
                      <w:highlight w:val="none"/>
                      <w:lang w:val="en-US" w:eastAsia="zh-CN" w:bidi="ar-SA"/>
                    </w:rPr>
                  </w:pPr>
                  <w:r>
                    <w:rPr>
                      <w:rFonts w:hint="eastAsia" w:cs="Times New Roman"/>
                      <w:sz w:val="18"/>
                      <w:szCs w:val="18"/>
                      <w:highlight w:val="none"/>
                      <w:lang w:eastAsia="zh-CN"/>
                    </w:rPr>
                    <w:t>苯酚</w:t>
                  </w:r>
                </w:p>
              </w:tc>
              <w:tc>
                <w:tcPr>
                  <w:tcW w:w="2109"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2" w:type="dxa"/>
                  <w:vMerge w:val="continue"/>
                  <w:noWrap w:val="0"/>
                  <w:vAlign w:val="center"/>
                </w:tcPr>
                <w:p>
                  <w:pPr>
                    <w:spacing w:line="240" w:lineRule="auto"/>
                    <w:jc w:val="center"/>
                    <w:outlineLvl w:val="0"/>
                    <w:rPr>
                      <w:rFonts w:hint="default" w:ascii="Times New Roman" w:hAnsi="Times New Roman" w:cs="Times New Roman"/>
                      <w:sz w:val="18"/>
                      <w:szCs w:val="18"/>
                      <w:highlight w:val="none"/>
                    </w:rPr>
                  </w:pPr>
                </w:p>
              </w:tc>
              <w:tc>
                <w:tcPr>
                  <w:tcW w:w="1672" w:type="dxa"/>
                  <w:noWrap w:val="0"/>
                  <w:vAlign w:val="center"/>
                </w:tcPr>
                <w:p>
                  <w:pPr>
                    <w:spacing w:line="240" w:lineRule="auto"/>
                    <w:jc w:val="center"/>
                    <w:outlineLvl w:val="0"/>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w:t>
                  </w:r>
                </w:p>
              </w:tc>
              <w:tc>
                <w:tcPr>
                  <w:tcW w:w="3671" w:type="dxa"/>
                  <w:noWrap w:val="0"/>
                  <w:vAlign w:val="center"/>
                </w:tcPr>
                <w:p>
                  <w:pPr>
                    <w:spacing w:line="240" w:lineRule="auto"/>
                    <w:jc w:val="center"/>
                    <w:outlineLvl w:val="0"/>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甲醛</w:t>
                  </w:r>
                </w:p>
              </w:tc>
              <w:tc>
                <w:tcPr>
                  <w:tcW w:w="2109"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Merge w:val="continue"/>
                  <w:noWrap w:val="0"/>
                  <w:vAlign w:val="center"/>
                </w:tcPr>
                <w:p>
                  <w:pPr>
                    <w:spacing w:line="240" w:lineRule="auto"/>
                    <w:jc w:val="center"/>
                    <w:outlineLvl w:val="0"/>
                    <w:rPr>
                      <w:rFonts w:hint="default" w:ascii="Times New Roman" w:hAnsi="Times New Roman" w:cs="Times New Roman"/>
                      <w:sz w:val="18"/>
                      <w:szCs w:val="18"/>
                      <w:highlight w:val="none"/>
                    </w:rPr>
                  </w:pPr>
                </w:p>
              </w:tc>
              <w:tc>
                <w:tcPr>
                  <w:tcW w:w="1672" w:type="dxa"/>
                  <w:noWrap w:val="0"/>
                  <w:vAlign w:val="center"/>
                </w:tcPr>
                <w:p>
                  <w:pPr>
                    <w:spacing w:line="240" w:lineRule="auto"/>
                    <w:jc w:val="center"/>
                    <w:outlineLvl w:val="0"/>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w:t>
                  </w:r>
                </w:p>
              </w:tc>
              <w:tc>
                <w:tcPr>
                  <w:tcW w:w="3671" w:type="dxa"/>
                  <w:noWrap w:val="0"/>
                  <w:vAlign w:val="center"/>
                </w:tcPr>
                <w:p>
                  <w:pPr>
                    <w:spacing w:line="240" w:lineRule="auto"/>
                    <w:jc w:val="center"/>
                    <w:outlineLvl w:val="0"/>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水分</w:t>
                  </w:r>
                </w:p>
              </w:tc>
              <w:tc>
                <w:tcPr>
                  <w:tcW w:w="2109" w:type="dxa"/>
                  <w:noWrap w:val="0"/>
                  <w:vAlign w:val="center"/>
                </w:tcPr>
                <w:p>
                  <w:pPr>
                    <w:spacing w:line="240" w:lineRule="auto"/>
                    <w:jc w:val="center"/>
                    <w:outlineLvl w:val="0"/>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1.7</w:t>
                  </w:r>
                </w:p>
              </w:tc>
            </w:tr>
          </w:tbl>
          <w:p>
            <w:pPr>
              <w:pStyle w:val="377"/>
              <w:ind w:firstLine="31680"/>
              <w:rPr>
                <w:rFonts w:hint="default" w:cs="Times New Roman"/>
                <w:sz w:val="21"/>
                <w:szCs w:val="21"/>
                <w:lang w:val="en-US" w:eastAsia="zh-CN"/>
              </w:rPr>
            </w:pPr>
            <w:r>
              <w:rPr>
                <w:rFonts w:hint="eastAsia" w:cs="Times New Roman"/>
                <w:sz w:val="21"/>
                <w:szCs w:val="21"/>
                <w:lang w:eastAsia="zh-CN"/>
              </w:rPr>
              <w:t>酚醛树脂胶中含有的苯酚、甲醛作为挥发性有机物在搅拌、涂胶、烘干、固化、切割过程中按全部挥发考虑，烘干温度为</w:t>
            </w:r>
            <w:r>
              <w:rPr>
                <w:rFonts w:hint="eastAsia" w:cs="Times New Roman"/>
                <w:sz w:val="21"/>
                <w:szCs w:val="21"/>
                <w:lang w:val="en-US" w:eastAsia="zh-CN"/>
              </w:rPr>
              <w:t>110℃左右，固化温度为220℃左右。本次环评按照所有挥发性有机物</w:t>
            </w:r>
            <w:r>
              <w:rPr>
                <w:rFonts w:hint="eastAsia" w:cs="Times New Roman"/>
                <w:sz w:val="21"/>
                <w:szCs w:val="21"/>
                <w:lang w:eastAsia="zh-CN"/>
              </w:rPr>
              <w:t>搅拌、涂胶、烘干</w:t>
            </w:r>
            <w:r>
              <w:rPr>
                <w:rFonts w:hint="eastAsia" w:cs="Times New Roman"/>
                <w:sz w:val="21"/>
                <w:szCs w:val="21"/>
                <w:lang w:val="en-US" w:eastAsia="zh-CN"/>
              </w:rPr>
              <w:t>过程共挥发40%，固化、切割过程挥发60%计算。项目完成后，涤纶排管生产过程</w:t>
            </w:r>
            <w:r>
              <w:rPr>
                <w:rFonts w:hint="eastAsia" w:cs="Times New Roman"/>
                <w:sz w:val="21"/>
                <w:szCs w:val="21"/>
                <w:lang w:eastAsia="zh-CN"/>
              </w:rPr>
              <w:t>搅拌、涂胶、烘干、固化、切割</w:t>
            </w:r>
            <w:r>
              <w:rPr>
                <w:rFonts w:hint="eastAsia" w:cs="Times New Roman"/>
                <w:sz w:val="21"/>
                <w:szCs w:val="21"/>
                <w:lang w:val="en-US" w:eastAsia="zh-CN"/>
              </w:rPr>
              <w:t>工序苯酚、甲醛、VOCs产生情况见下表。</w:t>
            </w:r>
          </w:p>
          <w:p>
            <w:pPr>
              <w:pStyle w:val="377"/>
              <w:ind w:firstLine="31680"/>
              <w:jc w:val="center"/>
              <w:rPr>
                <w:rFonts w:hint="default" w:ascii="Times New Roman" w:hAnsi="Times New Roman" w:eastAsia="宋体" w:cs="Times New Roman"/>
                <w:b/>
                <w:bCs/>
                <w:sz w:val="21"/>
                <w:szCs w:val="21"/>
                <w:lang w:val="en-US" w:eastAsia="zh-CN"/>
              </w:rPr>
            </w:pPr>
            <w:r>
              <w:rPr>
                <w:rFonts w:hint="eastAsia" w:ascii="黑体" w:hAnsi="黑体" w:eastAsia="黑体" w:cs="黑体"/>
                <w:b w:val="0"/>
                <w:bCs w:val="0"/>
                <w:sz w:val="21"/>
                <w:szCs w:val="21"/>
                <w:lang w:eastAsia="zh-CN"/>
              </w:rPr>
              <w:t>表</w:t>
            </w:r>
            <w:r>
              <w:rPr>
                <w:rFonts w:hint="eastAsia" w:ascii="黑体" w:hAnsi="黑体" w:eastAsia="黑体" w:cs="黑体"/>
                <w:b w:val="0"/>
                <w:bCs w:val="0"/>
                <w:sz w:val="21"/>
                <w:szCs w:val="21"/>
                <w:lang w:val="en-US" w:eastAsia="zh-CN"/>
              </w:rPr>
              <w:t>4-4各生产工序苯酚、甲醛、VOCs产生情况一览表</w:t>
            </w:r>
          </w:p>
          <w:tbl>
            <w:tblPr>
              <w:tblStyle w:val="8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296"/>
              <w:gridCol w:w="2456"/>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序号</w:t>
                  </w:r>
                </w:p>
              </w:tc>
              <w:tc>
                <w:tcPr>
                  <w:tcW w:w="229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生产工序</w:t>
                  </w: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污染物名称</w:t>
                  </w:r>
                </w:p>
              </w:tc>
              <w:tc>
                <w:tcPr>
                  <w:tcW w:w="2223"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产生量（</w:t>
                  </w:r>
                  <w:r>
                    <w:rPr>
                      <w:rFonts w:hint="eastAsia" w:cs="Times New Roman"/>
                      <w:sz w:val="18"/>
                      <w:szCs w:val="18"/>
                      <w:vertAlign w:val="baseline"/>
                      <w:lang w:val="en-US" w:eastAsia="zh-CN"/>
                    </w:rPr>
                    <w:t>t/a</w:t>
                  </w:r>
                  <w:r>
                    <w:rPr>
                      <w:rFonts w:hint="eastAsia" w:cs="Times New Roman"/>
                      <w:sz w:val="18"/>
                      <w:szCs w:val="18"/>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vMerge w:val="restart"/>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1</w:t>
                  </w:r>
                </w:p>
              </w:tc>
              <w:tc>
                <w:tcPr>
                  <w:tcW w:w="2296" w:type="dxa"/>
                  <w:vMerge w:val="restart"/>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lang w:eastAsia="zh-CN"/>
                    </w:rPr>
                    <w:t>搅拌、涂胶、烘干</w:t>
                  </w: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苯酚</w:t>
                  </w:r>
                </w:p>
              </w:tc>
              <w:tc>
                <w:tcPr>
                  <w:tcW w:w="2223" w:type="dxa"/>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0.644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val="en-US" w:eastAsia="zh-CN"/>
                    </w:rPr>
                  </w:pPr>
                </w:p>
              </w:tc>
              <w:tc>
                <w:tcPr>
                  <w:tcW w:w="2296"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eastAsia="zh-CN"/>
                    </w:rPr>
                  </w:pP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甲醛</w:t>
                  </w:r>
                </w:p>
              </w:tc>
              <w:tc>
                <w:tcPr>
                  <w:tcW w:w="2223" w:type="dxa"/>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9"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val="en-US" w:eastAsia="zh-CN"/>
                    </w:rPr>
                  </w:pPr>
                </w:p>
              </w:tc>
              <w:tc>
                <w:tcPr>
                  <w:tcW w:w="2296"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eastAsia="zh-CN"/>
                    </w:rPr>
                  </w:pP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VOCs</w:t>
                  </w:r>
                </w:p>
              </w:tc>
              <w:tc>
                <w:tcPr>
                  <w:tcW w:w="2223" w:type="dxa"/>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vMerge w:val="restart"/>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2</w:t>
                  </w:r>
                </w:p>
              </w:tc>
              <w:tc>
                <w:tcPr>
                  <w:tcW w:w="2296" w:type="dxa"/>
                  <w:vMerge w:val="restart"/>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18"/>
                      <w:szCs w:val="18"/>
                      <w:vertAlign w:val="baseline"/>
                      <w:lang w:eastAsia="zh-CN"/>
                    </w:rPr>
                  </w:pPr>
                  <w:r>
                    <w:rPr>
                      <w:rFonts w:hint="eastAsia" w:cs="Times New Roman"/>
                      <w:sz w:val="18"/>
                      <w:szCs w:val="18"/>
                      <w:vertAlign w:val="baseline"/>
                      <w:lang w:eastAsia="zh-CN"/>
                    </w:rPr>
                    <w:t>固化、切割</w:t>
                  </w: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vertAlign w:val="baseline"/>
                      <w:lang w:eastAsia="zh-CN"/>
                    </w:rPr>
                    <w:t>苯酚</w:t>
                  </w:r>
                </w:p>
              </w:tc>
              <w:tc>
                <w:tcPr>
                  <w:tcW w:w="2223" w:type="dxa"/>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val="en-US" w:eastAsia="zh-CN"/>
                    </w:rPr>
                  </w:pPr>
                </w:p>
              </w:tc>
              <w:tc>
                <w:tcPr>
                  <w:tcW w:w="2296"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eastAsia="zh-CN"/>
                    </w:rPr>
                  </w:pP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vertAlign w:val="baseline"/>
                      <w:lang w:eastAsia="zh-CN"/>
                    </w:rPr>
                    <w:t>甲醛</w:t>
                  </w:r>
                </w:p>
              </w:tc>
              <w:tc>
                <w:tcPr>
                  <w:tcW w:w="2223" w:type="dxa"/>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9"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val="en-US" w:eastAsia="zh-CN"/>
                    </w:rPr>
                  </w:pPr>
                </w:p>
              </w:tc>
              <w:tc>
                <w:tcPr>
                  <w:tcW w:w="2296" w:type="dxa"/>
                  <w:vMerge w:val="continue"/>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z w:val="18"/>
                      <w:szCs w:val="18"/>
                      <w:vertAlign w:val="baseline"/>
                      <w:lang w:eastAsia="zh-CN"/>
                    </w:rPr>
                  </w:pPr>
                </w:p>
              </w:tc>
              <w:tc>
                <w:tcPr>
                  <w:tcW w:w="2456" w:type="dxa"/>
                  <w:vAlign w:val="center"/>
                </w:tcPr>
                <w:p>
                  <w:pPr>
                    <w:pStyle w:val="37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18"/>
                      <w:szCs w:val="18"/>
                      <w:vertAlign w:val="baseline"/>
                    </w:rPr>
                  </w:pPr>
                  <w:r>
                    <w:rPr>
                      <w:rFonts w:hint="eastAsia" w:cs="Times New Roman"/>
                      <w:sz w:val="18"/>
                      <w:szCs w:val="18"/>
                      <w:vertAlign w:val="baseline"/>
                      <w:lang w:val="en-US" w:eastAsia="zh-CN"/>
                    </w:rPr>
                    <w:t>VOCs</w:t>
                  </w:r>
                </w:p>
              </w:tc>
              <w:tc>
                <w:tcPr>
                  <w:tcW w:w="2223" w:type="dxa"/>
                  <w:vAlign w:val="center"/>
                </w:tcPr>
                <w:p>
                  <w:pPr>
                    <w:keepNext w:val="0"/>
                    <w:keepLines w:val="0"/>
                    <w:widowControl/>
                    <w:suppressLineNumbers w:val="0"/>
                    <w:jc w:val="center"/>
                    <w:textAlignment w:val="center"/>
                    <w:rPr>
                      <w:rFonts w:hint="default" w:ascii="Times New Roman" w:hAnsi="Times New Roman" w:eastAsia="宋体" w:cs="Times New Roman"/>
                      <w:sz w:val="18"/>
                      <w:szCs w:val="18"/>
                      <w:vertAlign w:val="baseline"/>
                      <w:lang w:val="en-US" w:eastAsia="zh-CN"/>
                    </w:rPr>
                  </w:pPr>
                  <w:r>
                    <w:rPr>
                      <w:rFonts w:hint="eastAsia" w:cs="Times New Roman"/>
                      <w:sz w:val="18"/>
                      <w:szCs w:val="18"/>
                      <w:vertAlign w:val="baseline"/>
                      <w:lang w:val="en-US" w:eastAsia="zh-CN"/>
                    </w:rPr>
                    <w:t>0.987</w:t>
                  </w:r>
                </w:p>
              </w:tc>
            </w:tr>
          </w:tbl>
          <w:p>
            <w:pPr>
              <w:pStyle w:val="377"/>
              <w:ind w:firstLine="31680"/>
              <w:rPr>
                <w:rFonts w:hint="eastAsia" w:cs="Times New Roman"/>
                <w:sz w:val="21"/>
                <w:szCs w:val="21"/>
                <w:lang w:eastAsia="zh-CN"/>
              </w:rPr>
            </w:pPr>
            <w:r>
              <w:rPr>
                <w:rFonts w:hint="eastAsia" w:cs="Times New Roman"/>
                <w:sz w:val="21"/>
                <w:szCs w:val="21"/>
                <w:lang w:eastAsia="zh-CN"/>
              </w:rPr>
              <w:t>（</w:t>
            </w:r>
            <w:r>
              <w:rPr>
                <w:rFonts w:hint="eastAsia" w:cs="Times New Roman"/>
                <w:sz w:val="21"/>
                <w:szCs w:val="21"/>
                <w:lang w:val="en-US" w:eastAsia="zh-CN"/>
              </w:rPr>
              <w:t>2</w:t>
            </w:r>
            <w:r>
              <w:rPr>
                <w:rFonts w:hint="eastAsia" w:cs="Times New Roman"/>
                <w:sz w:val="21"/>
                <w:szCs w:val="21"/>
                <w:lang w:eastAsia="zh-CN"/>
              </w:rPr>
              <w:t>）电源连接线生产过程源强分析</w:t>
            </w:r>
          </w:p>
          <w:p>
            <w:pPr>
              <w:pStyle w:val="377"/>
              <w:ind w:firstLine="31680"/>
              <w:rPr>
                <w:rFonts w:hint="default" w:cs="Times New Roman"/>
                <w:sz w:val="21"/>
                <w:szCs w:val="21"/>
                <w:lang w:val="en-US" w:eastAsia="zh-CN"/>
              </w:rPr>
            </w:pPr>
            <w:r>
              <w:rPr>
                <w:rFonts w:hint="eastAsia" w:cs="Times New Roman"/>
                <w:sz w:val="21"/>
                <w:szCs w:val="21"/>
                <w:lang w:val="en-US" w:eastAsia="zh-CN"/>
              </w:rPr>
              <w:t>项目生产电源连接线时，聚丙烯用量为10t/a，聚丙烯熔融注塑过程会产生VOCs。</w:t>
            </w:r>
          </w:p>
          <w:p>
            <w:pPr>
              <w:pStyle w:val="377"/>
              <w:ind w:firstLine="31680"/>
              <w:rPr>
                <w:rFonts w:hint="default" w:cs="Times New Roman"/>
                <w:sz w:val="21"/>
                <w:szCs w:val="21"/>
                <w:lang w:val="en-US" w:eastAsia="zh-CN"/>
              </w:rPr>
            </w:pPr>
            <w:r>
              <w:rPr>
                <w:rFonts w:hint="eastAsia" w:cs="Times New Roman"/>
                <w:sz w:val="21"/>
                <w:szCs w:val="21"/>
                <w:lang w:val="en-US" w:eastAsia="zh-CN"/>
              </w:rPr>
              <w:t>根据《排放源统计调查产排污核算方法 和系数手册》“292塑料制品业系数手册”，“塑料零件-配料-混合-挤出/注塑”，VOCs产生量为2.7kg/t产品。电源连接线注塑过程VOCs产生量为0.027t/a。</w:t>
            </w:r>
          </w:p>
          <w:p>
            <w:pPr>
              <w:pStyle w:val="995"/>
              <w:numPr>
                <w:ilvl w:val="0"/>
                <w:numId w:val="0"/>
              </w:numPr>
              <w:spacing w:line="360" w:lineRule="auto"/>
              <w:ind w:left="420" w:leftChars="0"/>
              <w:rPr>
                <w:rFonts w:hint="eastAsia" w:ascii="Times New Roman" w:hAnsi="Times New Roman" w:eastAsia="宋体" w:cs="Times New Roman"/>
                <w:sz w:val="21"/>
                <w:szCs w:val="21"/>
                <w:lang w:eastAsia="zh-CN"/>
              </w:rPr>
            </w:pPr>
            <w:r>
              <w:rPr>
                <w:rFonts w:hint="eastAsia" w:cs="Times New Roman"/>
                <w:sz w:val="21"/>
                <w:szCs w:val="21"/>
                <w:lang w:eastAsia="zh-CN"/>
              </w:rPr>
              <w:t>（二）污染物排放情况核算</w:t>
            </w:r>
          </w:p>
          <w:p>
            <w:pPr>
              <w:pStyle w:val="377"/>
              <w:ind w:firstLine="31680"/>
              <w:rPr>
                <w:rFonts w:hint="eastAsia" w:cs="Times New Roman"/>
                <w:sz w:val="21"/>
                <w:szCs w:val="21"/>
                <w:vertAlign w:val="baseline"/>
                <w:lang w:val="en-US" w:eastAsia="zh-CN"/>
              </w:rPr>
            </w:pPr>
            <w:r>
              <w:rPr>
                <w:rFonts w:hint="eastAsia"/>
                <w:bCs/>
                <w:sz w:val="21"/>
                <w:szCs w:val="21"/>
                <w:lang w:eastAsia="zh-CN"/>
              </w:rPr>
              <w:t>本项目搅拌、涂胶、烘干、固化、切割、注塑过程产生的废气，</w:t>
            </w:r>
            <w:r>
              <w:rPr>
                <w:rFonts w:hint="eastAsia"/>
                <w:bCs/>
                <w:sz w:val="21"/>
                <w:szCs w:val="21"/>
              </w:rPr>
              <w:t>主要为</w:t>
            </w:r>
            <w:r>
              <w:rPr>
                <w:rFonts w:hint="eastAsia" w:eastAsiaTheme="minorEastAsia"/>
                <w:sz w:val="21"/>
                <w:szCs w:val="21"/>
                <w:lang w:eastAsia="zh-CN"/>
              </w:rPr>
              <w:t>苯酚、甲醛、</w:t>
            </w:r>
            <w:r>
              <w:rPr>
                <w:rFonts w:hint="eastAsia" w:eastAsiaTheme="minorEastAsia"/>
                <w:sz w:val="21"/>
                <w:szCs w:val="21"/>
                <w:lang w:val="en-US" w:eastAsia="zh-CN"/>
              </w:rPr>
              <w:t>VOCs</w:t>
            </w:r>
            <w:r>
              <w:rPr>
                <w:rFonts w:hint="eastAsia" w:eastAsiaTheme="minorEastAsia"/>
                <w:sz w:val="21"/>
                <w:szCs w:val="21"/>
              </w:rPr>
              <w:t>，</w:t>
            </w:r>
            <w:r>
              <w:rPr>
                <w:rFonts w:hint="eastAsia" w:eastAsiaTheme="minorEastAsia"/>
                <w:sz w:val="21"/>
                <w:szCs w:val="21"/>
                <w:lang w:eastAsia="zh-CN"/>
              </w:rPr>
              <w:t>分别经集气罩收集后，通过两级活性炭吸附装置处理后，经</w:t>
            </w:r>
            <w:r>
              <w:rPr>
                <w:rFonts w:hint="eastAsia" w:eastAsiaTheme="minorEastAsia"/>
                <w:sz w:val="21"/>
                <w:szCs w:val="21"/>
                <w:lang w:val="en-US" w:eastAsia="zh-CN"/>
              </w:rPr>
              <w:t>15m高1#排气筒有组织排放。</w:t>
            </w:r>
            <w:r>
              <w:rPr>
                <w:rFonts w:hint="eastAsia" w:cs="Times New Roman"/>
                <w:sz w:val="21"/>
                <w:szCs w:val="21"/>
                <w:lang w:val="en-US" w:eastAsia="zh-CN"/>
              </w:rPr>
              <w:t>集气罩收集效率按90%计，两级活性炭吸附装置VOCs处理效率按80%计，风机风量10000m</w:t>
            </w:r>
            <w:r>
              <w:rPr>
                <w:rFonts w:hint="eastAsia" w:cs="Times New Roman"/>
                <w:sz w:val="21"/>
                <w:szCs w:val="21"/>
                <w:vertAlign w:val="superscript"/>
                <w:lang w:val="en-US" w:eastAsia="zh-CN"/>
              </w:rPr>
              <w:t>3</w:t>
            </w:r>
            <w:r>
              <w:rPr>
                <w:rFonts w:hint="eastAsia" w:cs="Times New Roman"/>
                <w:sz w:val="21"/>
                <w:szCs w:val="21"/>
                <w:vertAlign w:val="baseline"/>
                <w:lang w:val="en-US" w:eastAsia="zh-CN"/>
              </w:rPr>
              <w:t>/h，其中，</w:t>
            </w:r>
            <w:r>
              <w:rPr>
                <w:rFonts w:hint="eastAsia"/>
                <w:bCs/>
                <w:sz w:val="21"/>
                <w:szCs w:val="21"/>
                <w:lang w:eastAsia="zh-CN"/>
              </w:rPr>
              <w:t>搅拌、涂胶、烘干及注塑工序年工作时间</w:t>
            </w:r>
            <w:r>
              <w:rPr>
                <w:rFonts w:hint="eastAsia"/>
                <w:bCs/>
                <w:sz w:val="21"/>
                <w:szCs w:val="21"/>
                <w:lang w:val="en-US" w:eastAsia="zh-CN"/>
              </w:rPr>
              <w:t>2400h/a，</w:t>
            </w:r>
            <w:r>
              <w:rPr>
                <w:rFonts w:hint="eastAsia"/>
                <w:bCs/>
                <w:sz w:val="21"/>
                <w:szCs w:val="21"/>
                <w:lang w:eastAsia="zh-CN"/>
              </w:rPr>
              <w:t>固化、切割</w:t>
            </w:r>
            <w:r>
              <w:rPr>
                <w:rFonts w:hint="eastAsia" w:cs="Times New Roman"/>
                <w:sz w:val="21"/>
                <w:szCs w:val="21"/>
                <w:vertAlign w:val="baseline"/>
                <w:lang w:val="en-US" w:eastAsia="zh-CN"/>
              </w:rPr>
              <w:t>工序年工作时间7200h/a。集气罩未收集的废气无组织排放。</w:t>
            </w:r>
          </w:p>
          <w:p>
            <w:pPr>
              <w:pStyle w:val="377"/>
              <w:ind w:firstLine="31680"/>
              <w:rPr>
                <w:rFonts w:hint="default" w:ascii="Times New Roman" w:hAnsi="Times New Roman" w:eastAsia="宋体" w:cs="Times New Roman"/>
                <w:sz w:val="21"/>
                <w:szCs w:val="21"/>
                <w:lang w:val="en-US" w:eastAsia="zh-CN"/>
              </w:rPr>
            </w:pPr>
            <w:r>
              <w:rPr>
                <w:rFonts w:hint="eastAsia" w:cs="Times New Roman"/>
                <w:sz w:val="21"/>
                <w:szCs w:val="21"/>
                <w:vertAlign w:val="baseline"/>
                <w:lang w:val="en-US" w:eastAsia="zh-CN"/>
              </w:rPr>
              <w:t>本次环评考虑最大工况负荷，即</w:t>
            </w:r>
            <w:r>
              <w:rPr>
                <w:rFonts w:hint="eastAsia"/>
                <w:bCs/>
                <w:sz w:val="21"/>
                <w:szCs w:val="21"/>
                <w:lang w:eastAsia="zh-CN"/>
              </w:rPr>
              <w:t>搅拌、涂胶、烘干、注塑工序与固化、切割工序共同工作时污染物产生及排放情况。</w:t>
            </w:r>
          </w:p>
          <w:p>
            <w:pPr>
              <w:pStyle w:val="377"/>
              <w:ind w:firstLine="31680"/>
              <w:rPr>
                <w:rFonts w:hint="default" w:cs="Times New Roman"/>
                <w:sz w:val="21"/>
                <w:szCs w:val="21"/>
                <w:lang w:val="en-US" w:eastAsia="zh-CN"/>
              </w:rPr>
            </w:pPr>
            <w:r>
              <w:rPr>
                <w:rFonts w:hint="eastAsia" w:cs="Times New Roman"/>
                <w:sz w:val="21"/>
                <w:szCs w:val="21"/>
                <w:lang w:val="en-US" w:eastAsia="zh-CN"/>
              </w:rPr>
              <w:t>废气产生及排放情况见下表。</w:t>
            </w:r>
          </w:p>
          <w:p>
            <w:pPr>
              <w:pStyle w:val="377"/>
              <w:ind w:left="0" w:leftChars="0" w:firstLine="0" w:firstLineChars="0"/>
              <w:jc w:val="center"/>
              <w:rPr>
                <w:rFonts w:hint="eastAsia" w:cs="Times New Roman"/>
                <w:sz w:val="21"/>
                <w:szCs w:val="21"/>
                <w:lang w:eastAsia="zh-CN"/>
              </w:rPr>
            </w:pPr>
            <w:r>
              <w:rPr>
                <w:rFonts w:hint="eastAsia" w:ascii="黑体" w:hAnsi="黑体" w:eastAsia="黑体" w:cs="黑体"/>
                <w:b w:val="0"/>
                <w:bCs w:val="0"/>
                <w:sz w:val="21"/>
                <w:szCs w:val="21"/>
                <w:lang w:eastAsia="zh-CN"/>
              </w:rPr>
              <w:t>表</w:t>
            </w:r>
            <w:r>
              <w:rPr>
                <w:rFonts w:hint="eastAsia" w:ascii="黑体" w:hAnsi="黑体" w:eastAsia="黑体" w:cs="黑体"/>
                <w:b w:val="0"/>
                <w:bCs w:val="0"/>
                <w:sz w:val="21"/>
                <w:szCs w:val="21"/>
                <w:lang w:val="en-US" w:eastAsia="zh-CN"/>
              </w:rPr>
              <w:t>4-5 废气产生及排放情况一览表</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8"/>
              <w:gridCol w:w="476"/>
              <w:gridCol w:w="477"/>
              <w:gridCol w:w="608"/>
              <w:gridCol w:w="695"/>
              <w:gridCol w:w="744"/>
              <w:gridCol w:w="634"/>
              <w:gridCol w:w="451"/>
              <w:gridCol w:w="500"/>
              <w:gridCol w:w="378"/>
              <w:gridCol w:w="439"/>
              <w:gridCol w:w="549"/>
              <w:gridCol w:w="586"/>
              <w:gridCol w:w="597"/>
              <w:gridCol w:w="436"/>
              <w:gridCol w:w="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458"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产污环节</w:t>
                  </w:r>
                </w:p>
              </w:tc>
              <w:tc>
                <w:tcPr>
                  <w:tcW w:w="47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污染物</w:t>
                  </w:r>
                </w:p>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种类</w:t>
                  </w:r>
                </w:p>
              </w:tc>
              <w:tc>
                <w:tcPr>
                  <w:tcW w:w="477"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产生量t/a</w:t>
                  </w:r>
                </w:p>
              </w:tc>
              <w:tc>
                <w:tcPr>
                  <w:tcW w:w="204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污染物产生</w:t>
                  </w:r>
                </w:p>
              </w:tc>
              <w:tc>
                <w:tcPr>
                  <w:tcW w:w="2402"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治理设施</w:t>
                  </w:r>
                </w:p>
              </w:tc>
              <w:tc>
                <w:tcPr>
                  <w:tcW w:w="257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default" w:ascii="Times New Roman" w:hAnsi="Times New Roman" w:cs="Times New Roman"/>
                      <w:sz w:val="18"/>
                      <w:szCs w:val="18"/>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jc w:val="center"/>
              </w:trPr>
              <w:tc>
                <w:tcPr>
                  <w:tcW w:w="458"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7"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eastAsia="zh-CN"/>
                    </w:rPr>
                    <w:t>有组织</w:t>
                  </w:r>
                  <w:r>
                    <w:rPr>
                      <w:rFonts w:hint="default" w:ascii="Times New Roman" w:hAnsi="Times New Roman" w:cs="Times New Roman"/>
                      <w:sz w:val="18"/>
                      <w:szCs w:val="18"/>
                    </w:rPr>
                    <w:t>产生量t/a</w:t>
                  </w:r>
                </w:p>
              </w:tc>
              <w:tc>
                <w:tcPr>
                  <w:tcW w:w="69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产生浓度mg/m</w:t>
                  </w:r>
                  <w:r>
                    <w:rPr>
                      <w:rFonts w:hint="default" w:ascii="Times New Roman" w:hAnsi="Times New Roman" w:cs="Times New Roman"/>
                      <w:sz w:val="18"/>
                      <w:szCs w:val="18"/>
                      <w:vertAlign w:val="superscript"/>
                    </w:rPr>
                    <w:t>3</w:t>
                  </w:r>
                </w:p>
              </w:tc>
              <w:tc>
                <w:tcPr>
                  <w:tcW w:w="7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eastAsia="zh-CN"/>
                    </w:rPr>
                    <w:t>产生速率</w:t>
                  </w:r>
                  <w:r>
                    <w:rPr>
                      <w:rFonts w:hint="eastAsia" w:cs="Times New Roman"/>
                      <w:sz w:val="18"/>
                      <w:szCs w:val="18"/>
                      <w:lang w:val="en-US" w:eastAsia="zh-CN"/>
                    </w:rPr>
                    <w:t>kg/h</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处理能力m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/h</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收集率%</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治理工艺</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去除率%</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是否为可行技术</w:t>
                  </w:r>
                </w:p>
              </w:tc>
              <w:tc>
                <w:tcPr>
                  <w:tcW w:w="54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排放量t/a</w:t>
                  </w:r>
                </w:p>
              </w:tc>
              <w:tc>
                <w:tcPr>
                  <w:tcW w:w="5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排放浓度mg/m</w:t>
                  </w:r>
                  <w:r>
                    <w:rPr>
                      <w:rFonts w:hint="default" w:ascii="Times New Roman" w:hAnsi="Times New Roman" w:cs="Times New Roman"/>
                      <w:sz w:val="18"/>
                      <w:szCs w:val="18"/>
                      <w:vertAlign w:val="superscript"/>
                    </w:rPr>
                    <w:t>3</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排放速率kg/h</w:t>
                  </w:r>
                </w:p>
              </w:tc>
              <w:tc>
                <w:tcPr>
                  <w:tcW w:w="43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r>
                    <w:rPr>
                      <w:rFonts w:hint="default" w:ascii="Times New Roman" w:hAnsi="Times New Roman" w:cs="Times New Roman"/>
                      <w:sz w:val="18"/>
                      <w:szCs w:val="18"/>
                      <w:lang w:eastAsia="zh-CN"/>
                    </w:rPr>
                    <w:t>持续时间</w:t>
                  </w:r>
                </w:p>
                <w:p>
                  <w:pPr>
                    <w:pStyle w:val="2"/>
                    <w:spacing w:line="240" w:lineRule="auto"/>
                    <w:ind w:left="0" w:leftChars="0"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h/a</w:t>
                  </w:r>
                </w:p>
              </w:tc>
              <w:tc>
                <w:tcPr>
                  <w:tcW w:w="40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restart"/>
                  <w:tcBorders>
                    <w:top w:val="single" w:color="auto" w:sz="2"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bCs/>
                      <w:sz w:val="18"/>
                      <w:szCs w:val="18"/>
                      <w:lang w:eastAsia="zh-CN"/>
                    </w:rPr>
                    <w:t>搅拌、涂胶、烘干、注塑</w:t>
                  </w: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vertAlign w:val="baseline"/>
                      <w:lang w:val="en-US" w:eastAsia="zh-CN"/>
                    </w:rPr>
                  </w:pPr>
                  <w:r>
                    <w:rPr>
                      <w:rFonts w:hint="eastAsia" w:cs="Times New Roman"/>
                      <w:sz w:val="18"/>
                      <w:szCs w:val="18"/>
                      <w:vertAlign w:val="baseline"/>
                      <w:lang w:val="en-US" w:eastAsia="zh-CN"/>
                    </w:rPr>
                    <w:t>0.644</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0.58</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24.2 </w:t>
                  </w:r>
                </w:p>
              </w:tc>
              <w:tc>
                <w:tcPr>
                  <w:tcW w:w="744" w:type="dxa"/>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0.2417 </w:t>
                  </w:r>
                </w:p>
              </w:tc>
              <w:tc>
                <w:tcPr>
                  <w:tcW w:w="634"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10000</w:t>
                  </w:r>
                </w:p>
              </w:tc>
              <w:tc>
                <w:tcPr>
                  <w:tcW w:w="451"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90</w:t>
                  </w:r>
                </w:p>
              </w:tc>
              <w:tc>
                <w:tcPr>
                  <w:tcW w:w="500"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两级活性炭吸附</w:t>
                  </w:r>
                </w:p>
              </w:tc>
              <w:tc>
                <w:tcPr>
                  <w:tcW w:w="378"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80</w:t>
                  </w:r>
                </w:p>
              </w:tc>
              <w:tc>
                <w:tcPr>
                  <w:tcW w:w="439"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eastAsia="zh-CN"/>
                    </w:rPr>
                  </w:pPr>
                  <w:r>
                    <w:rPr>
                      <w:rFonts w:hint="eastAsia" w:cs="Times New Roman"/>
                      <w:sz w:val="18"/>
                      <w:szCs w:val="18"/>
                      <w:lang w:eastAsia="zh-CN"/>
                    </w:rPr>
                    <w:t>是</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0.116</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4.8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0.0483 </w:t>
                  </w:r>
                </w:p>
              </w:tc>
              <w:tc>
                <w:tcPr>
                  <w:tcW w:w="436" w:type="dxa"/>
                  <w:vMerge w:val="restart"/>
                  <w:tcBorders>
                    <w:top w:val="single" w:color="auto" w:sz="4" w:space="0"/>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2400</w:t>
                  </w:r>
                </w:p>
              </w:tc>
              <w:tc>
                <w:tcPr>
                  <w:tcW w:w="406"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vertAlign w:val="baseline"/>
                      <w:lang w:val="en-US" w:eastAsia="zh-CN"/>
                    </w:rPr>
                  </w:pPr>
                  <w:r>
                    <w:rPr>
                      <w:rFonts w:hint="eastAsia" w:cs="Times New Roman"/>
                      <w:sz w:val="18"/>
                      <w:szCs w:val="18"/>
                      <w:vertAlign w:val="baseline"/>
                      <w:lang w:val="en-US" w:eastAsia="zh-CN"/>
                    </w:rPr>
                    <w:t>0.014</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0.013</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0.5 </w:t>
                  </w:r>
                </w:p>
              </w:tc>
              <w:tc>
                <w:tcPr>
                  <w:tcW w:w="744" w:type="dxa"/>
                  <w:tcBorders>
                    <w:left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0.0054 </w:t>
                  </w:r>
                </w:p>
              </w:tc>
              <w:tc>
                <w:tcPr>
                  <w:tcW w:w="634"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51"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p>
              </w:tc>
              <w:tc>
                <w:tcPr>
                  <w:tcW w:w="500"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37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3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0.0013 </w:t>
                  </w: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658</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0.592</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24.7 </w:t>
                  </w:r>
                </w:p>
              </w:tc>
              <w:tc>
                <w:tcPr>
                  <w:tcW w:w="744"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0.2471 </w:t>
                  </w:r>
                </w:p>
              </w:tc>
              <w:tc>
                <w:tcPr>
                  <w:tcW w:w="634"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51"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p>
              </w:tc>
              <w:tc>
                <w:tcPr>
                  <w:tcW w:w="500"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378"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39"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rPr>
                  </w:pPr>
                  <w:r>
                    <w:rPr>
                      <w:rFonts w:hint="default" w:ascii="Times New Roman" w:hAnsi="Times New Roman" w:eastAsia="宋体" w:cs="Times New Roman"/>
                      <w:i w:val="0"/>
                      <w:iCs w:val="0"/>
                      <w:color w:val="000000"/>
                      <w:kern w:val="0"/>
                      <w:sz w:val="18"/>
                      <w:szCs w:val="18"/>
                      <w:u w:val="none"/>
                      <w:lang w:val="en-US" w:eastAsia="zh-CN" w:bidi="ar"/>
                    </w:rPr>
                    <w:t>0.119</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5.0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0.0496 </w:t>
                  </w: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0.064</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744"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3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500"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378"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39"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0.064</w:t>
                  </w: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0.001</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744"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3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500"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378"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39"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sz w:val="18"/>
                      <w:szCs w:val="18"/>
                      <w:vertAlign w:val="baseline"/>
                      <w:lang w:val="en-US" w:eastAsia="zh-CN"/>
                    </w:rPr>
                    <w:t>0.001</w:t>
                  </w: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066</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744" w:type="dxa"/>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3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w:t>
                  </w:r>
                </w:p>
              </w:tc>
              <w:tc>
                <w:tcPr>
                  <w:tcW w:w="500"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378" w:type="dxa"/>
                  <w:tcBorders>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39"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066</w:t>
                  </w: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sz w:val="18"/>
                      <w:szCs w:val="18"/>
                      <w:lang w:val="en-US" w:eastAsia="zh-CN"/>
                    </w:rPr>
                  </w:pP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restart"/>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r>
                    <w:rPr>
                      <w:rFonts w:hint="eastAsia"/>
                      <w:bCs/>
                      <w:sz w:val="18"/>
                      <w:szCs w:val="18"/>
                      <w:lang w:eastAsia="zh-CN"/>
                    </w:rPr>
                    <w:t>固化、切割</w:t>
                  </w: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w:t>
                  </w:r>
                  <w:r>
                    <w:rPr>
                      <w:rFonts w:hint="eastAsia" w:cs="Times New Roman"/>
                      <w:i w:val="0"/>
                      <w:iCs w:val="0"/>
                      <w:color w:val="000000"/>
                      <w:kern w:val="0"/>
                      <w:sz w:val="18"/>
                      <w:szCs w:val="18"/>
                      <w:u w:val="none"/>
                      <w:lang w:val="en-US" w:eastAsia="zh-CN" w:bidi="ar"/>
                    </w:rPr>
                    <w:t>966</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0.869</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12.1 </w:t>
                  </w:r>
                </w:p>
              </w:tc>
              <w:tc>
                <w:tcPr>
                  <w:tcW w:w="744"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0.1207 </w:t>
                  </w:r>
                </w:p>
              </w:tc>
              <w:tc>
                <w:tcPr>
                  <w:tcW w:w="634"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10000</w:t>
                  </w:r>
                </w:p>
              </w:tc>
              <w:tc>
                <w:tcPr>
                  <w:tcW w:w="451"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90</w:t>
                  </w:r>
                </w:p>
              </w:tc>
              <w:tc>
                <w:tcPr>
                  <w:tcW w:w="500"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r>
                    <w:rPr>
                      <w:rFonts w:hint="eastAsia" w:cs="Times New Roman"/>
                      <w:sz w:val="18"/>
                      <w:szCs w:val="18"/>
                      <w:lang w:eastAsia="zh-CN"/>
                    </w:rPr>
                    <w:t>两级活性炭吸附</w:t>
                  </w:r>
                </w:p>
              </w:tc>
              <w:tc>
                <w:tcPr>
                  <w:tcW w:w="378"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80</w:t>
                  </w:r>
                </w:p>
              </w:tc>
              <w:tc>
                <w:tcPr>
                  <w:tcW w:w="439"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r>
                    <w:rPr>
                      <w:rFonts w:hint="eastAsia" w:cs="Times New Roman"/>
                      <w:sz w:val="18"/>
                      <w:szCs w:val="18"/>
                      <w:lang w:eastAsia="zh-CN"/>
                    </w:rPr>
                    <w:t>是</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0.174</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2.4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0.0242 </w:t>
                  </w:r>
                </w:p>
              </w:tc>
              <w:tc>
                <w:tcPr>
                  <w:tcW w:w="436"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7200</w:t>
                  </w:r>
                </w:p>
              </w:tc>
              <w:tc>
                <w:tcPr>
                  <w:tcW w:w="406" w:type="dxa"/>
                  <w:vMerge w:val="restart"/>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vertAlign w:val="baseline"/>
                      <w:lang w:val="en-US" w:eastAsia="zh-CN"/>
                    </w:rPr>
                    <w:t>0.021</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0.019</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 </w:t>
                  </w:r>
                </w:p>
              </w:tc>
              <w:tc>
                <w:tcPr>
                  <w:tcW w:w="744"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0.0026 </w:t>
                  </w:r>
                </w:p>
              </w:tc>
              <w:tc>
                <w:tcPr>
                  <w:tcW w:w="634"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51"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00"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37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39"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0.004</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0.0006 </w:t>
                  </w: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vertAlign w:val="baseline"/>
                      <w:lang w:val="en-US" w:eastAsia="zh-CN"/>
                    </w:rPr>
                    <w:t>0.987</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eastAsia" w:cs="Times New Roman"/>
                      <w:sz w:val="18"/>
                      <w:szCs w:val="18"/>
                      <w:lang w:val="en-US" w:eastAsia="zh-CN"/>
                    </w:rPr>
                    <w:t>0.888</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12.3 </w:t>
                  </w:r>
                </w:p>
              </w:tc>
              <w:tc>
                <w:tcPr>
                  <w:tcW w:w="744" w:type="dxa"/>
                  <w:tcBorders>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0.1233 </w:t>
                  </w:r>
                </w:p>
              </w:tc>
              <w:tc>
                <w:tcPr>
                  <w:tcW w:w="634"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51"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00"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378"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39"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eastAsia="zh-CN"/>
                    </w:rPr>
                  </w:pP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0.178</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2.5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0.0247 </w:t>
                  </w: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0.097</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0"/>
                      <w:sz w:val="18"/>
                      <w:szCs w:val="18"/>
                      <w:lang w:val="en-US" w:eastAsia="zh-CN"/>
                    </w:rPr>
                  </w:pPr>
                  <w:r>
                    <w:rPr>
                      <w:rFonts w:hint="eastAsia" w:cs="Times New Roman"/>
                      <w:sz w:val="18"/>
                      <w:szCs w:val="18"/>
                      <w:lang w:val="en-US" w:eastAsia="zh-CN"/>
                    </w:rPr>
                    <w:t>0.097</w:t>
                  </w: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0.002</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18"/>
                      <w:szCs w:val="18"/>
                      <w:lang w:val="en-US" w:eastAsia="zh-CN"/>
                    </w:rPr>
                  </w:pPr>
                  <w:r>
                    <w:rPr>
                      <w:rFonts w:hint="eastAsia" w:cs="Times New Roman"/>
                      <w:sz w:val="18"/>
                      <w:szCs w:val="18"/>
                      <w:lang w:val="en-US" w:eastAsia="zh-CN"/>
                    </w:rPr>
                    <w:t>0.002</w:t>
                  </w: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0.099</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18"/>
                      <w:szCs w:val="18"/>
                      <w:lang w:val="en-US" w:eastAsia="zh-CN"/>
                    </w:rPr>
                  </w:pPr>
                  <w:r>
                    <w:rPr>
                      <w:rFonts w:hint="eastAsia" w:cs="Times New Roman"/>
                      <w:sz w:val="18"/>
                      <w:szCs w:val="18"/>
                      <w:lang w:val="en-US" w:eastAsia="zh-CN"/>
                    </w:rPr>
                    <w:t>0.099</w:t>
                  </w:r>
                </w:p>
              </w:tc>
              <w:tc>
                <w:tcPr>
                  <w:tcW w:w="58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p>
              </w:tc>
              <w:tc>
                <w:tcPr>
                  <w:tcW w:w="59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lang w:val="en-US" w:eastAsia="zh-CN"/>
                    </w:rPr>
                  </w:pP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注塑</w:t>
                  </w: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0.027</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0.024</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cs="Times New Roman"/>
                      <w:i w:val="0"/>
                      <w:iCs w:val="0"/>
                      <w:color w:val="000000"/>
                      <w:kern w:val="0"/>
                      <w:sz w:val="18"/>
                      <w:szCs w:val="18"/>
                      <w:u w:val="none"/>
                      <w:lang w:val="en-US" w:eastAsia="zh-CN" w:bidi="ar"/>
                    </w:rPr>
                    <w:t>0</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10000</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90</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两级活性炭吸附</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cs="Times New Roman"/>
                      <w:sz w:val="18"/>
                      <w:szCs w:val="18"/>
                      <w:lang w:val="en-US" w:eastAsia="zh-CN"/>
                    </w:rPr>
                  </w:pPr>
                  <w:r>
                    <w:rPr>
                      <w:rFonts w:hint="eastAsia" w:cs="Times New Roman"/>
                      <w:sz w:val="18"/>
                      <w:szCs w:val="18"/>
                      <w:lang w:val="en-US" w:eastAsia="zh-CN"/>
                    </w:rPr>
                    <w:t>80</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是</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0.005</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 </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0.0021 </w:t>
                  </w:r>
                </w:p>
              </w:tc>
              <w:tc>
                <w:tcPr>
                  <w:tcW w:w="436" w:type="dxa"/>
                  <w:vMerge w:val="restart"/>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2400</w:t>
                  </w:r>
                </w:p>
              </w:tc>
              <w:tc>
                <w:tcPr>
                  <w:tcW w:w="406" w:type="dxa"/>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0.003</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kern w:val="0"/>
                      <w:sz w:val="18"/>
                      <w:szCs w:val="18"/>
                      <w:lang w:val="en-US" w:eastAsia="zh-CN"/>
                    </w:rPr>
                  </w:pPr>
                  <w:r>
                    <w:rPr>
                      <w:rFonts w:hint="eastAsia" w:cs="Times New Roman"/>
                      <w:kern w:val="0"/>
                      <w:sz w:val="18"/>
                      <w:szCs w:val="18"/>
                      <w:lang w:val="en-US" w:eastAsia="zh-CN"/>
                    </w:rPr>
                    <w:t>0.003</w:t>
                  </w:r>
                </w:p>
              </w:tc>
              <w:tc>
                <w:tcPr>
                  <w:tcW w:w="5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3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p>
              </w:tc>
              <w:tc>
                <w:tcPr>
                  <w:tcW w:w="406" w:type="dxa"/>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有组织合计</w:t>
                  </w: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1.449</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36.2 </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0.3624 </w:t>
                  </w:r>
                </w:p>
              </w:tc>
              <w:tc>
                <w:tcPr>
                  <w:tcW w:w="634"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10000</w:t>
                  </w:r>
                </w:p>
              </w:tc>
              <w:tc>
                <w:tcPr>
                  <w:tcW w:w="451"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90</w:t>
                  </w:r>
                </w:p>
              </w:tc>
              <w:tc>
                <w:tcPr>
                  <w:tcW w:w="500"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两级活性炭吸附</w:t>
                  </w:r>
                </w:p>
              </w:tc>
              <w:tc>
                <w:tcPr>
                  <w:tcW w:w="378"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80</w:t>
                  </w:r>
                </w:p>
              </w:tc>
              <w:tc>
                <w:tcPr>
                  <w:tcW w:w="439"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是</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0.29</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0.0725 </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vMerge w:val="restart"/>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1#</w:t>
                  </w:r>
                </w:p>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eastAsia="zh-CN"/>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0.035</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0.032</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0.8 </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0.0081 </w:t>
                  </w:r>
                </w:p>
              </w:tc>
              <w:tc>
                <w:tcPr>
                  <w:tcW w:w="634"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451"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00"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378"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439" w:type="dxa"/>
                  <w:vMerge w:val="continue"/>
                  <w:tcBorders>
                    <w:left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0.007</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0.0018 </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1.672</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1.505</w:t>
                  </w:r>
                </w:p>
              </w:tc>
              <w:tc>
                <w:tcPr>
                  <w:tcW w:w="69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38.0 </w:t>
                  </w:r>
                </w:p>
              </w:tc>
              <w:tc>
                <w:tcPr>
                  <w:tcW w:w="74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0.3804 </w:t>
                  </w:r>
                </w:p>
              </w:tc>
              <w:tc>
                <w:tcPr>
                  <w:tcW w:w="634"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451"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00"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378"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439"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0.302</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59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0.0764 </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无组织合计</w:t>
                  </w: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0.161</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0.161</w:t>
                  </w:r>
                </w:p>
              </w:tc>
              <w:tc>
                <w:tcPr>
                  <w:tcW w:w="5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0.0224</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0.003</w:t>
                  </w:r>
                </w:p>
              </w:tc>
              <w:tc>
                <w:tcPr>
                  <w:tcW w:w="5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0.0004</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0.168</w:t>
                  </w:r>
                </w:p>
              </w:tc>
              <w:tc>
                <w:tcPr>
                  <w:tcW w:w="60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69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0.168</w:t>
                  </w:r>
                </w:p>
              </w:tc>
              <w:tc>
                <w:tcPr>
                  <w:tcW w:w="58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0.0233</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restart"/>
                  <w:tcBorders>
                    <w:left w:val="single" w:color="auto" w:sz="4" w:space="0"/>
                    <w:right w:val="single" w:color="auto" w:sz="4" w:space="0"/>
                  </w:tcBorders>
                  <w:vAlign w:val="center"/>
                </w:tcPr>
                <w:p>
                  <w:pPr>
                    <w:spacing w:line="240" w:lineRule="auto"/>
                    <w:jc w:val="center"/>
                    <w:rPr>
                      <w:rFonts w:hint="eastAsia" w:ascii="Times New Roman" w:hAnsi="Times New Roman" w:eastAsia="宋体" w:cs="Times New Roman"/>
                      <w:sz w:val="18"/>
                      <w:szCs w:val="18"/>
                      <w:lang w:eastAsia="zh-CN"/>
                    </w:rPr>
                  </w:pPr>
                  <w:r>
                    <w:rPr>
                      <w:rFonts w:hint="eastAsia" w:cs="Times New Roman"/>
                      <w:sz w:val="18"/>
                      <w:szCs w:val="18"/>
                      <w:lang w:eastAsia="zh-CN"/>
                    </w:rPr>
                    <w:t>全厂合计</w:t>
                  </w: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苯酚</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1.771</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1.449</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0.451</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eastAsia="zh-CN"/>
                    </w:rPr>
                    <w:t>甲醛</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0.038</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0.032</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3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tcBorders>
                    <w:left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458" w:type="dxa"/>
                  <w:vMerge w:val="continue"/>
                  <w:tcBorders>
                    <w:left w:val="single" w:color="auto" w:sz="4" w:space="0"/>
                    <w:bottom w:val="single" w:color="auto" w:sz="2" w:space="0"/>
                    <w:right w:val="single" w:color="auto" w:sz="4" w:space="0"/>
                  </w:tcBorders>
                  <w:vAlign w:val="center"/>
                </w:tcPr>
                <w:p>
                  <w:pPr>
                    <w:spacing w:line="240" w:lineRule="auto"/>
                    <w:jc w:val="center"/>
                    <w:rPr>
                      <w:rFonts w:hint="default" w:ascii="Times New Roman" w:hAnsi="Times New Roman" w:cs="Times New Roman"/>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cs="Times New Roman"/>
                      <w:sz w:val="18"/>
                      <w:szCs w:val="18"/>
                      <w:lang w:val="en-US" w:eastAsia="zh-CN"/>
                    </w:rPr>
                  </w:pPr>
                  <w:r>
                    <w:rPr>
                      <w:rFonts w:hint="eastAsia" w:cs="Times New Roman"/>
                      <w:sz w:val="18"/>
                      <w:szCs w:val="18"/>
                      <w:lang w:val="en-US" w:eastAsia="zh-CN"/>
                    </w:rPr>
                    <w:t>VOCs</w:t>
                  </w:r>
                </w:p>
              </w:tc>
              <w:tc>
                <w:tcPr>
                  <w:tcW w:w="47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1.84</w:t>
                  </w:r>
                </w:p>
              </w:tc>
              <w:tc>
                <w:tcPr>
                  <w:tcW w:w="60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1.505</w:t>
                  </w:r>
                </w:p>
              </w:tc>
              <w:tc>
                <w:tcPr>
                  <w:tcW w:w="6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74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634"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45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00"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378"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439"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sz w:val="18"/>
                      <w:szCs w:val="18"/>
                      <w:lang w:val="en-US" w:eastAsia="zh-CN"/>
                    </w:rPr>
                  </w:pPr>
                  <w:r>
                    <w:rPr>
                      <w:rFonts w:hint="eastAsia" w:cs="Times New Roman"/>
                      <w:sz w:val="18"/>
                      <w:szCs w:val="18"/>
                      <w:lang w:val="en-US" w:eastAsia="zh-CN"/>
                    </w:rPr>
                    <w:t>-</w:t>
                  </w:r>
                </w:p>
              </w:tc>
              <w:tc>
                <w:tcPr>
                  <w:tcW w:w="54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0.47</w:t>
                  </w:r>
                </w:p>
              </w:tc>
              <w:tc>
                <w:tcPr>
                  <w:tcW w:w="58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w:t>
                  </w:r>
                </w:p>
              </w:tc>
              <w:tc>
                <w:tcPr>
                  <w:tcW w:w="59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36"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lang w:val="en-US" w:eastAsia="zh-CN"/>
                    </w:rPr>
                  </w:pPr>
                  <w:r>
                    <w:rPr>
                      <w:rFonts w:hint="eastAsia" w:cs="Times New Roman"/>
                      <w:sz w:val="18"/>
                      <w:szCs w:val="18"/>
                      <w:lang w:val="en-US" w:eastAsia="zh-CN"/>
                    </w:rPr>
                    <w:t>-</w:t>
                  </w:r>
                </w:p>
              </w:tc>
              <w:tc>
                <w:tcPr>
                  <w:tcW w:w="406"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sz w:val="18"/>
                      <w:szCs w:val="18"/>
                    </w:rPr>
                  </w:pPr>
                  <w:r>
                    <w:rPr>
                      <w:rFonts w:hint="eastAsia" w:cs="Times New Roman"/>
                      <w:sz w:val="18"/>
                      <w:szCs w:val="18"/>
                      <w:lang w:val="en-US" w:eastAsia="zh-CN"/>
                    </w:rPr>
                    <w:t>-</w:t>
                  </w:r>
                </w:p>
              </w:tc>
            </w:tr>
          </w:tbl>
          <w:p>
            <w:pPr>
              <w:spacing w:line="420" w:lineRule="exact"/>
              <w:ind w:firstLine="420" w:firstLineChars="200"/>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综上，</w:t>
            </w:r>
            <w:r>
              <w:rPr>
                <w:rFonts w:hint="default" w:ascii="Times New Roman" w:hAnsi="Times New Roman" w:cs="Times New Roman"/>
                <w:szCs w:val="21"/>
              </w:rPr>
              <w:t>本项目</w:t>
            </w:r>
            <w:r>
              <w:rPr>
                <w:rFonts w:hint="eastAsia" w:ascii="Times New Roman" w:hAnsi="Times New Roman" w:cs="Times New Roman"/>
                <w:szCs w:val="21"/>
                <w:lang w:eastAsia="zh-CN"/>
              </w:rPr>
              <w:t>营运期</w:t>
            </w:r>
            <w:r>
              <w:rPr>
                <w:rFonts w:hint="default" w:ascii="Times New Roman" w:hAnsi="Times New Roman" w:cs="Times New Roman"/>
              </w:rPr>
              <w:t>有组织VOCs</w:t>
            </w:r>
            <w:r>
              <w:rPr>
                <w:rFonts w:hint="eastAsia" w:cs="Times New Roman"/>
                <w:lang w:eastAsia="zh-CN"/>
              </w:rPr>
              <w:t>、苯酚、甲醛排放满足</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6</w:t>
            </w:r>
            <w:r>
              <w:rPr>
                <w:rFonts w:hint="default" w:ascii="Times New Roman" w:hAnsi="Times New Roman" w:cs="Times New Roman"/>
                <w:szCs w:val="21"/>
              </w:rPr>
              <w:t>-201</w:t>
            </w:r>
            <w:r>
              <w:rPr>
                <w:rFonts w:hint="eastAsia" w:cs="Times New Roman"/>
                <w:szCs w:val="21"/>
                <w:lang w:val="en-US" w:eastAsia="zh-CN"/>
              </w:rPr>
              <w:t>8</w:t>
            </w:r>
            <w:r>
              <w:rPr>
                <w:rFonts w:hint="default" w:ascii="Times New Roman" w:hAnsi="Times New Roman" w:cs="Times New Roman"/>
                <w:szCs w:val="21"/>
              </w:rPr>
              <w:t>）表</w:t>
            </w:r>
            <w:r>
              <w:rPr>
                <w:rFonts w:hint="eastAsia" w:cs="Times New Roman"/>
                <w:szCs w:val="21"/>
                <w:lang w:val="en-US" w:eastAsia="zh-CN"/>
              </w:rPr>
              <w:t>1、表2中</w:t>
            </w:r>
            <w:r>
              <w:rPr>
                <w:rFonts w:hint="default" w:ascii="Times New Roman" w:hAnsi="Times New Roman" w:cs="Times New Roman"/>
                <w:szCs w:val="21"/>
              </w:rPr>
              <w:t>排放限值</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VOCs：6</w:t>
            </w:r>
            <w:r>
              <w:rPr>
                <w:rFonts w:hint="eastAsia" w:ascii="Times New Roman" w:hAnsi="Times New Roman" w:eastAsia="宋体" w:cs="Times New Roman"/>
                <w:szCs w:val="21"/>
                <w:lang w:val="en-US" w:eastAsia="zh-CN"/>
              </w:rPr>
              <w:t>0mg/m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vertAlign w:val="baseline"/>
                <w:lang w:val="en-US" w:eastAsia="zh-CN"/>
              </w:rPr>
              <w:t>、</w:t>
            </w:r>
            <w:r>
              <w:rPr>
                <w:rFonts w:hint="eastAsia" w:ascii="Times New Roman" w:hAnsi="Times New Roman" w:eastAsia="宋体" w:cs="Times New Roman"/>
                <w:szCs w:val="21"/>
                <w:vertAlign w:val="baseline"/>
                <w:lang w:val="en-US" w:eastAsia="zh-CN"/>
              </w:rPr>
              <w:t>3kg/h</w:t>
            </w:r>
            <w:r>
              <w:rPr>
                <w:rFonts w:hint="eastAsia" w:ascii="Times New Roman" w:hAnsi="Times New Roman" w:cs="Times New Roman"/>
                <w:szCs w:val="21"/>
                <w:vertAlign w:val="baseline"/>
                <w:lang w:val="en-US" w:eastAsia="zh-CN"/>
              </w:rPr>
              <w:t>；</w:t>
            </w:r>
            <w:r>
              <w:rPr>
                <w:rFonts w:hint="eastAsia" w:cs="Times New Roman"/>
                <w:lang w:eastAsia="zh-CN"/>
              </w:rPr>
              <w:t>酚类化合物：</w:t>
            </w:r>
            <w:r>
              <w:rPr>
                <w:rFonts w:hint="eastAsia" w:ascii="Times New Roman" w:hAnsi="Times New Roman" w:cs="Times New Roman"/>
                <w:szCs w:val="21"/>
                <w:lang w:val="en-US" w:eastAsia="zh-CN"/>
              </w:rPr>
              <w:t>15</w:t>
            </w: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vertAlign w:val="baseline"/>
                <w:lang w:val="en-US" w:eastAsia="zh-CN"/>
              </w:rPr>
              <w:t>；</w:t>
            </w:r>
            <w:r>
              <w:rPr>
                <w:rFonts w:hint="eastAsia" w:cs="Times New Roman"/>
                <w:lang w:eastAsia="zh-CN"/>
              </w:rPr>
              <w:t>甲醛：</w:t>
            </w:r>
            <w:r>
              <w:rPr>
                <w:rFonts w:hint="eastAsia" w:ascii="Times New Roman" w:hAnsi="Times New Roman" w:cs="Times New Roman"/>
                <w:szCs w:val="21"/>
                <w:lang w:val="en-US" w:eastAsia="zh-CN"/>
              </w:rPr>
              <w:t>5</w:t>
            </w: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lang w:eastAsia="zh-CN"/>
              </w:rPr>
              <w:t>）</w:t>
            </w:r>
            <w:r>
              <w:rPr>
                <w:rFonts w:hint="eastAsia" w:cs="Times New Roman"/>
                <w:szCs w:val="21"/>
                <w:lang w:eastAsia="zh-CN"/>
              </w:rPr>
              <w:t>；</w:t>
            </w:r>
            <w:r>
              <w:rPr>
                <w:rFonts w:hint="eastAsia" w:cs="Times New Roman"/>
                <w:lang w:eastAsia="zh-CN"/>
              </w:rPr>
              <w:t>酚类、甲醛有组织排放速率</w:t>
            </w:r>
            <w:r>
              <w:rPr>
                <w:rFonts w:hint="eastAsia" w:ascii="Times New Roman" w:hAnsi="Times New Roman" w:cs="Times New Roman"/>
                <w:lang w:eastAsia="zh-CN"/>
              </w:rPr>
              <w:t>满足</w:t>
            </w:r>
            <w:r>
              <w:rPr>
                <w:rFonts w:hint="default" w:ascii="Times New Roman" w:hAnsi="Times New Roman" w:cs="Times New Roman"/>
                <w:szCs w:val="21"/>
              </w:rPr>
              <w:t>《</w:t>
            </w:r>
            <w:r>
              <w:rPr>
                <w:rFonts w:hint="eastAsia" w:cs="Times New Roman"/>
                <w:szCs w:val="21"/>
                <w:lang w:eastAsia="zh-CN"/>
              </w:rPr>
              <w:t>大气污染物综合排放标准</w:t>
            </w:r>
            <w:r>
              <w:rPr>
                <w:rFonts w:hint="default" w:ascii="Times New Roman" w:hAnsi="Times New Roman" w:cs="Times New Roman"/>
                <w:szCs w:val="21"/>
              </w:rPr>
              <w:t>》（</w:t>
            </w:r>
            <w:r>
              <w:rPr>
                <w:rFonts w:hint="eastAsia" w:cs="Times New Roman"/>
                <w:szCs w:val="21"/>
                <w:lang w:val="en-US" w:eastAsia="zh-CN"/>
              </w:rPr>
              <w:t>GB16297-1996</w:t>
            </w:r>
            <w:r>
              <w:rPr>
                <w:rFonts w:hint="default" w:ascii="Times New Roman" w:hAnsi="Times New Roman" w:cs="Times New Roman"/>
                <w:szCs w:val="21"/>
              </w:rPr>
              <w:t>）表</w:t>
            </w:r>
            <w:r>
              <w:rPr>
                <w:rFonts w:hint="eastAsia" w:cs="Times New Roman"/>
                <w:szCs w:val="21"/>
                <w:lang w:val="en-US" w:eastAsia="zh-CN"/>
              </w:rPr>
              <w:t>2中酚类、甲醛15m有组织</w:t>
            </w:r>
            <w:r>
              <w:rPr>
                <w:rFonts w:hint="default" w:ascii="Times New Roman" w:hAnsi="Times New Roman" w:cs="Times New Roman"/>
                <w:szCs w:val="21"/>
              </w:rPr>
              <w:t>排放限值</w:t>
            </w:r>
            <w:r>
              <w:rPr>
                <w:rFonts w:hint="eastAsia" w:ascii="Times New Roman" w:hAnsi="Times New Roman" w:cs="Times New Roman"/>
                <w:szCs w:val="21"/>
                <w:lang w:eastAsia="zh-CN"/>
              </w:rPr>
              <w:t>（</w:t>
            </w:r>
            <w:r>
              <w:rPr>
                <w:rFonts w:hint="eastAsia" w:cs="Times New Roman"/>
                <w:lang w:eastAsia="zh-CN"/>
              </w:rPr>
              <w:t>酚类化合物：</w:t>
            </w:r>
            <w:r>
              <w:rPr>
                <w:rFonts w:hint="eastAsia" w:ascii="Times New Roman" w:hAnsi="Times New Roman" w:cs="Times New Roman"/>
                <w:szCs w:val="21"/>
                <w:lang w:val="en-US" w:eastAsia="zh-CN"/>
              </w:rPr>
              <w:t>0.1</w:t>
            </w:r>
            <w:r>
              <w:rPr>
                <w:rFonts w:hint="eastAsia" w:ascii="Times New Roman" w:hAnsi="Times New Roman" w:eastAsia="宋体" w:cs="Times New Roman"/>
                <w:szCs w:val="21"/>
                <w:vertAlign w:val="baseline"/>
                <w:lang w:val="en-US" w:eastAsia="zh-CN"/>
              </w:rPr>
              <w:t>kg/h</w:t>
            </w:r>
            <w:r>
              <w:rPr>
                <w:rFonts w:hint="eastAsia" w:ascii="Times New Roman" w:hAnsi="Times New Roman" w:cs="Times New Roman"/>
                <w:szCs w:val="21"/>
                <w:vertAlign w:val="baseline"/>
                <w:lang w:val="en-US" w:eastAsia="zh-CN"/>
              </w:rPr>
              <w:t>；</w:t>
            </w:r>
            <w:r>
              <w:rPr>
                <w:rFonts w:hint="eastAsia" w:cs="Times New Roman"/>
                <w:lang w:eastAsia="zh-CN"/>
              </w:rPr>
              <w:t>甲醛：</w:t>
            </w:r>
            <w:r>
              <w:rPr>
                <w:rFonts w:hint="eastAsia" w:ascii="Times New Roman" w:hAnsi="Times New Roman" w:cs="Times New Roman"/>
                <w:szCs w:val="21"/>
                <w:lang w:val="en-US" w:eastAsia="zh-CN"/>
              </w:rPr>
              <w:t>0.26</w:t>
            </w:r>
            <w:r>
              <w:rPr>
                <w:rFonts w:hint="eastAsia" w:ascii="Times New Roman" w:hAnsi="Times New Roman" w:eastAsia="宋体" w:cs="Times New Roman"/>
                <w:szCs w:val="21"/>
                <w:vertAlign w:val="baseline"/>
                <w:lang w:val="en-US" w:eastAsia="zh-CN"/>
              </w:rPr>
              <w:t>kg/h</w:t>
            </w:r>
            <w:r>
              <w:rPr>
                <w:rFonts w:hint="eastAsia" w:ascii="Times New Roman" w:hAnsi="Times New Roman" w:cs="Times New Roman"/>
                <w:szCs w:val="21"/>
                <w:lang w:eastAsia="zh-CN"/>
              </w:rPr>
              <w:t>）</w:t>
            </w:r>
            <w:r>
              <w:rPr>
                <w:rFonts w:hint="eastAsia" w:cs="Times New Roman"/>
                <w:szCs w:val="21"/>
                <w:lang w:eastAsia="zh-CN"/>
              </w:rPr>
              <w:t>。</w:t>
            </w:r>
          </w:p>
          <w:p>
            <w:pPr>
              <w:spacing w:line="360" w:lineRule="auto"/>
              <w:ind w:firstLine="420" w:firstLineChars="200"/>
              <w:rPr>
                <w:rFonts w:hint="eastAsia" w:eastAsia="宋体"/>
                <w:lang w:eastAsia="zh-CN"/>
              </w:rPr>
            </w:pPr>
            <w:r>
              <w:rPr>
                <w:rFonts w:hint="default" w:ascii="Times New Roman" w:hAnsi="Times New Roman" w:eastAsia="黑体" w:cs="Times New Roman"/>
                <w:sz w:val="21"/>
                <w:szCs w:val="21"/>
                <w:lang w:val="en-US"/>
              </w:rPr>
              <w:t>3</w:t>
            </w:r>
            <w:r>
              <w:rPr>
                <w:rFonts w:hint="default" w:ascii="Times New Roman" w:hAnsi="Times New Roman" w:eastAsia="黑体" w:cs="Times New Roman"/>
                <w:sz w:val="21"/>
                <w:szCs w:val="21"/>
              </w:rPr>
              <w:t>、</w:t>
            </w:r>
            <w:r>
              <w:t>污染物排放估算</w:t>
            </w:r>
            <w:r>
              <w:rPr>
                <w:rFonts w:hint="eastAsia"/>
                <w:lang w:eastAsia="zh-CN"/>
              </w:rPr>
              <w:t>、</w:t>
            </w:r>
            <w:r>
              <w:rPr>
                <w:rFonts w:hint="eastAsia" w:ascii="宋体" w:hAnsi="宋体" w:cs="宋体"/>
                <w:color w:val="000000"/>
                <w:kern w:val="0"/>
                <w:szCs w:val="21"/>
                <w:lang w:bidi="ar"/>
              </w:rPr>
              <w:t>技术可行性</w:t>
            </w:r>
            <w:r>
              <w:rPr>
                <w:rFonts w:hint="eastAsia" w:ascii="宋体" w:hAnsi="宋体" w:cs="宋体"/>
                <w:color w:val="000000"/>
                <w:kern w:val="0"/>
                <w:szCs w:val="21"/>
                <w:lang w:eastAsia="zh-CN" w:bidi="ar"/>
              </w:rPr>
              <w:t>分</w:t>
            </w:r>
            <w:r>
              <w:rPr>
                <w:rFonts w:hint="eastAsia" w:ascii="宋体" w:hAnsi="宋体" w:cs="宋体"/>
                <w:color w:val="000000"/>
                <w:kern w:val="0"/>
                <w:szCs w:val="21"/>
                <w:lang w:bidi="ar"/>
              </w:rPr>
              <w:t>析</w:t>
            </w:r>
            <w:r>
              <w:rPr>
                <w:rFonts w:hint="eastAsia"/>
              </w:rPr>
              <w:t>、</w:t>
            </w:r>
            <w:r>
              <w:t>非正常工况分析</w:t>
            </w:r>
            <w:r>
              <w:rPr>
                <w:rFonts w:hint="eastAsia"/>
                <w:lang w:eastAsia="zh-CN"/>
              </w:rPr>
              <w:t>等情况详见大气专题。</w:t>
            </w:r>
          </w:p>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二、废水：</w:t>
            </w:r>
          </w:p>
          <w:p>
            <w:pPr>
              <w:pStyle w:val="2"/>
              <w:spacing w:after="0" w:line="360" w:lineRule="auto"/>
              <w:ind w:left="0" w:leftChars="0" w:firstLine="31680"/>
              <w:jc w:val="left"/>
              <w:rPr>
                <w:rFonts w:hint="default" w:ascii="Times New Roman" w:hAnsi="Times New Roman" w:eastAsia="黑体" w:cs="Times New Roman"/>
                <w:szCs w:val="21"/>
              </w:rPr>
            </w:pPr>
            <w:r>
              <w:rPr>
                <w:rFonts w:hint="default" w:ascii="Times New Roman" w:hAnsi="Times New Roman" w:eastAsia="黑体" w:cs="Times New Roman"/>
                <w:szCs w:val="21"/>
              </w:rPr>
              <w:t>1、产排污环节、污染物治理设施及废气排放情况汇总</w:t>
            </w:r>
          </w:p>
          <w:p>
            <w:pPr>
              <w:spacing w:line="360" w:lineRule="auto"/>
              <w:ind w:firstLine="420" w:firstLineChars="200"/>
              <w:jc w:val="center"/>
              <w:rPr>
                <w:rFonts w:hint="default" w:ascii="Times New Roman" w:hAnsi="Times New Roman" w:eastAsia="黑体" w:cs="Times New Roman"/>
              </w:rPr>
            </w:pPr>
            <w:r>
              <w:rPr>
                <w:rFonts w:hint="default" w:ascii="Times New Roman" w:hAnsi="Times New Roman" w:eastAsia="黑体" w:cs="Times New Roman"/>
              </w:rPr>
              <w:t>表4-</w:t>
            </w:r>
            <w:r>
              <w:rPr>
                <w:rFonts w:hint="eastAsia" w:eastAsia="黑体" w:cs="Times New Roman"/>
                <w:lang w:val="en-US" w:eastAsia="zh-CN"/>
              </w:rPr>
              <w:t>6</w:t>
            </w:r>
            <w:r>
              <w:rPr>
                <w:rFonts w:hint="default" w:ascii="Times New Roman" w:hAnsi="Times New Roman" w:eastAsia="黑体" w:cs="Times New Roman"/>
              </w:rPr>
              <w:t>废水类别、污染物及污染治理设施信息表</w:t>
            </w:r>
          </w:p>
          <w:tbl>
            <w:tblPr>
              <w:tblStyle w:val="8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5"/>
              <w:gridCol w:w="907"/>
              <w:gridCol w:w="478"/>
              <w:gridCol w:w="540"/>
              <w:gridCol w:w="513"/>
              <w:gridCol w:w="623"/>
              <w:gridCol w:w="697"/>
              <w:gridCol w:w="493"/>
              <w:gridCol w:w="609"/>
              <w:gridCol w:w="601"/>
              <w:gridCol w:w="594"/>
              <w:gridCol w:w="618"/>
              <w:gridCol w:w="663"/>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产污环节</w:t>
                  </w:r>
                </w:p>
              </w:tc>
              <w:tc>
                <w:tcPr>
                  <w:tcW w:w="538"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种类</w:t>
                  </w:r>
                </w:p>
              </w:tc>
              <w:tc>
                <w:tcPr>
                  <w:tcW w:w="28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废水类别</w:t>
                  </w:r>
                </w:p>
              </w:tc>
              <w:tc>
                <w:tcPr>
                  <w:tcW w:w="1700" w:type="pct"/>
                  <w:gridSpan w:val="5"/>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污染治理设施</w:t>
                  </w:r>
                </w:p>
              </w:tc>
              <w:tc>
                <w:tcPr>
                  <w:tcW w:w="36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去向</w:t>
                  </w:r>
                </w:p>
              </w:tc>
              <w:tc>
                <w:tcPr>
                  <w:tcW w:w="356"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方式</w:t>
                  </w:r>
                </w:p>
              </w:tc>
              <w:tc>
                <w:tcPr>
                  <w:tcW w:w="352"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规律</w:t>
                  </w:r>
                </w:p>
              </w:tc>
              <w:tc>
                <w:tcPr>
                  <w:tcW w:w="366"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排放口编号</w:t>
                  </w:r>
                </w:p>
              </w:tc>
              <w:tc>
                <w:tcPr>
                  <w:tcW w:w="39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排放口名称</w:t>
                  </w:r>
                </w:p>
              </w:tc>
              <w:tc>
                <w:tcPr>
                  <w:tcW w:w="366"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53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28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32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设施类型</w:t>
                  </w:r>
                </w:p>
              </w:tc>
              <w:tc>
                <w:tcPr>
                  <w:tcW w:w="30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处理</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工艺</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处理</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能力（t/h）</w:t>
                  </w:r>
                </w:p>
              </w:tc>
              <w:tc>
                <w:tcPr>
                  <w:tcW w:w="4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是否为可行技术</w:t>
                  </w:r>
                </w:p>
              </w:tc>
              <w:tc>
                <w:tcPr>
                  <w:tcW w:w="29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设施名称</w:t>
                  </w:r>
                </w:p>
              </w:tc>
              <w:tc>
                <w:tcPr>
                  <w:tcW w:w="36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35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352"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39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366"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职工生活</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pH、COD、氨氮、BOD</w:t>
                  </w:r>
                  <w:r>
                    <w:rPr>
                      <w:rFonts w:hint="default" w:ascii="Times New Roman" w:hAnsi="Times New Roman" w:cs="Times New Roman"/>
                      <w:sz w:val="18"/>
                      <w:szCs w:val="18"/>
                      <w:vertAlign w:val="subscript"/>
                    </w:rPr>
                    <w:t>5</w:t>
                  </w:r>
                  <w:r>
                    <w:rPr>
                      <w:rFonts w:hint="default" w:ascii="Times New Roman" w:hAnsi="Times New Roman" w:cs="Times New Roman"/>
                      <w:sz w:val="18"/>
                      <w:szCs w:val="18"/>
                    </w:rPr>
                    <w:t>、悬浮物、总磷</w:t>
                  </w:r>
                </w:p>
              </w:tc>
              <w:tc>
                <w:tcPr>
                  <w:tcW w:w="28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生活废水</w:t>
                  </w:r>
                </w:p>
              </w:tc>
              <w:tc>
                <w:tcPr>
                  <w:tcW w:w="320"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预处理设施</w:t>
                  </w:r>
                </w:p>
              </w:tc>
              <w:tc>
                <w:tcPr>
                  <w:tcW w:w="30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沉淀</w:t>
                  </w:r>
                </w:p>
              </w:tc>
              <w:tc>
                <w:tcPr>
                  <w:tcW w:w="3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4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是</w:t>
                  </w:r>
                </w:p>
              </w:tc>
              <w:tc>
                <w:tcPr>
                  <w:tcW w:w="29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化粪池</w:t>
                  </w:r>
                </w:p>
              </w:tc>
              <w:tc>
                <w:tcPr>
                  <w:tcW w:w="3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进入城市污水处理厂</w:t>
                  </w:r>
                </w:p>
              </w:tc>
              <w:tc>
                <w:tcPr>
                  <w:tcW w:w="35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间接排放</w:t>
                  </w:r>
                </w:p>
              </w:tc>
              <w:tc>
                <w:tcPr>
                  <w:tcW w:w="35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间断排放</w:t>
                  </w:r>
                </w:p>
              </w:tc>
              <w:tc>
                <w:tcPr>
                  <w:tcW w:w="36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cs="Times New Roman"/>
                      <w:sz w:val="18"/>
                      <w:szCs w:val="18"/>
                    </w:rPr>
                    <w:t>DW00</w:t>
                  </w:r>
                  <w:r>
                    <w:rPr>
                      <w:rFonts w:hint="eastAsia" w:cs="Times New Roman"/>
                      <w:sz w:val="18"/>
                      <w:szCs w:val="18"/>
                      <w:lang w:val="en-US" w:eastAsia="zh-CN"/>
                    </w:rPr>
                    <w:t>1</w:t>
                  </w:r>
                </w:p>
              </w:tc>
              <w:tc>
                <w:tcPr>
                  <w:tcW w:w="39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生活</w:t>
                  </w:r>
                  <w:r>
                    <w:rPr>
                      <w:rFonts w:hint="default" w:ascii="Times New Roman" w:hAnsi="Times New Roman" w:cs="Times New Roman"/>
                      <w:sz w:val="18"/>
                      <w:szCs w:val="18"/>
                    </w:rPr>
                    <w:t>污水排放口</w:t>
                  </w:r>
                </w:p>
              </w:tc>
              <w:tc>
                <w:tcPr>
                  <w:tcW w:w="36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一般排放口</w:t>
                  </w:r>
                </w:p>
              </w:tc>
            </w:tr>
          </w:tbl>
          <w:p>
            <w:pPr>
              <w:spacing w:line="360" w:lineRule="auto"/>
              <w:ind w:firstLine="420" w:firstLineChars="200"/>
              <w:jc w:val="center"/>
              <w:rPr>
                <w:rFonts w:hint="default" w:ascii="Times New Roman" w:hAnsi="Times New Roman" w:eastAsia="黑体" w:cs="Times New Roman"/>
              </w:rPr>
            </w:pPr>
            <w:r>
              <w:rPr>
                <w:rFonts w:hint="default" w:ascii="Times New Roman" w:hAnsi="Times New Roman" w:eastAsia="黑体" w:cs="Times New Roman"/>
              </w:rPr>
              <w:t>表4-</w:t>
            </w:r>
            <w:r>
              <w:rPr>
                <w:rFonts w:hint="eastAsia" w:eastAsia="黑体" w:cs="Times New Roman"/>
                <w:lang w:val="en-US" w:eastAsia="zh-CN"/>
              </w:rPr>
              <w:t>7</w:t>
            </w:r>
            <w:r>
              <w:rPr>
                <w:rFonts w:hint="default" w:ascii="Times New Roman" w:hAnsi="Times New Roman" w:eastAsia="黑体" w:cs="Times New Roman"/>
              </w:rPr>
              <w:t>废水间接排放口基本信息情况表</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788"/>
              <w:gridCol w:w="662"/>
              <w:gridCol w:w="1267"/>
              <w:gridCol w:w="779"/>
              <w:gridCol w:w="775"/>
              <w:gridCol w:w="627"/>
              <w:gridCol w:w="687"/>
              <w:gridCol w:w="769"/>
              <w:gridCol w:w="883"/>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7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排放口编号</w:t>
                  </w:r>
                </w:p>
              </w:tc>
              <w:tc>
                <w:tcPr>
                  <w:tcW w:w="6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排放口名称</w:t>
                  </w:r>
                </w:p>
              </w:tc>
              <w:tc>
                <w:tcPr>
                  <w:tcW w:w="12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排放口地理坐标</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排放去向</w:t>
                  </w:r>
                </w:p>
              </w:tc>
              <w:tc>
                <w:tcPr>
                  <w:tcW w:w="77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排放规律</w:t>
                  </w:r>
                </w:p>
              </w:tc>
              <w:tc>
                <w:tcPr>
                  <w:tcW w:w="62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间歇排放时段</w:t>
                  </w:r>
                </w:p>
              </w:tc>
              <w:tc>
                <w:tcPr>
                  <w:tcW w:w="2990"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7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62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68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名称</w:t>
                  </w: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污染物种类</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排水协议规定的浓度限值(mg/L)</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国家或地方污染物排放标准浓度限值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788"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DW001</w:t>
                  </w:r>
                </w:p>
              </w:tc>
              <w:tc>
                <w:tcPr>
                  <w:tcW w:w="6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eastAsia="zh-CN"/>
                    </w:rPr>
                    <w:t>生</w:t>
                  </w:r>
                  <w:r>
                    <w:rPr>
                      <w:rFonts w:hint="eastAsia" w:cs="Times New Roman"/>
                      <w:sz w:val="18"/>
                      <w:szCs w:val="18"/>
                      <w:lang w:eastAsia="zh-CN"/>
                    </w:rPr>
                    <w:t>活</w:t>
                  </w:r>
                  <w:r>
                    <w:rPr>
                      <w:rFonts w:hint="default" w:ascii="Times New Roman" w:hAnsi="Times New Roman" w:cs="Times New Roman"/>
                      <w:sz w:val="18"/>
                      <w:szCs w:val="18"/>
                    </w:rPr>
                    <w:t>废水排放口</w:t>
                  </w:r>
                </w:p>
              </w:tc>
              <w:tc>
                <w:tcPr>
                  <w:tcW w:w="12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36.6</w:t>
                  </w:r>
                  <w:r>
                    <w:rPr>
                      <w:rFonts w:hint="eastAsia" w:cs="Times New Roman"/>
                      <w:sz w:val="18"/>
                      <w:szCs w:val="18"/>
                      <w:highlight w:val="none"/>
                      <w:lang w:val="en-US" w:eastAsia="zh-CN"/>
                    </w:rPr>
                    <w:t>69161</w:t>
                  </w:r>
                  <w:r>
                    <w:rPr>
                      <w:rFonts w:hint="default" w:ascii="Times New Roman" w:hAnsi="Times New Roman" w:cs="Times New Roman"/>
                      <w:sz w:val="18"/>
                      <w:szCs w:val="18"/>
                      <w:highlight w:val="none"/>
                    </w:rPr>
                    <w:t>°E</w:t>
                  </w:r>
                </w:p>
                <w:p>
                  <w:pPr>
                    <w:jc w:val="center"/>
                    <w:rPr>
                      <w:rFonts w:hint="default" w:ascii="Times New Roman" w:hAnsi="Times New Roman" w:cs="Times New Roman"/>
                      <w:highlight w:val="yellow"/>
                    </w:rPr>
                  </w:pPr>
                  <w:r>
                    <w:rPr>
                      <w:rFonts w:hint="default" w:ascii="Times New Roman" w:hAnsi="Times New Roman" w:cs="Times New Roman"/>
                      <w:sz w:val="18"/>
                      <w:szCs w:val="18"/>
                      <w:highlight w:val="none"/>
                    </w:rPr>
                    <w:t>117.</w:t>
                  </w:r>
                  <w:r>
                    <w:rPr>
                      <w:rFonts w:hint="default" w:ascii="Times New Roman" w:hAnsi="Times New Roman" w:cs="Times New Roman"/>
                      <w:sz w:val="18"/>
                      <w:szCs w:val="18"/>
                      <w:highlight w:val="none"/>
                      <w:lang w:val="en-US" w:eastAsia="zh-CN"/>
                    </w:rPr>
                    <w:t>9</w:t>
                  </w:r>
                  <w:r>
                    <w:rPr>
                      <w:rFonts w:hint="eastAsia" w:cs="Times New Roman"/>
                      <w:sz w:val="18"/>
                      <w:szCs w:val="18"/>
                      <w:highlight w:val="none"/>
                      <w:lang w:val="en-US" w:eastAsia="zh-CN"/>
                    </w:rPr>
                    <w:t>38438</w:t>
                  </w:r>
                  <w:r>
                    <w:rPr>
                      <w:rFonts w:hint="default" w:ascii="Times New Roman" w:hAnsi="Times New Roman" w:cs="Times New Roman"/>
                      <w:sz w:val="18"/>
                      <w:szCs w:val="18"/>
                      <w:highlight w:val="none"/>
                    </w:rPr>
                    <w:t xml:space="preserve">°N </w:t>
                  </w:r>
                </w:p>
              </w:tc>
              <w:tc>
                <w:tcPr>
                  <w:tcW w:w="779"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进入城市污水处理厂</w:t>
                  </w:r>
                </w:p>
              </w:tc>
              <w:tc>
                <w:tcPr>
                  <w:tcW w:w="775"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间歇排放，排放期间流量稳定</w:t>
                  </w:r>
                </w:p>
              </w:tc>
              <w:tc>
                <w:tcPr>
                  <w:tcW w:w="627"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8</w:t>
                  </w:r>
                  <w:r>
                    <w:rPr>
                      <w:rFonts w:hint="default" w:ascii="Times New Roman" w:hAnsi="Times New Roman" w:cs="Times New Roman"/>
                      <w:sz w:val="18"/>
                      <w:szCs w:val="18"/>
                    </w:rPr>
                    <w:t>:00-</w:t>
                  </w:r>
                  <w:r>
                    <w:rPr>
                      <w:rFonts w:hint="default" w:ascii="Times New Roman" w:hAnsi="Times New Roman" w:cs="Times New Roman"/>
                      <w:sz w:val="18"/>
                      <w:szCs w:val="18"/>
                      <w:lang w:val="en-US" w:eastAsia="zh-CN"/>
                    </w:rPr>
                    <w:t>20</w:t>
                  </w:r>
                  <w:r>
                    <w:rPr>
                      <w:rFonts w:hint="default" w:ascii="Times New Roman" w:hAnsi="Times New Roman" w:cs="Times New Roman"/>
                      <w:sz w:val="18"/>
                      <w:szCs w:val="18"/>
                    </w:rPr>
                    <w:t>:00</w:t>
                  </w:r>
                </w:p>
              </w:tc>
              <w:tc>
                <w:tcPr>
                  <w:tcW w:w="687"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淄博市利民净化水有限该公司</w:t>
                  </w: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pH</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kern w:val="0"/>
                      <w:sz w:val="18"/>
                      <w:szCs w:val="18"/>
                    </w:rPr>
                    <w:t>6.5～9.5</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highlight w:val="yellow"/>
                    </w:rPr>
                  </w:pPr>
                </w:p>
              </w:tc>
              <w:tc>
                <w:tcPr>
                  <w:tcW w:w="779"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75"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2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8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COD</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500</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highlight w:val="yellow"/>
                    </w:rPr>
                  </w:pPr>
                </w:p>
              </w:tc>
              <w:tc>
                <w:tcPr>
                  <w:tcW w:w="779"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75"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2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8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45</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highlight w:val="yellow"/>
                    </w:rPr>
                  </w:pPr>
                </w:p>
              </w:tc>
              <w:tc>
                <w:tcPr>
                  <w:tcW w:w="779"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75"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2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8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300</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8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6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26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highlight w:val="yellow"/>
                    </w:rPr>
                  </w:pPr>
                </w:p>
              </w:tc>
              <w:tc>
                <w:tcPr>
                  <w:tcW w:w="779"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75"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2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687"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76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悬浮物</w:t>
                  </w:r>
                </w:p>
              </w:tc>
              <w:tc>
                <w:tcPr>
                  <w:tcW w:w="88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400</w:t>
                  </w:r>
                </w:p>
              </w:tc>
              <w:tc>
                <w:tcPr>
                  <w:tcW w:w="6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10</w:t>
                  </w:r>
                </w:p>
              </w:tc>
            </w:tr>
          </w:tbl>
          <w:p>
            <w:pPr>
              <w:spacing w:line="360" w:lineRule="auto"/>
              <w:ind w:firstLine="420" w:firstLineChars="200"/>
              <w:jc w:val="center"/>
              <w:rPr>
                <w:rFonts w:hint="default" w:ascii="Times New Roman" w:hAnsi="Times New Roman" w:eastAsia="黑体" w:cs="Times New Roman"/>
              </w:rPr>
            </w:pPr>
            <w:r>
              <w:rPr>
                <w:rFonts w:hint="default" w:ascii="Times New Roman" w:hAnsi="Times New Roman" w:eastAsia="黑体" w:cs="Times New Roman"/>
              </w:rPr>
              <w:t>表4-</w:t>
            </w:r>
            <w:r>
              <w:rPr>
                <w:rFonts w:hint="eastAsia" w:eastAsia="黑体" w:cs="Times New Roman"/>
                <w:lang w:val="en-US" w:eastAsia="zh-CN"/>
              </w:rPr>
              <w:t>8</w:t>
            </w:r>
            <w:r>
              <w:rPr>
                <w:rFonts w:hint="default" w:ascii="Times New Roman" w:hAnsi="Times New Roman" w:eastAsia="黑体" w:cs="Times New Roman"/>
              </w:rPr>
              <w:t>本项目外排废水水质情况一览表</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034"/>
              <w:gridCol w:w="917"/>
              <w:gridCol w:w="1020"/>
              <w:gridCol w:w="856"/>
              <w:gridCol w:w="1051"/>
              <w:gridCol w:w="887"/>
              <w:gridCol w:w="1020"/>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废水来源</w:t>
                  </w:r>
                </w:p>
              </w:tc>
              <w:tc>
                <w:tcPr>
                  <w:tcW w:w="103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废水排放量m</w:t>
                  </w:r>
                  <w:r>
                    <w:rPr>
                      <w:rFonts w:hint="default" w:ascii="Times New Roman" w:hAnsi="Times New Roman" w:cs="Times New Roman"/>
                      <w:b/>
                      <w:bCs/>
                      <w:sz w:val="18"/>
                      <w:szCs w:val="18"/>
                      <w:vertAlign w:val="superscript"/>
                    </w:rPr>
                    <w:t>3</w:t>
                  </w:r>
                  <w:r>
                    <w:rPr>
                      <w:rFonts w:hint="default" w:ascii="Times New Roman" w:hAnsi="Times New Roman" w:cs="Times New Roman"/>
                      <w:b/>
                      <w:bCs/>
                      <w:sz w:val="18"/>
                      <w:szCs w:val="18"/>
                    </w:rPr>
                    <w:t>/a</w:t>
                  </w:r>
                </w:p>
              </w:tc>
              <w:tc>
                <w:tcPr>
                  <w:tcW w:w="9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污染因子</w:t>
                  </w:r>
                </w:p>
              </w:tc>
              <w:tc>
                <w:tcPr>
                  <w:tcW w:w="5697" w:type="dxa"/>
                  <w:gridSpan w:val="6"/>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103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91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预估浓度</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（mg/L）</w:t>
                  </w:r>
                </w:p>
              </w:tc>
              <w:tc>
                <w:tcPr>
                  <w:tcW w:w="856"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排放量</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（t/a）</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接管标准浓度（mg/L）</w:t>
                  </w:r>
                </w:p>
              </w:tc>
              <w:tc>
                <w:tcPr>
                  <w:tcW w:w="88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接管标准排放量（t/a）</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排河标准（mg/L）</w:t>
                  </w:r>
                </w:p>
              </w:tc>
              <w:tc>
                <w:tcPr>
                  <w:tcW w:w="86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生活污水</w:t>
                  </w:r>
                </w:p>
              </w:tc>
              <w:tc>
                <w:tcPr>
                  <w:tcW w:w="1034" w:type="dxa"/>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364.8</w:t>
                  </w: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COD</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hint="default" w:ascii="Times New Roman" w:hAnsi="Times New Roman" w:eastAsia="宋体" w:cs="Times New Roman"/>
                      <w:kern w:val="2"/>
                      <w:sz w:val="18"/>
                      <w:szCs w:val="18"/>
                      <w:lang w:val="en-US" w:eastAsia="zh-CN" w:bidi="ar-SA"/>
                    </w:rPr>
                  </w:pPr>
                  <w:r>
                    <w:rPr>
                      <w:rFonts w:hint="eastAsia" w:cs="Times New Roman"/>
                      <w:color w:val="000000"/>
                      <w:sz w:val="18"/>
                      <w:szCs w:val="18"/>
                      <w:lang w:val="en-US" w:eastAsia="zh-CN"/>
                    </w:rPr>
                    <w:t>54.5</w:t>
                  </w:r>
                </w:p>
              </w:tc>
              <w:tc>
                <w:tcPr>
                  <w:tcW w:w="85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0.0199</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500</w:t>
                  </w:r>
                </w:p>
              </w:tc>
              <w:tc>
                <w:tcPr>
                  <w:tcW w:w="88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0.1824</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40</w:t>
                  </w:r>
                </w:p>
              </w:tc>
              <w:tc>
                <w:tcPr>
                  <w:tcW w:w="863"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0.014</w:t>
                  </w:r>
                  <w:r>
                    <w:rPr>
                      <w:rFonts w:hint="eastAsia" w:cs="Times New Roman"/>
                      <w:i w:val="0"/>
                      <w:iCs w:val="0"/>
                      <w:color w:val="000000"/>
                      <w:kern w:val="0"/>
                      <w:sz w:val="18"/>
                      <w:szCs w:val="18"/>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034" w:type="dxa"/>
                  <w:vMerge w:val="continue"/>
                  <w:tcBorders>
                    <w:left w:val="single" w:color="auto" w:sz="4" w:space="0"/>
                    <w:right w:val="single" w:color="auto" w:sz="4" w:space="0"/>
                  </w:tcBorders>
                  <w:vAlign w:val="center"/>
                </w:tcPr>
                <w:p>
                  <w:pPr>
                    <w:jc w:val="center"/>
                    <w:rPr>
                      <w:rFonts w:hint="default" w:ascii="Times New Roman" w:hAnsi="Times New Roman" w:eastAsia="宋体" w:cs="Times New Roman"/>
                      <w:sz w:val="18"/>
                      <w:szCs w:val="18"/>
                      <w:lang w:val="en-US" w:eastAsia="zh-CN"/>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BOD</w:t>
                  </w:r>
                  <w:r>
                    <w:rPr>
                      <w:rFonts w:hint="default" w:ascii="Times New Roman" w:hAnsi="Times New Roman" w:cs="Times New Roman"/>
                      <w:sz w:val="18"/>
                      <w:szCs w:val="18"/>
                      <w:vertAlign w:val="subscript"/>
                    </w:rPr>
                    <w:t>5</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14.3</w:t>
                  </w:r>
                </w:p>
              </w:tc>
              <w:tc>
                <w:tcPr>
                  <w:tcW w:w="85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0.0052</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300</w:t>
                  </w:r>
                </w:p>
              </w:tc>
              <w:tc>
                <w:tcPr>
                  <w:tcW w:w="88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0.1094</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10</w:t>
                  </w:r>
                </w:p>
              </w:tc>
              <w:tc>
                <w:tcPr>
                  <w:tcW w:w="863"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034"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SS</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hint="default" w:ascii="Times New Roman" w:hAnsi="Times New Roman" w:eastAsia="宋体" w:cs="Times New Roman"/>
                      <w:kern w:val="2"/>
                      <w:sz w:val="18"/>
                      <w:szCs w:val="18"/>
                      <w:lang w:val="en-US" w:eastAsia="zh-CN" w:bidi="ar-SA"/>
                    </w:rPr>
                  </w:pPr>
                  <w:r>
                    <w:rPr>
                      <w:rFonts w:hint="eastAsia" w:cs="Times New Roman"/>
                      <w:kern w:val="0"/>
                      <w:sz w:val="18"/>
                      <w:szCs w:val="18"/>
                      <w:lang w:val="en-US" w:eastAsia="zh-CN"/>
                    </w:rPr>
                    <w:t>16.5</w:t>
                  </w:r>
                </w:p>
              </w:tc>
              <w:tc>
                <w:tcPr>
                  <w:tcW w:w="85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0"/>
                      <w:sz w:val="18"/>
                      <w:szCs w:val="18"/>
                      <w:lang w:val="en-US" w:eastAsia="zh-CN"/>
                    </w:rPr>
                    <w:t>0.006</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400</w:t>
                  </w:r>
                </w:p>
              </w:tc>
              <w:tc>
                <w:tcPr>
                  <w:tcW w:w="88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0.1459</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10</w:t>
                  </w:r>
                </w:p>
              </w:tc>
              <w:tc>
                <w:tcPr>
                  <w:tcW w:w="863"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1034" w:type="dxa"/>
                  <w:vMerge w:val="continue"/>
                  <w:tcBorders>
                    <w:left w:val="single" w:color="auto" w:sz="4" w:space="0"/>
                    <w:right w:val="single" w:color="auto" w:sz="4" w:space="0"/>
                  </w:tcBorders>
                  <w:vAlign w:val="center"/>
                </w:tcPr>
                <w:p>
                  <w:pPr>
                    <w:jc w:val="center"/>
                    <w:rPr>
                      <w:rFonts w:hint="default" w:ascii="Times New Roman" w:hAnsi="Times New Roman" w:cs="Times New Roman"/>
                      <w:sz w:val="18"/>
                      <w:szCs w:val="18"/>
                    </w:rPr>
                  </w:pPr>
                </w:p>
              </w:tc>
              <w:tc>
                <w:tcPr>
                  <w:tcW w:w="91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NH</w:t>
                  </w:r>
                  <w:r>
                    <w:rPr>
                      <w:rFonts w:hint="default" w:ascii="Times New Roman" w:hAnsi="Times New Roman" w:cs="Times New Roman"/>
                      <w:sz w:val="18"/>
                      <w:szCs w:val="18"/>
                      <w:vertAlign w:val="subscript"/>
                    </w:rPr>
                    <w:t>3</w:t>
                  </w:r>
                  <w:r>
                    <w:rPr>
                      <w:rFonts w:hint="default" w:ascii="Times New Roman" w:hAnsi="Times New Roman" w:cs="Times New Roman"/>
                      <w:sz w:val="18"/>
                      <w:szCs w:val="18"/>
                    </w:rPr>
                    <w:t>-N</w:t>
                  </w:r>
                </w:p>
              </w:tc>
              <w:tc>
                <w:tcPr>
                  <w:tcW w:w="102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ottom"/>
                    <w:rPr>
                      <w:rFonts w:hint="default" w:ascii="Times New Roman" w:hAnsi="Times New Roman" w:eastAsia="宋体" w:cs="Times New Roman"/>
                      <w:kern w:val="2"/>
                      <w:sz w:val="18"/>
                      <w:szCs w:val="18"/>
                      <w:lang w:val="en-US" w:eastAsia="zh-CN" w:bidi="ar-SA"/>
                    </w:rPr>
                  </w:pPr>
                  <w:r>
                    <w:rPr>
                      <w:rFonts w:hint="eastAsia" w:cs="Times New Roman"/>
                      <w:kern w:val="0"/>
                      <w:sz w:val="18"/>
                      <w:szCs w:val="18"/>
                      <w:lang w:val="en-US" w:eastAsia="zh-CN"/>
                    </w:rPr>
                    <w:t>1.60</w:t>
                  </w:r>
                </w:p>
              </w:tc>
              <w:tc>
                <w:tcPr>
                  <w:tcW w:w="85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18"/>
                      <w:szCs w:val="18"/>
                      <w:lang w:val="en-US" w:eastAsia="zh-CN" w:bidi="ar-SA"/>
                    </w:rPr>
                  </w:pPr>
                  <w:r>
                    <w:rPr>
                      <w:rFonts w:hint="eastAsia" w:cs="Times New Roman"/>
                      <w:kern w:val="0"/>
                      <w:sz w:val="18"/>
                      <w:szCs w:val="18"/>
                      <w:lang w:val="en-US" w:eastAsia="zh-CN"/>
                    </w:rPr>
                    <w:t>0.0006</w:t>
                  </w:r>
                </w:p>
              </w:tc>
              <w:tc>
                <w:tcPr>
                  <w:tcW w:w="105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45</w:t>
                  </w:r>
                </w:p>
              </w:tc>
              <w:tc>
                <w:tcPr>
                  <w:tcW w:w="887"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0.0164</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2</w:t>
                  </w:r>
                </w:p>
              </w:tc>
              <w:tc>
                <w:tcPr>
                  <w:tcW w:w="863" w:type="dxa"/>
                  <w:tcBorders>
                    <w:top w:val="single" w:color="auto" w:sz="4" w:space="0"/>
                    <w:left w:val="single" w:color="auto" w:sz="4" w:space="0"/>
                    <w:bottom w:val="single" w:color="auto" w:sz="4" w:space="0"/>
                    <w:right w:val="single" w:color="auto" w:sz="4" w:space="0"/>
                  </w:tcBorders>
                  <w:vAlign w:val="bottom"/>
                </w:tcPr>
                <w:p>
                  <w:pPr>
                    <w:keepNext w:val="0"/>
                    <w:keepLines w:val="0"/>
                    <w:widowControl/>
                    <w:suppressLineNumbers w:val="0"/>
                    <w:jc w:val="center"/>
                    <w:textAlignment w:val="bottom"/>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0.0007</w:t>
                  </w:r>
                </w:p>
              </w:tc>
            </w:tr>
          </w:tbl>
          <w:p>
            <w:pPr>
              <w:pStyle w:val="101"/>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2、源强分析</w:t>
            </w:r>
          </w:p>
          <w:p>
            <w:pPr>
              <w:spacing w:line="420" w:lineRule="exact"/>
              <w:ind w:firstLine="420" w:firstLineChars="200"/>
              <w:rPr>
                <w:rFonts w:hint="default" w:ascii="Times New Roman" w:hAnsi="Times New Roman" w:cs="Times New Roman"/>
                <w:kern w:val="24"/>
                <w:szCs w:val="21"/>
              </w:rPr>
            </w:pPr>
            <w:r>
              <w:rPr>
                <w:rFonts w:hint="default" w:ascii="Times New Roman" w:hAnsi="Times New Roman" w:cs="Times New Roman"/>
                <w:kern w:val="24"/>
                <w:szCs w:val="21"/>
              </w:rPr>
              <w:t>本项目生产过程中</w:t>
            </w:r>
            <w:r>
              <w:rPr>
                <w:rFonts w:hint="eastAsia" w:ascii="宋体" w:hAnsi="宋体" w:cs="宋体"/>
                <w:szCs w:val="21"/>
                <w:lang w:eastAsia="zh-CN"/>
              </w:rPr>
              <w:t>酚醛树脂胶兑胶用水全部损耗，无生产废水产生。</w:t>
            </w:r>
            <w:r>
              <w:rPr>
                <w:rFonts w:hint="default" w:ascii="Times New Roman" w:hAnsi="Times New Roman" w:cs="Times New Roman"/>
                <w:kern w:val="24"/>
                <w:szCs w:val="21"/>
              </w:rPr>
              <w:t>本项目废水主要为职工生活污水。</w:t>
            </w:r>
          </w:p>
          <w:p>
            <w:pPr>
              <w:tabs>
                <w:tab w:val="left" w:pos="1800"/>
              </w:tabs>
              <w:adjustRightInd w:val="0"/>
              <w:snapToGrid w:val="0"/>
              <w:spacing w:line="360" w:lineRule="auto"/>
              <w:ind w:firstLine="420" w:firstLineChars="200"/>
              <w:rPr>
                <w:rFonts w:hint="default" w:ascii="Times New Roman" w:hAnsi="Times New Roman" w:eastAsia="宋体" w:cs="Times New Roman"/>
                <w:kern w:val="24"/>
                <w:szCs w:val="21"/>
                <w:lang w:eastAsia="zh-CN"/>
              </w:rPr>
            </w:pPr>
            <w:r>
              <w:rPr>
                <w:rFonts w:hint="default" w:ascii="Times New Roman" w:hAnsi="Times New Roman" w:cs="Times New Roman"/>
                <w:kern w:val="24"/>
                <w:szCs w:val="21"/>
                <w:lang w:eastAsia="zh-CN"/>
              </w:rPr>
              <w:t>（</w:t>
            </w:r>
            <w:r>
              <w:rPr>
                <w:rFonts w:hint="default" w:ascii="Times New Roman" w:hAnsi="Times New Roman" w:cs="Times New Roman"/>
                <w:kern w:val="24"/>
                <w:szCs w:val="21"/>
                <w:lang w:val="en-US" w:eastAsia="zh-CN"/>
              </w:rPr>
              <w:t>1</w:t>
            </w:r>
            <w:r>
              <w:rPr>
                <w:rFonts w:hint="default" w:ascii="Times New Roman" w:hAnsi="Times New Roman" w:cs="Times New Roman"/>
                <w:kern w:val="24"/>
                <w:szCs w:val="21"/>
                <w:lang w:eastAsia="zh-CN"/>
              </w:rPr>
              <w:t>）生活污水</w:t>
            </w:r>
          </w:p>
          <w:p>
            <w:pPr>
              <w:tabs>
                <w:tab w:val="left" w:pos="1800"/>
              </w:tabs>
              <w:adjustRightInd w:val="0"/>
              <w:snapToGrid w:val="0"/>
              <w:spacing w:line="360" w:lineRule="auto"/>
              <w:ind w:firstLine="420" w:firstLineChars="200"/>
              <w:rPr>
                <w:rFonts w:hint="default" w:ascii="Times New Roman" w:hAnsi="Times New Roman" w:cs="Times New Roman"/>
                <w:kern w:val="24"/>
                <w:szCs w:val="21"/>
              </w:rPr>
            </w:pPr>
            <w:r>
              <w:rPr>
                <w:rFonts w:hint="default" w:ascii="Times New Roman" w:hAnsi="Times New Roman" w:cs="Times New Roman"/>
                <w:kern w:val="24"/>
                <w:szCs w:val="21"/>
              </w:rPr>
              <w:t>生活污水产生量按职工生活用水量80%计算，生活污水量为</w:t>
            </w:r>
            <w:r>
              <w:rPr>
                <w:rFonts w:hint="eastAsia" w:cs="Times New Roman"/>
                <w:kern w:val="24"/>
                <w:szCs w:val="21"/>
                <w:lang w:val="en-US" w:eastAsia="zh-CN"/>
              </w:rPr>
              <w:t>364.8</w:t>
            </w:r>
            <w:r>
              <w:rPr>
                <w:rFonts w:hint="default" w:ascii="Times New Roman" w:hAnsi="Times New Roman" w:cs="Times New Roman"/>
                <w:kern w:val="24"/>
                <w:szCs w:val="21"/>
              </w:rPr>
              <w:t>m</w:t>
            </w:r>
            <w:r>
              <w:rPr>
                <w:rFonts w:hint="default" w:ascii="Times New Roman" w:hAnsi="Times New Roman" w:cs="Times New Roman"/>
                <w:kern w:val="24"/>
                <w:szCs w:val="21"/>
                <w:vertAlign w:val="superscript"/>
              </w:rPr>
              <w:t>3</w:t>
            </w:r>
            <w:r>
              <w:rPr>
                <w:rFonts w:hint="default" w:ascii="Times New Roman" w:hAnsi="Times New Roman" w:cs="Times New Roman"/>
                <w:kern w:val="24"/>
                <w:szCs w:val="21"/>
              </w:rPr>
              <w:t>/a</w:t>
            </w:r>
            <w:r>
              <w:rPr>
                <w:rFonts w:hint="eastAsia" w:cs="Times New Roman"/>
                <w:kern w:val="24"/>
                <w:szCs w:val="21"/>
                <w:lang w:eastAsia="zh-CN"/>
              </w:rPr>
              <w:t>，</w:t>
            </w:r>
            <w:r>
              <w:rPr>
                <w:rFonts w:hint="eastAsia" w:cs="Times New Roman"/>
                <w:szCs w:val="21"/>
                <w:lang w:eastAsia="zh-CN"/>
              </w:rPr>
              <w:t>主要污染物</w:t>
            </w:r>
            <w:r>
              <w:rPr>
                <w:rFonts w:hint="default" w:ascii="Times New Roman" w:hAnsi="Times New Roman" w:cs="Times New Roman"/>
                <w:szCs w:val="21"/>
              </w:rPr>
              <w:t>为</w:t>
            </w:r>
            <w:r>
              <w:rPr>
                <w:rFonts w:hint="default" w:ascii="Times New Roman" w:hAnsi="Times New Roman" w:cs="Times New Roman"/>
                <w:kern w:val="24"/>
                <w:szCs w:val="21"/>
              </w:rPr>
              <w:t>COD、BOD</w:t>
            </w:r>
            <w:r>
              <w:rPr>
                <w:rFonts w:hint="default" w:ascii="Times New Roman" w:hAnsi="Times New Roman" w:cs="Times New Roman"/>
                <w:kern w:val="24"/>
                <w:szCs w:val="21"/>
                <w:vertAlign w:val="subscript"/>
              </w:rPr>
              <w:t>5</w:t>
            </w:r>
            <w:r>
              <w:rPr>
                <w:rFonts w:hint="default" w:ascii="Times New Roman" w:hAnsi="Times New Roman" w:cs="Times New Roman"/>
                <w:kern w:val="24"/>
                <w:szCs w:val="21"/>
              </w:rPr>
              <w:t>、NH</w:t>
            </w:r>
            <w:r>
              <w:rPr>
                <w:rFonts w:hint="default" w:ascii="Times New Roman" w:hAnsi="Times New Roman" w:cs="Times New Roman"/>
                <w:kern w:val="24"/>
                <w:szCs w:val="21"/>
                <w:vertAlign w:val="subscript"/>
              </w:rPr>
              <w:t>3</w:t>
            </w:r>
            <w:r>
              <w:rPr>
                <w:rFonts w:hint="default" w:ascii="Times New Roman" w:hAnsi="Times New Roman" w:cs="Times New Roman"/>
                <w:kern w:val="24"/>
                <w:szCs w:val="21"/>
              </w:rPr>
              <w:t>-N、SS。职工生活污水经化粪池预处理后，经市政污水管网送往淄博市利民净化水有限公司深度处理。</w:t>
            </w:r>
          </w:p>
          <w:p>
            <w:pPr>
              <w:spacing w:line="360" w:lineRule="auto"/>
              <w:ind w:firstLine="420" w:firstLineChars="200"/>
              <w:rPr>
                <w:rFonts w:hint="default" w:ascii="Times New Roman" w:hAnsi="Times New Roman" w:cs="Times New Roman"/>
                <w:b/>
                <w:bCs/>
              </w:rPr>
            </w:pPr>
            <w:r>
              <w:rPr>
                <w:rFonts w:hint="default" w:ascii="Times New Roman" w:hAnsi="Times New Roman" w:cs="Times New Roman"/>
              </w:rPr>
              <w:t>COD、</w:t>
            </w:r>
            <w:r>
              <w:rPr>
                <w:rFonts w:hint="default" w:ascii="Times New Roman" w:hAnsi="Times New Roman" w:cs="Times New Roman"/>
                <w:kern w:val="24"/>
                <w:szCs w:val="21"/>
              </w:rPr>
              <w:t>BOD</w:t>
            </w:r>
            <w:r>
              <w:rPr>
                <w:rFonts w:hint="default" w:ascii="Times New Roman" w:hAnsi="Times New Roman" w:cs="Times New Roman"/>
                <w:kern w:val="24"/>
                <w:szCs w:val="21"/>
                <w:vertAlign w:val="subscript"/>
              </w:rPr>
              <w:t>5</w:t>
            </w:r>
            <w:r>
              <w:rPr>
                <w:rFonts w:hint="default" w:ascii="Times New Roman" w:hAnsi="Times New Roman" w:cs="Times New Roman"/>
                <w:kern w:val="24"/>
                <w:szCs w:val="21"/>
              </w:rPr>
              <w:t>、NH</w:t>
            </w:r>
            <w:r>
              <w:rPr>
                <w:rFonts w:hint="default" w:ascii="Times New Roman" w:hAnsi="Times New Roman" w:cs="Times New Roman"/>
                <w:kern w:val="24"/>
                <w:szCs w:val="21"/>
                <w:vertAlign w:val="subscript"/>
              </w:rPr>
              <w:t>3</w:t>
            </w:r>
            <w:r>
              <w:rPr>
                <w:rFonts w:hint="default" w:ascii="Times New Roman" w:hAnsi="Times New Roman" w:cs="Times New Roman"/>
                <w:kern w:val="24"/>
                <w:szCs w:val="21"/>
              </w:rPr>
              <w:t>-N、SS</w:t>
            </w:r>
            <w:r>
              <w:rPr>
                <w:rFonts w:hint="eastAsia" w:cs="Times New Roman"/>
                <w:kern w:val="24"/>
                <w:szCs w:val="21"/>
                <w:lang w:eastAsia="zh-CN"/>
              </w:rPr>
              <w:t>等污染物排放情况</w:t>
            </w:r>
            <w:r>
              <w:rPr>
                <w:rFonts w:hint="default" w:ascii="Times New Roman" w:hAnsi="Times New Roman" w:cs="Times New Roman"/>
              </w:rPr>
              <w:t>类比</w:t>
            </w:r>
            <w:r>
              <w:rPr>
                <w:rFonts w:hint="eastAsia" w:cs="Times New Roman"/>
                <w:lang w:eastAsia="zh-CN"/>
              </w:rPr>
              <w:t>企业现有项目</w:t>
            </w:r>
            <w:r>
              <w:rPr>
                <w:rFonts w:hint="default" w:ascii="Times New Roman" w:hAnsi="Times New Roman" w:cs="Times New Roman"/>
                <w:lang w:eastAsia="zh-CN"/>
              </w:rPr>
              <w:t>厂区</w:t>
            </w:r>
            <w:r>
              <w:rPr>
                <w:rFonts w:hint="default" w:ascii="Times New Roman" w:hAnsi="Times New Roman" w:cs="Times New Roman"/>
              </w:rPr>
              <w:t>生活污水排放口例行监测数据（仅排放生活污水，生活污水处理工艺为化粪池预处理，由山东</w:t>
            </w:r>
            <w:r>
              <w:rPr>
                <w:rFonts w:hint="eastAsia" w:cs="Times New Roman"/>
                <w:lang w:eastAsia="zh-CN"/>
              </w:rPr>
              <w:t>方信</w:t>
            </w:r>
            <w:r>
              <w:rPr>
                <w:rFonts w:hint="default" w:ascii="Times New Roman" w:hAnsi="Times New Roman" w:cs="Times New Roman"/>
              </w:rPr>
              <w:t>环境检测有限公司2021年</w:t>
            </w:r>
            <w:r>
              <w:rPr>
                <w:rFonts w:hint="eastAsia" w:cs="Times New Roman"/>
                <w:lang w:val="en-US" w:eastAsia="zh-CN"/>
              </w:rPr>
              <w:t>9</w:t>
            </w:r>
            <w:r>
              <w:rPr>
                <w:rFonts w:hint="default" w:ascii="Times New Roman" w:hAnsi="Times New Roman" w:cs="Times New Roman"/>
              </w:rPr>
              <w:t>月</w:t>
            </w:r>
            <w:r>
              <w:rPr>
                <w:rFonts w:hint="eastAsia" w:cs="Times New Roman"/>
                <w:lang w:val="en-US" w:eastAsia="zh-CN"/>
              </w:rPr>
              <w:t>9</w:t>
            </w:r>
            <w:r>
              <w:rPr>
                <w:rFonts w:hint="default" w:ascii="Times New Roman" w:hAnsi="Times New Roman" w:cs="Times New Roman"/>
              </w:rPr>
              <w:t>日监测，检测报告编号</w:t>
            </w:r>
            <w:r>
              <w:rPr>
                <w:rFonts w:hint="eastAsia" w:cs="Times New Roman"/>
                <w:lang w:val="en-US" w:eastAsia="zh-CN"/>
              </w:rPr>
              <w:t>FXH2021090805</w:t>
            </w:r>
            <w:r>
              <w:rPr>
                <w:rFonts w:hint="default" w:ascii="Times New Roman" w:hAnsi="Times New Roman" w:cs="Times New Roman"/>
              </w:rPr>
              <w:t>），并参照相关行业化粪池预处理效率，入化粪池前后的生活污水的水质指标，如表4-</w:t>
            </w:r>
            <w:r>
              <w:rPr>
                <w:rFonts w:hint="eastAsia" w:cs="Times New Roman"/>
                <w:lang w:val="en-US" w:eastAsia="zh-CN"/>
              </w:rPr>
              <w:t>9</w:t>
            </w:r>
            <w:r>
              <w:rPr>
                <w:rFonts w:hint="default" w:ascii="Times New Roman" w:hAnsi="Times New Roman" w:cs="Times New Roman"/>
              </w:rPr>
              <w:t>：</w:t>
            </w:r>
          </w:p>
          <w:p>
            <w:pPr>
              <w:spacing w:line="360" w:lineRule="auto"/>
              <w:ind w:firstLine="420" w:firstLineChars="200"/>
              <w:jc w:val="center"/>
              <w:rPr>
                <w:rFonts w:hint="default" w:ascii="Times New Roman" w:hAnsi="Times New Roman" w:eastAsia="黑体" w:cs="Times New Roman"/>
              </w:rPr>
            </w:pPr>
            <w:r>
              <w:rPr>
                <w:rFonts w:hint="default" w:ascii="Times New Roman" w:hAnsi="Times New Roman" w:eastAsia="黑体" w:cs="Times New Roman"/>
              </w:rPr>
              <w:t>表4-</w:t>
            </w:r>
            <w:r>
              <w:rPr>
                <w:rFonts w:hint="eastAsia" w:eastAsia="黑体" w:cs="Times New Roman"/>
                <w:lang w:val="en-US" w:eastAsia="zh-CN"/>
              </w:rPr>
              <w:t>9</w:t>
            </w:r>
            <w:r>
              <w:rPr>
                <w:rFonts w:hint="default" w:ascii="Times New Roman" w:hAnsi="Times New Roman" w:eastAsia="黑体" w:cs="Times New Roman"/>
              </w:rPr>
              <w:t xml:space="preserve"> 生活废水污染物排放情况</w:t>
            </w:r>
          </w:p>
          <w:tbl>
            <w:tblPr>
              <w:tblStyle w:val="85"/>
              <w:tblW w:w="4995" w:type="pct"/>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34"/>
              <w:gridCol w:w="1275"/>
              <w:gridCol w:w="1450"/>
              <w:gridCol w:w="1450"/>
              <w:gridCol w:w="1450"/>
              <w:gridCol w:w="146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792"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default" w:ascii="Times New Roman" w:hAnsi="Times New Roman" w:cs="Times New Roman"/>
                      <w:b/>
                      <w:bCs/>
                      <w:sz w:val="18"/>
                      <w:szCs w:val="18"/>
                    </w:rPr>
                  </w:pPr>
                  <w:r>
                    <w:rPr>
                      <w:rFonts w:hint="default" w:ascii="Times New Roman" w:hAnsi="Times New Roman" w:cs="Times New Roman"/>
                      <w:b/>
                      <w:bCs/>
                      <w:sz w:val="18"/>
                      <w:szCs w:val="18"/>
                    </w:rPr>
                    <w:t>污染物</w:t>
                  </w:r>
                </w:p>
              </w:tc>
              <w:tc>
                <w:tcPr>
                  <w:tcW w:w="757"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产生浓度（mg/L）</w:t>
                  </w:r>
                </w:p>
              </w:tc>
              <w:tc>
                <w:tcPr>
                  <w:tcW w:w="86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产生量（t/a）</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处理效率（%）</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排放浓度（mg/L）</w:t>
                  </w:r>
                </w:p>
              </w:tc>
              <w:tc>
                <w:tcPr>
                  <w:tcW w:w="868" w:type="pct"/>
                  <w:tcBorders>
                    <w:top w:val="single" w:color="000000" w:sz="6" w:space="0"/>
                    <w:left w:val="single" w:color="auto" w:sz="4" w:space="0"/>
                    <w:bottom w:val="single" w:color="000000" w:sz="6" w:space="0"/>
                    <w:right w:val="single" w:color="000000" w:sz="6"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排放量（t/a）</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792"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化学需氧量</w:t>
                  </w:r>
                </w:p>
              </w:tc>
              <w:tc>
                <w:tcPr>
                  <w:tcW w:w="7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64.1</w:t>
                  </w:r>
                </w:p>
              </w:tc>
              <w:tc>
                <w:tcPr>
                  <w:tcW w:w="86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0.0234</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cs="Times New Roman"/>
                      <w:sz w:val="18"/>
                      <w:szCs w:val="18"/>
                    </w:rPr>
                  </w:pPr>
                  <w:r>
                    <w:rPr>
                      <w:rFonts w:hint="default" w:ascii="Times New Roman" w:hAnsi="Times New Roman" w:cs="Times New Roman"/>
                      <w:color w:val="000000"/>
                      <w:sz w:val="18"/>
                      <w:szCs w:val="18"/>
                    </w:rPr>
                    <w:t>15</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eastAsia="宋体" w:cs="Times New Roman"/>
                      <w:sz w:val="18"/>
                      <w:szCs w:val="18"/>
                      <w:lang w:val="en-US" w:eastAsia="zh-CN"/>
                    </w:rPr>
                  </w:pPr>
                  <w:r>
                    <w:rPr>
                      <w:rFonts w:hint="eastAsia" w:cs="Times New Roman"/>
                      <w:color w:val="000000"/>
                      <w:sz w:val="18"/>
                      <w:szCs w:val="18"/>
                      <w:lang w:val="en-US" w:eastAsia="zh-CN"/>
                    </w:rPr>
                    <w:t>54.5</w:t>
                  </w:r>
                </w:p>
              </w:tc>
              <w:tc>
                <w:tcPr>
                  <w:tcW w:w="868" w:type="pct"/>
                  <w:tcBorders>
                    <w:top w:val="single" w:color="000000" w:sz="6" w:space="0"/>
                    <w:left w:val="single" w:color="auto" w:sz="4" w:space="0"/>
                    <w:bottom w:val="single" w:color="000000" w:sz="6" w:space="0"/>
                    <w:right w:val="single" w:color="000000" w:sz="6"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0.0199</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792"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五日生化需氧量</w:t>
                  </w:r>
                </w:p>
              </w:tc>
              <w:tc>
                <w:tcPr>
                  <w:tcW w:w="7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15.7</w:t>
                  </w:r>
                </w:p>
              </w:tc>
              <w:tc>
                <w:tcPr>
                  <w:tcW w:w="86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0.0057</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cs="Times New Roman"/>
                      <w:sz w:val="18"/>
                      <w:szCs w:val="18"/>
                    </w:rPr>
                  </w:pPr>
                  <w:r>
                    <w:rPr>
                      <w:rFonts w:hint="default" w:ascii="Times New Roman" w:hAnsi="Times New Roman" w:cs="Times New Roman"/>
                      <w:color w:val="000000"/>
                      <w:sz w:val="18"/>
                      <w:szCs w:val="18"/>
                    </w:rPr>
                    <w:t>9</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eastAsia="宋体" w:cs="Times New Roman"/>
                      <w:sz w:val="18"/>
                      <w:szCs w:val="18"/>
                      <w:lang w:val="en-US" w:eastAsia="zh-CN"/>
                    </w:rPr>
                  </w:pPr>
                  <w:r>
                    <w:rPr>
                      <w:rFonts w:hint="eastAsia" w:cs="Times New Roman"/>
                      <w:sz w:val="18"/>
                      <w:szCs w:val="18"/>
                      <w:lang w:val="en-US" w:eastAsia="zh-CN"/>
                    </w:rPr>
                    <w:t>14.3</w:t>
                  </w:r>
                </w:p>
              </w:tc>
              <w:tc>
                <w:tcPr>
                  <w:tcW w:w="868" w:type="pct"/>
                  <w:tcBorders>
                    <w:top w:val="single" w:color="000000" w:sz="6" w:space="0"/>
                    <w:left w:val="single" w:color="auto" w:sz="4" w:space="0"/>
                    <w:bottom w:val="single" w:color="000000" w:sz="6" w:space="0"/>
                    <w:right w:val="single" w:color="000000" w:sz="6" w:space="0"/>
                  </w:tcBorders>
                  <w:vAlign w:val="center"/>
                </w:tcPr>
                <w:p>
                  <w:pPr>
                    <w:keepNext w:val="0"/>
                    <w:keepLines w:val="0"/>
                    <w:widowControl/>
                    <w:suppressLineNumbers w:val="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0.0052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792"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悬浮物</w:t>
                  </w:r>
                </w:p>
              </w:tc>
              <w:tc>
                <w:tcPr>
                  <w:tcW w:w="7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23.6</w:t>
                  </w:r>
                </w:p>
              </w:tc>
              <w:tc>
                <w:tcPr>
                  <w:tcW w:w="86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0.0086</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cs="Times New Roman"/>
                      <w:kern w:val="0"/>
                      <w:sz w:val="18"/>
                      <w:szCs w:val="18"/>
                    </w:rPr>
                  </w:pPr>
                  <w:r>
                    <w:rPr>
                      <w:rFonts w:hint="default" w:ascii="Times New Roman" w:hAnsi="Times New Roman" w:cs="Times New Roman"/>
                      <w:color w:val="000000"/>
                      <w:sz w:val="18"/>
                      <w:szCs w:val="18"/>
                    </w:rPr>
                    <w:t>30</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16.5</w:t>
                  </w:r>
                </w:p>
              </w:tc>
              <w:tc>
                <w:tcPr>
                  <w:tcW w:w="868" w:type="pct"/>
                  <w:tcBorders>
                    <w:top w:val="single" w:color="000000" w:sz="6" w:space="0"/>
                    <w:left w:val="single" w:color="auto" w:sz="4" w:space="0"/>
                    <w:bottom w:val="single" w:color="000000" w:sz="6" w:space="0"/>
                    <w:right w:val="single" w:color="000000" w:sz="6"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0.006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340" w:hRule="atLeast"/>
                <w:jc w:val="center"/>
              </w:trPr>
              <w:tc>
                <w:tcPr>
                  <w:tcW w:w="792"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氨氮</w:t>
                  </w:r>
                </w:p>
              </w:tc>
              <w:tc>
                <w:tcPr>
                  <w:tcW w:w="757"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1.65</w:t>
                  </w:r>
                </w:p>
              </w:tc>
              <w:tc>
                <w:tcPr>
                  <w:tcW w:w="860" w:type="pct"/>
                  <w:tcBorders>
                    <w:top w:val="single" w:color="000000" w:sz="6" w:space="0"/>
                    <w:left w:val="single" w:color="000000" w:sz="6" w:space="0"/>
                    <w:bottom w:val="single" w:color="000000" w:sz="6" w:space="0"/>
                    <w:right w:val="single" w:color="000000" w:sz="6"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0.0006</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cs="Times New Roman"/>
                      <w:kern w:val="0"/>
                      <w:sz w:val="18"/>
                      <w:szCs w:val="18"/>
                    </w:rPr>
                  </w:pPr>
                  <w:r>
                    <w:rPr>
                      <w:rFonts w:hint="default" w:ascii="Times New Roman" w:hAnsi="Times New Roman" w:cs="Times New Roman"/>
                      <w:color w:val="000000"/>
                      <w:sz w:val="18"/>
                      <w:szCs w:val="18"/>
                    </w:rPr>
                    <w:t>3</w:t>
                  </w:r>
                </w:p>
              </w:tc>
              <w:tc>
                <w:tcPr>
                  <w:tcW w:w="860" w:type="pct"/>
                  <w:tcBorders>
                    <w:top w:val="single" w:color="000000" w:sz="6" w:space="0"/>
                    <w:left w:val="single" w:color="000000" w:sz="6" w:space="0"/>
                    <w:bottom w:val="single" w:color="000000" w:sz="6" w:space="0"/>
                    <w:right w:val="single" w:color="auto" w:sz="4" w:space="0"/>
                  </w:tcBorders>
                  <w:vAlign w:val="center"/>
                </w:tcPr>
                <w:p>
                  <w:pPr>
                    <w:widowControl/>
                    <w:jc w:val="center"/>
                    <w:textAlignment w:val="bottom"/>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1.60</w:t>
                  </w:r>
                </w:p>
              </w:tc>
              <w:tc>
                <w:tcPr>
                  <w:tcW w:w="868" w:type="pct"/>
                  <w:tcBorders>
                    <w:top w:val="single" w:color="000000" w:sz="6" w:space="0"/>
                    <w:left w:val="single" w:color="auto" w:sz="4" w:space="0"/>
                    <w:bottom w:val="single" w:color="000000" w:sz="6" w:space="0"/>
                    <w:right w:val="single" w:color="000000" w:sz="6" w:space="0"/>
                  </w:tcBorders>
                  <w:vAlign w:val="center"/>
                </w:tcPr>
                <w:p>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0.0006</w:t>
                  </w:r>
                </w:p>
              </w:tc>
            </w:tr>
          </w:tbl>
          <w:p>
            <w:pPr>
              <w:pStyle w:val="101"/>
              <w:snapToGrid w:val="0"/>
              <w:spacing w:beforeLines="50" w:line="36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由上表可以知，本项目废水BOD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排放浓度</w:t>
            </w:r>
            <w:r>
              <w:rPr>
                <w:rFonts w:hint="default" w:ascii="Times New Roman" w:hAnsi="Times New Roman" w:cs="Times New Roman"/>
                <w:color w:val="auto"/>
                <w:sz w:val="21"/>
                <w:szCs w:val="21"/>
                <w:lang w:eastAsia="zh-CN"/>
              </w:rPr>
              <w:t>满足</w:t>
            </w:r>
            <w:r>
              <w:rPr>
                <w:rFonts w:hint="default" w:ascii="Times New Roman" w:hAnsi="Times New Roman" w:cs="Times New Roman"/>
                <w:color w:val="auto"/>
                <w:sz w:val="21"/>
                <w:szCs w:val="21"/>
              </w:rPr>
              <w:t>《污水综合排放标准 》（GB 8978-1996）中三级标准，其余污染因子的排放浓度</w:t>
            </w:r>
            <w:r>
              <w:rPr>
                <w:rFonts w:hint="default" w:ascii="Times New Roman" w:hAnsi="Times New Roman" w:cs="Times New Roman"/>
                <w:color w:val="auto"/>
                <w:sz w:val="21"/>
                <w:szCs w:val="21"/>
                <w:lang w:eastAsia="zh-CN"/>
              </w:rPr>
              <w:t>满足</w:t>
            </w:r>
            <w:r>
              <w:rPr>
                <w:rFonts w:hint="default" w:ascii="Times New Roman" w:hAnsi="Times New Roman" w:cs="Times New Roman"/>
                <w:color w:val="auto"/>
                <w:sz w:val="21"/>
                <w:szCs w:val="21"/>
              </w:rPr>
              <w:t>《污水排入城镇下水道水质标准》（GB/T31962-2015）B等级标准。</w:t>
            </w:r>
          </w:p>
          <w:p>
            <w:pPr>
              <w:pStyle w:val="101"/>
              <w:spacing w:line="360" w:lineRule="auto"/>
              <w:ind w:firstLine="420" w:firstLineChars="200"/>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3、依托污水处理设施的可行性分析</w:t>
            </w:r>
          </w:p>
          <w:p>
            <w:pPr>
              <w:pStyle w:val="101"/>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本项目生活污水排放量为</w:t>
            </w:r>
            <w:r>
              <w:rPr>
                <w:rFonts w:hint="eastAsia" w:cs="Times New Roman"/>
                <w:color w:val="auto"/>
                <w:sz w:val="21"/>
                <w:szCs w:val="21"/>
                <w:lang w:val="en-US" w:eastAsia="zh-CN"/>
              </w:rPr>
              <w:t>364.8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  ，经城镇污水管网送淄博市利民净化水有限公司进一步处理达标后排入孝妇河。淄博市利民净化水有限公司地处淄博市淄川区开发区立交桥北1公里路西、贾村水库东岸紧邻张相湖湿地公园，总占地100亩，目前设计废水处理能力为12万吨/天，主要服务淄川区城区和附近乡镇的生活污水和工业废水的二级处理，采用比较先进的“一级处理（事故池+水解池）+二级处理（预缺氧池+厌氧池+一级缺氧池+一级好氧池+二级缺氧池+二级好氧池+二沉池）+深度处理（高密度沉淀池+消毒池）”工艺，具有抗冲击能力强、出水稳定的特点，同时具有脱氮除磷功能。</w:t>
            </w:r>
          </w:p>
          <w:p>
            <w:pPr>
              <w:pStyle w:val="101"/>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本次环评收集了淄博</w:t>
            </w:r>
            <w:r>
              <w:rPr>
                <w:rFonts w:hint="eastAsia" w:cs="Times New Roman"/>
                <w:color w:val="auto"/>
                <w:sz w:val="21"/>
                <w:szCs w:val="21"/>
                <w:lang w:eastAsia="zh-CN"/>
              </w:rPr>
              <w:t>市</w:t>
            </w:r>
            <w:r>
              <w:rPr>
                <w:rFonts w:hint="default" w:ascii="Times New Roman" w:hAnsi="Times New Roman" w:cs="Times New Roman"/>
                <w:color w:val="auto"/>
                <w:sz w:val="21"/>
                <w:szCs w:val="21"/>
              </w:rPr>
              <w:t>利民净化水有限公司外排口202</w:t>
            </w:r>
            <w:r>
              <w:rPr>
                <w:rFonts w:hint="eastAsia" w:cs="Times New Roman"/>
                <w:color w:val="auto"/>
                <w:sz w:val="21"/>
                <w:szCs w:val="21"/>
                <w:lang w:val="en-US" w:eastAsia="zh-CN"/>
              </w:rPr>
              <w:t>2</w:t>
            </w:r>
            <w:r>
              <w:rPr>
                <w:rFonts w:hint="default" w:ascii="Times New Roman" w:hAnsi="Times New Roman" w:cs="Times New Roman"/>
                <w:color w:val="auto"/>
                <w:sz w:val="21"/>
                <w:szCs w:val="21"/>
              </w:rPr>
              <w:t>年</w:t>
            </w:r>
            <w:r>
              <w:rPr>
                <w:rFonts w:hint="eastAsia" w:cs="Times New Roman"/>
                <w:color w:val="auto"/>
                <w:sz w:val="21"/>
                <w:szCs w:val="21"/>
                <w:lang w:val="en-US" w:eastAsia="zh-CN"/>
              </w:rPr>
              <w:t>3</w:t>
            </w:r>
            <w:r>
              <w:rPr>
                <w:rFonts w:hint="default" w:ascii="Times New Roman" w:hAnsi="Times New Roman" w:cs="Times New Roman"/>
                <w:color w:val="auto"/>
                <w:sz w:val="21"/>
                <w:szCs w:val="21"/>
              </w:rPr>
              <w:t>月～202</w:t>
            </w:r>
            <w:r>
              <w:rPr>
                <w:rFonts w:hint="eastAsia" w:cs="Times New Roman"/>
                <w:color w:val="auto"/>
                <w:sz w:val="21"/>
                <w:szCs w:val="21"/>
                <w:lang w:val="en-US" w:eastAsia="zh-CN"/>
              </w:rPr>
              <w:t>3</w:t>
            </w:r>
            <w:r>
              <w:rPr>
                <w:rFonts w:hint="default" w:ascii="Times New Roman" w:hAnsi="Times New Roman" w:cs="Times New Roman"/>
                <w:color w:val="auto"/>
                <w:sz w:val="21"/>
                <w:szCs w:val="21"/>
              </w:rPr>
              <w:t>年</w:t>
            </w:r>
            <w:r>
              <w:rPr>
                <w:rFonts w:hint="eastAsia" w:cs="Times New Roman"/>
                <w:color w:val="auto"/>
                <w:sz w:val="21"/>
                <w:szCs w:val="21"/>
                <w:lang w:val="en-US" w:eastAsia="zh-CN"/>
              </w:rPr>
              <w:t>2</w:t>
            </w:r>
            <w:r>
              <w:rPr>
                <w:rFonts w:hint="default" w:ascii="Times New Roman" w:hAnsi="Times New Roman" w:cs="Times New Roman"/>
                <w:color w:val="auto"/>
                <w:sz w:val="21"/>
                <w:szCs w:val="21"/>
              </w:rPr>
              <w:t>月的月均在线监测数据，在线监测数据统计结果见表4-</w:t>
            </w:r>
            <w:r>
              <w:rPr>
                <w:rFonts w:hint="eastAsia" w:cs="Times New Roman"/>
                <w:color w:val="auto"/>
                <w:sz w:val="21"/>
                <w:szCs w:val="21"/>
                <w:lang w:val="en-US" w:eastAsia="zh-CN"/>
              </w:rPr>
              <w:t>10</w:t>
            </w:r>
            <w:r>
              <w:rPr>
                <w:rFonts w:hint="default" w:ascii="Times New Roman" w:hAnsi="Times New Roman" w:cs="Times New Roman"/>
                <w:color w:val="auto"/>
                <w:sz w:val="21"/>
                <w:szCs w:val="21"/>
              </w:rPr>
              <w:t>。</w:t>
            </w:r>
          </w:p>
          <w:p>
            <w:pPr>
              <w:spacing w:line="360" w:lineRule="auto"/>
              <w:ind w:firstLine="420" w:firstLineChars="200"/>
              <w:jc w:val="center"/>
              <w:rPr>
                <w:rFonts w:hint="default" w:ascii="Times New Roman" w:hAnsi="Times New Roman" w:eastAsia="黑体" w:cs="Times New Roman"/>
              </w:rPr>
            </w:pPr>
            <w:bookmarkStart w:id="7" w:name="_Hlk9013225"/>
            <w:r>
              <w:rPr>
                <w:rFonts w:hint="default" w:ascii="Times New Roman" w:hAnsi="Times New Roman" w:eastAsia="黑体" w:cs="Times New Roman"/>
              </w:rPr>
              <w:t>表 4-</w:t>
            </w:r>
            <w:r>
              <w:rPr>
                <w:rFonts w:hint="eastAsia" w:eastAsia="黑体" w:cs="Times New Roman"/>
                <w:lang w:val="en-US" w:eastAsia="zh-CN"/>
              </w:rPr>
              <w:t>10</w:t>
            </w:r>
            <w:r>
              <w:rPr>
                <w:rFonts w:hint="default" w:ascii="Times New Roman" w:hAnsi="Times New Roman" w:eastAsia="黑体" w:cs="Times New Roman"/>
              </w:rPr>
              <w:t>淄博市利民净化水有限公司在线监测数据统计结果</w:t>
            </w:r>
            <w:bookmarkEnd w:id="7"/>
            <w:r>
              <w:rPr>
                <w:rFonts w:hint="default" w:ascii="Times New Roman" w:hAnsi="Times New Roman" w:eastAsia="黑体" w:cs="Times New Roman"/>
              </w:rPr>
              <w:t xml:space="preserve"> 单位：mg/L</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2906"/>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时间</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月均COD浓度</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月均氨氮浓度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3</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26.1</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4</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26.7</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5</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24.8</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6</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22.7</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7</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8</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23.5</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default"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9</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25.3</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default" w:ascii="Times New Roman" w:hAnsi="Times New Roman" w:cs="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10</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r>
                    <w:rPr>
                      <w:rFonts w:hint="eastAsia" w:cs="Times New Roman"/>
                      <w:color w:val="auto"/>
                      <w:sz w:val="18"/>
                      <w:szCs w:val="18"/>
                      <w:lang w:val="en-US" w:eastAsia="zh-CN"/>
                    </w:rPr>
                    <w:t>9.3</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11</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28.6</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2</w:t>
                  </w:r>
                  <w:r>
                    <w:rPr>
                      <w:rFonts w:hint="default" w:ascii="Times New Roman" w:hAnsi="Times New Roman" w:cs="Times New Roman"/>
                      <w:color w:val="auto"/>
                      <w:sz w:val="18"/>
                      <w:szCs w:val="18"/>
                    </w:rPr>
                    <w:t>年</w:t>
                  </w:r>
                  <w:r>
                    <w:rPr>
                      <w:rFonts w:hint="eastAsia" w:cs="Times New Roman"/>
                      <w:color w:val="auto"/>
                      <w:sz w:val="18"/>
                      <w:szCs w:val="18"/>
                      <w:lang w:val="en-US" w:eastAsia="zh-CN"/>
                    </w:rPr>
                    <w:t>12</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27.7</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3</w:t>
                  </w:r>
                  <w:r>
                    <w:rPr>
                      <w:rFonts w:hint="default" w:ascii="Times New Roman" w:hAnsi="Times New Roman" w:cs="Times New Roman"/>
                      <w:color w:val="auto"/>
                      <w:sz w:val="18"/>
                      <w:szCs w:val="18"/>
                    </w:rPr>
                    <w:t>年</w:t>
                  </w:r>
                  <w:r>
                    <w:rPr>
                      <w:rFonts w:hint="eastAsia" w:cs="Times New Roman"/>
                      <w:color w:val="auto"/>
                      <w:sz w:val="18"/>
                      <w:szCs w:val="18"/>
                      <w:lang w:val="en-US" w:eastAsia="zh-CN"/>
                    </w:rPr>
                    <w:t>1</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22.9</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w:t>
                  </w:r>
                  <w:r>
                    <w:rPr>
                      <w:rFonts w:hint="eastAsia" w:cs="Times New Roman"/>
                      <w:color w:val="auto"/>
                      <w:sz w:val="18"/>
                      <w:szCs w:val="18"/>
                      <w:lang w:val="en-US" w:eastAsia="zh-CN"/>
                    </w:rPr>
                    <w:t>3</w:t>
                  </w:r>
                  <w:r>
                    <w:rPr>
                      <w:rFonts w:hint="default" w:ascii="Times New Roman" w:hAnsi="Times New Roman" w:cs="Times New Roman"/>
                      <w:color w:val="auto"/>
                      <w:sz w:val="18"/>
                      <w:szCs w:val="18"/>
                    </w:rPr>
                    <w:t>年</w:t>
                  </w:r>
                  <w:r>
                    <w:rPr>
                      <w:rFonts w:hint="eastAsia" w:cs="Times New Roman"/>
                      <w:color w:val="auto"/>
                      <w:sz w:val="18"/>
                      <w:szCs w:val="18"/>
                      <w:lang w:val="en-US" w:eastAsia="zh-CN"/>
                    </w:rPr>
                    <w:t>2</w:t>
                  </w:r>
                  <w:r>
                    <w:rPr>
                      <w:rFonts w:hint="default" w:ascii="Times New Roman" w:hAnsi="Times New Roman" w:cs="Times New Roman"/>
                      <w:color w:val="auto"/>
                      <w:sz w:val="18"/>
                      <w:szCs w:val="18"/>
                    </w:rPr>
                    <w:t>月</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26.6</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4"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均值</w:t>
                  </w:r>
                </w:p>
              </w:tc>
              <w:tc>
                <w:tcPr>
                  <w:tcW w:w="172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r>
                    <w:rPr>
                      <w:rFonts w:hint="eastAsia" w:cs="Times New Roman"/>
                      <w:color w:val="auto"/>
                      <w:sz w:val="18"/>
                      <w:szCs w:val="18"/>
                      <w:lang w:val="en-US" w:eastAsia="zh-CN"/>
                    </w:rPr>
                    <w:t>4.9</w:t>
                  </w:r>
                </w:p>
              </w:tc>
              <w:tc>
                <w:tcPr>
                  <w:tcW w:w="1953" w:type="pct"/>
                  <w:tcBorders>
                    <w:top w:val="single" w:color="auto" w:sz="4" w:space="0"/>
                    <w:left w:val="single" w:color="auto" w:sz="4" w:space="0"/>
                    <w:bottom w:val="single" w:color="auto" w:sz="4" w:space="0"/>
                    <w:right w:val="single" w:color="auto" w:sz="4" w:space="0"/>
                  </w:tcBorders>
                  <w:vAlign w:val="center"/>
                </w:tcPr>
                <w:p>
                  <w:pPr>
                    <w:pStyle w:val="101"/>
                    <w:ind w:firstLine="360" w:firstLineChars="200"/>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2</w:t>
                  </w:r>
                </w:p>
              </w:tc>
            </w:tr>
          </w:tbl>
          <w:p>
            <w:pPr>
              <w:pStyle w:val="101"/>
              <w:wordWrap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由上表可见，淄博</w:t>
            </w:r>
            <w:r>
              <w:rPr>
                <w:rFonts w:hint="eastAsia" w:cs="Times New Roman"/>
                <w:color w:val="auto"/>
                <w:sz w:val="21"/>
                <w:szCs w:val="21"/>
                <w:lang w:eastAsia="zh-CN"/>
              </w:rPr>
              <w:t>市</w:t>
            </w:r>
            <w:r>
              <w:rPr>
                <w:rFonts w:hint="default" w:ascii="Times New Roman" w:hAnsi="Times New Roman" w:cs="Times New Roman"/>
                <w:color w:val="auto"/>
                <w:sz w:val="21"/>
                <w:szCs w:val="21"/>
              </w:rPr>
              <w:t>利民净化水有限公司出水水质主要指标月均值分别为：COD</w:t>
            </w: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4.9</w:t>
            </w:r>
            <w:r>
              <w:rPr>
                <w:rFonts w:hint="default" w:ascii="Times New Roman" w:hAnsi="Times New Roman" w:cs="Times New Roman"/>
                <w:color w:val="auto"/>
                <w:sz w:val="21"/>
                <w:szCs w:val="21"/>
              </w:rPr>
              <w:t>mg/L、NH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 0.</w:t>
            </w:r>
            <w:r>
              <w:rPr>
                <w:rFonts w:hint="eastAsia" w:cs="Times New Roman"/>
                <w:color w:val="auto"/>
                <w:sz w:val="21"/>
                <w:szCs w:val="21"/>
                <w:lang w:val="en-US" w:eastAsia="zh-CN"/>
              </w:rPr>
              <w:t>2</w:t>
            </w:r>
            <w:r>
              <w:rPr>
                <w:rFonts w:hint="default" w:ascii="Times New Roman" w:hAnsi="Times New Roman" w:cs="Times New Roman"/>
                <w:color w:val="auto"/>
                <w:sz w:val="21"/>
                <w:szCs w:val="21"/>
              </w:rPr>
              <w:t>mg/L，能够满足《城镇污水处理厂污染物排放标准》(GB18918-2002)一级 A 标准的要求及《淄博市孝妇河流域“治用保”水污染综合治理实施方案》管理要求（COD≤40mg/L、氨氮≤2mg/L）。</w:t>
            </w:r>
          </w:p>
          <w:p>
            <w:pPr>
              <w:pStyle w:val="101"/>
              <w:spacing w:line="360" w:lineRule="auto"/>
              <w:ind w:firstLine="420" w:firstLineChars="200"/>
              <w:jc w:val="both"/>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本项目外排的废水</w:t>
            </w:r>
            <w:r>
              <w:rPr>
                <w:rFonts w:hint="eastAsia" w:cs="Times New Roman"/>
                <w:color w:val="auto"/>
                <w:sz w:val="21"/>
                <w:szCs w:val="21"/>
                <w:lang w:eastAsia="zh-CN"/>
              </w:rPr>
              <w:t>为</w:t>
            </w:r>
            <w:r>
              <w:rPr>
                <w:rFonts w:hint="default" w:ascii="Times New Roman" w:hAnsi="Times New Roman" w:cs="Times New Roman"/>
                <w:color w:val="auto"/>
                <w:sz w:val="21"/>
                <w:szCs w:val="21"/>
              </w:rPr>
              <w:t>生活污水，主要污染物为 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、氨氮、悬浮物等因子，污染物浓度满足</w:t>
            </w:r>
            <w:r>
              <w:rPr>
                <w:rFonts w:hint="default" w:ascii="Times New Roman" w:hAnsi="Times New Roman" w:cs="Times New Roman"/>
                <w:color w:val="auto"/>
                <w:kern w:val="2"/>
                <w:sz w:val="21"/>
              </w:rPr>
              <w:t>《污水排入城镇下水道水质标准》（GB/T31962-2015）B等级限值要求且浓度较低</w:t>
            </w:r>
            <w:r>
              <w:rPr>
                <w:rFonts w:hint="default" w:ascii="Times New Roman" w:hAnsi="Times New Roman" w:cs="Times New Roman"/>
                <w:color w:val="auto"/>
                <w:kern w:val="2"/>
                <w:sz w:val="21"/>
                <w:highlight w:val="none"/>
              </w:rPr>
              <w:t>，符合</w:t>
            </w:r>
            <w:r>
              <w:rPr>
                <w:rFonts w:hint="default" w:ascii="Times New Roman" w:hAnsi="Times New Roman" w:cs="Times New Roman"/>
                <w:color w:val="auto"/>
                <w:sz w:val="21"/>
                <w:szCs w:val="21"/>
                <w:highlight w:val="none"/>
              </w:rPr>
              <w:t>污水厂进水水质及处理工艺要求，经淄博市利民净化水有限公司深度处理后排入孝妇河的COD量为</w:t>
            </w:r>
            <w:r>
              <w:rPr>
                <w:rFonts w:hint="eastAsia" w:cs="Times New Roman"/>
                <w:color w:val="auto"/>
                <w:sz w:val="21"/>
                <w:szCs w:val="21"/>
                <w:highlight w:val="none"/>
                <w:lang w:val="en-US" w:eastAsia="zh-CN"/>
              </w:rPr>
              <w:t>0.0091</w:t>
            </w:r>
            <w:r>
              <w:rPr>
                <w:rFonts w:hint="default" w:ascii="Times New Roman" w:hAnsi="Times New Roman" w:cs="Times New Roman"/>
                <w:color w:val="auto"/>
                <w:sz w:val="21"/>
                <w:szCs w:val="21"/>
                <w:highlight w:val="none"/>
              </w:rPr>
              <w:t>t/a，氨氮量为0.0</w:t>
            </w:r>
            <w:r>
              <w:rPr>
                <w:rFonts w:hint="eastAsia" w:cs="Times New Roman"/>
                <w:color w:val="auto"/>
                <w:sz w:val="21"/>
                <w:szCs w:val="21"/>
                <w:highlight w:val="none"/>
                <w:lang w:val="en-US" w:eastAsia="zh-CN"/>
              </w:rPr>
              <w:t>001</w:t>
            </w:r>
            <w:r>
              <w:rPr>
                <w:rFonts w:hint="default" w:ascii="Times New Roman" w:hAnsi="Times New Roman" w:cs="Times New Roman"/>
                <w:color w:val="auto"/>
                <w:sz w:val="21"/>
                <w:szCs w:val="21"/>
                <w:highlight w:val="none"/>
              </w:rPr>
              <w:t>t/a。</w:t>
            </w:r>
          </w:p>
          <w:p>
            <w:pPr>
              <w:pStyle w:val="101"/>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本项目年排水量</w:t>
            </w:r>
            <w:r>
              <w:rPr>
                <w:rFonts w:hint="eastAsia" w:cs="Times New Roman"/>
                <w:color w:val="auto"/>
                <w:sz w:val="21"/>
                <w:szCs w:val="21"/>
                <w:lang w:val="en-US" w:eastAsia="zh-CN"/>
              </w:rPr>
              <w:t>364.8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/a，间歇排放，日均排水量约</w:t>
            </w:r>
            <w:r>
              <w:rPr>
                <w:rFonts w:hint="eastAsia" w:cs="Times New Roman"/>
                <w:color w:val="auto"/>
                <w:sz w:val="21"/>
                <w:szCs w:val="21"/>
                <w:lang w:val="en-US" w:eastAsia="zh-CN"/>
              </w:rPr>
              <w:t>1.22</w:t>
            </w:r>
            <w:r>
              <w:rPr>
                <w:rFonts w:hint="default" w:ascii="Times New Roman" w:hAnsi="Times New Roman" w:cs="Times New Roman"/>
                <w:color w:val="auto"/>
                <w:sz w:val="21"/>
                <w:szCs w:val="21"/>
              </w:rPr>
              <w:t>t/d，约占淄博利民净化水有限公司的当前水处理能力（12万t/d）的0.00</w:t>
            </w:r>
            <w:r>
              <w:rPr>
                <w:rFonts w:hint="eastAsia" w:cs="Times New Roman"/>
                <w:color w:val="auto"/>
                <w:sz w:val="21"/>
                <w:szCs w:val="21"/>
                <w:lang w:val="en-US" w:eastAsia="zh-CN"/>
              </w:rPr>
              <w:t>1</w:t>
            </w:r>
            <w:r>
              <w:rPr>
                <w:rFonts w:hint="default" w:ascii="Times New Roman" w:hAnsi="Times New Roman" w:cs="Times New Roman"/>
                <w:color w:val="auto"/>
                <w:sz w:val="21"/>
                <w:szCs w:val="21"/>
              </w:rPr>
              <w:t>%，淄博</w:t>
            </w:r>
            <w:r>
              <w:rPr>
                <w:rFonts w:hint="eastAsia" w:cs="Times New Roman"/>
                <w:color w:val="auto"/>
                <w:sz w:val="21"/>
                <w:szCs w:val="21"/>
                <w:lang w:eastAsia="zh-CN"/>
              </w:rPr>
              <w:t>市</w:t>
            </w:r>
            <w:r>
              <w:rPr>
                <w:rFonts w:hint="default" w:ascii="Times New Roman" w:hAnsi="Times New Roman" w:cs="Times New Roman"/>
                <w:color w:val="auto"/>
                <w:sz w:val="21"/>
                <w:szCs w:val="21"/>
              </w:rPr>
              <w:t>利民净化水有限公司的当前的实际处理量约</w:t>
            </w:r>
            <w:r>
              <w:rPr>
                <w:rFonts w:hint="eastAsia" w:cs="Times New Roman"/>
                <w:color w:val="auto"/>
                <w:sz w:val="21"/>
                <w:szCs w:val="21"/>
                <w:lang w:val="en-US" w:eastAsia="zh-CN"/>
              </w:rPr>
              <w:t>9.95</w:t>
            </w:r>
            <w:r>
              <w:rPr>
                <w:rFonts w:hint="default" w:ascii="Times New Roman" w:hAnsi="Times New Roman" w:cs="Times New Roman"/>
                <w:color w:val="auto"/>
                <w:sz w:val="21"/>
                <w:szCs w:val="21"/>
              </w:rPr>
              <w:t>万t/d，富余约</w:t>
            </w:r>
            <w:r>
              <w:rPr>
                <w:rFonts w:hint="eastAsia" w:cs="Times New Roman"/>
                <w:color w:val="auto"/>
                <w:sz w:val="21"/>
                <w:szCs w:val="21"/>
                <w:lang w:val="en-US" w:eastAsia="zh-CN"/>
              </w:rPr>
              <w:t>2.05</w:t>
            </w:r>
            <w:r>
              <w:rPr>
                <w:rFonts w:hint="default" w:ascii="Times New Roman" w:hAnsi="Times New Roman" w:cs="Times New Roman"/>
                <w:color w:val="auto"/>
                <w:sz w:val="21"/>
                <w:szCs w:val="21"/>
              </w:rPr>
              <w:t>万t/d，富余量完全可满足本项目生活污水处理需求。</w:t>
            </w:r>
          </w:p>
          <w:p>
            <w:pPr>
              <w:pStyle w:val="101"/>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所以，本项目</w:t>
            </w:r>
            <w:r>
              <w:rPr>
                <w:rFonts w:hint="default" w:ascii="Times New Roman" w:hAnsi="Times New Roman" w:cs="Times New Roman"/>
                <w:color w:val="auto"/>
                <w:sz w:val="21"/>
                <w:szCs w:val="21"/>
                <w:lang w:eastAsia="zh-CN"/>
              </w:rPr>
              <w:t>废</w:t>
            </w:r>
            <w:r>
              <w:rPr>
                <w:rFonts w:hint="default" w:ascii="Times New Roman" w:hAnsi="Times New Roman" w:cs="Times New Roman"/>
                <w:color w:val="auto"/>
                <w:sz w:val="21"/>
                <w:szCs w:val="21"/>
              </w:rPr>
              <w:t>水依托水处理设施可行。</w:t>
            </w:r>
          </w:p>
          <w:p>
            <w:pPr>
              <w:pStyle w:val="101"/>
              <w:spacing w:line="360" w:lineRule="auto"/>
              <w:ind w:firstLine="420" w:firstLineChars="200"/>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4、影响分析</w:t>
            </w:r>
          </w:p>
          <w:p>
            <w:pPr>
              <w:pStyle w:val="377"/>
              <w:spacing w:beforeLines="50"/>
              <w:ind w:firstLine="31680"/>
              <w:rPr>
                <w:rFonts w:hint="default" w:ascii="Times New Roman" w:hAnsi="Times New Roman" w:cs="Times New Roman"/>
                <w:sz w:val="21"/>
                <w:szCs w:val="21"/>
              </w:rPr>
            </w:pPr>
            <w:r>
              <w:rPr>
                <w:rFonts w:hint="default" w:ascii="Times New Roman" w:hAnsi="Times New Roman" w:cs="Times New Roman"/>
                <w:sz w:val="21"/>
                <w:szCs w:val="21"/>
              </w:rPr>
              <w:t>本项目外排的废水为生活污水，主要污染物为COD、BOD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、氨氮</w:t>
            </w:r>
            <w:r>
              <w:rPr>
                <w:rFonts w:hint="eastAsia" w:cs="Times New Roman"/>
                <w:sz w:val="21"/>
                <w:szCs w:val="21"/>
                <w:lang w:eastAsia="zh-CN"/>
              </w:rPr>
              <w:t>、</w:t>
            </w:r>
            <w:r>
              <w:rPr>
                <w:rFonts w:hint="eastAsia" w:cs="Times New Roman"/>
                <w:sz w:val="21"/>
                <w:szCs w:val="21"/>
                <w:lang w:val="en-US" w:eastAsia="zh-CN"/>
              </w:rPr>
              <w:t>SS</w:t>
            </w:r>
            <w:r>
              <w:rPr>
                <w:rFonts w:hint="default" w:ascii="Times New Roman" w:hAnsi="Times New Roman" w:cs="Times New Roman"/>
                <w:sz w:val="21"/>
                <w:szCs w:val="21"/>
              </w:rPr>
              <w:t>等常规因子，污染物浓度满足</w:t>
            </w:r>
            <w:r>
              <w:rPr>
                <w:rFonts w:hint="default" w:ascii="Times New Roman" w:hAnsi="Times New Roman" w:cs="Times New Roman"/>
                <w:sz w:val="21"/>
                <w:szCs w:val="24"/>
              </w:rPr>
              <w:t>《污水排入城镇下水道水质标准》（GB/T31962-2015）B等级限值要求且浓度较低，</w:t>
            </w:r>
            <w:r>
              <w:rPr>
                <w:rFonts w:hint="default" w:ascii="Times New Roman" w:hAnsi="Times New Roman" w:cs="Times New Roman"/>
                <w:sz w:val="21"/>
                <w:szCs w:val="21"/>
              </w:rPr>
              <w:t>排入城镇污水管网送淄博市利民净化水有限公司进一步处理达标后排入孝妇河。生活污水间歇排放，水量较小，依托淄博市利民净化水有限公司进一步处理合理可行。因此，在采取分类收集、分区防渗等环保措施下，本项目外排的</w:t>
            </w:r>
            <w:r>
              <w:rPr>
                <w:rFonts w:hint="default" w:ascii="Times New Roman" w:hAnsi="Times New Roman" w:cs="Times New Roman"/>
                <w:sz w:val="21"/>
                <w:szCs w:val="21"/>
                <w:lang w:eastAsia="zh-CN"/>
              </w:rPr>
              <w:t>废</w:t>
            </w:r>
            <w:r>
              <w:rPr>
                <w:rFonts w:hint="default" w:ascii="Times New Roman" w:hAnsi="Times New Roman" w:cs="Times New Roman"/>
                <w:sz w:val="21"/>
                <w:szCs w:val="21"/>
              </w:rPr>
              <w:t>水不会对周边地表水环境造成影响。</w:t>
            </w:r>
          </w:p>
          <w:p>
            <w:pPr>
              <w:pStyle w:val="101"/>
              <w:spacing w:line="360" w:lineRule="auto"/>
              <w:ind w:firstLine="420" w:firstLineChars="200"/>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5、自行监测方案</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依据</w:t>
            </w:r>
            <w:r>
              <w:rPr>
                <w:rFonts w:hint="default" w:ascii="Times New Roman" w:hAnsi="Times New Roman" w:cs="Times New Roman"/>
              </w:rPr>
              <w:t xml:space="preserve">《排污单位自行监测技术指南 </w:t>
            </w:r>
            <w:r>
              <w:rPr>
                <w:rFonts w:hint="eastAsia" w:cs="Times New Roman"/>
                <w:lang w:eastAsia="zh-CN"/>
              </w:rPr>
              <w:t>橡胶和塑料制品</w:t>
            </w:r>
            <w:r>
              <w:rPr>
                <w:rFonts w:hint="default" w:ascii="Times New Roman" w:hAnsi="Times New Roman" w:cs="Times New Roman"/>
              </w:rPr>
              <w:t>》（HJ</w:t>
            </w:r>
            <w:r>
              <w:rPr>
                <w:rFonts w:hint="default" w:ascii="Times New Roman" w:hAnsi="Times New Roman" w:cs="Times New Roman"/>
                <w:lang w:val="en-US" w:eastAsia="zh-CN"/>
              </w:rPr>
              <w:t>1</w:t>
            </w:r>
            <w:r>
              <w:rPr>
                <w:rFonts w:hint="eastAsia" w:cs="Times New Roman"/>
                <w:lang w:val="en-US" w:eastAsia="zh-CN"/>
              </w:rPr>
              <w:t>207</w:t>
            </w:r>
            <w:r>
              <w:rPr>
                <w:rFonts w:hint="default" w:ascii="Times New Roman" w:hAnsi="Times New Roman" w:cs="Times New Roman"/>
              </w:rPr>
              <w:t>-20</w:t>
            </w:r>
            <w:r>
              <w:rPr>
                <w:rFonts w:hint="eastAsia" w:cs="Times New Roman"/>
                <w:lang w:val="en-US" w:eastAsia="zh-CN"/>
              </w:rPr>
              <w:t>21</w:t>
            </w:r>
            <w:r>
              <w:rPr>
                <w:rFonts w:hint="default" w:ascii="Times New Roman" w:hAnsi="Times New Roman" w:cs="Times New Roman"/>
              </w:rPr>
              <w:t>）</w:t>
            </w:r>
            <w:r>
              <w:rPr>
                <w:rFonts w:hint="default" w:ascii="Times New Roman" w:hAnsi="Times New Roman" w:cs="Times New Roman"/>
                <w:szCs w:val="21"/>
              </w:rPr>
              <w:t>，对本项目废水的日常监测要求如下表所示：</w:t>
            </w:r>
          </w:p>
          <w:p>
            <w:pPr>
              <w:spacing w:line="360" w:lineRule="auto"/>
              <w:ind w:firstLine="420" w:firstLineChars="200"/>
              <w:jc w:val="center"/>
              <w:rPr>
                <w:rFonts w:hint="default" w:ascii="Times New Roman" w:hAnsi="Times New Roman" w:eastAsia="黑体" w:cs="Times New Roman"/>
              </w:rPr>
            </w:pPr>
            <w:r>
              <w:rPr>
                <w:rFonts w:hint="default" w:ascii="Times New Roman" w:hAnsi="Times New Roman" w:eastAsia="黑体" w:cs="Times New Roman"/>
              </w:rPr>
              <w:t>表4-</w:t>
            </w:r>
            <w:r>
              <w:rPr>
                <w:rFonts w:hint="eastAsia" w:eastAsia="黑体" w:cs="Times New Roman"/>
                <w:lang w:val="en-US" w:eastAsia="zh-CN"/>
              </w:rPr>
              <w:t>11</w:t>
            </w:r>
            <w:r>
              <w:rPr>
                <w:rFonts w:hint="default" w:ascii="Times New Roman" w:hAnsi="Times New Roman" w:eastAsia="黑体" w:cs="Times New Roman"/>
              </w:rPr>
              <w:t xml:space="preserve">  建设项目废水监测要求</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5"/>
              <w:gridCol w:w="2752"/>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监测点位</w:t>
                  </w:r>
                </w:p>
              </w:tc>
              <w:tc>
                <w:tcPr>
                  <w:tcW w:w="275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监测指标</w:t>
                  </w:r>
                </w:p>
              </w:tc>
              <w:tc>
                <w:tcPr>
                  <w:tcW w:w="28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278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lang w:val="en-US" w:eastAsia="zh-CN"/>
                    </w:rPr>
                    <w:t>DW00</w:t>
                  </w:r>
                  <w:r>
                    <w:rPr>
                      <w:rFonts w:hint="eastAsia" w:cs="Times New Roman"/>
                      <w:sz w:val="18"/>
                      <w:szCs w:val="18"/>
                      <w:lang w:val="en-US" w:eastAsia="zh-CN"/>
                    </w:rPr>
                    <w:t>1</w:t>
                  </w:r>
                  <w:r>
                    <w:rPr>
                      <w:rFonts w:hint="default" w:ascii="Times New Roman" w:hAnsi="Times New Roman" w:cs="Times New Roman"/>
                      <w:sz w:val="18"/>
                      <w:szCs w:val="18"/>
                      <w:lang w:val="en-US" w:eastAsia="zh-CN"/>
                    </w:rPr>
                    <w:t>（生活污水排放口）</w:t>
                  </w:r>
                </w:p>
              </w:tc>
              <w:tc>
                <w:tcPr>
                  <w:tcW w:w="275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流量、COD、氨氮、悬浮物、五日生化需氧量</w:t>
                  </w:r>
                </w:p>
              </w:tc>
              <w:tc>
                <w:tcPr>
                  <w:tcW w:w="28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w:t>
                  </w:r>
                </w:p>
              </w:tc>
            </w:tr>
          </w:tbl>
          <w:p>
            <w:pPr>
              <w:spacing w:line="420" w:lineRule="exact"/>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三、噪声：</w:t>
            </w:r>
          </w:p>
          <w:p>
            <w:pPr>
              <w:spacing w:line="420" w:lineRule="exact"/>
              <w:ind w:firstLine="420" w:firstLineChars="200"/>
              <w:rPr>
                <w:rFonts w:hint="default" w:ascii="Times New Roman" w:hAnsi="Times New Roman" w:eastAsia="黑体" w:cs="Times New Roman"/>
                <w:szCs w:val="21"/>
                <w:lang w:val="de-DE"/>
              </w:rPr>
            </w:pPr>
            <w:r>
              <w:rPr>
                <w:rFonts w:hint="default" w:ascii="Times New Roman" w:hAnsi="Times New Roman" w:eastAsia="黑体" w:cs="Times New Roman"/>
                <w:szCs w:val="21"/>
                <w:lang w:val="de-DE"/>
              </w:rPr>
              <w:t>1、噪声源强及降噪措施</w:t>
            </w:r>
          </w:p>
          <w:p>
            <w:pPr>
              <w:spacing w:line="420" w:lineRule="exact"/>
              <w:ind w:firstLine="420" w:firstLineChars="200"/>
              <w:rPr>
                <w:rFonts w:hint="default" w:ascii="Times New Roman" w:hAnsi="Times New Roman" w:cs="Times New Roman"/>
              </w:rPr>
            </w:pPr>
            <w:r>
              <w:rPr>
                <w:rFonts w:hint="default" w:ascii="Times New Roman" w:hAnsi="Times New Roman" w:cs="Times New Roman"/>
              </w:rPr>
              <w:t>本项目噪声主要为</w:t>
            </w:r>
            <w:r>
              <w:rPr>
                <w:rFonts w:hint="eastAsia" w:cs="Times New Roman"/>
                <w:lang w:eastAsia="zh-CN"/>
              </w:rPr>
              <w:t>缝纫机、搅拌机、烘干炉、涂胶机、切割机、风机</w:t>
            </w:r>
            <w:r>
              <w:rPr>
                <w:rFonts w:hint="default" w:ascii="Times New Roman" w:hAnsi="Times New Roman" w:cs="Times New Roman"/>
              </w:rPr>
              <w:t>等设备产生的噪声，根据国内同类行业的车间内噪声值的经验数据，其噪声级一般在</w:t>
            </w:r>
            <w:r>
              <w:rPr>
                <w:rFonts w:hint="eastAsia" w:cs="Times New Roman"/>
                <w:lang w:val="en-US" w:eastAsia="zh-CN"/>
              </w:rPr>
              <w:t>8</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9</w:t>
            </w:r>
            <w:r>
              <w:rPr>
                <w:rFonts w:hint="default" w:ascii="Times New Roman" w:hAnsi="Times New Roman" w:cs="Times New Roman"/>
              </w:rPr>
              <w:t>5dB（A）。</w:t>
            </w:r>
            <w:r>
              <w:rPr>
                <w:rFonts w:hint="eastAsia" w:cs="Times New Roman"/>
                <w:lang w:eastAsia="zh-CN"/>
              </w:rPr>
              <w:t>搅拌机、烘干机、涂胶机</w:t>
            </w:r>
            <w:r>
              <w:rPr>
                <w:rFonts w:hint="default" w:ascii="Times New Roman" w:hAnsi="Times New Roman" w:cs="Times New Roman"/>
              </w:rPr>
              <w:t>噪声持续排放时间为</w:t>
            </w:r>
            <w:r>
              <w:rPr>
                <w:rFonts w:hint="default" w:ascii="Times New Roman" w:hAnsi="Times New Roman" w:cs="Times New Roman"/>
                <w:lang w:eastAsia="zh-CN"/>
              </w:rPr>
              <w:t>白</w:t>
            </w:r>
            <w:r>
              <w:rPr>
                <w:rFonts w:hint="default" w:ascii="Times New Roman" w:hAnsi="Times New Roman" w:cs="Times New Roman"/>
              </w:rPr>
              <w:t>天</w:t>
            </w:r>
            <w:r>
              <w:rPr>
                <w:rFonts w:hint="default" w:ascii="Times New Roman" w:hAnsi="Times New Roman" w:cs="Times New Roman"/>
                <w:lang w:val="en-US" w:eastAsia="zh-CN"/>
              </w:rPr>
              <w:t>8</w:t>
            </w:r>
            <w:r>
              <w:rPr>
                <w:rFonts w:hint="default" w:ascii="Times New Roman" w:hAnsi="Times New Roman" w:cs="Times New Roman"/>
              </w:rPr>
              <w:t>h</w:t>
            </w:r>
            <w:r>
              <w:rPr>
                <w:rFonts w:hint="eastAsia" w:cs="Times New Roman"/>
                <w:lang w:eastAsia="zh-CN"/>
              </w:rPr>
              <w:t>，固化剂、切割机持续排放时间为</w:t>
            </w:r>
            <w:r>
              <w:rPr>
                <w:rFonts w:hint="eastAsia" w:cs="Times New Roman"/>
                <w:lang w:val="en-US" w:eastAsia="zh-CN"/>
              </w:rPr>
              <w:t>24h</w:t>
            </w:r>
            <w:r>
              <w:rPr>
                <w:rFonts w:hint="eastAsia" w:cs="Times New Roman"/>
                <w:lang w:eastAsia="zh-CN"/>
              </w:rPr>
              <w:t>，风机噪声持续时间为全天</w:t>
            </w:r>
            <w:r>
              <w:rPr>
                <w:rFonts w:hint="eastAsia" w:cs="Times New Roman"/>
                <w:lang w:val="en-US" w:eastAsia="zh-CN"/>
              </w:rPr>
              <w:t>24h</w:t>
            </w:r>
            <w:r>
              <w:rPr>
                <w:rFonts w:hint="default" w:ascii="Times New Roman" w:hAnsi="Times New Roman" w:cs="Times New Roman"/>
              </w:rPr>
              <w:t>。根据不同的噪声设备采取针对性的噪声治理措施如基础减振、柔性接口、隔音房、消音器、隔声罩等设施，采用消音措施后可削减现有源强15～20dB（A）。本次预测按照实际生产情况进行噪声预测。噪声源详情见表4-</w:t>
            </w:r>
            <w:r>
              <w:rPr>
                <w:rFonts w:hint="eastAsia" w:cs="Times New Roman"/>
                <w:lang w:val="en-US" w:eastAsia="zh-CN"/>
              </w:rPr>
              <w:t>12</w:t>
            </w:r>
            <w:r>
              <w:rPr>
                <w:rFonts w:hint="default" w:ascii="Times New Roman" w:hAnsi="Times New Roman" w:cs="Times New Roman"/>
              </w:rPr>
              <w:t>。</w:t>
            </w:r>
          </w:p>
          <w:p>
            <w:pPr>
              <w:spacing w:line="420" w:lineRule="exact"/>
              <w:jc w:val="center"/>
              <w:rPr>
                <w:rFonts w:hint="default" w:ascii="Times New Roman" w:hAnsi="Times New Roman" w:eastAsia="黑体" w:cs="Times New Roman"/>
                <w:bCs/>
                <w:szCs w:val="21"/>
              </w:rPr>
            </w:pPr>
            <w:r>
              <w:rPr>
                <w:rFonts w:hint="default" w:ascii="Times New Roman" w:hAnsi="Times New Roman" w:eastAsia="黑体" w:cs="Times New Roman"/>
                <w:bCs/>
                <w:szCs w:val="21"/>
              </w:rPr>
              <w:t>表4</w:t>
            </w:r>
            <w:r>
              <w:rPr>
                <w:rFonts w:hint="eastAsia" w:eastAsia="黑体" w:cs="Times New Roman"/>
                <w:bCs/>
                <w:szCs w:val="21"/>
                <w:lang w:val="en-US" w:eastAsia="zh-CN"/>
              </w:rPr>
              <w:t>-12</w:t>
            </w:r>
            <w:r>
              <w:rPr>
                <w:rFonts w:hint="default" w:ascii="Times New Roman" w:hAnsi="Times New Roman" w:eastAsia="黑体" w:cs="Times New Roman"/>
                <w:bCs/>
                <w:szCs w:val="21"/>
              </w:rPr>
              <w:t xml:space="preserve">   本项目设备噪声产生情况</w:t>
            </w:r>
          </w:p>
          <w:tbl>
            <w:tblPr>
              <w:tblStyle w:val="85"/>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16"/>
              <w:gridCol w:w="1144"/>
              <w:gridCol w:w="1388"/>
              <w:gridCol w:w="780"/>
              <w:gridCol w:w="885"/>
              <w:gridCol w:w="657"/>
              <w:gridCol w:w="931"/>
              <w:gridCol w:w="11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7" w:type="dxa"/>
                  <w:vMerge w:val="restart"/>
                  <w:tcBorders>
                    <w:top w:val="single" w:color="auto" w:sz="2" w:space="0"/>
                    <w:left w:val="single" w:color="auto" w:sz="2" w:space="0"/>
                    <w:bottom w:val="single" w:color="auto" w:sz="4" w:space="0"/>
                    <w:right w:val="single" w:color="auto" w:sz="4" w:space="0"/>
                  </w:tcBorders>
                  <w:vAlign w:val="center"/>
                </w:tcPr>
                <w:p>
                  <w:pPr>
                    <w:spacing w:line="240" w:lineRule="exact"/>
                    <w:jc w:val="center"/>
                    <w:rPr>
                      <w:b/>
                      <w:bCs/>
                      <w:sz w:val="18"/>
                      <w:szCs w:val="18"/>
                    </w:rPr>
                  </w:pPr>
                  <w:r>
                    <w:rPr>
                      <w:b/>
                      <w:bCs/>
                      <w:sz w:val="18"/>
                      <w:szCs w:val="18"/>
                    </w:rPr>
                    <w:t>车间</w:t>
                  </w:r>
                </w:p>
              </w:tc>
              <w:tc>
                <w:tcPr>
                  <w:tcW w:w="916" w:type="dxa"/>
                  <w:vMerge w:val="restart"/>
                  <w:tcBorders>
                    <w:top w:val="single" w:color="auto" w:sz="2" w:space="0"/>
                    <w:left w:val="single" w:color="auto" w:sz="4" w:space="0"/>
                    <w:bottom w:val="single" w:color="auto" w:sz="4" w:space="0"/>
                    <w:right w:val="single" w:color="auto" w:sz="4" w:space="0"/>
                  </w:tcBorders>
                  <w:vAlign w:val="center"/>
                </w:tcPr>
                <w:p>
                  <w:pPr>
                    <w:spacing w:line="240" w:lineRule="exact"/>
                    <w:jc w:val="center"/>
                    <w:rPr>
                      <w:b/>
                      <w:bCs/>
                      <w:sz w:val="18"/>
                      <w:szCs w:val="18"/>
                    </w:rPr>
                  </w:pPr>
                  <w:r>
                    <w:rPr>
                      <w:b/>
                      <w:bCs/>
                      <w:sz w:val="18"/>
                      <w:szCs w:val="18"/>
                    </w:rPr>
                    <w:t>噪声源名称</w:t>
                  </w:r>
                </w:p>
              </w:tc>
              <w:tc>
                <w:tcPr>
                  <w:tcW w:w="1144" w:type="dxa"/>
                  <w:vMerge w:val="restart"/>
                  <w:tcBorders>
                    <w:top w:val="single" w:color="auto" w:sz="2" w:space="0"/>
                    <w:left w:val="single" w:color="auto" w:sz="4" w:space="0"/>
                    <w:bottom w:val="single" w:color="auto" w:sz="4" w:space="0"/>
                    <w:right w:val="single" w:color="auto" w:sz="4" w:space="0"/>
                  </w:tcBorders>
                  <w:vAlign w:val="center"/>
                </w:tcPr>
                <w:p>
                  <w:pPr>
                    <w:spacing w:line="240" w:lineRule="exact"/>
                    <w:jc w:val="center"/>
                    <w:rPr>
                      <w:b/>
                      <w:bCs/>
                      <w:sz w:val="18"/>
                      <w:szCs w:val="18"/>
                    </w:rPr>
                  </w:pPr>
                  <w:r>
                    <w:rPr>
                      <w:b/>
                      <w:bCs/>
                      <w:sz w:val="18"/>
                      <w:szCs w:val="18"/>
                    </w:rPr>
                    <w:t>正常生产设备台数</w:t>
                  </w:r>
                </w:p>
              </w:tc>
              <w:tc>
                <w:tcPr>
                  <w:tcW w:w="1388" w:type="dxa"/>
                  <w:vMerge w:val="restart"/>
                  <w:tcBorders>
                    <w:top w:val="single" w:color="auto" w:sz="2" w:space="0"/>
                    <w:left w:val="single" w:color="auto" w:sz="4" w:space="0"/>
                    <w:right w:val="single" w:color="auto" w:sz="2" w:space="0"/>
                  </w:tcBorders>
                  <w:vAlign w:val="center"/>
                </w:tcPr>
                <w:p>
                  <w:pPr>
                    <w:spacing w:line="240" w:lineRule="exact"/>
                    <w:jc w:val="center"/>
                    <w:rPr>
                      <w:rFonts w:hint="eastAsia" w:eastAsia="宋体"/>
                      <w:b/>
                      <w:bCs/>
                      <w:sz w:val="18"/>
                      <w:szCs w:val="18"/>
                      <w:lang w:eastAsia="zh-CN"/>
                    </w:rPr>
                  </w:pPr>
                  <w:r>
                    <w:rPr>
                      <w:rFonts w:hint="eastAsia"/>
                      <w:b/>
                      <w:bCs/>
                      <w:sz w:val="18"/>
                      <w:szCs w:val="18"/>
                      <w:lang w:eastAsia="zh-CN"/>
                    </w:rPr>
                    <w:t>室内噪声级</w:t>
                  </w:r>
                  <w:r>
                    <w:rPr>
                      <w:rFonts w:hint="eastAsia"/>
                      <w:b/>
                      <w:bCs/>
                      <w:sz w:val="18"/>
                      <w:szCs w:val="18"/>
                      <w:lang w:val="en-US" w:eastAsia="zh-CN"/>
                    </w:rPr>
                    <w:t>dB</w:t>
                  </w:r>
                  <w:r>
                    <w:rPr>
                      <w:rFonts w:hint="eastAsia"/>
                      <w:b/>
                      <w:bCs/>
                      <w:sz w:val="18"/>
                      <w:szCs w:val="18"/>
                      <w:lang w:eastAsia="zh-CN"/>
                    </w:rPr>
                    <w:t>（</w:t>
                  </w:r>
                  <w:r>
                    <w:rPr>
                      <w:rFonts w:hint="eastAsia"/>
                      <w:b/>
                      <w:bCs/>
                      <w:sz w:val="18"/>
                      <w:szCs w:val="18"/>
                      <w:lang w:val="en-US" w:eastAsia="zh-CN"/>
                    </w:rPr>
                    <w:t>A</w:t>
                  </w:r>
                  <w:r>
                    <w:rPr>
                      <w:rFonts w:hint="eastAsia"/>
                      <w:b/>
                      <w:bCs/>
                      <w:sz w:val="18"/>
                      <w:szCs w:val="18"/>
                      <w:lang w:eastAsia="zh-CN"/>
                    </w:rPr>
                    <w:t>）</w:t>
                  </w:r>
                </w:p>
              </w:tc>
              <w:tc>
                <w:tcPr>
                  <w:tcW w:w="3253" w:type="dxa"/>
                  <w:gridSpan w:val="4"/>
                  <w:tcBorders>
                    <w:top w:val="single" w:color="auto" w:sz="2" w:space="0"/>
                    <w:left w:val="single" w:color="auto" w:sz="4" w:space="0"/>
                    <w:bottom w:val="single" w:color="auto" w:sz="4" w:space="0"/>
                    <w:right w:val="single" w:color="auto" w:sz="2" w:space="0"/>
                  </w:tcBorders>
                  <w:vAlign w:val="center"/>
                </w:tcPr>
                <w:p>
                  <w:pPr>
                    <w:spacing w:line="240" w:lineRule="exact"/>
                    <w:jc w:val="center"/>
                    <w:rPr>
                      <w:b/>
                      <w:bCs/>
                      <w:sz w:val="18"/>
                      <w:szCs w:val="18"/>
                    </w:rPr>
                  </w:pPr>
                  <w:r>
                    <w:rPr>
                      <w:rFonts w:hint="eastAsia"/>
                      <w:b/>
                      <w:bCs/>
                      <w:sz w:val="18"/>
                      <w:szCs w:val="18"/>
                    </w:rPr>
                    <w:t>与厂界距离（m）</w:t>
                  </w:r>
                </w:p>
              </w:tc>
              <w:tc>
                <w:tcPr>
                  <w:tcW w:w="1129" w:type="dxa"/>
                  <w:vMerge w:val="restart"/>
                  <w:tcBorders>
                    <w:top w:val="single" w:color="auto" w:sz="2" w:space="0"/>
                    <w:left w:val="single" w:color="auto" w:sz="4" w:space="0"/>
                    <w:bottom w:val="single" w:color="auto" w:sz="4" w:space="0"/>
                    <w:right w:val="single" w:color="auto" w:sz="2" w:space="0"/>
                  </w:tcBorders>
                  <w:vAlign w:val="center"/>
                </w:tcPr>
                <w:p>
                  <w:pPr>
                    <w:spacing w:line="240" w:lineRule="exact"/>
                    <w:jc w:val="center"/>
                    <w:rPr>
                      <w:b/>
                      <w:bCs/>
                      <w:sz w:val="18"/>
                      <w:szCs w:val="18"/>
                    </w:rPr>
                  </w:pPr>
                  <w:r>
                    <w:rPr>
                      <w:b/>
                      <w:bCs/>
                      <w:sz w:val="18"/>
                      <w:szCs w:val="18"/>
                    </w:rPr>
                    <w:t>消音后设备噪声值[dB(A)]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7" w:type="dxa"/>
                  <w:vMerge w:val="continue"/>
                  <w:tcBorders>
                    <w:top w:val="single" w:color="auto" w:sz="4" w:space="0"/>
                    <w:left w:val="single" w:color="auto" w:sz="2" w:space="0"/>
                    <w:bottom w:val="single" w:color="auto" w:sz="4" w:space="0"/>
                    <w:right w:val="single" w:color="auto" w:sz="4" w:space="0"/>
                  </w:tcBorders>
                  <w:vAlign w:val="center"/>
                </w:tcPr>
                <w:p>
                  <w:pPr>
                    <w:spacing w:line="240" w:lineRule="exact"/>
                    <w:jc w:val="center"/>
                    <w:rPr>
                      <w:b/>
                      <w:bCs/>
                      <w:sz w:val="18"/>
                      <w:szCs w:val="18"/>
                    </w:rPr>
                  </w:pPr>
                </w:p>
              </w:tc>
              <w:tc>
                <w:tcPr>
                  <w:tcW w:w="91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b/>
                      <w:bCs/>
                      <w:sz w:val="18"/>
                      <w:szCs w:val="18"/>
                    </w:rPr>
                  </w:pPr>
                </w:p>
              </w:tc>
              <w:tc>
                <w:tcPr>
                  <w:tcW w:w="114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b/>
                      <w:bCs/>
                      <w:sz w:val="18"/>
                      <w:szCs w:val="18"/>
                    </w:rPr>
                  </w:pPr>
                </w:p>
              </w:tc>
              <w:tc>
                <w:tcPr>
                  <w:tcW w:w="1388" w:type="dxa"/>
                  <w:vMerge w:val="continue"/>
                  <w:tcBorders>
                    <w:left w:val="single" w:color="auto" w:sz="4" w:space="0"/>
                    <w:bottom w:val="single" w:color="auto" w:sz="4" w:space="0"/>
                    <w:right w:val="single" w:color="auto" w:sz="2" w:space="0"/>
                  </w:tcBorders>
                  <w:vAlign w:val="center"/>
                </w:tcPr>
                <w:p>
                  <w:pPr>
                    <w:spacing w:line="240" w:lineRule="exact"/>
                    <w:jc w:val="center"/>
                    <w:rPr>
                      <w:rFonts w:hint="eastAsia"/>
                      <w:b/>
                      <w:bCs/>
                      <w:sz w:val="18"/>
                      <w:szCs w:val="18"/>
                    </w:rPr>
                  </w:pP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bCs/>
                      <w:sz w:val="18"/>
                      <w:szCs w:val="18"/>
                    </w:rPr>
                  </w:pPr>
                  <w:r>
                    <w:rPr>
                      <w:rFonts w:hint="eastAsia"/>
                      <w:b/>
                      <w:bCs/>
                      <w:sz w:val="18"/>
                      <w:szCs w:val="18"/>
                    </w:rPr>
                    <w:t>东</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bCs/>
                      <w:sz w:val="18"/>
                      <w:szCs w:val="18"/>
                    </w:rPr>
                  </w:pPr>
                  <w:r>
                    <w:rPr>
                      <w:rFonts w:hint="eastAsia"/>
                      <w:b/>
                      <w:bCs/>
                      <w:sz w:val="18"/>
                      <w:szCs w:val="18"/>
                    </w:rPr>
                    <w:t>南</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
                      <w:bCs/>
                      <w:sz w:val="18"/>
                      <w:szCs w:val="18"/>
                    </w:rPr>
                  </w:pPr>
                  <w:r>
                    <w:rPr>
                      <w:rFonts w:hint="eastAsia"/>
                      <w:b/>
                      <w:bCs/>
                      <w:sz w:val="18"/>
                      <w:szCs w:val="18"/>
                    </w:rPr>
                    <w:t>西</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b/>
                      <w:bCs/>
                      <w:sz w:val="18"/>
                      <w:szCs w:val="18"/>
                    </w:rPr>
                  </w:pPr>
                  <w:r>
                    <w:rPr>
                      <w:rFonts w:hint="eastAsia"/>
                      <w:b/>
                      <w:bCs/>
                      <w:sz w:val="18"/>
                      <w:szCs w:val="18"/>
                    </w:rPr>
                    <w:t>北</w:t>
                  </w:r>
                </w:p>
              </w:tc>
              <w:tc>
                <w:tcPr>
                  <w:tcW w:w="1129" w:type="dxa"/>
                  <w:vMerge w:val="continue"/>
                  <w:tcBorders>
                    <w:top w:val="single" w:color="auto" w:sz="4" w:space="0"/>
                    <w:left w:val="single" w:color="auto" w:sz="4" w:space="0"/>
                    <w:bottom w:val="single" w:color="auto" w:sz="4" w:space="0"/>
                    <w:right w:val="single" w:color="auto" w:sz="2" w:space="0"/>
                  </w:tcBorders>
                  <w:vAlign w:val="center"/>
                </w:tcPr>
                <w:p>
                  <w:pPr>
                    <w:spacing w:line="240" w:lineRule="exact"/>
                    <w:jc w:val="center"/>
                    <w:rPr>
                      <w:b/>
                      <w:bCs/>
                      <w:sz w:val="18"/>
                      <w:szCs w:val="18"/>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restart"/>
                  <w:tcBorders>
                    <w:top w:val="single" w:color="auto" w:sz="4" w:space="0"/>
                    <w:left w:val="single" w:color="auto" w:sz="2" w:space="0"/>
                    <w:right w:val="single" w:color="auto" w:sz="4" w:space="0"/>
                  </w:tcBorders>
                  <w:vAlign w:val="center"/>
                </w:tcPr>
                <w:p>
                  <w:pPr>
                    <w:spacing w:line="240" w:lineRule="exact"/>
                    <w:jc w:val="center"/>
                    <w:rPr>
                      <w:rFonts w:hint="eastAsia" w:eastAsia="宋体"/>
                      <w:sz w:val="18"/>
                      <w:szCs w:val="18"/>
                      <w:lang w:eastAsia="zh-CN"/>
                    </w:rPr>
                  </w:pPr>
                  <w:r>
                    <w:rPr>
                      <w:rFonts w:hint="eastAsia"/>
                      <w:sz w:val="18"/>
                      <w:szCs w:val="18"/>
                      <w:lang w:eastAsia="zh-CN"/>
                    </w:rPr>
                    <w:t>生产车间（室内）</w:t>
                  </w: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eastAsia="宋体"/>
                      <w:sz w:val="18"/>
                      <w:szCs w:val="18"/>
                      <w:lang w:eastAsia="zh-CN"/>
                    </w:rPr>
                  </w:pPr>
                  <w:r>
                    <w:rPr>
                      <w:rFonts w:hint="eastAsia"/>
                      <w:bCs/>
                      <w:sz w:val="18"/>
                      <w:szCs w:val="18"/>
                    </w:rPr>
                    <w:t>缝纫机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 w:val="18"/>
                      <w:szCs w:val="18"/>
                    </w:rPr>
                  </w:pPr>
                  <w:r>
                    <w:rPr>
                      <w:rFonts w:hint="eastAsia"/>
                      <w:bCs/>
                      <w:sz w:val="18"/>
                      <w:szCs w:val="18"/>
                    </w:rPr>
                    <w:t>10</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80</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20</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60</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9</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15</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continue"/>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eastAsia="宋体"/>
                      <w:sz w:val="18"/>
                      <w:szCs w:val="18"/>
                      <w:lang w:eastAsia="zh-CN"/>
                    </w:rPr>
                  </w:pPr>
                  <w:r>
                    <w:rPr>
                      <w:bCs/>
                      <w:color w:val="000000"/>
                      <w:kern w:val="0"/>
                      <w:sz w:val="18"/>
                      <w:szCs w:val="18"/>
                      <w:lang w:bidi="ar"/>
                    </w:rPr>
                    <w:t>固化</w:t>
                  </w:r>
                  <w:r>
                    <w:rPr>
                      <w:rFonts w:hint="eastAsia"/>
                      <w:bCs/>
                      <w:color w:val="000000"/>
                      <w:kern w:val="0"/>
                      <w:sz w:val="18"/>
                      <w:szCs w:val="18"/>
                      <w:lang w:bidi="ar"/>
                    </w:rPr>
                    <w:t>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sz w:val="18"/>
                      <w:szCs w:val="18"/>
                    </w:rPr>
                  </w:pPr>
                  <w:r>
                    <w:rPr>
                      <w:rFonts w:hint="eastAsia"/>
                      <w:bCs/>
                      <w:sz w:val="18"/>
                      <w:szCs w:val="18"/>
                    </w:rPr>
                    <w:t>15</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80</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11</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25</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18</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46</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continue"/>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eastAsia="zh-CN"/>
                    </w:rPr>
                  </w:pPr>
                  <w:r>
                    <w:rPr>
                      <w:rFonts w:hint="eastAsia"/>
                      <w:bCs/>
                      <w:color w:val="000000"/>
                      <w:kern w:val="0"/>
                      <w:sz w:val="18"/>
                      <w:szCs w:val="18"/>
                      <w:lang w:bidi="ar"/>
                    </w:rPr>
                    <w:t>切割</w:t>
                  </w:r>
                  <w:r>
                    <w:rPr>
                      <w:bCs/>
                      <w:color w:val="000000"/>
                      <w:kern w:val="0"/>
                      <w:sz w:val="18"/>
                      <w:szCs w:val="18"/>
                      <w:lang w:bidi="ar"/>
                    </w:rPr>
                    <w:t>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val="en-US" w:eastAsia="zh-CN"/>
                    </w:rPr>
                  </w:pPr>
                  <w:r>
                    <w:rPr>
                      <w:rFonts w:hint="eastAsia"/>
                      <w:bCs/>
                      <w:sz w:val="18"/>
                      <w:szCs w:val="18"/>
                    </w:rPr>
                    <w:t>15</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80</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10</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24</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19</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47</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continue"/>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eastAsia="zh-CN"/>
                    </w:rPr>
                  </w:pPr>
                  <w:r>
                    <w:rPr>
                      <w:bCs/>
                      <w:spacing w:val="-2"/>
                      <w:kern w:val="0"/>
                      <w:sz w:val="18"/>
                      <w:szCs w:val="18"/>
                    </w:rPr>
                    <w:t>涂胶烘干炉</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val="en-US" w:eastAsia="zh-CN"/>
                    </w:rPr>
                  </w:pPr>
                  <w:r>
                    <w:rPr>
                      <w:rFonts w:hint="eastAsia"/>
                      <w:bCs/>
                      <w:sz w:val="18"/>
                      <w:szCs w:val="18"/>
                    </w:rPr>
                    <w:t>4</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85</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20</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56</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9</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19</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continue"/>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eastAsia="zh-CN"/>
                    </w:rPr>
                  </w:pPr>
                  <w:r>
                    <w:rPr>
                      <w:bCs/>
                      <w:color w:val="000000"/>
                      <w:kern w:val="0"/>
                      <w:sz w:val="18"/>
                      <w:szCs w:val="18"/>
                      <w:lang w:bidi="ar"/>
                    </w:rPr>
                    <w:t>胶搅拌机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val="en-US" w:eastAsia="zh-CN"/>
                    </w:rPr>
                  </w:pPr>
                  <w:r>
                    <w:rPr>
                      <w:rFonts w:hint="eastAsia" w:eastAsiaTheme="minorEastAsia"/>
                      <w:bCs/>
                      <w:sz w:val="18"/>
                      <w:szCs w:val="18"/>
                    </w:rPr>
                    <w:t>3</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85</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20</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58</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9</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17</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continue"/>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eastAsia="zh-CN"/>
                    </w:rPr>
                  </w:pPr>
                  <w:r>
                    <w:rPr>
                      <w:rFonts w:hint="eastAsia"/>
                      <w:bCs/>
                      <w:color w:val="000000"/>
                      <w:kern w:val="0"/>
                      <w:sz w:val="18"/>
                      <w:szCs w:val="18"/>
                      <w:lang w:bidi="ar"/>
                    </w:rPr>
                    <w:t>注塑机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val="en-US" w:eastAsia="zh-CN"/>
                    </w:rPr>
                  </w:pPr>
                  <w:r>
                    <w:rPr>
                      <w:rFonts w:hint="eastAsia" w:eastAsiaTheme="minorEastAsia"/>
                      <w:bCs/>
                      <w:sz w:val="18"/>
                      <w:szCs w:val="18"/>
                    </w:rPr>
                    <w:t>4</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80</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12</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13</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16</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59</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60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vMerge w:val="continue"/>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eastAsia="zh-CN"/>
                    </w:rPr>
                  </w:pPr>
                  <w:r>
                    <w:rPr>
                      <w:rFonts w:hint="eastAsia"/>
                      <w:bCs/>
                      <w:color w:val="000000"/>
                      <w:kern w:val="0"/>
                      <w:sz w:val="18"/>
                      <w:szCs w:val="18"/>
                      <w:lang w:bidi="ar"/>
                    </w:rPr>
                    <w:t>压力机</w:t>
                  </w:r>
                </w:p>
              </w:tc>
              <w:tc>
                <w:tcPr>
                  <w:tcW w:w="114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sz w:val="18"/>
                      <w:szCs w:val="18"/>
                      <w:lang w:val="en-US" w:eastAsia="zh-CN"/>
                    </w:rPr>
                  </w:pPr>
                  <w:r>
                    <w:rPr>
                      <w:rFonts w:hint="eastAsia" w:eastAsiaTheme="minorEastAsia"/>
                      <w:bCs/>
                      <w:sz w:val="18"/>
                      <w:szCs w:val="18"/>
                    </w:rPr>
                    <w:t>2</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90</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12</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11</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16</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61</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default" w:eastAsia="宋体"/>
                      <w:sz w:val="18"/>
                      <w:szCs w:val="18"/>
                      <w:lang w:val="en-US" w:eastAsia="zh-CN"/>
                    </w:rPr>
                  </w:pPr>
                  <w:r>
                    <w:rPr>
                      <w:rFonts w:hint="eastAsia"/>
                      <w:sz w:val="18"/>
                      <w:szCs w:val="18"/>
                      <w:lang w:val="en-US" w:eastAsia="zh-CN"/>
                    </w:rPr>
                    <w:t>70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7" w:type="dxa"/>
                  <w:tcBorders>
                    <w:left w:val="single" w:color="auto" w:sz="2" w:space="0"/>
                    <w:right w:val="single" w:color="auto" w:sz="4" w:space="0"/>
                  </w:tcBorders>
                  <w:vAlign w:val="center"/>
                </w:tcPr>
                <w:p>
                  <w:pPr>
                    <w:spacing w:line="240" w:lineRule="exact"/>
                    <w:jc w:val="center"/>
                    <w:rPr>
                      <w:rFonts w:hint="eastAsia" w:eastAsia="宋体"/>
                      <w:sz w:val="18"/>
                      <w:szCs w:val="18"/>
                      <w:lang w:eastAsia="zh-CN"/>
                    </w:rPr>
                  </w:pPr>
                  <w:r>
                    <w:rPr>
                      <w:rFonts w:hint="eastAsia"/>
                      <w:sz w:val="18"/>
                      <w:szCs w:val="18"/>
                      <w:lang w:eastAsia="zh-CN"/>
                    </w:rPr>
                    <w:t>室外</w:t>
                  </w:r>
                </w:p>
              </w:tc>
              <w:tc>
                <w:tcPr>
                  <w:tcW w:w="91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imes New Roman" w:hAnsi="Times New Roman" w:eastAsia="宋体" w:cs="Times New Roman"/>
                      <w:kern w:val="2"/>
                      <w:sz w:val="18"/>
                      <w:szCs w:val="18"/>
                      <w:lang w:val="en-US" w:eastAsia="zh-CN" w:bidi="ar-SA"/>
                    </w:rPr>
                  </w:pPr>
                  <w:r>
                    <w:rPr>
                      <w:rFonts w:hint="eastAsia"/>
                      <w:sz w:val="18"/>
                      <w:szCs w:val="18"/>
                      <w:lang w:eastAsia="zh-CN"/>
                    </w:rPr>
                    <w:t>风机</w:t>
                  </w:r>
                </w:p>
              </w:tc>
              <w:tc>
                <w:tcPr>
                  <w:tcW w:w="114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1</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default"/>
                      <w:sz w:val="18"/>
                      <w:szCs w:val="18"/>
                      <w:lang w:val="en-US" w:eastAsia="zh-CN"/>
                    </w:rPr>
                  </w:pPr>
                  <w:r>
                    <w:rPr>
                      <w:rFonts w:hint="eastAsia"/>
                      <w:sz w:val="18"/>
                      <w:szCs w:val="18"/>
                      <w:lang w:val="en-US" w:eastAsia="zh-CN"/>
                    </w:rPr>
                    <w:t>95</w:t>
                  </w:r>
                </w:p>
              </w:tc>
              <w:tc>
                <w:tcPr>
                  <w:tcW w:w="7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26</w:t>
                  </w:r>
                </w:p>
              </w:tc>
              <w:tc>
                <w:tcPr>
                  <w:tcW w:w="88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27</w:t>
                  </w:r>
                </w:p>
              </w:tc>
              <w:tc>
                <w:tcPr>
                  <w:tcW w:w="65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3</w:t>
                  </w:r>
                </w:p>
              </w:tc>
              <w:tc>
                <w:tcPr>
                  <w:tcW w:w="931"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47</w:t>
                  </w:r>
                </w:p>
              </w:tc>
              <w:tc>
                <w:tcPr>
                  <w:tcW w:w="1129" w:type="dxa"/>
                  <w:tcBorders>
                    <w:top w:val="single" w:color="auto" w:sz="4" w:space="0"/>
                    <w:left w:val="single" w:color="auto" w:sz="4" w:space="0"/>
                    <w:bottom w:val="single" w:color="auto" w:sz="4" w:space="0"/>
                    <w:right w:val="single" w:color="auto" w:sz="2" w:space="0"/>
                  </w:tcBorders>
                  <w:vAlign w:val="center"/>
                </w:tcPr>
                <w:p>
                  <w:pPr>
                    <w:spacing w:line="240" w:lineRule="exact"/>
                    <w:jc w:val="center"/>
                    <w:rPr>
                      <w:rFonts w:hint="eastAsia" w:ascii="Times New Roman" w:hAnsi="Times New Roman" w:eastAsia="宋体" w:cs="Times New Roman"/>
                      <w:kern w:val="2"/>
                      <w:sz w:val="18"/>
                      <w:szCs w:val="18"/>
                      <w:lang w:val="en-US" w:eastAsia="zh-CN" w:bidi="ar-SA"/>
                    </w:rPr>
                  </w:pPr>
                  <w:r>
                    <w:rPr>
                      <w:rFonts w:hint="eastAsia"/>
                      <w:sz w:val="18"/>
                      <w:szCs w:val="18"/>
                      <w:lang w:val="en-US" w:eastAsia="zh-CN"/>
                    </w:rPr>
                    <w:t>75</w:t>
                  </w:r>
                </w:p>
              </w:tc>
            </w:tr>
          </w:tbl>
          <w:p>
            <w:pPr>
              <w:spacing w:line="420" w:lineRule="exact"/>
              <w:ind w:firstLine="420" w:firstLineChars="200"/>
              <w:rPr>
                <w:rFonts w:hint="default" w:ascii="Times New Roman" w:hAnsi="Times New Roman" w:eastAsia="黑体" w:cs="Times New Roman"/>
                <w:szCs w:val="21"/>
                <w:lang w:val="de-DE"/>
              </w:rPr>
            </w:pPr>
            <w:r>
              <w:rPr>
                <w:rFonts w:hint="default" w:ascii="Times New Roman" w:hAnsi="Times New Roman" w:eastAsia="黑体" w:cs="Times New Roman"/>
                <w:szCs w:val="21"/>
                <w:lang w:val="de-DE"/>
              </w:rPr>
              <w:t>2、达标分析</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依据《环境工作手册-环境噪声控制卷》（高等教育出版社，2000年）可知，采取隔减振等措施均可达到10～25dB(A)的隔声（消声）量，墙壁可降低23～30 dB(A) 的噪声。</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本项目采用《环境影响评价技术导则—声环境》（HJ2.4-20</w:t>
            </w:r>
            <w:r>
              <w:rPr>
                <w:rFonts w:hint="eastAsia" w:cs="Times New Roman"/>
                <w:bCs/>
                <w:szCs w:val="21"/>
                <w:lang w:val="en-US" w:eastAsia="zh-CN"/>
              </w:rPr>
              <w:t>21</w:t>
            </w:r>
            <w:r>
              <w:rPr>
                <w:rFonts w:hint="default" w:ascii="Times New Roman" w:hAnsi="Times New Roman" w:cs="Times New Roman"/>
                <w:bCs/>
                <w:szCs w:val="21"/>
              </w:rPr>
              <w:t>）中推荐模式进行预测，噪声从声源发出后向外辐射，在传播过程中经距离衰减、地面构筑物屏蔽反射、空气吸收等阶段后到达受声点，本次评价采用A声级计算，模式如下：</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①单个声源到达受声点的声压级</w:t>
            </w:r>
          </w:p>
          <w:p>
            <w:pPr>
              <w:spacing w:line="420" w:lineRule="exact"/>
              <w:ind w:firstLine="420" w:firstLineChars="200"/>
              <w:jc w:val="center"/>
              <w:rPr>
                <w:rFonts w:hint="default" w:ascii="Times New Roman" w:hAnsi="Times New Roman" w:cs="Times New Roman"/>
                <w:bCs/>
                <w:szCs w:val="21"/>
              </w:rPr>
            </w:pPr>
            <w:r>
              <w:rPr>
                <w:rFonts w:hint="default" w:ascii="Times New Roman" w:hAnsi="Times New Roman" w:cs="Times New Roman"/>
                <w:bCs/>
                <w:szCs w:val="21"/>
              </w:rPr>
              <w:t>L</w:t>
            </w:r>
            <w:r>
              <w:rPr>
                <w:rFonts w:hint="default" w:ascii="Times New Roman" w:hAnsi="Times New Roman" w:cs="Times New Roman"/>
                <w:bCs/>
                <w:szCs w:val="21"/>
                <w:vertAlign w:val="subscript"/>
              </w:rPr>
              <w:t>A</w:t>
            </w:r>
            <w:r>
              <w:rPr>
                <w:rFonts w:hint="default" w:ascii="Times New Roman" w:hAnsi="Times New Roman" w:cs="Times New Roman"/>
                <w:bCs/>
                <w:szCs w:val="21"/>
              </w:rPr>
              <w:t>(r)=L</w:t>
            </w:r>
            <w:r>
              <w:rPr>
                <w:rFonts w:hint="default" w:ascii="Times New Roman" w:hAnsi="Times New Roman" w:cs="Times New Roman"/>
                <w:bCs/>
                <w:szCs w:val="21"/>
                <w:vertAlign w:val="subscript"/>
              </w:rPr>
              <w:t>Aref</w:t>
            </w:r>
            <w:r>
              <w:rPr>
                <w:rFonts w:hint="default" w:ascii="Times New Roman" w:hAnsi="Times New Roman" w:cs="Times New Roman"/>
                <w:bCs/>
                <w:szCs w:val="21"/>
              </w:rPr>
              <w:t>(ro)-(A</w:t>
            </w:r>
            <w:r>
              <w:rPr>
                <w:rFonts w:hint="default" w:ascii="Times New Roman" w:hAnsi="Times New Roman" w:cs="Times New Roman"/>
                <w:bCs/>
                <w:szCs w:val="21"/>
                <w:vertAlign w:val="subscript"/>
              </w:rPr>
              <w:t>div</w:t>
            </w:r>
            <w:r>
              <w:rPr>
                <w:rFonts w:hint="default" w:ascii="Times New Roman" w:hAnsi="Times New Roman" w:cs="Times New Roman"/>
                <w:bCs/>
                <w:szCs w:val="21"/>
              </w:rPr>
              <w:t>+A</w:t>
            </w:r>
            <w:r>
              <w:rPr>
                <w:rFonts w:hint="default" w:ascii="Times New Roman" w:hAnsi="Times New Roman" w:cs="Times New Roman"/>
                <w:bCs/>
                <w:szCs w:val="21"/>
                <w:vertAlign w:val="subscript"/>
              </w:rPr>
              <w:t>bar</w:t>
            </w:r>
            <w:r>
              <w:rPr>
                <w:rFonts w:hint="default" w:ascii="Times New Roman" w:hAnsi="Times New Roman" w:cs="Times New Roman"/>
                <w:bCs/>
                <w:szCs w:val="21"/>
              </w:rPr>
              <w:t>+A</w:t>
            </w:r>
            <w:r>
              <w:rPr>
                <w:rFonts w:hint="default" w:ascii="Times New Roman" w:hAnsi="Times New Roman" w:cs="Times New Roman"/>
                <w:bCs/>
                <w:szCs w:val="21"/>
                <w:vertAlign w:val="subscript"/>
              </w:rPr>
              <w:t>atm</w:t>
            </w:r>
            <w:r>
              <w:rPr>
                <w:rFonts w:hint="default" w:ascii="Times New Roman" w:hAnsi="Times New Roman" w:cs="Times New Roman"/>
                <w:bCs/>
                <w:szCs w:val="21"/>
              </w:rPr>
              <w:t>+A</w:t>
            </w:r>
            <w:r>
              <w:rPr>
                <w:rFonts w:hint="default" w:ascii="Times New Roman" w:hAnsi="Times New Roman" w:cs="Times New Roman"/>
                <w:bCs/>
                <w:szCs w:val="21"/>
                <w:vertAlign w:val="subscript"/>
              </w:rPr>
              <w:t>exc</w:t>
            </w:r>
            <w:r>
              <w:rPr>
                <w:rFonts w:hint="default" w:ascii="Times New Roman" w:hAnsi="Times New Roman" w:cs="Times New Roman"/>
                <w:bCs/>
                <w:szCs w:val="21"/>
              </w:rPr>
              <w:t>)</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式中：L</w:t>
            </w:r>
            <w:r>
              <w:rPr>
                <w:rFonts w:hint="default" w:ascii="Times New Roman" w:hAnsi="Times New Roman" w:cs="Times New Roman"/>
                <w:bCs/>
                <w:szCs w:val="21"/>
                <w:vertAlign w:val="subscript"/>
              </w:rPr>
              <w:t>A</w:t>
            </w:r>
            <w:r>
              <w:rPr>
                <w:rFonts w:hint="default" w:ascii="Times New Roman" w:hAnsi="Times New Roman" w:cs="Times New Roman"/>
                <w:bCs/>
                <w:szCs w:val="21"/>
              </w:rPr>
              <w:t>(r)——距声源r处的A声级，dB(A)；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L</w:t>
            </w:r>
            <w:r>
              <w:rPr>
                <w:rFonts w:hint="default" w:ascii="Times New Roman" w:hAnsi="Times New Roman" w:cs="Times New Roman"/>
                <w:bCs/>
                <w:szCs w:val="21"/>
                <w:vertAlign w:val="subscript"/>
              </w:rPr>
              <w:t>Aref</w:t>
            </w:r>
            <w:r>
              <w:rPr>
                <w:rFonts w:hint="default" w:ascii="Times New Roman" w:hAnsi="Times New Roman" w:cs="Times New Roman"/>
                <w:bCs/>
                <w:szCs w:val="21"/>
              </w:rPr>
              <w:t>(ro)——参考位置ro处A声级，dB(A)；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A</w:t>
            </w:r>
            <w:r>
              <w:rPr>
                <w:rFonts w:hint="default" w:ascii="Times New Roman" w:hAnsi="Times New Roman" w:cs="Times New Roman"/>
                <w:bCs/>
                <w:szCs w:val="21"/>
                <w:vertAlign w:val="subscript"/>
              </w:rPr>
              <w:t>div</w:t>
            </w:r>
            <w:r>
              <w:rPr>
                <w:rFonts w:hint="default" w:ascii="Times New Roman" w:hAnsi="Times New Roman" w:cs="Times New Roman"/>
                <w:bCs/>
                <w:szCs w:val="21"/>
              </w:rPr>
              <w:t>——声波几何发散引起的A声级衰减量，dB(A)；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A</w:t>
            </w:r>
            <w:r>
              <w:rPr>
                <w:rFonts w:hint="default" w:ascii="Times New Roman" w:hAnsi="Times New Roman" w:cs="Times New Roman"/>
                <w:bCs/>
                <w:szCs w:val="21"/>
                <w:vertAlign w:val="subscript"/>
              </w:rPr>
              <w:t>bar</w:t>
            </w:r>
            <w:r>
              <w:rPr>
                <w:rFonts w:hint="default" w:ascii="Times New Roman" w:hAnsi="Times New Roman" w:cs="Times New Roman"/>
                <w:bCs/>
                <w:szCs w:val="21"/>
              </w:rPr>
              <w:t>——遮挡物引起的声级衰减量，dB(A)；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A</w:t>
            </w:r>
            <w:r>
              <w:rPr>
                <w:rFonts w:hint="default" w:ascii="Times New Roman" w:hAnsi="Times New Roman" w:cs="Times New Roman"/>
                <w:bCs/>
                <w:szCs w:val="21"/>
                <w:vertAlign w:val="subscript"/>
              </w:rPr>
              <w:t>atm</w:t>
            </w:r>
            <w:r>
              <w:rPr>
                <w:rFonts w:hint="default" w:ascii="Times New Roman" w:hAnsi="Times New Roman" w:cs="Times New Roman"/>
                <w:bCs/>
                <w:szCs w:val="21"/>
              </w:rPr>
              <w:t>——空气吸收衰减量，dB(A)；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A</w:t>
            </w:r>
            <w:r>
              <w:rPr>
                <w:rFonts w:hint="default" w:ascii="Times New Roman" w:hAnsi="Times New Roman" w:cs="Times New Roman"/>
                <w:bCs/>
                <w:szCs w:val="21"/>
                <w:vertAlign w:val="subscript"/>
              </w:rPr>
              <w:t>exc</w:t>
            </w:r>
            <w:r>
              <w:rPr>
                <w:rFonts w:hint="default" w:ascii="Times New Roman" w:hAnsi="Times New Roman" w:cs="Times New Roman"/>
                <w:bCs/>
                <w:szCs w:val="21"/>
              </w:rPr>
              <w:t>——附加衰减量，dB(A)。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②多个声源发出的噪声在同一受声点的共同影响，其公式为：</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1553845</wp:posOffset>
                  </wp:positionH>
                  <wp:positionV relativeFrom="paragraph">
                    <wp:posOffset>80645</wp:posOffset>
                  </wp:positionV>
                  <wp:extent cx="1438275" cy="466725"/>
                  <wp:effectExtent l="0" t="0" r="9525" b="9525"/>
                  <wp:wrapNone/>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pic:cNvPicPr>
                            <a:picLocks noChangeAspect="1"/>
                          </pic:cNvPicPr>
                        </pic:nvPicPr>
                        <pic:blipFill>
                          <a:blip r:embed="rId16"/>
                          <a:stretch>
                            <a:fillRect/>
                          </a:stretch>
                        </pic:blipFill>
                        <pic:spPr>
                          <a:xfrm>
                            <a:off x="0" y="0"/>
                            <a:ext cx="1438275" cy="466725"/>
                          </a:xfrm>
                          <a:prstGeom prst="rect">
                            <a:avLst/>
                          </a:prstGeom>
                          <a:noFill/>
                          <a:ln>
                            <a:noFill/>
                          </a:ln>
                        </pic:spPr>
                      </pic:pic>
                    </a:graphicData>
                  </a:graphic>
                </wp:anchor>
              </w:drawing>
            </w:r>
          </w:p>
          <w:p>
            <w:pPr>
              <w:spacing w:line="420" w:lineRule="exact"/>
              <w:ind w:firstLine="420" w:firstLineChars="200"/>
              <w:rPr>
                <w:rFonts w:hint="default" w:ascii="Times New Roman" w:hAnsi="Times New Roman" w:cs="Times New Roman"/>
                <w:bCs/>
                <w:szCs w:val="21"/>
              </w:rPr>
            </w:pP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其中：Lp——预测点处的声级叠加值，dB(A)；</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n——噪声源个数。</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2108200</wp:posOffset>
                  </wp:positionH>
                  <wp:positionV relativeFrom="paragraph">
                    <wp:posOffset>222885</wp:posOffset>
                  </wp:positionV>
                  <wp:extent cx="390525" cy="428625"/>
                  <wp:effectExtent l="0" t="0" r="9525" b="7620"/>
                  <wp:wrapNone/>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17"/>
                          <a:stretch>
                            <a:fillRect/>
                          </a:stretch>
                        </pic:blipFill>
                        <pic:spPr>
                          <a:xfrm>
                            <a:off x="0" y="0"/>
                            <a:ext cx="390525" cy="428625"/>
                          </a:xfrm>
                          <a:prstGeom prst="rect">
                            <a:avLst/>
                          </a:prstGeom>
                          <a:noFill/>
                          <a:ln>
                            <a:noFill/>
                          </a:ln>
                        </pic:spPr>
                      </pic:pic>
                    </a:graphicData>
                  </a:graphic>
                </wp:anchor>
              </w:drawing>
            </w:r>
            <w:r>
              <w:rPr>
                <w:rFonts w:hint="default" w:ascii="Times New Roman" w:hAnsi="Times New Roman" w:cs="Times New Roman"/>
                <w:bCs/>
                <w:szCs w:val="21"/>
              </w:rPr>
              <w:t>参数确定：</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a. A</w:t>
            </w:r>
            <w:r>
              <w:rPr>
                <w:rFonts w:hint="default" w:ascii="Times New Roman" w:hAnsi="Times New Roman" w:cs="Times New Roman"/>
                <w:bCs/>
                <w:szCs w:val="21"/>
                <w:vertAlign w:val="subscript"/>
              </w:rPr>
              <w:t>div</w:t>
            </w:r>
            <w:r>
              <w:rPr>
                <w:rFonts w:hint="default" w:ascii="Times New Roman" w:hAnsi="Times New Roman" w:cs="Times New Roman"/>
                <w:bCs/>
                <w:szCs w:val="21"/>
                <w:vertAlign w:val="subscript"/>
                <w:lang w:val="en-US" w:eastAsia="zh-CN"/>
              </w:rPr>
              <w:t xml:space="preserve">      </w:t>
            </w:r>
            <w:r>
              <w:rPr>
                <w:rFonts w:hint="default" w:ascii="Times New Roman" w:hAnsi="Times New Roman" w:cs="Times New Roman"/>
                <w:bCs/>
                <w:szCs w:val="21"/>
              </w:rPr>
              <w:t>对点声源   A</w:t>
            </w:r>
            <w:r>
              <w:rPr>
                <w:rFonts w:hint="default" w:ascii="Times New Roman" w:hAnsi="Times New Roman" w:cs="Times New Roman"/>
                <w:bCs/>
                <w:szCs w:val="21"/>
                <w:vertAlign w:val="subscript"/>
              </w:rPr>
              <w:t>div</w:t>
            </w:r>
            <w:r>
              <w:rPr>
                <w:rFonts w:hint="default" w:ascii="Times New Roman" w:hAnsi="Times New Roman" w:cs="Times New Roman"/>
                <w:bCs/>
                <w:szCs w:val="21"/>
              </w:rPr>
              <w:t xml:space="preserve"> = 20</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式中： r—声源到预测点的距离，m；</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           r</w:t>
            </w:r>
            <w:r>
              <w:rPr>
                <w:rFonts w:hint="default" w:ascii="Times New Roman" w:hAnsi="Times New Roman" w:cs="Times New Roman"/>
                <w:bCs/>
                <w:szCs w:val="21"/>
                <w:vertAlign w:val="subscript"/>
              </w:rPr>
              <w:t>0</w:t>
            </w:r>
            <w:r>
              <w:rPr>
                <w:rFonts w:hint="default" w:ascii="Times New Roman" w:hAnsi="Times New Roman" w:cs="Times New Roman"/>
                <w:bCs/>
                <w:szCs w:val="21"/>
              </w:rPr>
              <w:t>—声源到参考点的距离，m。</w:t>
            </w:r>
          </w:p>
          <w:p>
            <w:pPr>
              <w:spacing w:line="420" w:lineRule="exact"/>
              <w:ind w:firstLine="420" w:firstLineChars="200"/>
              <w:rPr>
                <w:rFonts w:hint="default" w:ascii="Times New Roman" w:hAnsi="Times New Roman" w:eastAsia="宋体" w:cs="Times New Roman"/>
                <w:bCs/>
                <w:szCs w:val="21"/>
                <w:lang w:val="en-US" w:eastAsia="zh-CN"/>
              </w:rPr>
            </w:pPr>
            <w:r>
              <w:rPr>
                <w:rFonts w:hint="default" w:ascii="Times New Roman" w:hAnsi="Times New Roman" w:cs="Times New Roman"/>
                <w:bCs/>
                <w:szCs w:val="21"/>
              </w:rPr>
              <w:t>b. A</w:t>
            </w:r>
            <w:r>
              <w:rPr>
                <w:rFonts w:hint="default" w:ascii="Times New Roman" w:hAnsi="Times New Roman" w:cs="Times New Roman"/>
                <w:bCs/>
                <w:szCs w:val="21"/>
                <w:vertAlign w:val="subscript"/>
              </w:rPr>
              <w:t>atm</w:t>
            </w:r>
            <w:r>
              <w:rPr>
                <w:rFonts w:hint="default" w:ascii="Times New Roman" w:hAnsi="Times New Roman" w:cs="Times New Roman"/>
                <w:bCs/>
                <w:szCs w:val="21"/>
                <w:vertAlign w:val="subscript"/>
                <w:lang w:val="en-US" w:eastAsia="zh-CN"/>
              </w:rPr>
              <w:t xml:space="preserve"> </w:t>
            </w:r>
          </w:p>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drawing>
                <wp:inline distT="0" distB="0" distL="114300" distR="114300">
                  <wp:extent cx="10096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1009650" cy="400050"/>
                          </a:xfrm>
                          <a:prstGeom prst="rect">
                            <a:avLst/>
                          </a:prstGeom>
                          <a:noFill/>
                          <a:ln>
                            <a:noFill/>
                          </a:ln>
                        </pic:spPr>
                      </pic:pic>
                    </a:graphicData>
                  </a:graphic>
                </wp:inline>
              </w:drawing>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其中，a为空气吸声系数，其随频率的增大而增大。该厂噪声以中低频为主，空气吸收性衰减很小，预测时可忽略不计。</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c. A</w:t>
            </w:r>
            <w:r>
              <w:rPr>
                <w:rFonts w:hint="default" w:ascii="Times New Roman" w:hAnsi="Times New Roman" w:cs="Times New Roman"/>
                <w:bCs/>
                <w:szCs w:val="21"/>
                <w:vertAlign w:val="subscript"/>
              </w:rPr>
              <w:t>bar</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由于主要噪声设备均置于厂房内，噪声在向外传播过程中将受到厂房或其他车间的阻挡影响，从而引起声能量的衰减，具体衰减依据声级的不同传播途径而定。</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d. A</w:t>
            </w:r>
            <w:r>
              <w:rPr>
                <w:rFonts w:hint="default" w:ascii="Times New Roman" w:hAnsi="Times New Roman" w:cs="Times New Roman"/>
                <w:bCs/>
                <w:szCs w:val="21"/>
                <w:vertAlign w:val="subscript"/>
              </w:rPr>
              <w:t>exc</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主要考虑地面效应引起的附加衰减量，根据本工程厂区布置和噪声源强及外环境状况确定，取0～10dB(A)。</w:t>
            </w:r>
          </w:p>
          <w:p>
            <w:pPr>
              <w:spacing w:line="420" w:lineRule="exact"/>
              <w:ind w:firstLine="420" w:firstLineChars="200"/>
              <w:rPr>
                <w:color w:val="000000"/>
                <w:szCs w:val="21"/>
              </w:rPr>
            </w:pPr>
            <w:r>
              <w:rPr>
                <w:rFonts w:hint="eastAsia"/>
              </w:rPr>
              <w:t>本次评价噪声预测采用声场仿真软件</w:t>
            </w:r>
            <w:r>
              <w:t>EIAP</w:t>
            </w:r>
            <w:r>
              <w:rPr>
                <w:rFonts w:hint="eastAsia"/>
              </w:rPr>
              <w:t>ro</w:t>
            </w:r>
            <w:r>
              <w:t>N2021</w:t>
            </w:r>
            <w:r>
              <w:rPr>
                <w:rFonts w:hint="eastAsia"/>
              </w:rPr>
              <w:t>，由国内六五工作室研发。</w:t>
            </w:r>
            <w:r>
              <w:rPr>
                <w:rFonts w:hint="eastAsia"/>
                <w:color w:val="000000"/>
                <w:szCs w:val="21"/>
              </w:rPr>
              <w:t>噪声影响评价选取</w:t>
            </w:r>
            <w:r>
              <w:rPr>
                <w:color w:val="000000"/>
                <w:szCs w:val="21"/>
              </w:rPr>
              <w:t>4</w:t>
            </w:r>
            <w:r>
              <w:rPr>
                <w:rFonts w:hint="eastAsia"/>
                <w:color w:val="000000"/>
                <w:szCs w:val="21"/>
              </w:rPr>
              <w:t>个厂界点位作为此次本工程对环境的影响预测点，预测、评价工程噪声对环境的影响。利用以上预测模式和参数计算得出项目建成后，主要噪声设备对厂界的噪声预测值。预测结果见表</w:t>
            </w:r>
            <w:r>
              <w:rPr>
                <w:color w:val="000000"/>
                <w:szCs w:val="21"/>
              </w:rPr>
              <w:t>4-</w:t>
            </w:r>
            <w:r>
              <w:rPr>
                <w:rFonts w:hint="eastAsia"/>
                <w:color w:val="000000"/>
                <w:szCs w:val="21"/>
                <w:lang w:val="en-US" w:eastAsia="zh-CN"/>
              </w:rPr>
              <w:t>13</w:t>
            </w:r>
            <w:r>
              <w:rPr>
                <w:rFonts w:hint="eastAsia"/>
                <w:color w:val="000000"/>
                <w:szCs w:val="21"/>
              </w:rPr>
              <w:t>，噪声等线图见图</w:t>
            </w:r>
            <w:r>
              <w:rPr>
                <w:color w:val="000000"/>
                <w:szCs w:val="21"/>
              </w:rPr>
              <w:t>4-1</w:t>
            </w:r>
            <w:r>
              <w:rPr>
                <w:rFonts w:hint="eastAsia"/>
                <w:color w:val="000000"/>
                <w:szCs w:val="21"/>
                <w:lang w:val="en-US" w:eastAsia="zh-CN"/>
              </w:rPr>
              <w:t>、4-2</w:t>
            </w:r>
            <w:r>
              <w:rPr>
                <w:rFonts w:hint="eastAsia"/>
                <w:color w:val="000000"/>
                <w:szCs w:val="21"/>
              </w:rPr>
              <w:t>。</w:t>
            </w:r>
          </w:p>
          <w:p>
            <w:pPr>
              <w:spacing w:line="420" w:lineRule="exact"/>
              <w:jc w:val="center"/>
              <w:rPr>
                <w:rFonts w:hint="default" w:ascii="Times New Roman" w:hAnsi="Times New Roman" w:eastAsia="黑体" w:cs="Times New Roman"/>
                <w:bCs/>
                <w:szCs w:val="21"/>
              </w:rPr>
            </w:pPr>
            <w:r>
              <w:rPr>
                <w:rFonts w:hint="default" w:ascii="Times New Roman" w:hAnsi="Times New Roman" w:eastAsia="黑体" w:cs="Times New Roman"/>
                <w:bCs/>
                <w:szCs w:val="21"/>
              </w:rPr>
              <w:t>表4-</w:t>
            </w:r>
            <w:r>
              <w:rPr>
                <w:rFonts w:hint="eastAsia" w:eastAsia="黑体" w:cs="Times New Roman"/>
                <w:bCs/>
                <w:szCs w:val="21"/>
                <w:lang w:val="en-US" w:eastAsia="zh-CN"/>
              </w:rPr>
              <w:t>13</w:t>
            </w:r>
            <w:r>
              <w:rPr>
                <w:rFonts w:hint="default" w:ascii="Times New Roman" w:hAnsi="Times New Roman" w:eastAsia="黑体" w:cs="Times New Roman"/>
                <w:bCs/>
                <w:szCs w:val="21"/>
              </w:rPr>
              <w:t xml:space="preserve"> 本项目车间厂界噪声预测结果</w:t>
            </w:r>
          </w:p>
          <w:tbl>
            <w:tblPr>
              <w:tblStyle w:val="8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3393"/>
              <w:gridCol w:w="3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
                      <w:color w:val="000000"/>
                      <w:kern w:val="0"/>
                      <w:sz w:val="18"/>
                      <w:szCs w:val="18"/>
                    </w:rPr>
                  </w:pPr>
                  <w:r>
                    <w:rPr>
                      <w:rFonts w:hint="eastAsia"/>
                      <w:b/>
                      <w:color w:val="000000"/>
                      <w:kern w:val="0"/>
                      <w:sz w:val="18"/>
                      <w:szCs w:val="18"/>
                    </w:rPr>
                    <w:t>预测点</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
                      <w:color w:val="000000"/>
                      <w:kern w:val="0"/>
                      <w:sz w:val="18"/>
                      <w:szCs w:val="18"/>
                    </w:rPr>
                  </w:pPr>
                  <w:r>
                    <w:rPr>
                      <w:rFonts w:hint="eastAsia"/>
                      <w:b/>
                      <w:color w:val="000000"/>
                      <w:kern w:val="0"/>
                      <w:sz w:val="18"/>
                      <w:szCs w:val="18"/>
                    </w:rPr>
                    <w:t>昼间</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
                      <w:color w:val="000000"/>
                      <w:kern w:val="0"/>
                      <w:sz w:val="18"/>
                      <w:szCs w:val="18"/>
                    </w:rPr>
                  </w:pPr>
                  <w:r>
                    <w:rPr>
                      <w:rFonts w:hint="eastAsia"/>
                      <w:b/>
                      <w:color w:val="000000"/>
                      <w:kern w:val="0"/>
                      <w:sz w:val="18"/>
                      <w:szCs w:val="18"/>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
                      <w:color w:val="000000"/>
                      <w:kern w:val="0"/>
                      <w:sz w:val="18"/>
                      <w:szCs w:val="18"/>
                    </w:rPr>
                  </w:pP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
                      <w:color w:val="000000"/>
                      <w:kern w:val="0"/>
                      <w:sz w:val="18"/>
                      <w:szCs w:val="18"/>
                    </w:rPr>
                  </w:pPr>
                  <w:r>
                    <w:rPr>
                      <w:rFonts w:hint="eastAsia"/>
                      <w:b/>
                      <w:color w:val="000000"/>
                      <w:kern w:val="0"/>
                      <w:sz w:val="18"/>
                      <w:szCs w:val="18"/>
                    </w:rPr>
                    <w:t>贡献值</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
                      <w:color w:val="000000"/>
                      <w:kern w:val="0"/>
                      <w:sz w:val="18"/>
                      <w:szCs w:val="18"/>
                    </w:rPr>
                  </w:pPr>
                  <w:r>
                    <w:rPr>
                      <w:rFonts w:hint="eastAsia"/>
                      <w:b/>
                      <w:color w:val="000000"/>
                      <w:kern w:val="0"/>
                      <w:sz w:val="18"/>
                      <w:szCs w:val="18"/>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color w:val="000000"/>
                      <w:kern w:val="0"/>
                      <w:sz w:val="18"/>
                      <w:szCs w:val="18"/>
                    </w:rPr>
                  </w:pPr>
                  <w:r>
                    <w:rPr>
                      <w:rFonts w:hint="eastAsia"/>
                      <w:color w:val="000000"/>
                      <w:sz w:val="18"/>
                      <w:szCs w:val="18"/>
                    </w:rPr>
                    <w:t>东厂界</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eastAsia="宋体"/>
                      <w:color w:val="000000"/>
                      <w:kern w:val="0"/>
                      <w:sz w:val="18"/>
                      <w:szCs w:val="18"/>
                      <w:lang w:val="en-US" w:eastAsia="zh-CN"/>
                    </w:rPr>
                  </w:pPr>
                  <w:r>
                    <w:rPr>
                      <w:rFonts w:hint="eastAsia"/>
                      <w:sz w:val="18"/>
                      <w:szCs w:val="18"/>
                    </w:rPr>
                    <w:t>42.46</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eastAsia="宋体"/>
                      <w:color w:val="000000"/>
                      <w:kern w:val="0"/>
                      <w:sz w:val="18"/>
                      <w:szCs w:val="18"/>
                      <w:lang w:val="en-US" w:eastAsia="zh-CN"/>
                    </w:rPr>
                  </w:pPr>
                  <w:r>
                    <w:rPr>
                      <w:rFonts w:hint="eastAsia"/>
                      <w:sz w:val="18"/>
                      <w:szCs w:val="18"/>
                    </w:rPr>
                    <w:t>37.49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color w:val="000000"/>
                      <w:kern w:val="0"/>
                      <w:sz w:val="18"/>
                      <w:szCs w:val="18"/>
                    </w:rPr>
                  </w:pPr>
                  <w:r>
                    <w:rPr>
                      <w:rFonts w:hint="eastAsia"/>
                      <w:color w:val="000000"/>
                      <w:sz w:val="18"/>
                      <w:szCs w:val="18"/>
                    </w:rPr>
                    <w:t>南厂界</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eastAsia="宋体"/>
                      <w:color w:val="000000"/>
                      <w:kern w:val="0"/>
                      <w:sz w:val="18"/>
                      <w:szCs w:val="18"/>
                      <w:lang w:val="en-US" w:eastAsia="zh-CN"/>
                    </w:rPr>
                  </w:pPr>
                  <w:r>
                    <w:rPr>
                      <w:rFonts w:hint="eastAsia"/>
                      <w:sz w:val="18"/>
                      <w:szCs w:val="18"/>
                    </w:rPr>
                    <w:t>48.18</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eastAsia="宋体"/>
                      <w:color w:val="000000"/>
                      <w:kern w:val="0"/>
                      <w:sz w:val="18"/>
                      <w:szCs w:val="18"/>
                      <w:lang w:val="en-US" w:eastAsia="zh-CN"/>
                    </w:rPr>
                  </w:pPr>
                  <w:r>
                    <w:rPr>
                      <w:rFonts w:hint="eastAsia"/>
                      <w:sz w:val="18"/>
                      <w:szCs w:val="18"/>
                    </w:rPr>
                    <w:t>41.91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color w:val="000000"/>
                      <w:kern w:val="0"/>
                      <w:sz w:val="18"/>
                      <w:szCs w:val="18"/>
                    </w:rPr>
                  </w:pPr>
                  <w:r>
                    <w:rPr>
                      <w:rFonts w:hint="eastAsia"/>
                      <w:color w:val="000000"/>
                      <w:sz w:val="18"/>
                      <w:szCs w:val="18"/>
                    </w:rPr>
                    <w:t>西厂界</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eastAsia="宋体"/>
                      <w:color w:val="000000"/>
                      <w:kern w:val="0"/>
                      <w:sz w:val="18"/>
                      <w:szCs w:val="18"/>
                      <w:lang w:val="en-US" w:eastAsia="zh-CN"/>
                    </w:rPr>
                  </w:pPr>
                  <w:r>
                    <w:rPr>
                      <w:rFonts w:hint="eastAsia"/>
                      <w:sz w:val="18"/>
                      <w:szCs w:val="18"/>
                    </w:rPr>
                    <w:t>45.65</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eastAsia="宋体"/>
                      <w:color w:val="000000"/>
                      <w:kern w:val="0"/>
                      <w:sz w:val="18"/>
                      <w:szCs w:val="18"/>
                      <w:lang w:val="en-US" w:eastAsia="zh-CN"/>
                    </w:rPr>
                  </w:pPr>
                  <w:r>
                    <w:rPr>
                      <w:rFonts w:hint="eastAsia"/>
                      <w:sz w:val="18"/>
                      <w:szCs w:val="18"/>
                    </w:rPr>
                    <w:t>41.69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color w:val="000000"/>
                      <w:kern w:val="0"/>
                      <w:sz w:val="18"/>
                      <w:szCs w:val="18"/>
                    </w:rPr>
                  </w:pPr>
                  <w:r>
                    <w:rPr>
                      <w:rFonts w:hint="eastAsia"/>
                      <w:color w:val="000000"/>
                      <w:sz w:val="18"/>
                      <w:szCs w:val="18"/>
                    </w:rPr>
                    <w:t>北厂界</w:t>
                  </w:r>
                </w:p>
              </w:tc>
              <w:tc>
                <w:tcPr>
                  <w:tcW w:w="339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eastAsia="宋体"/>
                      <w:color w:val="000000"/>
                      <w:kern w:val="0"/>
                      <w:sz w:val="18"/>
                      <w:szCs w:val="18"/>
                      <w:lang w:val="en-US" w:eastAsia="zh-CN"/>
                    </w:rPr>
                  </w:pPr>
                  <w:r>
                    <w:rPr>
                      <w:rFonts w:hint="eastAsia"/>
                      <w:sz w:val="18"/>
                      <w:szCs w:val="18"/>
                    </w:rPr>
                    <w:t>41.09</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eastAsia="宋体"/>
                      <w:color w:val="000000"/>
                      <w:kern w:val="0"/>
                      <w:sz w:val="18"/>
                      <w:szCs w:val="18"/>
                      <w:lang w:val="en-US" w:eastAsia="zh-CN"/>
                    </w:rPr>
                  </w:pPr>
                  <w:r>
                    <w:rPr>
                      <w:rFonts w:hint="eastAsia"/>
                      <w:sz w:val="18"/>
                      <w:szCs w:val="18"/>
                    </w:rPr>
                    <w:t>34.30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color w:val="000000"/>
                      <w:kern w:val="0"/>
                      <w:sz w:val="18"/>
                      <w:szCs w:val="18"/>
                    </w:rPr>
                  </w:pPr>
                  <w:r>
                    <w:rPr>
                      <w:rFonts w:hint="eastAsia"/>
                      <w:color w:val="000000"/>
                      <w:kern w:val="0"/>
                      <w:sz w:val="18"/>
                      <w:szCs w:val="18"/>
                    </w:rPr>
                    <w:t>标准值</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eastAsia="宋体"/>
                      <w:color w:val="000000"/>
                      <w:kern w:val="0"/>
                      <w:sz w:val="18"/>
                      <w:szCs w:val="18"/>
                      <w:lang w:eastAsia="zh-CN"/>
                    </w:rPr>
                  </w:pPr>
                  <w:r>
                    <w:rPr>
                      <w:color w:val="000000"/>
                      <w:kern w:val="0"/>
                      <w:sz w:val="18"/>
                      <w:szCs w:val="18"/>
                    </w:rPr>
                    <w:t>6</w:t>
                  </w:r>
                  <w:r>
                    <w:rPr>
                      <w:rFonts w:hint="eastAsia"/>
                      <w:color w:val="000000"/>
                      <w:kern w:val="0"/>
                      <w:sz w:val="18"/>
                      <w:szCs w:val="18"/>
                      <w:lang w:val="en-US" w:eastAsia="zh-CN"/>
                    </w:rPr>
                    <w:t>5</w:t>
                  </w:r>
                </w:p>
              </w:tc>
              <w:tc>
                <w:tcPr>
                  <w:tcW w:w="33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eastAsia="宋体"/>
                      <w:color w:val="000000"/>
                      <w:kern w:val="0"/>
                      <w:sz w:val="18"/>
                      <w:szCs w:val="18"/>
                      <w:lang w:eastAsia="zh-CN"/>
                    </w:rPr>
                  </w:pPr>
                  <w:r>
                    <w:rPr>
                      <w:rFonts w:hint="eastAsia"/>
                      <w:color w:val="000000"/>
                      <w:kern w:val="0"/>
                      <w:sz w:val="18"/>
                      <w:szCs w:val="18"/>
                    </w:rPr>
                    <w:t>5</w:t>
                  </w:r>
                  <w:r>
                    <w:rPr>
                      <w:rFonts w:hint="eastAsia"/>
                      <w:color w:val="000000"/>
                      <w:kern w:val="0"/>
                      <w:sz w:val="18"/>
                      <w:szCs w:val="18"/>
                      <w:lang w:val="en-US" w:eastAsia="zh-CN"/>
                    </w:rPr>
                    <w:t>5</w:t>
                  </w:r>
                </w:p>
              </w:tc>
            </w:tr>
          </w:tbl>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根据《淄川区城市区域声环境功能区规划图》，本项目位于声环境三类功能区，由上表可知项目运营后厂界昼间噪声能满足《工业企业厂界环境噪声排放标准》（GB12348-2008）中3类标准（昼间65dB（A）</w:t>
            </w:r>
            <w:r>
              <w:rPr>
                <w:rFonts w:hint="eastAsia" w:cs="Times New Roman"/>
                <w:szCs w:val="21"/>
                <w:lang w:eastAsia="zh-CN"/>
              </w:rPr>
              <w:t>，夜间</w:t>
            </w:r>
            <w:r>
              <w:rPr>
                <w:rFonts w:hint="eastAsia" w:cs="Times New Roman"/>
                <w:szCs w:val="21"/>
                <w:lang w:val="en-US" w:eastAsia="zh-CN"/>
              </w:rPr>
              <w:t>55</w:t>
            </w:r>
            <w:r>
              <w:rPr>
                <w:rFonts w:hint="default" w:ascii="Times New Roman" w:hAnsi="Times New Roman" w:cs="Times New Roman"/>
                <w:szCs w:val="21"/>
              </w:rPr>
              <w:t>dB（A））。</w:t>
            </w:r>
          </w:p>
          <w:p>
            <w:pPr>
              <w:jc w:val="center"/>
              <w:rPr>
                <w:rFonts w:hint="default" w:ascii="Times New Roman" w:hAnsi="Times New Roman" w:cs="Times New Roman"/>
              </w:rPr>
            </w:pPr>
            <w:r>
              <w:drawing>
                <wp:inline distT="0" distB="0" distL="114300" distR="114300">
                  <wp:extent cx="5358130" cy="3449955"/>
                  <wp:effectExtent l="0" t="0" r="13970" b="171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358130" cy="3449955"/>
                          </a:xfrm>
                          <a:prstGeom prst="rect">
                            <a:avLst/>
                          </a:prstGeom>
                          <a:noFill/>
                          <a:ln>
                            <a:noFill/>
                          </a:ln>
                        </pic:spPr>
                      </pic:pic>
                    </a:graphicData>
                  </a:graphic>
                </wp:inline>
              </w:drawing>
            </w:r>
          </w:p>
          <w:p>
            <w:pPr>
              <w:spacing w:line="300" w:lineRule="exact"/>
              <w:jc w:val="center"/>
              <w:rPr>
                <w:rFonts w:hint="default" w:ascii="Times New Roman" w:hAnsi="Times New Roman" w:eastAsia="黑体" w:cs="Times New Roman"/>
                <w:b/>
                <w:bCs/>
                <w:szCs w:val="21"/>
              </w:rPr>
            </w:pPr>
            <w:r>
              <w:rPr>
                <w:rFonts w:hint="default" w:ascii="Times New Roman" w:hAnsi="Times New Roman" w:eastAsia="黑体" w:cs="Times New Roman"/>
                <w:b/>
                <w:bCs/>
                <w:szCs w:val="21"/>
              </w:rPr>
              <w:t>图4-</w:t>
            </w:r>
            <w:r>
              <w:rPr>
                <w:rFonts w:hint="eastAsia" w:eastAsia="黑体" w:cs="Times New Roman"/>
                <w:b/>
                <w:bCs/>
                <w:szCs w:val="21"/>
                <w:lang w:val="en-US" w:eastAsia="zh-CN"/>
              </w:rPr>
              <w:t>1</w:t>
            </w:r>
            <w:r>
              <w:rPr>
                <w:rFonts w:hint="default" w:ascii="Times New Roman" w:hAnsi="Times New Roman" w:eastAsia="黑体" w:cs="Times New Roman"/>
                <w:b/>
                <w:bCs/>
                <w:szCs w:val="21"/>
              </w:rPr>
              <w:t xml:space="preserve">  本项目昼间贡献值等值线图</w:t>
            </w:r>
          </w:p>
          <w:p>
            <w:pPr>
              <w:spacing w:line="240" w:lineRule="auto"/>
              <w:rPr>
                <w:rFonts w:hint="default" w:ascii="Times New Roman" w:hAnsi="Times New Roman" w:eastAsia="黑体" w:cs="Times New Roman"/>
                <w:szCs w:val="21"/>
              </w:rPr>
            </w:pPr>
            <w:r>
              <w:drawing>
                <wp:inline distT="0" distB="0" distL="114300" distR="114300">
                  <wp:extent cx="5234305" cy="3455670"/>
                  <wp:effectExtent l="0" t="0" r="4445" b="1143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0"/>
                          <a:stretch>
                            <a:fillRect/>
                          </a:stretch>
                        </pic:blipFill>
                        <pic:spPr>
                          <a:xfrm>
                            <a:off x="0" y="0"/>
                            <a:ext cx="5234305" cy="3455670"/>
                          </a:xfrm>
                          <a:prstGeom prst="rect">
                            <a:avLst/>
                          </a:prstGeom>
                          <a:noFill/>
                          <a:ln>
                            <a:noFill/>
                          </a:ln>
                        </pic:spPr>
                      </pic:pic>
                    </a:graphicData>
                  </a:graphic>
                </wp:inline>
              </w:drawing>
            </w:r>
          </w:p>
          <w:p>
            <w:pPr>
              <w:spacing w:line="300" w:lineRule="exact"/>
              <w:jc w:val="center"/>
              <w:rPr>
                <w:rFonts w:hint="default" w:ascii="Times New Roman" w:hAnsi="Times New Roman" w:eastAsia="黑体" w:cs="Times New Roman"/>
                <w:b/>
                <w:bCs/>
                <w:szCs w:val="21"/>
              </w:rPr>
            </w:pPr>
            <w:r>
              <w:rPr>
                <w:rFonts w:hint="default" w:ascii="Times New Roman" w:hAnsi="Times New Roman" w:eastAsia="黑体" w:cs="Times New Roman"/>
                <w:b/>
                <w:bCs/>
                <w:szCs w:val="21"/>
              </w:rPr>
              <w:t>图4-</w:t>
            </w:r>
            <w:r>
              <w:rPr>
                <w:rFonts w:hint="eastAsia" w:eastAsia="黑体" w:cs="Times New Roman"/>
                <w:b/>
                <w:bCs/>
                <w:szCs w:val="21"/>
                <w:lang w:val="en-US" w:eastAsia="zh-CN"/>
              </w:rPr>
              <w:t>2</w:t>
            </w:r>
            <w:r>
              <w:rPr>
                <w:rFonts w:hint="default" w:ascii="Times New Roman" w:hAnsi="Times New Roman" w:eastAsia="黑体" w:cs="Times New Roman"/>
                <w:b/>
                <w:bCs/>
                <w:szCs w:val="21"/>
              </w:rPr>
              <w:t xml:space="preserve">  本项目</w:t>
            </w:r>
            <w:r>
              <w:rPr>
                <w:rFonts w:hint="eastAsia" w:ascii="Times New Roman" w:hAnsi="Times New Roman" w:eastAsia="黑体" w:cs="Times New Roman"/>
                <w:b/>
                <w:bCs/>
                <w:szCs w:val="21"/>
                <w:lang w:eastAsia="zh-CN"/>
              </w:rPr>
              <w:t>夜</w:t>
            </w:r>
            <w:r>
              <w:rPr>
                <w:rFonts w:hint="default" w:ascii="Times New Roman" w:hAnsi="Times New Roman" w:eastAsia="黑体" w:cs="Times New Roman"/>
                <w:b/>
                <w:bCs/>
                <w:szCs w:val="21"/>
              </w:rPr>
              <w:t>间贡献值等值线图</w:t>
            </w:r>
          </w:p>
          <w:p>
            <w:pPr>
              <w:spacing w:line="420" w:lineRule="exact"/>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3、监测要求</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依据《排污单位自行监测技术指南 总则》（HJ819-2017）和本项目情况，对本项目噪声的日常监测要求见下表：</w:t>
            </w:r>
          </w:p>
          <w:p>
            <w:pPr>
              <w:spacing w:line="420" w:lineRule="exact"/>
              <w:ind w:firstLine="25" w:firstLineChars="12"/>
              <w:jc w:val="center"/>
              <w:rPr>
                <w:rFonts w:hint="default" w:ascii="Times New Roman" w:hAnsi="Times New Roman" w:eastAsia="黑体" w:cs="Times New Roman"/>
                <w:szCs w:val="21"/>
              </w:rPr>
            </w:pPr>
            <w:r>
              <w:rPr>
                <w:rFonts w:hint="default" w:ascii="Times New Roman" w:hAnsi="Times New Roman" w:eastAsia="黑体" w:cs="Times New Roman"/>
                <w:szCs w:val="21"/>
              </w:rPr>
              <w:t>表4-</w:t>
            </w:r>
            <w:r>
              <w:rPr>
                <w:rFonts w:hint="eastAsia" w:eastAsia="黑体" w:cs="Times New Roman"/>
                <w:szCs w:val="21"/>
                <w:lang w:val="en-US" w:eastAsia="zh-CN"/>
              </w:rPr>
              <w:t xml:space="preserve">14  </w:t>
            </w:r>
            <w:r>
              <w:rPr>
                <w:rFonts w:hint="default" w:ascii="Times New Roman" w:hAnsi="Times New Roman" w:eastAsia="黑体" w:cs="Times New Roman"/>
                <w:szCs w:val="21"/>
              </w:rPr>
              <w:t>声</w:t>
            </w:r>
            <w:r>
              <w:rPr>
                <w:rFonts w:hint="eastAsia" w:eastAsia="黑体" w:cs="Times New Roman"/>
                <w:szCs w:val="21"/>
                <w:lang w:eastAsia="zh-CN"/>
              </w:rPr>
              <w:t>环境</w:t>
            </w:r>
            <w:r>
              <w:rPr>
                <w:rFonts w:hint="default" w:ascii="Times New Roman" w:hAnsi="Times New Roman" w:eastAsia="黑体" w:cs="Times New Roman"/>
                <w:szCs w:val="21"/>
              </w:rPr>
              <w:t>监测要求</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6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9" w:type="dxa"/>
                  <w:tcBorders>
                    <w:top w:val="single" w:color="auto" w:sz="4" w:space="0"/>
                    <w:left w:val="single" w:color="auto" w:sz="4" w:space="0"/>
                    <w:bottom w:val="single" w:color="auto" w:sz="4" w:space="0"/>
                    <w:right w:val="single" w:color="auto" w:sz="4" w:space="0"/>
                  </w:tcBorders>
                  <w:vAlign w:val="center"/>
                </w:tcPr>
                <w:p>
                  <w:pPr>
                    <w:pStyle w:val="377"/>
                    <w:spacing w:line="240" w:lineRule="exact"/>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监测点位</w:t>
                  </w:r>
                </w:p>
              </w:tc>
              <w:tc>
                <w:tcPr>
                  <w:tcW w:w="6982" w:type="dxa"/>
                  <w:tcBorders>
                    <w:top w:val="single" w:color="auto" w:sz="4" w:space="0"/>
                    <w:left w:val="single" w:color="auto" w:sz="4" w:space="0"/>
                    <w:bottom w:val="single" w:color="auto" w:sz="4" w:space="0"/>
                    <w:right w:val="single" w:color="auto" w:sz="4" w:space="0"/>
                  </w:tcBorders>
                  <w:vAlign w:val="center"/>
                </w:tcPr>
                <w:p>
                  <w:pPr>
                    <w:pStyle w:val="377"/>
                    <w:spacing w:line="24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厂界外1m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9" w:type="dxa"/>
                  <w:tcBorders>
                    <w:top w:val="single" w:color="auto" w:sz="4" w:space="0"/>
                    <w:left w:val="single" w:color="auto" w:sz="4" w:space="0"/>
                    <w:bottom w:val="single" w:color="auto" w:sz="4" w:space="0"/>
                    <w:right w:val="single" w:color="auto" w:sz="4" w:space="0"/>
                  </w:tcBorders>
                  <w:vAlign w:val="center"/>
                </w:tcPr>
                <w:p>
                  <w:pPr>
                    <w:pStyle w:val="377"/>
                    <w:spacing w:line="240" w:lineRule="exact"/>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监测频次</w:t>
                  </w:r>
                </w:p>
              </w:tc>
              <w:tc>
                <w:tcPr>
                  <w:tcW w:w="6982" w:type="dxa"/>
                  <w:tcBorders>
                    <w:top w:val="single" w:color="auto" w:sz="4" w:space="0"/>
                    <w:left w:val="single" w:color="auto" w:sz="4" w:space="0"/>
                    <w:bottom w:val="single" w:color="auto" w:sz="4" w:space="0"/>
                    <w:right w:val="single" w:color="auto" w:sz="4" w:space="0"/>
                  </w:tcBorders>
                  <w:vAlign w:val="center"/>
                </w:tcPr>
                <w:p>
                  <w:pPr>
                    <w:pStyle w:val="377"/>
                    <w:spacing w:line="240" w:lineRule="exact"/>
                    <w:ind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每季度1次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39" w:type="dxa"/>
                  <w:tcBorders>
                    <w:top w:val="single" w:color="auto" w:sz="4" w:space="0"/>
                    <w:left w:val="single" w:color="auto" w:sz="4" w:space="0"/>
                    <w:bottom w:val="single" w:color="auto" w:sz="4" w:space="0"/>
                    <w:right w:val="single" w:color="auto" w:sz="4" w:space="0"/>
                  </w:tcBorders>
                  <w:vAlign w:val="center"/>
                </w:tcPr>
                <w:p>
                  <w:pPr>
                    <w:pStyle w:val="377"/>
                    <w:spacing w:line="240" w:lineRule="exact"/>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执行标准</w:t>
                  </w:r>
                </w:p>
              </w:tc>
              <w:tc>
                <w:tcPr>
                  <w:tcW w:w="6982" w:type="dxa"/>
                  <w:tcBorders>
                    <w:top w:val="single" w:color="auto" w:sz="4" w:space="0"/>
                    <w:left w:val="single" w:color="auto" w:sz="4" w:space="0"/>
                    <w:bottom w:val="single" w:color="auto" w:sz="4" w:space="0"/>
                    <w:right w:val="single" w:color="auto" w:sz="4" w:space="0"/>
                  </w:tcBorders>
                  <w:vAlign w:val="center"/>
                </w:tcPr>
                <w:p>
                  <w:pPr>
                    <w:pStyle w:val="377"/>
                    <w:spacing w:line="240" w:lineRule="exact"/>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《工业企业厂界环境噪声排放标准》（GB12348-2008）3类区标准</w:t>
                  </w:r>
                </w:p>
              </w:tc>
            </w:tr>
          </w:tbl>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四、固体废物</w:t>
            </w:r>
          </w:p>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1、固体废弃物产生环节及处置</w:t>
            </w:r>
          </w:p>
          <w:p>
            <w:pPr>
              <w:spacing w:line="360" w:lineRule="auto"/>
              <w:ind w:firstLine="482"/>
              <w:rPr>
                <w:rFonts w:hint="default" w:ascii="Times New Roman" w:hAnsi="Times New Roman" w:cs="Times New Roman"/>
              </w:rPr>
            </w:pPr>
            <w:r>
              <w:rPr>
                <w:rFonts w:hint="default" w:ascii="Times New Roman" w:hAnsi="Times New Roman" w:cs="Times New Roman"/>
              </w:rPr>
              <w:t>本项目</w:t>
            </w:r>
            <w:r>
              <w:rPr>
                <w:rFonts w:hint="eastAsia" w:cs="Times New Roman"/>
                <w:lang w:eastAsia="zh-CN"/>
              </w:rPr>
              <w:t>酚醛树脂</w:t>
            </w:r>
            <w:r>
              <w:rPr>
                <w:rFonts w:hint="default" w:ascii="Times New Roman" w:hAnsi="Times New Roman" w:cs="Times New Roman"/>
              </w:rPr>
              <w:t>桶使用完毕后由生产厂家回收直接罐装后运回。根据《工业固体废物鉴别标准通则》（GB34330-2017），本项目</w:t>
            </w:r>
            <w:r>
              <w:rPr>
                <w:rFonts w:hint="eastAsia" w:cs="Times New Roman"/>
                <w:lang w:eastAsia="zh-CN"/>
              </w:rPr>
              <w:t>酚醛树脂</w:t>
            </w:r>
            <w:r>
              <w:rPr>
                <w:rFonts w:hint="default" w:ascii="Times New Roman" w:hAnsi="Times New Roman" w:cs="Times New Roman"/>
              </w:rPr>
              <w:t>桶作为原始用途使用时不作为固体废物进行管理，当</w:t>
            </w:r>
            <w:r>
              <w:rPr>
                <w:rFonts w:hint="default" w:ascii="Times New Roman" w:hAnsi="Times New Roman" w:cs="Times New Roman"/>
                <w:lang w:eastAsia="zh-CN"/>
              </w:rPr>
              <w:t>包装</w:t>
            </w:r>
            <w:r>
              <w:rPr>
                <w:rFonts w:hint="default" w:ascii="Times New Roman" w:hAnsi="Times New Roman" w:cs="Times New Roman"/>
              </w:rPr>
              <w:t>桶破损不能再使用时需按照危险废物进行处置。</w:t>
            </w:r>
          </w:p>
          <w:p>
            <w:pPr>
              <w:ind w:firstLine="480"/>
              <w:rPr>
                <w:rFonts w:hint="default" w:ascii="Times New Roman" w:hAnsi="Times New Roman" w:cs="Times New Roman"/>
              </w:rPr>
            </w:pPr>
            <w:r>
              <w:rPr>
                <w:rFonts w:hint="default" w:ascii="Times New Roman" w:hAnsi="Times New Roman" w:cs="Times New Roman"/>
              </w:rPr>
              <w:t>项目生产过程</w:t>
            </w:r>
            <w:r>
              <w:rPr>
                <w:rFonts w:hint="eastAsia" w:cs="Times New Roman"/>
                <w:lang w:eastAsia="zh-CN"/>
              </w:rPr>
              <w:t>会产生生活垃圾、</w:t>
            </w:r>
            <w:r>
              <w:rPr>
                <w:rFonts w:hint="default" w:ascii="Times New Roman" w:hAnsi="Times New Roman" w:cs="Times New Roman"/>
              </w:rPr>
              <w:t>一般工业固体废物</w:t>
            </w:r>
            <w:r>
              <w:rPr>
                <w:rFonts w:hint="eastAsia" w:cs="Times New Roman"/>
                <w:lang w:eastAsia="zh-CN"/>
              </w:rPr>
              <w:t>及</w:t>
            </w:r>
            <w:r>
              <w:rPr>
                <w:rFonts w:hint="default" w:ascii="Times New Roman" w:hAnsi="Times New Roman" w:cs="Times New Roman"/>
              </w:rPr>
              <w:t>危险废物</w:t>
            </w:r>
            <w:r>
              <w:rPr>
                <w:rFonts w:hint="eastAsia" w:cs="Times New Roman"/>
                <w:lang w:eastAsia="zh-CN"/>
              </w:rPr>
              <w:t>，</w:t>
            </w:r>
            <w:r>
              <w:rPr>
                <w:rFonts w:hint="default" w:ascii="Times New Roman" w:hAnsi="Times New Roman" w:cs="Times New Roman"/>
              </w:rPr>
              <w:t>产生情况及治理措施如下：</w:t>
            </w:r>
          </w:p>
          <w:p>
            <w:pPr>
              <w:autoSpaceDE w:val="0"/>
              <w:autoSpaceDN w:val="0"/>
              <w:adjustRightInd w:val="0"/>
              <w:spacing w:line="360" w:lineRule="auto"/>
              <w:ind w:firstLine="420" w:firstLineChars="200"/>
              <w:rPr>
                <w:rFonts w:hint="eastAsia" w:cs="Times New Roman"/>
                <w:szCs w:val="21"/>
                <w:lang w:eastAsia="zh-CN"/>
              </w:rPr>
            </w:pPr>
            <w:r>
              <w:rPr>
                <w:rFonts w:hint="eastAsia" w:cs="Times New Roman"/>
                <w:szCs w:val="21"/>
                <w:lang w:eastAsia="zh-CN"/>
              </w:rPr>
              <w:t>（</w:t>
            </w:r>
            <w:r>
              <w:rPr>
                <w:rFonts w:hint="eastAsia" w:cs="Times New Roman"/>
                <w:szCs w:val="21"/>
                <w:lang w:val="en-US" w:eastAsia="zh-CN"/>
              </w:rPr>
              <w:t>1</w:t>
            </w:r>
            <w:r>
              <w:rPr>
                <w:rFonts w:hint="eastAsia" w:cs="Times New Roman"/>
                <w:szCs w:val="21"/>
                <w:lang w:eastAsia="zh-CN"/>
              </w:rPr>
              <w:t>）生活垃圾</w:t>
            </w:r>
          </w:p>
          <w:p>
            <w:pPr>
              <w:autoSpaceDE w:val="0"/>
              <w:autoSpaceDN w:val="0"/>
              <w:adjustRightIn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拟建项目劳动定员为</w:t>
            </w:r>
            <w:r>
              <w:rPr>
                <w:rFonts w:hint="eastAsia" w:cs="Times New Roman"/>
                <w:szCs w:val="21"/>
                <w:lang w:val="en-US" w:eastAsia="zh-CN"/>
              </w:rPr>
              <w:t>38</w:t>
            </w:r>
            <w:r>
              <w:rPr>
                <w:rFonts w:hint="default" w:ascii="Times New Roman" w:hAnsi="Times New Roman" w:cs="Times New Roman"/>
                <w:szCs w:val="21"/>
              </w:rPr>
              <w:t>人，生活垃圾产生量按照0.5kg/人·d计，则全年生活垃圾产生量为</w:t>
            </w:r>
            <w:r>
              <w:rPr>
                <w:rFonts w:hint="eastAsia" w:cs="Times New Roman"/>
                <w:szCs w:val="21"/>
                <w:lang w:val="en-US" w:eastAsia="zh-CN"/>
              </w:rPr>
              <w:t>5.7</w:t>
            </w:r>
            <w:r>
              <w:rPr>
                <w:rFonts w:hint="default" w:ascii="Times New Roman" w:hAnsi="Times New Roman" w:cs="Times New Roman"/>
                <w:szCs w:val="21"/>
              </w:rPr>
              <w:t>t/a，由环卫部门定期清理。</w:t>
            </w:r>
          </w:p>
          <w:p>
            <w:pPr>
              <w:autoSpaceDE w:val="0"/>
              <w:autoSpaceDN w:val="0"/>
              <w:adjustRightInd w:val="0"/>
              <w:spacing w:line="360" w:lineRule="auto"/>
              <w:ind w:firstLine="420" w:firstLineChars="200"/>
              <w:rPr>
                <w:rFonts w:hint="eastAsia" w:ascii="Times New Roman" w:hAnsi="Times New Roman" w:eastAsia="宋体" w:cs="Times New Roman"/>
                <w:szCs w:val="21"/>
                <w:lang w:eastAsia="zh-CN"/>
              </w:rPr>
            </w:pPr>
            <w:r>
              <w:rPr>
                <w:rFonts w:hint="eastAsia" w:cs="Times New Roman"/>
                <w:szCs w:val="21"/>
                <w:lang w:eastAsia="zh-CN"/>
              </w:rPr>
              <w:t>（</w:t>
            </w:r>
            <w:r>
              <w:rPr>
                <w:rFonts w:hint="eastAsia" w:cs="Times New Roman"/>
                <w:szCs w:val="21"/>
                <w:lang w:val="en-US" w:eastAsia="zh-CN"/>
              </w:rPr>
              <w:t>2</w:t>
            </w:r>
            <w:r>
              <w:rPr>
                <w:rFonts w:hint="eastAsia" w:cs="Times New Roman"/>
                <w:szCs w:val="21"/>
                <w:lang w:eastAsia="zh-CN"/>
              </w:rPr>
              <w:t>）一般工业固废</w:t>
            </w:r>
          </w:p>
          <w:p>
            <w:pPr>
              <w:autoSpaceDE w:val="0"/>
              <w:autoSpaceDN w:val="0"/>
              <w:adjustRightInd w:val="0"/>
              <w:spacing w:line="360" w:lineRule="auto"/>
              <w:ind w:firstLine="420" w:firstLineChars="200"/>
              <w:rPr>
                <w:rFonts w:hint="eastAsia" w:eastAsiaTheme="minorEastAsia"/>
                <w:lang w:val="en-US" w:eastAsia="zh-CN"/>
              </w:rPr>
            </w:pPr>
            <w:r>
              <w:rPr>
                <w:rFonts w:hint="eastAsia" w:eastAsiaTheme="minorEastAsia"/>
                <w:lang w:val="en-US" w:eastAsia="zh-CN"/>
              </w:rPr>
              <w:t>1）</w:t>
            </w:r>
            <w:r>
              <w:rPr>
                <w:rFonts w:hint="eastAsia" w:cs="Times New Roman"/>
                <w:color w:val="auto"/>
                <w:szCs w:val="21"/>
                <w:lang w:eastAsia="zh-CN"/>
              </w:rPr>
              <w:t>生产过程中产生的涤纶排管不合格产品、涤纶排管下脚料</w:t>
            </w:r>
            <w:r>
              <w:rPr>
                <w:rFonts w:hint="default" w:ascii="Times New Roman" w:hAnsi="Times New Roman" w:cs="Times New Roman"/>
                <w:color w:val="auto"/>
                <w:szCs w:val="21"/>
              </w:rPr>
              <w:t>。</w:t>
            </w:r>
          </w:p>
          <w:p>
            <w:pPr>
              <w:autoSpaceDE w:val="0"/>
              <w:autoSpaceDN w:val="0"/>
              <w:adjustRightInd w:val="0"/>
              <w:spacing w:line="360" w:lineRule="auto"/>
              <w:ind w:firstLine="420" w:firstLineChars="200"/>
              <w:rPr>
                <w:rFonts w:hint="default" w:ascii="Times New Roman" w:hAnsi="Times New Roman" w:cs="Times New Roman"/>
                <w:szCs w:val="21"/>
              </w:rPr>
            </w:pPr>
            <w:r>
              <w:rPr>
                <w:rFonts w:hint="eastAsia" w:eastAsiaTheme="minorEastAsia"/>
              </w:rPr>
              <w:t>生产过程中产生的不合格产品及切割机切割下来的涤纶排管下脚料为4t/a，收集后</w:t>
            </w:r>
            <w:r>
              <w:rPr>
                <w:rFonts w:hint="eastAsia" w:eastAsiaTheme="minorEastAsia"/>
                <w:lang w:eastAsia="zh-CN"/>
              </w:rPr>
              <w:t>全部外卖处理</w:t>
            </w:r>
            <w:r>
              <w:rPr>
                <w:rFonts w:hint="eastAsia" w:eastAsiaTheme="minorEastAsia"/>
              </w:rPr>
              <w:t>。</w:t>
            </w:r>
          </w:p>
          <w:p>
            <w:pPr>
              <w:autoSpaceDE w:val="0"/>
              <w:autoSpaceDN w:val="0"/>
              <w:adjustRightInd w:val="0"/>
              <w:spacing w:line="360" w:lineRule="auto"/>
              <w:ind w:firstLine="420" w:firstLineChars="200"/>
              <w:rPr>
                <w:rFonts w:hint="eastAsia" w:ascii="Times New Roman" w:hAnsi="Times New Roman" w:eastAsia="宋体" w:cs="Times New Roman"/>
                <w:szCs w:val="21"/>
                <w:lang w:val="en-US" w:eastAsia="zh-CN"/>
              </w:rPr>
            </w:pPr>
            <w:r>
              <w:rPr>
                <w:rFonts w:hint="eastAsia" w:cs="Times New Roman"/>
                <w:szCs w:val="21"/>
                <w:lang w:val="en-US" w:eastAsia="zh-CN"/>
              </w:rPr>
              <w:t>2）</w:t>
            </w:r>
            <w:r>
              <w:rPr>
                <w:rFonts w:hint="eastAsia" w:cs="Times New Roman"/>
                <w:color w:val="auto"/>
                <w:szCs w:val="21"/>
                <w:lang w:eastAsia="zh-CN"/>
              </w:rPr>
              <w:t>注塑过程产生的不合格产品</w:t>
            </w:r>
          </w:p>
          <w:p>
            <w:pPr>
              <w:spacing w:line="360" w:lineRule="auto"/>
              <w:ind w:firstLine="420" w:firstLineChars="200"/>
              <w:rPr>
                <w:rFonts w:hint="eastAsia" w:eastAsiaTheme="minorEastAsia"/>
                <w:sz w:val="21"/>
                <w:szCs w:val="21"/>
              </w:rPr>
            </w:pPr>
            <w:r>
              <w:rPr>
                <w:rFonts w:hint="eastAsia" w:eastAsiaTheme="minorEastAsia"/>
                <w:sz w:val="21"/>
                <w:szCs w:val="21"/>
              </w:rPr>
              <w:t>项目生产电源连接线时产生的不合格的注塑产品量为0.05t/a，经企业收集外协破碎后回用于生产。</w:t>
            </w:r>
          </w:p>
          <w:p>
            <w:pPr>
              <w:pStyle w:val="2"/>
              <w:ind w:left="0" w:leftChars="0" w:firstLine="420" w:firstLineChars="200"/>
              <w:rPr>
                <w:rFonts w:hint="eastAsia" w:eastAsiaTheme="minorEastAsia"/>
                <w:lang w:val="en-US" w:eastAsia="zh-CN"/>
              </w:rPr>
            </w:pPr>
            <w:r>
              <w:rPr>
                <w:rFonts w:hint="eastAsia" w:eastAsiaTheme="minorEastAsia"/>
                <w:sz w:val="21"/>
                <w:szCs w:val="21"/>
                <w:lang w:val="en-US" w:eastAsia="zh-CN"/>
              </w:rPr>
              <w:t>3）废原料包装袋</w:t>
            </w:r>
          </w:p>
          <w:p>
            <w:pPr>
              <w:autoSpaceDE w:val="0"/>
              <w:autoSpaceDN w:val="0"/>
              <w:adjustRightInd w:val="0"/>
              <w:spacing w:line="360" w:lineRule="auto"/>
              <w:ind w:firstLine="420" w:firstLineChars="200"/>
              <w:rPr>
                <w:rFonts w:hint="default" w:ascii="Times New Roman" w:hAnsi="Times New Roman" w:eastAsia="宋体" w:cs="Times New Roman"/>
                <w:szCs w:val="21"/>
                <w:lang w:val="en-US" w:eastAsia="zh-CN"/>
              </w:rPr>
            </w:pPr>
            <w:r>
              <w:rPr>
                <w:rFonts w:hint="eastAsia" w:cs="Times New Roman"/>
                <w:szCs w:val="21"/>
                <w:lang w:eastAsia="zh-CN"/>
              </w:rPr>
              <w:t>项目原料包装会产生废原料包装袋，年产生量</w:t>
            </w:r>
            <w:r>
              <w:rPr>
                <w:rFonts w:hint="eastAsia" w:cs="Times New Roman"/>
                <w:szCs w:val="21"/>
                <w:lang w:val="en-US" w:eastAsia="zh-CN"/>
              </w:rPr>
              <w:t>0.2t/a，收集后外卖处理。</w:t>
            </w:r>
          </w:p>
          <w:p>
            <w:pPr>
              <w:autoSpaceDE w:val="0"/>
              <w:autoSpaceDN w:val="0"/>
              <w:adjustRightIn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3</w:t>
            </w:r>
            <w:r>
              <w:rPr>
                <w:rFonts w:hint="default" w:ascii="Times New Roman" w:hAnsi="Times New Roman" w:cs="Times New Roman"/>
                <w:szCs w:val="21"/>
              </w:rPr>
              <w:t>）</w:t>
            </w:r>
            <w:bookmarkStart w:id="8" w:name="_Hlk49542529"/>
            <w:r>
              <w:rPr>
                <w:rFonts w:hint="default" w:ascii="Times New Roman" w:hAnsi="Times New Roman" w:cs="Times New Roman"/>
                <w:szCs w:val="21"/>
              </w:rPr>
              <w:t>危险废物</w:t>
            </w:r>
          </w:p>
          <w:p>
            <w:pPr>
              <w:autoSpaceDE w:val="0"/>
              <w:autoSpaceDN w:val="0"/>
              <w:adjustRightInd w:val="0"/>
              <w:spacing w:line="360" w:lineRule="auto"/>
              <w:ind w:firstLine="420" w:firstLineChars="200"/>
              <w:rPr>
                <w:rFonts w:hint="eastAsia" w:cs="Times New Roman"/>
                <w:szCs w:val="21"/>
                <w:highlight w:val="none"/>
                <w:lang w:eastAsia="zh-CN"/>
              </w:rPr>
            </w:pPr>
            <w:r>
              <w:rPr>
                <w:rFonts w:hint="default" w:ascii="Times New Roman" w:hAnsi="Times New Roman" w:cs="Times New Roman"/>
                <w:szCs w:val="21"/>
                <w:highlight w:val="none"/>
              </w:rPr>
              <w:t>1）</w:t>
            </w:r>
            <w:r>
              <w:rPr>
                <w:rFonts w:hint="eastAsia" w:cs="Times New Roman"/>
                <w:szCs w:val="21"/>
                <w:highlight w:val="none"/>
                <w:lang w:eastAsia="zh-CN"/>
              </w:rPr>
              <w:t>废活性炭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lang w:val="en-US" w:eastAsia="zh-CN"/>
              </w:rPr>
            </w:pPr>
            <w:r>
              <w:rPr>
                <w:rFonts w:hint="eastAsia" w:cs="Times New Roman"/>
                <w:szCs w:val="21"/>
                <w:highlight w:val="none"/>
                <w:lang w:val="en-US" w:eastAsia="zh-CN"/>
              </w:rPr>
              <w:t>项目配套建设1套活性炭吸附装置，活性炭均为蜂窝状活性炭，碘值不小于650mg/g。</w:t>
            </w:r>
            <w:r>
              <w:rPr>
                <w:rFonts w:hint="default" w:ascii="Times New Roman" w:hAnsi="Times New Roman" w:cs="Times New Roman"/>
                <w:color w:val="auto"/>
              </w:rPr>
              <w:t>根据相关实验数据，1kg活性炭的VOCs饱和吸附量约为0.3kg，</w:t>
            </w:r>
            <w:r>
              <w:rPr>
                <w:rFonts w:hint="eastAsia" w:ascii="Times New Roman" w:hAnsi="Times New Roman" w:cs="Times New Roman"/>
                <w:color w:val="auto"/>
                <w:lang w:eastAsia="zh-CN"/>
              </w:rPr>
              <w:t>全厂有组织</w:t>
            </w:r>
            <w:r>
              <w:rPr>
                <w:rFonts w:hint="eastAsia" w:ascii="Times New Roman" w:hAnsi="Times New Roman" w:cs="Times New Roman"/>
                <w:color w:val="auto"/>
                <w:lang w:val="en-US" w:eastAsia="zh-CN"/>
              </w:rPr>
              <w:t>VOCs产生量为</w:t>
            </w:r>
            <w:r>
              <w:rPr>
                <w:rFonts w:hint="eastAsia" w:cs="Times New Roman"/>
                <w:color w:val="auto"/>
                <w:lang w:val="en-US" w:eastAsia="zh-CN"/>
              </w:rPr>
              <w:t>1.505</w:t>
            </w:r>
            <w:r>
              <w:rPr>
                <w:rFonts w:hint="eastAsia" w:ascii="Times New Roman" w:hAnsi="Times New Roman" w:cs="Times New Roman"/>
                <w:color w:val="auto"/>
                <w:lang w:val="en-US" w:eastAsia="zh-CN"/>
              </w:rPr>
              <w:t>t/a，有组织VOCs排放量为</w:t>
            </w:r>
            <w:r>
              <w:rPr>
                <w:rFonts w:hint="eastAsia" w:cs="Times New Roman"/>
                <w:color w:val="auto"/>
                <w:lang w:val="en-US" w:eastAsia="zh-CN"/>
              </w:rPr>
              <w:t>0.302</w:t>
            </w:r>
            <w:r>
              <w:rPr>
                <w:rFonts w:hint="eastAsia" w:ascii="Times New Roman" w:hAnsi="Times New Roman" w:cs="Times New Roman"/>
                <w:color w:val="auto"/>
                <w:lang w:val="en-US" w:eastAsia="zh-CN"/>
              </w:rPr>
              <w:t>t</w:t>
            </w:r>
            <w:r>
              <w:rPr>
                <w:rFonts w:hint="eastAsia" w:cs="Times New Roman"/>
                <w:color w:val="auto"/>
                <w:lang w:val="en-US" w:eastAsia="zh-CN"/>
              </w:rPr>
              <w:t>/a</w:t>
            </w:r>
            <w:r>
              <w:rPr>
                <w:rFonts w:hint="eastAsia" w:ascii="Times New Roman" w:hAnsi="Times New Roman" w:cs="Times New Roman"/>
                <w:color w:val="auto"/>
                <w:lang w:val="en-US" w:eastAsia="zh-CN"/>
              </w:rPr>
              <w:t>，其余全部经活性炭吸附，</w:t>
            </w:r>
            <w:r>
              <w:rPr>
                <w:rFonts w:hint="default" w:ascii="Times New Roman" w:hAnsi="Times New Roman" w:cs="Times New Roman"/>
                <w:color w:val="auto"/>
              </w:rPr>
              <w:t>则</w:t>
            </w:r>
            <w:r>
              <w:rPr>
                <w:rFonts w:hint="eastAsia" w:ascii="Times New Roman" w:hAnsi="Times New Roman" w:cs="Times New Roman"/>
                <w:color w:val="auto"/>
                <w:lang w:eastAsia="zh-CN"/>
              </w:rPr>
              <w:t>全厂废</w:t>
            </w:r>
            <w:r>
              <w:rPr>
                <w:rFonts w:hint="default" w:ascii="Times New Roman" w:hAnsi="Times New Roman" w:cs="Times New Roman"/>
                <w:color w:val="auto"/>
              </w:rPr>
              <w:t>活性炭的产生量合计</w:t>
            </w:r>
            <w:r>
              <w:rPr>
                <w:rFonts w:hint="eastAsia" w:cs="Times New Roman"/>
                <w:color w:val="auto"/>
                <w:lang w:eastAsia="zh-CN"/>
              </w:rPr>
              <w:t>约</w:t>
            </w:r>
            <w:r>
              <w:rPr>
                <w:rFonts w:hint="default" w:ascii="Times New Roman" w:hAnsi="Times New Roman" w:cs="Times New Roman"/>
                <w:color w:val="auto"/>
              </w:rPr>
              <w:t>为</w:t>
            </w:r>
            <w:r>
              <w:rPr>
                <w:rFonts w:hint="eastAsia" w:cs="Times New Roman"/>
                <w:color w:val="auto"/>
                <w:lang w:val="en-US" w:eastAsia="zh-CN"/>
              </w:rPr>
              <w:t>5.2</w:t>
            </w:r>
            <w:r>
              <w:rPr>
                <w:rFonts w:hint="eastAsia" w:ascii="Times New Roman" w:hAnsi="Times New Roman" w:cs="Times New Roman"/>
                <w:color w:val="auto"/>
                <w:lang w:val="en-US" w:eastAsia="zh-CN"/>
              </w:rPr>
              <w:t>t</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cs="Times New Roman"/>
                <w:color w:val="auto"/>
                <w:lang w:eastAsia="zh-CN"/>
              </w:rPr>
              <w:t>废活性炭</w:t>
            </w:r>
            <w:r>
              <w:rPr>
                <w:rFonts w:hint="eastAsia" w:cs="Times New Roman"/>
                <w:szCs w:val="21"/>
                <w:lang w:val="en-US" w:eastAsia="zh-CN"/>
              </w:rPr>
              <w:t>属于危险废物，危废代码HW49 ，900-039-49，产生后储存在危废间内，委托第三方危废处置资质单位定期处置。</w:t>
            </w:r>
          </w:p>
          <w:bookmarkEnd w:id="8"/>
          <w:p>
            <w:pPr>
              <w:autoSpaceDE w:val="0"/>
              <w:autoSpaceDN w:val="0"/>
              <w:adjustRightIn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根据《建设项目危险废物环境影响评价指南》（环保部公告[2017]43号）、《固体废物鉴别标准通则》（GB 34330-2017）。项目产生的固废</w:t>
            </w:r>
            <w:r>
              <w:rPr>
                <w:rFonts w:hint="eastAsia" w:cs="Times New Roman"/>
                <w:szCs w:val="21"/>
                <w:lang w:eastAsia="zh-CN"/>
              </w:rPr>
              <w:t>主要为</w:t>
            </w:r>
            <w:r>
              <w:rPr>
                <w:rFonts w:hint="default" w:ascii="Times New Roman" w:hAnsi="Times New Roman" w:cs="Times New Roman"/>
                <w:szCs w:val="21"/>
              </w:rPr>
              <w:t>一般固体废物</w:t>
            </w:r>
            <w:r>
              <w:rPr>
                <w:rFonts w:hint="eastAsia" w:cs="Times New Roman"/>
                <w:szCs w:val="21"/>
                <w:lang w:eastAsia="zh-CN"/>
              </w:rPr>
              <w:t>、</w:t>
            </w:r>
            <w:r>
              <w:rPr>
                <w:rFonts w:hint="default" w:ascii="Times New Roman" w:hAnsi="Times New Roman" w:cs="Times New Roman"/>
                <w:szCs w:val="21"/>
              </w:rPr>
              <w:t>危险</w:t>
            </w:r>
            <w:r>
              <w:rPr>
                <w:rFonts w:hint="eastAsia" w:cs="Times New Roman"/>
                <w:szCs w:val="21"/>
                <w:lang w:eastAsia="zh-CN"/>
              </w:rPr>
              <w:t>废物</w:t>
            </w:r>
            <w:r>
              <w:rPr>
                <w:rFonts w:hint="default" w:ascii="Times New Roman" w:hAnsi="Times New Roman" w:cs="Times New Roman"/>
                <w:szCs w:val="21"/>
              </w:rPr>
              <w:t>，一般固体废物</w:t>
            </w:r>
            <w:r>
              <w:rPr>
                <w:rFonts w:hint="eastAsia" w:cs="Times New Roman"/>
                <w:szCs w:val="21"/>
                <w:lang w:eastAsia="zh-CN"/>
              </w:rPr>
              <w:t>、危险废物</w:t>
            </w:r>
            <w:r>
              <w:rPr>
                <w:rFonts w:hint="default" w:ascii="Times New Roman" w:hAnsi="Times New Roman" w:cs="Times New Roman"/>
                <w:szCs w:val="21"/>
              </w:rPr>
              <w:t>产生情况分别如下所示：</w:t>
            </w:r>
          </w:p>
          <w:p>
            <w:pPr>
              <w:autoSpaceDE w:val="0"/>
              <w:autoSpaceDN w:val="0"/>
              <w:adjustRightInd w:val="0"/>
              <w:spacing w:line="420" w:lineRule="exact"/>
              <w:ind w:firstLine="25" w:firstLineChars="12"/>
              <w:jc w:val="center"/>
              <w:rPr>
                <w:rFonts w:hint="default" w:ascii="Times New Roman" w:hAnsi="Times New Roman" w:eastAsia="黑体" w:cs="Times New Roman"/>
                <w:szCs w:val="21"/>
              </w:rPr>
            </w:pPr>
            <w:r>
              <w:rPr>
                <w:rFonts w:hint="default" w:ascii="Times New Roman" w:hAnsi="Times New Roman" w:eastAsia="黑体" w:cs="Times New Roman"/>
                <w:szCs w:val="21"/>
              </w:rPr>
              <w:t>表4-</w:t>
            </w:r>
            <w:r>
              <w:rPr>
                <w:rFonts w:hint="eastAsia" w:eastAsia="黑体" w:cs="Times New Roman"/>
                <w:szCs w:val="21"/>
                <w:lang w:val="en-US" w:eastAsia="zh-CN"/>
              </w:rPr>
              <w:t>15</w:t>
            </w:r>
            <w:r>
              <w:rPr>
                <w:rFonts w:hint="default" w:ascii="Times New Roman" w:hAnsi="Times New Roman" w:eastAsia="黑体" w:cs="Times New Roman"/>
                <w:szCs w:val="21"/>
              </w:rPr>
              <w:t xml:space="preserve">  一般固体废物废弃物及生活垃圾产生情况表</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581"/>
              <w:gridCol w:w="904"/>
              <w:gridCol w:w="905"/>
              <w:gridCol w:w="1657"/>
              <w:gridCol w:w="1356"/>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产生环节</w:t>
                  </w:r>
                </w:p>
              </w:tc>
              <w:tc>
                <w:tcPr>
                  <w:tcW w:w="15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名称</w:t>
                  </w: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性状</w:t>
                  </w:r>
                </w:p>
              </w:tc>
              <w:tc>
                <w:tcPr>
                  <w:tcW w:w="9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产生量</w:t>
                  </w:r>
                </w:p>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t/a</w:t>
                  </w:r>
                </w:p>
              </w:tc>
              <w:tc>
                <w:tcPr>
                  <w:tcW w:w="16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储存方式</w:t>
                  </w:r>
                </w:p>
              </w:tc>
              <w:tc>
                <w:tcPr>
                  <w:tcW w:w="13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处置方式</w:t>
                  </w:r>
                </w:p>
              </w:tc>
              <w:tc>
                <w:tcPr>
                  <w:tcW w:w="9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处置量</w:t>
                  </w:r>
                </w:p>
                <w:p>
                  <w:pPr>
                    <w:autoSpaceDE w:val="0"/>
                    <w:autoSpaceDN w:val="0"/>
                    <w:adjustRightInd w:val="0"/>
                    <w:spacing w:line="240" w:lineRule="exact"/>
                    <w:jc w:val="center"/>
                    <w:rPr>
                      <w:rFonts w:hint="default" w:ascii="Times New Roman" w:hAnsi="Times New Roman" w:cs="Times New Roman"/>
                      <w:b/>
                      <w:bCs/>
                      <w:sz w:val="18"/>
                      <w:szCs w:val="18"/>
                    </w:rPr>
                  </w:pPr>
                  <w:r>
                    <w:rPr>
                      <w:rFonts w:hint="default" w:ascii="Times New Roman" w:hAnsi="Times New Roman" w:cs="Times New Roman"/>
                      <w:b/>
                      <w:bCs/>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eastAsia" w:cs="Times New Roman"/>
                      <w:sz w:val="18"/>
                      <w:szCs w:val="18"/>
                      <w:lang w:eastAsia="zh-CN"/>
                    </w:rPr>
                    <w:t>切割</w:t>
                  </w:r>
                  <w:r>
                    <w:rPr>
                      <w:rFonts w:hint="default" w:ascii="Times New Roman" w:hAnsi="Times New Roman" w:cs="Times New Roman"/>
                      <w:sz w:val="18"/>
                      <w:szCs w:val="18"/>
                    </w:rPr>
                    <w:t>工序</w:t>
                  </w:r>
                </w:p>
              </w:tc>
              <w:tc>
                <w:tcPr>
                  <w:tcW w:w="15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eastAsia" w:cs="Times New Roman"/>
                      <w:sz w:val="18"/>
                      <w:szCs w:val="18"/>
                      <w:lang w:eastAsia="zh-CN"/>
                    </w:rPr>
                    <w:t>涤纶排管不合格产品及</w:t>
                  </w:r>
                  <w:r>
                    <w:rPr>
                      <w:rFonts w:hint="default" w:ascii="Times New Roman" w:hAnsi="Times New Roman" w:cs="Times New Roman"/>
                      <w:sz w:val="18"/>
                      <w:szCs w:val="18"/>
                    </w:rPr>
                    <w:t>下脚料</w:t>
                  </w:r>
                </w:p>
              </w:tc>
              <w:tc>
                <w:tcPr>
                  <w:tcW w:w="9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固体</w:t>
                  </w:r>
                </w:p>
              </w:tc>
              <w:tc>
                <w:tcPr>
                  <w:tcW w:w="9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6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固废仓库堆存</w:t>
                  </w:r>
                </w:p>
              </w:tc>
              <w:tc>
                <w:tcPr>
                  <w:tcW w:w="13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外售处理</w:t>
                  </w:r>
                </w:p>
              </w:tc>
              <w:tc>
                <w:tcPr>
                  <w:tcW w:w="9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eastAsia" w:cs="Times New Roman"/>
                      <w:sz w:val="18"/>
                      <w:szCs w:val="18"/>
                      <w:lang w:eastAsia="zh-CN"/>
                    </w:rPr>
                    <w:t>注塑</w:t>
                  </w:r>
                  <w:r>
                    <w:rPr>
                      <w:rFonts w:hint="default" w:ascii="Times New Roman" w:hAnsi="Times New Roman" w:cs="Times New Roman"/>
                      <w:sz w:val="18"/>
                      <w:szCs w:val="18"/>
                    </w:rPr>
                    <w:t>工序</w:t>
                  </w:r>
                </w:p>
              </w:tc>
              <w:tc>
                <w:tcPr>
                  <w:tcW w:w="15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eastAsia" w:ascii="Times New Roman" w:hAnsi="Times New Roman" w:eastAsia="宋体" w:cs="Times New Roman"/>
                      <w:sz w:val="18"/>
                      <w:szCs w:val="18"/>
                      <w:lang w:eastAsia="zh-CN"/>
                    </w:rPr>
                  </w:pPr>
                  <w:r>
                    <w:rPr>
                      <w:rFonts w:hint="eastAsia" w:cs="Times New Roman"/>
                      <w:sz w:val="18"/>
                      <w:szCs w:val="18"/>
                      <w:lang w:eastAsia="zh-CN"/>
                    </w:rPr>
                    <w:t>注塑不合格产品</w:t>
                  </w:r>
                </w:p>
              </w:tc>
              <w:tc>
                <w:tcPr>
                  <w:tcW w:w="90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固体</w:t>
                  </w:r>
                </w:p>
              </w:tc>
              <w:tc>
                <w:tcPr>
                  <w:tcW w:w="9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0.05</w:t>
                  </w:r>
                </w:p>
              </w:tc>
              <w:tc>
                <w:tcPr>
                  <w:tcW w:w="16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固废仓库桶装</w:t>
                  </w:r>
                </w:p>
              </w:tc>
              <w:tc>
                <w:tcPr>
                  <w:tcW w:w="13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外售处理</w:t>
                  </w:r>
                </w:p>
              </w:tc>
              <w:tc>
                <w:tcPr>
                  <w:tcW w:w="9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eastAsia" w:cs="Times New Roman"/>
                      <w:sz w:val="18"/>
                      <w:szCs w:val="18"/>
                      <w:lang w:eastAsia="zh-CN"/>
                    </w:rPr>
                  </w:pPr>
                  <w:r>
                    <w:rPr>
                      <w:rFonts w:hint="eastAsia" w:cs="Times New Roman"/>
                      <w:sz w:val="18"/>
                      <w:szCs w:val="18"/>
                      <w:lang w:eastAsia="zh-CN"/>
                    </w:rPr>
                    <w:t>原料包装</w:t>
                  </w:r>
                </w:p>
              </w:tc>
              <w:tc>
                <w:tcPr>
                  <w:tcW w:w="15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eastAsia" w:cs="Times New Roman"/>
                      <w:sz w:val="18"/>
                      <w:szCs w:val="18"/>
                      <w:lang w:eastAsia="zh-CN"/>
                    </w:rPr>
                  </w:pPr>
                  <w:r>
                    <w:rPr>
                      <w:rFonts w:hint="eastAsia" w:cs="Times New Roman"/>
                      <w:sz w:val="18"/>
                      <w:szCs w:val="18"/>
                      <w:lang w:eastAsia="zh-CN"/>
                    </w:rPr>
                    <w:t>废原料包装袋</w:t>
                  </w:r>
                </w:p>
              </w:tc>
              <w:tc>
                <w:tcPr>
                  <w:tcW w:w="90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0" w:lineRule="exact"/>
                    <w:jc w:val="center"/>
                    <w:rPr>
                      <w:rFonts w:hint="eastAsia" w:ascii="Times New Roman" w:hAnsi="Times New Roman" w:eastAsia="宋体" w:cs="Times New Roman"/>
                      <w:sz w:val="18"/>
                      <w:szCs w:val="18"/>
                      <w:lang w:eastAsia="zh-CN"/>
                    </w:rPr>
                  </w:pPr>
                  <w:r>
                    <w:rPr>
                      <w:rFonts w:hint="eastAsia" w:cs="Times New Roman"/>
                      <w:sz w:val="18"/>
                      <w:szCs w:val="18"/>
                      <w:lang w:eastAsia="zh-CN"/>
                    </w:rPr>
                    <w:t>固体</w:t>
                  </w:r>
                </w:p>
              </w:tc>
              <w:tc>
                <w:tcPr>
                  <w:tcW w:w="9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cs="Times New Roman"/>
                      <w:sz w:val="18"/>
                      <w:szCs w:val="18"/>
                      <w:lang w:val="en-US" w:eastAsia="zh-CN"/>
                    </w:rPr>
                  </w:pPr>
                  <w:r>
                    <w:rPr>
                      <w:rFonts w:hint="eastAsia" w:cs="Times New Roman"/>
                      <w:sz w:val="18"/>
                      <w:szCs w:val="18"/>
                      <w:lang w:val="en-US" w:eastAsia="zh-CN"/>
                    </w:rPr>
                    <w:t>0.2</w:t>
                  </w:r>
                </w:p>
              </w:tc>
              <w:tc>
                <w:tcPr>
                  <w:tcW w:w="16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固废仓库堆存</w:t>
                  </w:r>
                </w:p>
              </w:tc>
              <w:tc>
                <w:tcPr>
                  <w:tcW w:w="13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外售处理</w:t>
                  </w:r>
                </w:p>
              </w:tc>
              <w:tc>
                <w:tcPr>
                  <w:tcW w:w="9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cs="Times New Roman"/>
                      <w:sz w:val="18"/>
                      <w:szCs w:val="18"/>
                      <w:lang w:val="en-US" w:eastAsia="zh-CN"/>
                    </w:rPr>
                  </w:pPr>
                  <w:r>
                    <w:rPr>
                      <w:rFonts w:hint="eastAsia" w:cs="Times New Roman"/>
                      <w:sz w:val="18"/>
                      <w:szCs w:val="18"/>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职工生活</w:t>
                  </w:r>
                </w:p>
              </w:tc>
              <w:tc>
                <w:tcPr>
                  <w:tcW w:w="15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生活垃圾</w:t>
                  </w:r>
                </w:p>
              </w:tc>
              <w:tc>
                <w:tcPr>
                  <w:tcW w:w="90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固体</w:t>
                  </w:r>
                </w:p>
              </w:tc>
              <w:tc>
                <w:tcPr>
                  <w:tcW w:w="90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5.7</w:t>
                  </w:r>
                </w:p>
              </w:tc>
              <w:tc>
                <w:tcPr>
                  <w:tcW w:w="165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垃圾箱暂存</w:t>
                  </w:r>
                </w:p>
              </w:tc>
              <w:tc>
                <w:tcPr>
                  <w:tcW w:w="135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环卫清运</w:t>
                  </w:r>
                </w:p>
              </w:tc>
              <w:tc>
                <w:tcPr>
                  <w:tcW w:w="93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5.7</w:t>
                  </w:r>
                </w:p>
              </w:tc>
            </w:tr>
          </w:tbl>
          <w:p>
            <w:pPr>
              <w:autoSpaceDE w:val="0"/>
              <w:autoSpaceDN w:val="0"/>
              <w:adjustRightInd w:val="0"/>
              <w:spacing w:line="420" w:lineRule="exact"/>
              <w:ind w:firstLine="25" w:firstLineChars="12"/>
              <w:jc w:val="center"/>
              <w:rPr>
                <w:rFonts w:hint="default" w:ascii="Times New Roman" w:hAnsi="Times New Roman" w:eastAsia="黑体" w:cs="Times New Roman"/>
                <w:szCs w:val="21"/>
              </w:rPr>
            </w:pPr>
            <w:r>
              <w:rPr>
                <w:rFonts w:hint="default" w:ascii="Times New Roman" w:hAnsi="Times New Roman" w:eastAsia="黑体" w:cs="Times New Roman"/>
                <w:szCs w:val="21"/>
              </w:rPr>
              <w:t>表4-</w:t>
            </w:r>
            <w:r>
              <w:rPr>
                <w:rFonts w:hint="eastAsia" w:eastAsia="黑体" w:cs="Times New Roman"/>
                <w:szCs w:val="21"/>
                <w:lang w:val="en-US" w:eastAsia="zh-CN"/>
              </w:rPr>
              <w:t>16</w:t>
            </w:r>
            <w:r>
              <w:rPr>
                <w:rFonts w:hint="default" w:ascii="Times New Roman" w:hAnsi="Times New Roman" w:eastAsia="黑体" w:cs="Times New Roman"/>
                <w:szCs w:val="21"/>
              </w:rPr>
              <w:t xml:space="preserve"> 项目危险废物产生情况</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733"/>
              <w:gridCol w:w="732"/>
              <w:gridCol w:w="893"/>
              <w:gridCol w:w="846"/>
              <w:gridCol w:w="633"/>
              <w:gridCol w:w="620"/>
              <w:gridCol w:w="633"/>
              <w:gridCol w:w="846"/>
              <w:gridCol w:w="875"/>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spacing w:beforeLines="50"/>
                    <w:ind w:left="-143" w:leftChars="-68" w:right="-124" w:rightChars="-59"/>
                    <w:jc w:val="center"/>
                    <w:rPr>
                      <w:rFonts w:hint="default" w:ascii="Times New Roman" w:hAnsi="Times New Roman" w:cs="Times New Roman"/>
                      <w:b/>
                      <w:sz w:val="18"/>
                      <w:szCs w:val="18"/>
                    </w:rPr>
                  </w:pPr>
                  <w:r>
                    <w:rPr>
                      <w:rFonts w:hint="default" w:ascii="Times New Roman" w:hAnsi="Times New Roman" w:cs="Times New Roman"/>
                      <w:b/>
                      <w:sz w:val="18"/>
                      <w:szCs w:val="18"/>
                    </w:rPr>
                    <w:t>序号</w:t>
                  </w:r>
                </w:p>
              </w:tc>
              <w:tc>
                <w:tcPr>
                  <w:tcW w:w="73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危废</w:t>
                  </w:r>
                </w:p>
                <w:p>
                  <w:pPr>
                    <w:jc w:val="center"/>
                    <w:rPr>
                      <w:rFonts w:hint="default" w:ascii="Times New Roman" w:hAnsi="Times New Roman" w:cs="Times New Roman"/>
                      <w:b/>
                      <w:sz w:val="18"/>
                      <w:szCs w:val="18"/>
                    </w:rPr>
                  </w:pPr>
                  <w:r>
                    <w:rPr>
                      <w:rFonts w:hint="default" w:ascii="Times New Roman" w:hAnsi="Times New Roman" w:cs="Times New Roman"/>
                      <w:b/>
                      <w:sz w:val="18"/>
                      <w:szCs w:val="18"/>
                    </w:rPr>
                    <w:t>名称</w:t>
                  </w:r>
                </w:p>
              </w:tc>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危废</w:t>
                  </w:r>
                </w:p>
                <w:p>
                  <w:pPr>
                    <w:jc w:val="center"/>
                    <w:rPr>
                      <w:rFonts w:hint="default" w:ascii="Times New Roman" w:hAnsi="Times New Roman" w:cs="Times New Roman"/>
                      <w:b/>
                      <w:sz w:val="18"/>
                      <w:szCs w:val="18"/>
                    </w:rPr>
                  </w:pPr>
                  <w:r>
                    <w:rPr>
                      <w:rFonts w:hint="default" w:ascii="Times New Roman" w:hAnsi="Times New Roman" w:cs="Times New Roman"/>
                      <w:b/>
                      <w:sz w:val="18"/>
                      <w:szCs w:val="18"/>
                    </w:rPr>
                    <w:t>类别</w:t>
                  </w:r>
                </w:p>
              </w:tc>
              <w:tc>
                <w:tcPr>
                  <w:tcW w:w="893"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危废</w:t>
                  </w:r>
                </w:p>
                <w:p>
                  <w:pPr>
                    <w:jc w:val="center"/>
                    <w:rPr>
                      <w:rFonts w:hint="default" w:ascii="Times New Roman" w:hAnsi="Times New Roman" w:cs="Times New Roman"/>
                      <w:b/>
                      <w:sz w:val="18"/>
                      <w:szCs w:val="18"/>
                    </w:rPr>
                  </w:pPr>
                  <w:r>
                    <w:rPr>
                      <w:rFonts w:hint="default" w:ascii="Times New Roman" w:hAnsi="Times New Roman" w:cs="Times New Roman"/>
                      <w:b/>
                      <w:sz w:val="18"/>
                      <w:szCs w:val="18"/>
                    </w:rPr>
                    <w:t>代码</w:t>
                  </w:r>
                </w:p>
              </w:tc>
              <w:tc>
                <w:tcPr>
                  <w:tcW w:w="846" w:type="dxa"/>
                  <w:tcBorders>
                    <w:top w:val="single" w:color="auto" w:sz="4" w:space="0"/>
                    <w:left w:val="single" w:color="auto" w:sz="4" w:space="0"/>
                    <w:bottom w:val="single" w:color="auto" w:sz="4" w:space="0"/>
                    <w:right w:val="single" w:color="auto" w:sz="4" w:space="0"/>
                  </w:tcBorders>
                  <w:vAlign w:val="center"/>
                </w:tcPr>
                <w:p>
                  <w:pPr>
                    <w:ind w:left="-155" w:leftChars="-74" w:right="-63" w:rightChars="-30"/>
                    <w:jc w:val="center"/>
                    <w:rPr>
                      <w:rFonts w:hint="default" w:ascii="Times New Roman" w:hAnsi="Times New Roman" w:cs="Times New Roman"/>
                      <w:b/>
                      <w:sz w:val="18"/>
                      <w:szCs w:val="18"/>
                    </w:rPr>
                  </w:pPr>
                  <w:r>
                    <w:rPr>
                      <w:rFonts w:hint="default" w:ascii="Times New Roman" w:hAnsi="Times New Roman" w:cs="Times New Roman"/>
                      <w:b/>
                      <w:sz w:val="18"/>
                      <w:szCs w:val="18"/>
                    </w:rPr>
                    <w:t>产生量</w:t>
                  </w:r>
                </w:p>
                <w:p>
                  <w:pPr>
                    <w:ind w:left="-155" w:leftChars="-74" w:right="-63" w:rightChars="-30"/>
                    <w:jc w:val="center"/>
                    <w:rPr>
                      <w:rFonts w:hint="default" w:ascii="Times New Roman" w:hAnsi="Times New Roman" w:cs="Times New Roman"/>
                      <w:b/>
                      <w:sz w:val="18"/>
                      <w:szCs w:val="18"/>
                    </w:rPr>
                  </w:pPr>
                  <w:r>
                    <w:rPr>
                      <w:rFonts w:hint="default" w:ascii="Times New Roman" w:hAnsi="Times New Roman" w:cs="Times New Roman"/>
                      <w:b/>
                      <w:sz w:val="18"/>
                      <w:szCs w:val="18"/>
                    </w:rPr>
                    <w:t>t/a</w:t>
                  </w:r>
                </w:p>
              </w:tc>
              <w:tc>
                <w:tcPr>
                  <w:tcW w:w="633" w:type="dxa"/>
                  <w:tcBorders>
                    <w:top w:val="single" w:color="auto" w:sz="4" w:space="0"/>
                    <w:left w:val="single" w:color="auto" w:sz="4" w:space="0"/>
                    <w:bottom w:val="single" w:color="auto" w:sz="4" w:space="0"/>
                    <w:right w:val="single" w:color="auto" w:sz="4" w:space="0"/>
                  </w:tcBorders>
                  <w:vAlign w:val="center"/>
                </w:tcPr>
                <w:p>
                  <w:pPr>
                    <w:ind w:left="-155" w:leftChars="-74" w:right="-170" w:rightChars="-81"/>
                    <w:jc w:val="center"/>
                    <w:rPr>
                      <w:rFonts w:hint="default" w:ascii="Times New Roman" w:hAnsi="Times New Roman" w:cs="Times New Roman"/>
                      <w:b/>
                      <w:sz w:val="18"/>
                      <w:szCs w:val="18"/>
                    </w:rPr>
                  </w:pPr>
                  <w:r>
                    <w:rPr>
                      <w:rFonts w:hint="default" w:ascii="Times New Roman" w:hAnsi="Times New Roman" w:cs="Times New Roman"/>
                      <w:b/>
                      <w:sz w:val="18"/>
                      <w:szCs w:val="18"/>
                    </w:rPr>
                    <w:t>产生</w:t>
                  </w:r>
                </w:p>
                <w:p>
                  <w:pPr>
                    <w:ind w:left="-155" w:leftChars="-74" w:right="-170" w:rightChars="-81"/>
                    <w:jc w:val="center"/>
                    <w:rPr>
                      <w:rFonts w:hint="default" w:ascii="Times New Roman" w:hAnsi="Times New Roman" w:cs="Times New Roman"/>
                      <w:b/>
                      <w:sz w:val="18"/>
                      <w:szCs w:val="18"/>
                    </w:rPr>
                  </w:pPr>
                  <w:r>
                    <w:rPr>
                      <w:rFonts w:hint="default" w:ascii="Times New Roman" w:hAnsi="Times New Roman" w:cs="Times New Roman"/>
                      <w:b/>
                      <w:sz w:val="18"/>
                      <w:szCs w:val="18"/>
                    </w:rPr>
                    <w:t>工序</w:t>
                  </w:r>
                </w:p>
              </w:tc>
              <w:tc>
                <w:tcPr>
                  <w:tcW w:w="620" w:type="dxa"/>
                  <w:tcBorders>
                    <w:top w:val="single" w:color="auto" w:sz="4" w:space="0"/>
                    <w:left w:val="single" w:color="auto" w:sz="4" w:space="0"/>
                    <w:bottom w:val="single" w:color="auto" w:sz="4" w:space="0"/>
                    <w:right w:val="single" w:color="auto" w:sz="4" w:space="0"/>
                  </w:tcBorders>
                  <w:vAlign w:val="center"/>
                </w:tcPr>
                <w:p>
                  <w:pPr>
                    <w:spacing w:beforeLines="50"/>
                    <w:ind w:left="-57" w:leftChars="-27" w:right="-13" w:rightChars="-6"/>
                    <w:jc w:val="center"/>
                    <w:rPr>
                      <w:rFonts w:hint="default" w:ascii="Times New Roman" w:hAnsi="Times New Roman" w:cs="Times New Roman"/>
                      <w:b/>
                      <w:sz w:val="18"/>
                      <w:szCs w:val="18"/>
                    </w:rPr>
                  </w:pPr>
                  <w:r>
                    <w:rPr>
                      <w:rFonts w:hint="default" w:ascii="Times New Roman" w:hAnsi="Times New Roman" w:cs="Times New Roman"/>
                      <w:b/>
                      <w:sz w:val="18"/>
                      <w:szCs w:val="18"/>
                    </w:rPr>
                    <w:t>形态</w:t>
                  </w:r>
                </w:p>
              </w:tc>
              <w:tc>
                <w:tcPr>
                  <w:tcW w:w="633" w:type="dxa"/>
                  <w:tcBorders>
                    <w:top w:val="single" w:color="auto" w:sz="4" w:space="0"/>
                    <w:left w:val="single" w:color="auto" w:sz="4" w:space="0"/>
                    <w:bottom w:val="single" w:color="auto" w:sz="4" w:space="0"/>
                    <w:right w:val="single" w:color="auto" w:sz="4" w:space="0"/>
                  </w:tcBorders>
                  <w:vAlign w:val="center"/>
                </w:tcPr>
                <w:p>
                  <w:pPr>
                    <w:ind w:left="-80" w:leftChars="-38" w:right="-8" w:rightChars="-4"/>
                    <w:jc w:val="center"/>
                    <w:rPr>
                      <w:rFonts w:hint="default" w:ascii="Times New Roman" w:hAnsi="Times New Roman" w:cs="Times New Roman"/>
                      <w:b/>
                      <w:sz w:val="18"/>
                      <w:szCs w:val="18"/>
                    </w:rPr>
                  </w:pPr>
                  <w:r>
                    <w:rPr>
                      <w:rFonts w:hint="default" w:ascii="Times New Roman" w:hAnsi="Times New Roman" w:cs="Times New Roman"/>
                      <w:b/>
                      <w:sz w:val="18"/>
                      <w:szCs w:val="18"/>
                    </w:rPr>
                    <w:t>有害</w:t>
                  </w:r>
                </w:p>
                <w:p>
                  <w:pPr>
                    <w:ind w:left="-80" w:leftChars="-38" w:right="-8" w:rightChars="-4"/>
                    <w:jc w:val="center"/>
                    <w:rPr>
                      <w:rFonts w:hint="default" w:ascii="Times New Roman" w:hAnsi="Times New Roman" w:cs="Times New Roman"/>
                      <w:b/>
                      <w:sz w:val="18"/>
                      <w:szCs w:val="18"/>
                    </w:rPr>
                  </w:pPr>
                  <w:r>
                    <w:rPr>
                      <w:rFonts w:hint="default" w:ascii="Times New Roman" w:hAnsi="Times New Roman" w:cs="Times New Roman"/>
                      <w:b/>
                      <w:sz w:val="18"/>
                      <w:szCs w:val="18"/>
                    </w:rPr>
                    <w:t>成分</w:t>
                  </w:r>
                </w:p>
              </w:tc>
              <w:tc>
                <w:tcPr>
                  <w:tcW w:w="846" w:type="dxa"/>
                  <w:tcBorders>
                    <w:top w:val="single" w:color="auto" w:sz="4" w:space="0"/>
                    <w:left w:val="single" w:color="auto" w:sz="4" w:space="0"/>
                    <w:bottom w:val="single" w:color="auto" w:sz="4" w:space="0"/>
                    <w:right w:val="single" w:color="auto" w:sz="4" w:space="0"/>
                  </w:tcBorders>
                  <w:vAlign w:val="center"/>
                </w:tcPr>
                <w:p>
                  <w:pPr>
                    <w:ind w:left="-113" w:leftChars="-54" w:right="-103" w:rightChars="-49"/>
                    <w:jc w:val="center"/>
                    <w:rPr>
                      <w:rFonts w:hint="default" w:ascii="Times New Roman" w:hAnsi="Times New Roman" w:cs="Times New Roman"/>
                      <w:b/>
                      <w:sz w:val="18"/>
                      <w:szCs w:val="18"/>
                    </w:rPr>
                  </w:pPr>
                  <w:r>
                    <w:rPr>
                      <w:rFonts w:hint="default" w:ascii="Times New Roman" w:hAnsi="Times New Roman" w:cs="Times New Roman"/>
                      <w:b/>
                      <w:sz w:val="18"/>
                      <w:szCs w:val="18"/>
                    </w:rPr>
                    <w:t>处置量</w:t>
                  </w:r>
                </w:p>
                <w:p>
                  <w:pPr>
                    <w:ind w:left="-113" w:leftChars="-54" w:right="-103" w:rightChars="-49" w:firstLine="98" w:firstLineChars="54"/>
                    <w:jc w:val="center"/>
                    <w:rPr>
                      <w:rFonts w:hint="default" w:ascii="Times New Roman" w:hAnsi="Times New Roman" w:cs="Times New Roman"/>
                      <w:b/>
                      <w:sz w:val="18"/>
                      <w:szCs w:val="18"/>
                    </w:rPr>
                  </w:pPr>
                  <w:r>
                    <w:rPr>
                      <w:rFonts w:hint="default" w:ascii="Times New Roman" w:hAnsi="Times New Roman" w:cs="Times New Roman"/>
                      <w:b/>
                      <w:sz w:val="18"/>
                      <w:szCs w:val="18"/>
                    </w:rPr>
                    <w:t>t/a</w:t>
                  </w:r>
                </w:p>
              </w:tc>
              <w:tc>
                <w:tcPr>
                  <w:tcW w:w="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sz w:val="18"/>
                      <w:szCs w:val="18"/>
                    </w:rPr>
                  </w:pPr>
                  <w:r>
                    <w:rPr>
                      <w:rFonts w:hint="default" w:ascii="Times New Roman" w:hAnsi="Times New Roman" w:cs="Times New Roman"/>
                      <w:b/>
                      <w:sz w:val="18"/>
                      <w:szCs w:val="18"/>
                    </w:rPr>
                    <w:t>危险</w:t>
                  </w:r>
                </w:p>
                <w:p>
                  <w:pPr>
                    <w:jc w:val="center"/>
                    <w:rPr>
                      <w:rFonts w:hint="default" w:ascii="Times New Roman" w:hAnsi="Times New Roman" w:cs="Times New Roman"/>
                      <w:b/>
                      <w:sz w:val="18"/>
                      <w:szCs w:val="18"/>
                    </w:rPr>
                  </w:pPr>
                  <w:r>
                    <w:rPr>
                      <w:rFonts w:hint="default" w:ascii="Times New Roman" w:hAnsi="Times New Roman" w:cs="Times New Roman"/>
                      <w:b/>
                      <w:sz w:val="18"/>
                      <w:szCs w:val="18"/>
                    </w:rPr>
                    <w:t>特性</w:t>
                  </w:r>
                </w:p>
              </w:tc>
              <w:tc>
                <w:tcPr>
                  <w:tcW w:w="1072" w:type="dxa"/>
                  <w:tcBorders>
                    <w:top w:val="single" w:color="auto" w:sz="4" w:space="0"/>
                    <w:left w:val="single" w:color="auto" w:sz="4" w:space="0"/>
                    <w:bottom w:val="single" w:color="auto" w:sz="4" w:space="0"/>
                    <w:right w:val="single" w:color="auto" w:sz="4" w:space="0"/>
                  </w:tcBorders>
                  <w:vAlign w:val="center"/>
                </w:tcPr>
                <w:p>
                  <w:pPr>
                    <w:ind w:left="-105" w:leftChars="-50" w:right="-46" w:rightChars="-22"/>
                    <w:jc w:val="center"/>
                    <w:rPr>
                      <w:rFonts w:hint="default" w:ascii="Times New Roman" w:hAnsi="Times New Roman" w:cs="Times New Roman"/>
                      <w:b/>
                      <w:sz w:val="18"/>
                      <w:szCs w:val="18"/>
                    </w:rPr>
                  </w:pPr>
                  <w:r>
                    <w:rPr>
                      <w:rFonts w:hint="default" w:ascii="Times New Roman" w:hAnsi="Times New Roman" w:cs="Times New Roman"/>
                      <w:b/>
                      <w:sz w:val="18"/>
                      <w:szCs w:val="18"/>
                    </w:rPr>
                    <w:t>储存及处置措施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467" w:type="dxa"/>
                  <w:tcBorders>
                    <w:top w:val="single" w:color="auto" w:sz="4" w:space="0"/>
                    <w:left w:val="single" w:color="auto" w:sz="4" w:space="0"/>
                    <w:bottom w:val="single" w:color="auto" w:sz="4" w:space="0"/>
                    <w:right w:val="single" w:color="auto" w:sz="4" w:space="0"/>
                  </w:tcBorders>
                  <w:vAlign w:val="center"/>
                </w:tcPr>
                <w:p>
                  <w:pPr>
                    <w:pStyle w:val="995"/>
                    <w:numPr>
                      <w:ilvl w:val="0"/>
                      <w:numId w:val="19"/>
                    </w:numPr>
                    <w:spacing w:line="240" w:lineRule="exact"/>
                    <w:ind w:firstLine="0" w:firstLineChars="0"/>
                    <w:jc w:val="center"/>
                    <w:rPr>
                      <w:rFonts w:hint="default" w:ascii="Times New Roman" w:hAnsi="Times New Roman" w:cs="Times New Roman"/>
                      <w:sz w:val="18"/>
                      <w:szCs w:val="18"/>
                    </w:rPr>
                  </w:pPr>
                </w:p>
              </w:tc>
              <w:tc>
                <w:tcPr>
                  <w:tcW w:w="73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废</w:t>
                  </w:r>
                  <w:r>
                    <w:rPr>
                      <w:rFonts w:hint="eastAsia" w:cs="Times New Roman"/>
                      <w:sz w:val="18"/>
                      <w:szCs w:val="18"/>
                      <w:lang w:eastAsia="zh-CN"/>
                    </w:rPr>
                    <w:t>活性炭</w:t>
                  </w:r>
                </w:p>
              </w:tc>
              <w:tc>
                <w:tcPr>
                  <w:tcW w:w="73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HW</w:t>
                  </w:r>
                  <w:r>
                    <w:rPr>
                      <w:rFonts w:hint="eastAsia" w:cs="Times New Roman"/>
                      <w:sz w:val="18"/>
                      <w:szCs w:val="18"/>
                      <w:lang w:val="en-US" w:eastAsia="zh-CN"/>
                    </w:rPr>
                    <w:t>49</w:t>
                  </w:r>
                </w:p>
              </w:tc>
              <w:tc>
                <w:tcPr>
                  <w:tcW w:w="89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900-</w:t>
                  </w:r>
                  <w:r>
                    <w:rPr>
                      <w:rFonts w:hint="eastAsia" w:cs="Times New Roman"/>
                      <w:sz w:val="18"/>
                      <w:szCs w:val="18"/>
                      <w:lang w:val="en-US" w:eastAsia="zh-CN"/>
                    </w:rPr>
                    <w:t>039</w:t>
                  </w:r>
                  <w:r>
                    <w:rPr>
                      <w:rFonts w:hint="default" w:ascii="Times New Roman" w:hAnsi="Times New Roman" w:cs="Times New Roman"/>
                      <w:sz w:val="18"/>
                      <w:szCs w:val="18"/>
                    </w:rPr>
                    <w:t>-</w:t>
                  </w:r>
                  <w:r>
                    <w:rPr>
                      <w:rFonts w:hint="eastAsia" w:cs="Times New Roman"/>
                      <w:sz w:val="18"/>
                      <w:szCs w:val="18"/>
                      <w:lang w:val="en-US" w:eastAsia="zh-CN"/>
                    </w:rPr>
                    <w:t>49</w:t>
                  </w:r>
                </w:p>
              </w:tc>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5.2</w:t>
                  </w:r>
                </w:p>
              </w:tc>
              <w:tc>
                <w:tcPr>
                  <w:tcW w:w="63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eastAsia" w:ascii="Times New Roman" w:hAnsi="Times New Roman" w:eastAsia="宋体" w:cs="Times New Roman"/>
                      <w:sz w:val="18"/>
                      <w:szCs w:val="18"/>
                      <w:lang w:eastAsia="zh-CN"/>
                    </w:rPr>
                  </w:pPr>
                  <w:r>
                    <w:rPr>
                      <w:rFonts w:hint="eastAsia" w:cs="Times New Roman"/>
                      <w:sz w:val="18"/>
                      <w:szCs w:val="18"/>
                      <w:lang w:eastAsia="zh-CN"/>
                    </w:rPr>
                    <w:t>废气处理</w:t>
                  </w:r>
                </w:p>
              </w:tc>
              <w:tc>
                <w:tcPr>
                  <w:tcW w:w="6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eastAsia" w:ascii="Times New Roman" w:hAnsi="Times New Roman" w:eastAsia="宋体" w:cs="Times New Roman"/>
                      <w:sz w:val="18"/>
                      <w:szCs w:val="18"/>
                      <w:lang w:eastAsia="zh-CN"/>
                    </w:rPr>
                  </w:pPr>
                  <w:r>
                    <w:rPr>
                      <w:rFonts w:hint="eastAsia" w:cs="Times New Roman"/>
                      <w:sz w:val="18"/>
                      <w:szCs w:val="18"/>
                      <w:lang w:eastAsia="zh-CN"/>
                    </w:rPr>
                    <w:t>固体</w:t>
                  </w:r>
                </w:p>
              </w:tc>
              <w:tc>
                <w:tcPr>
                  <w:tcW w:w="63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VOCs</w:t>
                  </w:r>
                </w:p>
              </w:tc>
              <w:tc>
                <w:tcPr>
                  <w:tcW w:w="84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5.2</w:t>
                  </w:r>
                </w:p>
              </w:tc>
              <w:tc>
                <w:tcPr>
                  <w:tcW w:w="8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T</w:t>
                  </w:r>
                </w:p>
              </w:tc>
              <w:tc>
                <w:tcPr>
                  <w:tcW w:w="1072" w:type="dxa"/>
                  <w:tcBorders>
                    <w:top w:val="single" w:color="auto" w:sz="4" w:space="0"/>
                    <w:left w:val="single" w:color="auto" w:sz="4" w:space="0"/>
                    <w:right w:val="single" w:color="auto" w:sz="4" w:space="0"/>
                  </w:tcBorders>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妥善收集后暂存于危废仓库</w:t>
                  </w:r>
                  <w:r>
                    <w:rPr>
                      <w:rFonts w:hint="default" w:ascii="Times New Roman" w:hAnsi="Times New Roman" w:cs="Times New Roman"/>
                      <w:sz w:val="18"/>
                      <w:szCs w:val="18"/>
                      <w:lang w:eastAsia="zh-CN"/>
                    </w:rPr>
                    <w:t>，</w:t>
                  </w:r>
                  <w:r>
                    <w:rPr>
                      <w:rFonts w:hint="default" w:ascii="Times New Roman" w:hAnsi="Times New Roman" w:cs="Times New Roman"/>
                      <w:sz w:val="18"/>
                      <w:szCs w:val="18"/>
                    </w:rPr>
                    <w:t>定期交由具有相应处理资质的单位处理</w:t>
                  </w:r>
                </w:p>
              </w:tc>
            </w:tr>
          </w:tbl>
          <w:p>
            <w:pPr>
              <w:spacing w:line="360" w:lineRule="auto"/>
              <w:ind w:firstLine="420" w:firstLineChars="200"/>
              <w:rPr>
                <w:rFonts w:hint="default" w:ascii="Times New Roman" w:hAnsi="Times New Roman" w:eastAsia="黑体" w:cs="Times New Roman"/>
                <w:szCs w:val="21"/>
              </w:rPr>
            </w:pPr>
            <w:r>
              <w:rPr>
                <w:rFonts w:hint="default" w:ascii="Times New Roman" w:hAnsi="Times New Roman" w:eastAsia="黑体" w:cs="Times New Roman"/>
                <w:szCs w:val="21"/>
              </w:rPr>
              <w:t>2、环境管理要求</w:t>
            </w:r>
          </w:p>
          <w:p>
            <w:pPr>
              <w:spacing w:line="360" w:lineRule="auto"/>
              <w:ind w:firstLine="420" w:firstLineChars="200"/>
              <w:rPr>
                <w:color w:val="000000"/>
                <w:szCs w:val="21"/>
              </w:rPr>
            </w:pPr>
            <w:r>
              <w:rPr>
                <w:color w:val="000000"/>
                <w:szCs w:val="21"/>
              </w:rPr>
              <w:t>项目危险废物在存储过程中严格按照《危险废物贮存污染控制标准》（GB18597</w:t>
            </w:r>
            <w:r>
              <w:rPr>
                <w:rFonts w:hint="eastAsia"/>
                <w:color w:val="000000"/>
                <w:szCs w:val="21"/>
                <w:lang w:val="en-US" w:eastAsia="zh-CN"/>
              </w:rPr>
              <w:t>-2023</w:t>
            </w:r>
            <w:r>
              <w:rPr>
                <w:color w:val="000000"/>
                <w:szCs w:val="21"/>
              </w:rPr>
              <w:t>）及修改单要求。</w:t>
            </w:r>
          </w:p>
          <w:p>
            <w:pPr>
              <w:spacing w:line="360" w:lineRule="auto"/>
              <w:ind w:firstLine="420" w:firstLineChars="200"/>
              <w:rPr>
                <w:color w:val="000000"/>
                <w:szCs w:val="21"/>
              </w:rPr>
            </w:pPr>
            <w:r>
              <w:rPr>
                <w:rFonts w:hint="eastAsia"/>
                <w:szCs w:val="21"/>
                <w:lang w:eastAsia="zh-CN"/>
              </w:rPr>
              <w:t>拟建项目厂区</w:t>
            </w:r>
            <w:r>
              <w:rPr>
                <w:rFonts w:hint="eastAsia"/>
                <w:szCs w:val="21"/>
              </w:rPr>
              <w:t>内</w:t>
            </w:r>
            <w:r>
              <w:rPr>
                <w:rFonts w:hint="eastAsia"/>
                <w:szCs w:val="21"/>
                <w:lang w:eastAsia="zh-CN"/>
              </w:rPr>
              <w:t>建设</w:t>
            </w:r>
            <w:r>
              <w:rPr>
                <w:rFonts w:hint="eastAsia"/>
                <w:szCs w:val="21"/>
                <w:highlight w:val="none"/>
                <w:lang w:val="en-US" w:eastAsia="zh-CN"/>
              </w:rPr>
              <w:t>10</w:t>
            </w:r>
            <w:r>
              <w:rPr>
                <w:rFonts w:hint="eastAsia"/>
                <w:szCs w:val="21"/>
                <w:highlight w:val="none"/>
              </w:rPr>
              <w:t>m</w:t>
            </w:r>
            <w:r>
              <w:rPr>
                <w:rFonts w:hint="eastAsia"/>
                <w:szCs w:val="21"/>
                <w:highlight w:val="none"/>
                <w:vertAlign w:val="superscript"/>
              </w:rPr>
              <w:t>2</w:t>
            </w:r>
            <w:r>
              <w:rPr>
                <w:szCs w:val="21"/>
                <w:highlight w:val="none"/>
              </w:rPr>
              <w:t>危废</w:t>
            </w:r>
            <w:r>
              <w:rPr>
                <w:rFonts w:hint="eastAsia"/>
                <w:szCs w:val="21"/>
                <w:highlight w:val="none"/>
                <w:lang w:eastAsia="zh-CN"/>
              </w:rPr>
              <w:t>仓库</w:t>
            </w:r>
            <w:r>
              <w:rPr>
                <w:szCs w:val="21"/>
                <w:highlight w:val="none"/>
              </w:rPr>
              <w:t>1</w:t>
            </w:r>
            <w:r>
              <w:rPr>
                <w:rFonts w:hint="eastAsia"/>
                <w:szCs w:val="21"/>
                <w:lang w:eastAsia="zh-CN"/>
              </w:rPr>
              <w:t>间，</w:t>
            </w:r>
            <w:r>
              <w:rPr>
                <w:rFonts w:hint="eastAsia"/>
                <w:szCs w:val="21"/>
                <w:highlight w:val="none"/>
                <w:lang w:eastAsia="zh-CN"/>
              </w:rPr>
              <w:t>高约</w:t>
            </w:r>
            <w:r>
              <w:rPr>
                <w:rFonts w:hint="eastAsia"/>
                <w:szCs w:val="21"/>
                <w:highlight w:val="none"/>
                <w:lang w:val="en-US" w:eastAsia="zh-CN"/>
              </w:rPr>
              <w:t>3m</w:t>
            </w:r>
            <w:r>
              <w:rPr>
                <w:rFonts w:hint="eastAsia"/>
                <w:szCs w:val="21"/>
                <w:highlight w:val="none"/>
              </w:rPr>
              <w:t>，</w:t>
            </w:r>
            <w:r>
              <w:rPr>
                <w:rFonts w:hint="eastAsia"/>
                <w:szCs w:val="21"/>
              </w:rPr>
              <w:t>位于</w:t>
            </w:r>
            <w:r>
              <w:rPr>
                <w:rFonts w:hint="eastAsia"/>
                <w:szCs w:val="21"/>
                <w:lang w:eastAsia="zh-CN"/>
              </w:rPr>
              <w:t>厂区内西侧</w:t>
            </w:r>
            <w:r>
              <w:rPr>
                <w:rFonts w:hint="eastAsia"/>
                <w:szCs w:val="21"/>
              </w:rPr>
              <w:t>，该危废间用于存放</w:t>
            </w:r>
            <w:r>
              <w:rPr>
                <w:rFonts w:hint="eastAsia"/>
                <w:szCs w:val="21"/>
                <w:lang w:eastAsia="zh-CN"/>
              </w:rPr>
              <w:t>项目</w:t>
            </w:r>
            <w:r>
              <w:rPr>
                <w:rFonts w:hint="eastAsia"/>
                <w:szCs w:val="21"/>
              </w:rPr>
              <w:t>产生的危</w:t>
            </w:r>
            <w:r>
              <w:rPr>
                <w:rFonts w:hint="eastAsia"/>
                <w:szCs w:val="21"/>
                <w:highlight w:val="none"/>
              </w:rPr>
              <w:t>险废物</w:t>
            </w:r>
            <w:r>
              <w:rPr>
                <w:rFonts w:hint="eastAsia"/>
                <w:bCs/>
                <w:sz w:val="21"/>
                <w:szCs w:val="21"/>
                <w:highlight w:val="none"/>
                <w:lang w:val="en-US" w:eastAsia="zh-CN"/>
              </w:rPr>
              <w:t>，废活性炭产生量为5.2t/a，</w:t>
            </w:r>
            <w:r>
              <w:rPr>
                <w:rFonts w:hint="eastAsia"/>
                <w:color w:val="000000"/>
                <w:sz w:val="21"/>
                <w:szCs w:val="21"/>
                <w:highlight w:val="none"/>
                <w:lang w:eastAsia="zh-CN"/>
              </w:rPr>
              <w:t>蜂窝活性炭密度约</w:t>
            </w:r>
            <w:r>
              <w:rPr>
                <w:rFonts w:hint="eastAsia"/>
                <w:color w:val="000000"/>
                <w:sz w:val="21"/>
                <w:szCs w:val="21"/>
                <w:highlight w:val="none"/>
                <w:lang w:val="en-US" w:eastAsia="zh-CN"/>
              </w:rPr>
              <w:t>0.4g/cm</w:t>
            </w:r>
            <w:r>
              <w:rPr>
                <w:rFonts w:hint="eastAsia"/>
                <w:color w:val="000000"/>
                <w:sz w:val="21"/>
                <w:szCs w:val="21"/>
                <w:highlight w:val="none"/>
                <w:vertAlign w:val="superscript"/>
                <w:lang w:val="en-US" w:eastAsia="zh-CN"/>
              </w:rPr>
              <w:t>3</w:t>
            </w:r>
            <w:r>
              <w:rPr>
                <w:rFonts w:hint="eastAsia"/>
                <w:bCs/>
                <w:highlight w:val="none"/>
                <w:lang w:val="en-US" w:eastAsia="zh-CN"/>
              </w:rPr>
              <w:t>，所占空间约13m</w:t>
            </w:r>
            <w:r>
              <w:rPr>
                <w:rFonts w:hint="eastAsia"/>
                <w:bCs/>
                <w:highlight w:val="none"/>
                <w:vertAlign w:val="superscript"/>
                <w:lang w:val="en-US" w:eastAsia="zh-CN"/>
              </w:rPr>
              <w:t>3</w:t>
            </w:r>
            <w:r>
              <w:rPr>
                <w:rFonts w:hint="eastAsia"/>
                <w:bCs/>
                <w:highlight w:val="none"/>
                <w:vertAlign w:val="baseline"/>
                <w:lang w:val="en-US" w:eastAsia="zh-CN"/>
              </w:rPr>
              <w:t>，</w:t>
            </w:r>
            <w:r>
              <w:rPr>
                <w:rFonts w:hint="eastAsia"/>
                <w:bCs/>
                <w:highlight w:val="none"/>
                <w:lang w:val="en-US" w:eastAsia="zh-CN"/>
              </w:rPr>
              <w:t>占地约6.5m</w:t>
            </w:r>
            <w:r>
              <w:rPr>
                <w:rFonts w:hint="eastAsia"/>
                <w:bCs/>
                <w:highlight w:val="none"/>
                <w:vertAlign w:val="superscript"/>
                <w:lang w:val="en-US" w:eastAsia="zh-CN"/>
              </w:rPr>
              <w:t>2</w:t>
            </w:r>
            <w:r>
              <w:rPr>
                <w:rFonts w:hint="eastAsia"/>
                <w:bCs/>
                <w:highlight w:val="none"/>
                <w:lang w:val="de-DE" w:eastAsia="zh-CN"/>
              </w:rPr>
              <w:t>，</w:t>
            </w:r>
            <w:r>
              <w:rPr>
                <w:szCs w:val="21"/>
              </w:rPr>
              <w:t>危废暂存间</w:t>
            </w:r>
            <w:r>
              <w:rPr>
                <w:rFonts w:hint="eastAsia"/>
                <w:szCs w:val="21"/>
              </w:rPr>
              <w:t>可以满足存放要求。</w:t>
            </w:r>
            <w:r>
              <w:rPr>
                <w:color w:val="000000"/>
                <w:szCs w:val="21"/>
              </w:rPr>
              <w:t>危险废物储存在该危险废物暂存间中，分类储存，严谨烟火和外人出入。</w:t>
            </w:r>
            <w:r>
              <w:rPr>
                <w:szCs w:val="21"/>
              </w:rPr>
              <w:t>危废</w:t>
            </w:r>
            <w:r>
              <w:rPr>
                <w:rFonts w:hint="eastAsia"/>
                <w:szCs w:val="21"/>
                <w:lang w:eastAsia="zh-CN"/>
              </w:rPr>
              <w:t>仓库</w:t>
            </w:r>
            <w:r>
              <w:rPr>
                <w:color w:val="000000"/>
                <w:szCs w:val="21"/>
              </w:rPr>
              <w:t>地面做硬化处理，设置围堰，不同种类的危险废物分类存放。危废暂存间设置相应的环境保护图形标志。</w:t>
            </w:r>
          </w:p>
          <w:p>
            <w:pPr>
              <w:autoSpaceDE w:val="0"/>
              <w:autoSpaceDN w:val="0"/>
              <w:adjustRightInd w:val="0"/>
              <w:spacing w:line="420" w:lineRule="exact"/>
              <w:ind w:firstLine="25" w:firstLineChars="12"/>
              <w:jc w:val="center"/>
              <w:rPr>
                <w:rFonts w:hint="default" w:ascii="Times New Roman" w:hAnsi="Times New Roman" w:eastAsia="黑体" w:cs="Times New Roman"/>
                <w:szCs w:val="21"/>
              </w:rPr>
            </w:pPr>
            <w:r>
              <w:rPr>
                <w:rFonts w:hint="default" w:ascii="Times New Roman" w:hAnsi="Times New Roman" w:eastAsia="黑体" w:cs="Times New Roman"/>
                <w:szCs w:val="21"/>
              </w:rPr>
              <w:t>表4-</w:t>
            </w:r>
            <w:r>
              <w:rPr>
                <w:rFonts w:hint="eastAsia" w:eastAsia="黑体" w:cs="Times New Roman"/>
                <w:szCs w:val="21"/>
                <w:lang w:val="en-US" w:eastAsia="zh-CN"/>
              </w:rPr>
              <w:t>17</w:t>
            </w:r>
            <w:r>
              <w:rPr>
                <w:rFonts w:hint="default" w:ascii="Times New Roman" w:hAnsi="Times New Roman" w:eastAsia="黑体" w:cs="Times New Roman"/>
                <w:szCs w:val="21"/>
              </w:rPr>
              <w:t xml:space="preserve"> 项目危险废物贮存场所（设施）基本情况表</w:t>
            </w:r>
          </w:p>
          <w:tbl>
            <w:tblPr>
              <w:tblStyle w:val="85"/>
              <w:tblW w:w="494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36"/>
              <w:gridCol w:w="1043"/>
              <w:gridCol w:w="1149"/>
              <w:gridCol w:w="771"/>
              <w:gridCol w:w="1396"/>
              <w:gridCol w:w="805"/>
              <w:gridCol w:w="656"/>
              <w:gridCol w:w="1259"/>
              <w:gridCol w:w="8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36" w:type="dxa"/>
                  <w:tcBorders>
                    <w:top w:val="single" w:color="auto" w:sz="2" w:space="0"/>
                    <w:left w:val="single" w:color="auto" w:sz="2" w:space="0"/>
                    <w:bottom w:val="single" w:color="auto" w:sz="2" w:space="0"/>
                    <w:right w:val="single" w:color="auto" w:sz="2" w:space="0"/>
                  </w:tcBorders>
                  <w:vAlign w:val="center"/>
                </w:tcPr>
                <w:p>
                  <w:pPr>
                    <w:spacing w:beforeLines="50"/>
                    <w:ind w:left="-143" w:leftChars="-68" w:right="-124" w:rightChars="-59"/>
                    <w:jc w:val="center"/>
                    <w:rPr>
                      <w:rFonts w:hint="default" w:ascii="Times New Roman" w:hAnsi="Times New Roman" w:cs="Times New Roman"/>
                      <w:b/>
                      <w:sz w:val="18"/>
                      <w:szCs w:val="18"/>
                    </w:rPr>
                  </w:pPr>
                  <w:r>
                    <w:rPr>
                      <w:rFonts w:hint="default" w:ascii="Times New Roman" w:hAnsi="Times New Roman" w:cs="Times New Roman"/>
                      <w:b/>
                      <w:sz w:val="18"/>
                      <w:szCs w:val="18"/>
                    </w:rPr>
                    <w:t>序号</w:t>
                  </w:r>
                </w:p>
              </w:tc>
              <w:tc>
                <w:tcPr>
                  <w:tcW w:w="1043"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贮存场所</w:t>
                  </w:r>
                </w:p>
                <w:p>
                  <w:pPr>
                    <w:jc w:val="center"/>
                    <w:rPr>
                      <w:rFonts w:hint="default" w:ascii="Times New Roman" w:hAnsi="Times New Roman" w:cs="Times New Roman"/>
                      <w:sz w:val="18"/>
                      <w:szCs w:val="18"/>
                    </w:rPr>
                  </w:pPr>
                  <w:r>
                    <w:rPr>
                      <w:rFonts w:hint="default" w:ascii="Times New Roman" w:hAnsi="Times New Roman" w:cs="Times New Roman"/>
                      <w:b/>
                      <w:bCs/>
                      <w:sz w:val="18"/>
                      <w:szCs w:val="18"/>
                    </w:rPr>
                    <w:t>名称</w:t>
                  </w:r>
                </w:p>
              </w:tc>
              <w:tc>
                <w:tcPr>
                  <w:tcW w:w="1149" w:type="dxa"/>
                  <w:tcBorders>
                    <w:top w:val="single" w:color="auto" w:sz="2" w:space="0"/>
                    <w:left w:val="single" w:color="auto" w:sz="2" w:space="0"/>
                    <w:bottom w:val="single" w:color="auto" w:sz="2" w:space="0"/>
                    <w:right w:val="single" w:color="auto" w:sz="2" w:space="0"/>
                  </w:tcBorders>
                  <w:vAlign w:val="center"/>
                </w:tcPr>
                <w:p>
                  <w:pPr>
                    <w:spacing w:beforeLines="50"/>
                    <w:ind w:left="-143" w:leftChars="-68" w:right="-124" w:rightChars="-59"/>
                    <w:jc w:val="center"/>
                    <w:rPr>
                      <w:rFonts w:hint="default" w:ascii="Times New Roman" w:hAnsi="Times New Roman" w:cs="Times New Roman"/>
                      <w:b/>
                      <w:sz w:val="18"/>
                      <w:szCs w:val="18"/>
                    </w:rPr>
                  </w:pPr>
                  <w:r>
                    <w:rPr>
                      <w:rFonts w:hint="default" w:ascii="Times New Roman" w:hAnsi="Times New Roman" w:cs="Times New Roman"/>
                      <w:b/>
                      <w:sz w:val="18"/>
                      <w:szCs w:val="18"/>
                    </w:rPr>
                    <w:t>危险废物名称</w:t>
                  </w:r>
                </w:p>
              </w:tc>
              <w:tc>
                <w:tcPr>
                  <w:tcW w:w="771" w:type="dxa"/>
                  <w:tcBorders>
                    <w:top w:val="single" w:color="auto" w:sz="2" w:space="0"/>
                    <w:left w:val="single" w:color="auto" w:sz="2" w:space="0"/>
                    <w:bottom w:val="single" w:color="auto" w:sz="2" w:space="0"/>
                    <w:right w:val="single" w:color="auto" w:sz="2" w:space="0"/>
                  </w:tcBorders>
                  <w:vAlign w:val="center"/>
                </w:tcPr>
                <w:p>
                  <w:pPr>
                    <w:spacing w:beforeLines="50"/>
                    <w:ind w:left="-143" w:leftChars="-68" w:right="-124" w:rightChars="-59"/>
                    <w:jc w:val="center"/>
                    <w:rPr>
                      <w:rFonts w:hint="default" w:ascii="Times New Roman" w:hAnsi="Times New Roman" w:cs="Times New Roman"/>
                      <w:b/>
                      <w:sz w:val="18"/>
                      <w:szCs w:val="18"/>
                    </w:rPr>
                  </w:pPr>
                  <w:r>
                    <w:rPr>
                      <w:rFonts w:hint="default" w:ascii="Times New Roman" w:hAnsi="Times New Roman" w:cs="Times New Roman"/>
                      <w:b/>
                      <w:sz w:val="18"/>
                      <w:szCs w:val="18"/>
                    </w:rPr>
                    <w:t>危险废物类别</w:t>
                  </w:r>
                </w:p>
              </w:tc>
              <w:tc>
                <w:tcPr>
                  <w:tcW w:w="1396"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
                      <w:sz w:val="18"/>
                      <w:szCs w:val="18"/>
                    </w:rPr>
                  </w:pPr>
                  <w:r>
                    <w:rPr>
                      <w:rFonts w:hint="default" w:ascii="Times New Roman" w:hAnsi="Times New Roman" w:cs="Times New Roman"/>
                      <w:b/>
                      <w:bCs/>
                      <w:sz w:val="18"/>
                      <w:szCs w:val="18"/>
                    </w:rPr>
                    <w:t>危险废物代码</w:t>
                  </w:r>
                </w:p>
              </w:tc>
              <w:tc>
                <w:tcPr>
                  <w:tcW w:w="805" w:type="dxa"/>
                  <w:tcBorders>
                    <w:top w:val="single" w:color="auto" w:sz="2" w:space="0"/>
                    <w:left w:val="single" w:color="auto" w:sz="2" w:space="0"/>
                    <w:bottom w:val="single" w:color="auto" w:sz="2" w:space="0"/>
                    <w:right w:val="single" w:color="auto" w:sz="2" w:space="0"/>
                  </w:tcBorders>
                  <w:vAlign w:val="center"/>
                </w:tcPr>
                <w:p>
                  <w:pPr>
                    <w:spacing w:beforeLines="50"/>
                    <w:ind w:left="-143" w:leftChars="-68" w:right="-124" w:rightChars="-59"/>
                    <w:jc w:val="center"/>
                    <w:rPr>
                      <w:rFonts w:hint="default" w:ascii="Times New Roman" w:hAnsi="Times New Roman" w:cs="Times New Roman"/>
                      <w:b/>
                      <w:sz w:val="18"/>
                      <w:szCs w:val="18"/>
                    </w:rPr>
                  </w:pPr>
                  <w:r>
                    <w:rPr>
                      <w:rFonts w:hint="default" w:ascii="Times New Roman" w:hAnsi="Times New Roman" w:cs="Times New Roman"/>
                      <w:b/>
                      <w:sz w:val="18"/>
                      <w:szCs w:val="18"/>
                    </w:rPr>
                    <w:t>位置</w:t>
                  </w:r>
                </w:p>
              </w:tc>
              <w:tc>
                <w:tcPr>
                  <w:tcW w:w="656" w:type="dxa"/>
                  <w:tcBorders>
                    <w:top w:val="single" w:color="auto" w:sz="2" w:space="0"/>
                    <w:left w:val="single" w:color="auto" w:sz="2"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占地</w:t>
                  </w: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面积</w:t>
                  </w:r>
                </w:p>
              </w:tc>
              <w:tc>
                <w:tcPr>
                  <w:tcW w:w="1259" w:type="dxa"/>
                  <w:tcBorders>
                    <w:top w:val="single" w:color="auto" w:sz="2" w:space="0"/>
                    <w:left w:val="single" w:color="auto" w:sz="2" w:space="0"/>
                    <w:bottom w:val="single" w:color="auto" w:sz="2" w:space="0"/>
                    <w:right w:val="single" w:color="auto" w:sz="2" w:space="0"/>
                  </w:tcBorders>
                  <w:vAlign w:val="center"/>
                </w:tcPr>
                <w:p>
                  <w:pPr>
                    <w:spacing w:beforeLines="50"/>
                    <w:ind w:left="-143" w:leftChars="-68" w:right="-124" w:rightChars="-59"/>
                    <w:jc w:val="center"/>
                    <w:rPr>
                      <w:rFonts w:hint="default" w:ascii="Times New Roman" w:hAnsi="Times New Roman" w:cs="Times New Roman"/>
                      <w:b/>
                      <w:sz w:val="18"/>
                      <w:szCs w:val="18"/>
                    </w:rPr>
                  </w:pPr>
                  <w:r>
                    <w:rPr>
                      <w:rFonts w:hint="default" w:ascii="Times New Roman" w:hAnsi="Times New Roman" w:cs="Times New Roman"/>
                      <w:b/>
                      <w:sz w:val="18"/>
                      <w:szCs w:val="18"/>
                    </w:rPr>
                    <w:t>贮存方式</w:t>
                  </w:r>
                </w:p>
              </w:tc>
              <w:tc>
                <w:tcPr>
                  <w:tcW w:w="839"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贮存</w:t>
                  </w:r>
                </w:p>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周期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36" w:type="dxa"/>
                  <w:tcBorders>
                    <w:top w:val="single" w:color="auto" w:sz="2" w:space="0"/>
                    <w:left w:val="single" w:color="auto" w:sz="2" w:space="0"/>
                    <w:right w:val="single" w:color="auto" w:sz="2" w:space="0"/>
                  </w:tcBorders>
                  <w:vAlign w:val="center"/>
                </w:tcPr>
                <w:p>
                  <w:pPr>
                    <w:pStyle w:val="995"/>
                    <w:numPr>
                      <w:ilvl w:val="0"/>
                      <w:numId w:val="20"/>
                    </w:numPr>
                    <w:spacing w:beforeLines="50"/>
                    <w:ind w:right="-124" w:rightChars="-59" w:firstLine="0" w:firstLineChars="0"/>
                    <w:jc w:val="center"/>
                    <w:rPr>
                      <w:rStyle w:val="224"/>
                      <w:rFonts w:hint="default" w:ascii="Times New Roman" w:hAnsi="Times New Roman" w:cs="Times New Roman"/>
                      <w:sz w:val="18"/>
                      <w:szCs w:val="18"/>
                    </w:rPr>
                  </w:pPr>
                </w:p>
              </w:tc>
              <w:tc>
                <w:tcPr>
                  <w:tcW w:w="1043" w:type="dxa"/>
                  <w:tcBorders>
                    <w:top w:val="single" w:color="auto" w:sz="2" w:space="0"/>
                    <w:left w:val="single" w:color="auto" w:sz="2" w:space="0"/>
                    <w:right w:val="single" w:color="auto" w:sz="2" w:space="0"/>
                  </w:tcBorders>
                  <w:vAlign w:val="center"/>
                </w:tcPr>
                <w:p>
                  <w:pPr>
                    <w:autoSpaceDE w:val="0"/>
                    <w:autoSpaceDN w:val="0"/>
                    <w:adjustRightIn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危废暂存间</w:t>
                  </w:r>
                </w:p>
              </w:tc>
              <w:tc>
                <w:tcPr>
                  <w:tcW w:w="1149"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exact"/>
                    <w:jc w:val="center"/>
                    <w:rPr>
                      <w:rFonts w:hint="eastAsia" w:ascii="Times New Roman" w:hAnsi="Times New Roman" w:eastAsia="宋体" w:cs="Times New Roman"/>
                      <w:sz w:val="18"/>
                      <w:szCs w:val="18"/>
                      <w:lang w:eastAsia="zh-CN"/>
                    </w:rPr>
                  </w:pPr>
                  <w:r>
                    <w:rPr>
                      <w:rFonts w:hint="default" w:ascii="Times New Roman" w:hAnsi="Times New Roman" w:cs="Times New Roman"/>
                      <w:sz w:val="18"/>
                      <w:szCs w:val="18"/>
                    </w:rPr>
                    <w:t>废</w:t>
                  </w:r>
                  <w:r>
                    <w:rPr>
                      <w:rFonts w:hint="eastAsia" w:cs="Times New Roman"/>
                      <w:sz w:val="18"/>
                      <w:szCs w:val="18"/>
                      <w:lang w:eastAsia="zh-CN"/>
                    </w:rPr>
                    <w:t>活性炭</w:t>
                  </w:r>
                </w:p>
              </w:tc>
              <w:tc>
                <w:tcPr>
                  <w:tcW w:w="771"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HW</w:t>
                  </w:r>
                  <w:r>
                    <w:rPr>
                      <w:rFonts w:hint="eastAsia" w:cs="Times New Roman"/>
                      <w:sz w:val="18"/>
                      <w:szCs w:val="18"/>
                      <w:lang w:val="en-US" w:eastAsia="zh-CN"/>
                    </w:rPr>
                    <w:t>49</w:t>
                  </w:r>
                </w:p>
              </w:tc>
              <w:tc>
                <w:tcPr>
                  <w:tcW w:w="1396"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24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900-</w:t>
                  </w:r>
                  <w:r>
                    <w:rPr>
                      <w:rFonts w:hint="eastAsia" w:cs="Times New Roman"/>
                      <w:sz w:val="18"/>
                      <w:szCs w:val="18"/>
                      <w:lang w:val="en-US" w:eastAsia="zh-CN"/>
                    </w:rPr>
                    <w:t>39</w:t>
                  </w:r>
                  <w:r>
                    <w:rPr>
                      <w:rFonts w:hint="default" w:ascii="Times New Roman" w:hAnsi="Times New Roman" w:cs="Times New Roman"/>
                      <w:sz w:val="18"/>
                      <w:szCs w:val="18"/>
                    </w:rPr>
                    <w:t>-</w:t>
                  </w:r>
                  <w:r>
                    <w:rPr>
                      <w:rFonts w:hint="eastAsia" w:cs="Times New Roman"/>
                      <w:sz w:val="18"/>
                      <w:szCs w:val="18"/>
                      <w:lang w:val="en-US" w:eastAsia="zh-CN"/>
                    </w:rPr>
                    <w:t>49</w:t>
                  </w:r>
                </w:p>
              </w:tc>
              <w:tc>
                <w:tcPr>
                  <w:tcW w:w="805" w:type="dxa"/>
                  <w:tcBorders>
                    <w:top w:val="single" w:color="auto" w:sz="2" w:space="0"/>
                    <w:left w:val="single" w:color="auto" w:sz="2" w:space="0"/>
                    <w:right w:val="single" w:color="auto" w:sz="2" w:space="0"/>
                  </w:tcBorders>
                  <w:vAlign w:val="center"/>
                </w:tcPr>
                <w:p>
                  <w:pPr>
                    <w:autoSpaceDE w:val="0"/>
                    <w:autoSpaceDN w:val="0"/>
                    <w:adjustRightInd w:val="0"/>
                    <w:spacing w:line="30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eastAsia="zh-CN"/>
                    </w:rPr>
                    <w:t>厂区西侧</w:t>
                  </w:r>
                </w:p>
              </w:tc>
              <w:tc>
                <w:tcPr>
                  <w:tcW w:w="656" w:type="dxa"/>
                  <w:tcBorders>
                    <w:top w:val="single" w:color="auto" w:sz="2" w:space="0"/>
                    <w:left w:val="single" w:color="auto" w:sz="2" w:space="0"/>
                    <w:right w:val="single" w:color="auto" w:sz="2" w:space="0"/>
                  </w:tcBorders>
                  <w:vAlign w:val="center"/>
                </w:tcPr>
                <w:p>
                  <w:pPr>
                    <w:autoSpaceDE w:val="0"/>
                    <w:autoSpaceDN w:val="0"/>
                    <w:adjustRightInd w:val="0"/>
                    <w:spacing w:line="300" w:lineRule="exact"/>
                    <w:jc w:val="center"/>
                    <w:rPr>
                      <w:rFonts w:hint="default" w:ascii="Times New Roman" w:hAnsi="Times New Roman" w:cs="Times New Roman"/>
                      <w:sz w:val="18"/>
                      <w:szCs w:val="18"/>
                    </w:rPr>
                  </w:pPr>
                  <w:r>
                    <w:rPr>
                      <w:rFonts w:hint="eastAsia" w:cs="Times New Roman"/>
                      <w:sz w:val="18"/>
                      <w:szCs w:val="18"/>
                      <w:lang w:val="en-US" w:eastAsia="zh-CN"/>
                    </w:rPr>
                    <w:t>6.5</w:t>
                  </w:r>
                  <w:r>
                    <w:rPr>
                      <w:rFonts w:hint="default" w:ascii="Times New Roman" w:hAnsi="Times New Roman" w:cs="Times New Roman"/>
                      <w:sz w:val="18"/>
                      <w:szCs w:val="18"/>
                    </w:rPr>
                    <w:t>m</w:t>
                  </w:r>
                  <w:r>
                    <w:rPr>
                      <w:rFonts w:hint="default" w:ascii="Times New Roman" w:hAnsi="Times New Roman" w:cs="Times New Roman"/>
                      <w:sz w:val="18"/>
                      <w:szCs w:val="18"/>
                      <w:vertAlign w:val="superscript"/>
                    </w:rPr>
                    <w:t>2</w:t>
                  </w:r>
                </w:p>
              </w:tc>
              <w:tc>
                <w:tcPr>
                  <w:tcW w:w="1259"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300" w:lineRule="exact"/>
                    <w:jc w:val="center"/>
                    <w:rPr>
                      <w:rFonts w:hint="eastAsia" w:ascii="Times New Roman" w:hAnsi="Times New Roman" w:eastAsia="宋体" w:cs="Times New Roman"/>
                      <w:sz w:val="18"/>
                      <w:szCs w:val="18"/>
                      <w:lang w:eastAsia="zh-CN"/>
                    </w:rPr>
                  </w:pPr>
                  <w:r>
                    <w:rPr>
                      <w:rFonts w:hint="eastAsia" w:cs="Times New Roman"/>
                      <w:sz w:val="18"/>
                      <w:szCs w:val="18"/>
                      <w:lang w:eastAsia="zh-CN"/>
                    </w:rPr>
                    <w:t>箱装密闭保存</w:t>
                  </w:r>
                </w:p>
              </w:tc>
              <w:tc>
                <w:tcPr>
                  <w:tcW w:w="839"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1年</w:t>
                  </w:r>
                </w:p>
              </w:tc>
            </w:tr>
          </w:tbl>
          <w:p>
            <w:pPr>
              <w:spacing w:line="360" w:lineRule="auto"/>
              <w:ind w:firstLine="420" w:firstLineChars="200"/>
              <w:rPr>
                <w:color w:val="000000"/>
                <w:szCs w:val="21"/>
              </w:rPr>
            </w:pPr>
            <w:r>
              <w:rPr>
                <w:color w:val="000000"/>
                <w:szCs w:val="21"/>
              </w:rPr>
              <w:t>危险废物贮存容器使用符合标准的容器。容器及材质要满足相应的强度要求，且完好无损，材质和衬里与危险废物相容。</w:t>
            </w:r>
          </w:p>
          <w:p>
            <w:pPr>
              <w:spacing w:line="360" w:lineRule="auto"/>
              <w:ind w:firstLine="420" w:firstLineChars="200"/>
              <w:rPr>
                <w:color w:val="000000"/>
                <w:szCs w:val="21"/>
              </w:rPr>
            </w:pPr>
            <w:r>
              <w:rPr>
                <w:color w:val="000000"/>
                <w:szCs w:val="21"/>
              </w:rPr>
              <w:t>危废存储转运作好危险废物情况的记录，记录上注明危险废物的名称、来源、数量、特性和包装容器的类别、入库日期、存放库位、废物出库日期及接收单位名称；危险废物的</w:t>
            </w:r>
            <w:r>
              <w:rPr>
                <w:rFonts w:hint="eastAsia"/>
                <w:color w:val="000000"/>
                <w:szCs w:val="21"/>
              </w:rPr>
              <w:t>相关记录台账</w:t>
            </w:r>
            <w:r>
              <w:rPr>
                <w:color w:val="000000"/>
                <w:szCs w:val="21"/>
              </w:rPr>
              <w:t>应继续保留三年。</w:t>
            </w:r>
          </w:p>
          <w:p>
            <w:pPr>
              <w:spacing w:line="360" w:lineRule="auto"/>
              <w:ind w:firstLine="420" w:firstLineChars="200"/>
              <w:rPr>
                <w:color w:val="000000"/>
                <w:szCs w:val="21"/>
              </w:rPr>
            </w:pPr>
            <w:r>
              <w:rPr>
                <w:color w:val="000000"/>
                <w:szCs w:val="21"/>
              </w:rPr>
              <w:t>本项目产生的危险废物储存时间较短，危险废物定期清理，存放于危险暂存间中，及时交</w:t>
            </w:r>
            <w:r>
              <w:rPr>
                <w:rFonts w:hint="eastAsia"/>
                <w:color w:val="000000"/>
                <w:szCs w:val="21"/>
              </w:rPr>
              <w:t>由</w:t>
            </w:r>
            <w:r>
              <w:rPr>
                <w:color w:val="000000"/>
                <w:szCs w:val="21"/>
              </w:rPr>
              <w:t>相应的危险废物处置单位进行处理。采取以上措施后，本项目危险废物可以得到有效处理，不会对环境造成影响。</w:t>
            </w:r>
          </w:p>
          <w:p>
            <w:pPr>
              <w:spacing w:line="360" w:lineRule="auto"/>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五、地下水</w:t>
            </w:r>
          </w:p>
          <w:p>
            <w:pPr>
              <w:adjustRightInd w:val="0"/>
              <w:snapToGrid w:val="0"/>
              <w:spacing w:line="360" w:lineRule="auto"/>
              <w:ind w:firstLine="420" w:firstLineChars="200"/>
              <w:rPr>
                <w:bCs/>
                <w:szCs w:val="21"/>
              </w:rPr>
            </w:pPr>
            <w:r>
              <w:rPr>
                <w:bCs/>
                <w:szCs w:val="21"/>
              </w:rPr>
              <w:t>1、污染途径、类型</w:t>
            </w:r>
          </w:p>
          <w:p>
            <w:pPr>
              <w:adjustRightInd w:val="0"/>
              <w:snapToGrid w:val="0"/>
              <w:spacing w:line="360" w:lineRule="auto"/>
              <w:ind w:firstLine="420" w:firstLineChars="200"/>
              <w:rPr>
                <w:bCs/>
                <w:szCs w:val="21"/>
              </w:rPr>
            </w:pPr>
            <w:r>
              <w:rPr>
                <w:bCs/>
                <w:szCs w:val="21"/>
              </w:rPr>
              <w:t>本项目污染源主要为</w:t>
            </w:r>
            <w:r>
              <w:rPr>
                <w:rFonts w:hint="eastAsia"/>
                <w:bCs/>
                <w:szCs w:val="21"/>
              </w:rPr>
              <w:t>生产车间</w:t>
            </w:r>
            <w:r>
              <w:rPr>
                <w:bCs/>
                <w:szCs w:val="21"/>
              </w:rPr>
              <w:t>。</w:t>
            </w:r>
            <w:r>
              <w:rPr>
                <w:rFonts w:hint="eastAsia"/>
                <w:bCs/>
                <w:szCs w:val="21"/>
              </w:rPr>
              <w:t>车间已做好地面硬化，</w:t>
            </w:r>
            <w:r>
              <w:rPr>
                <w:rFonts w:hint="eastAsia"/>
                <w:bCs/>
                <w:szCs w:val="21"/>
                <w:lang w:eastAsia="zh-CN"/>
              </w:rPr>
              <w:t>即使</w:t>
            </w:r>
            <w:r>
              <w:rPr>
                <w:rFonts w:hint="eastAsia"/>
                <w:bCs/>
                <w:szCs w:val="21"/>
              </w:rPr>
              <w:t>发生物料泄漏，也会及时清理，不会发生垂直入渗现象。</w:t>
            </w:r>
            <w:r>
              <w:rPr>
                <w:bCs/>
                <w:szCs w:val="21"/>
              </w:rPr>
              <w:t>故而本项目对地下水几乎无影响途径。</w:t>
            </w:r>
          </w:p>
          <w:p>
            <w:pPr>
              <w:adjustRightInd w:val="0"/>
              <w:snapToGrid w:val="0"/>
              <w:spacing w:line="360" w:lineRule="auto"/>
              <w:ind w:firstLine="420" w:firstLineChars="200"/>
              <w:rPr>
                <w:bCs/>
                <w:szCs w:val="21"/>
              </w:rPr>
            </w:pPr>
            <w:r>
              <w:rPr>
                <w:bCs/>
                <w:szCs w:val="21"/>
              </w:rPr>
              <w:t>2、采取保护措施及影响分析</w:t>
            </w:r>
          </w:p>
          <w:p>
            <w:pPr>
              <w:adjustRightInd w:val="0"/>
              <w:snapToGrid w:val="0"/>
              <w:spacing w:line="360" w:lineRule="auto"/>
              <w:ind w:firstLine="420" w:firstLineChars="200"/>
              <w:rPr>
                <w:rFonts w:hint="default" w:eastAsia="宋体"/>
                <w:bCs/>
                <w:szCs w:val="21"/>
                <w:lang w:val="en-US" w:eastAsia="zh-CN"/>
              </w:rPr>
            </w:pPr>
            <w:r>
              <w:rPr>
                <w:rFonts w:hint="eastAsia"/>
                <w:bCs/>
                <w:szCs w:val="21"/>
                <w:lang w:eastAsia="zh-CN"/>
              </w:rPr>
              <w:t>本项目利用已建成生产车间进行生产，生产车间已采取的防渗措施见表</w:t>
            </w:r>
            <w:r>
              <w:rPr>
                <w:rFonts w:hint="eastAsia"/>
                <w:bCs/>
                <w:szCs w:val="21"/>
                <w:lang w:val="en-US" w:eastAsia="zh-CN"/>
              </w:rPr>
              <w:t>4-18。</w:t>
            </w:r>
          </w:p>
          <w:p>
            <w:pPr>
              <w:spacing w:line="360" w:lineRule="auto"/>
              <w:jc w:val="center"/>
              <w:rPr>
                <w:rFonts w:hint="eastAsia" w:ascii="黑体" w:hAnsi="黑体" w:eastAsia="黑体" w:cs="Arial Unicode MS"/>
              </w:rPr>
            </w:pPr>
            <w:r>
              <w:rPr>
                <w:rFonts w:hint="eastAsia" w:ascii="黑体" w:hAnsi="黑体" w:eastAsia="黑体" w:cs="Arial Unicode MS"/>
              </w:rPr>
              <w:t>表</w:t>
            </w:r>
            <w:r>
              <w:rPr>
                <w:rFonts w:hint="eastAsia" w:ascii="黑体" w:hAnsi="黑体" w:eastAsia="黑体" w:cs="Arial Unicode MS"/>
                <w:lang w:val="en-US" w:eastAsia="zh-CN"/>
              </w:rPr>
              <w:t>4</w:t>
            </w:r>
            <w:r>
              <w:rPr>
                <w:rFonts w:hint="eastAsia" w:ascii="黑体" w:hAnsi="黑体" w:eastAsia="黑体" w:cs="Arial Unicode MS"/>
              </w:rPr>
              <w:t>-</w:t>
            </w:r>
            <w:r>
              <w:rPr>
                <w:rFonts w:hint="eastAsia" w:ascii="黑体" w:hAnsi="黑体" w:eastAsia="黑体" w:cs="Arial Unicode MS"/>
                <w:lang w:val="en-US" w:eastAsia="zh-CN"/>
              </w:rPr>
              <w:t>18</w:t>
            </w:r>
            <w:r>
              <w:rPr>
                <w:rFonts w:ascii="黑体" w:hAnsi="黑体" w:eastAsia="黑体" w:cs="Arial Unicode MS"/>
              </w:rPr>
              <w:t xml:space="preserve"> </w:t>
            </w:r>
            <w:r>
              <w:rPr>
                <w:rFonts w:hint="eastAsia" w:ascii="黑体" w:hAnsi="黑体" w:eastAsia="黑体" w:cs="Arial Unicode MS"/>
              </w:rPr>
              <w:t>项目已采取的防渗措施一览表</w:t>
            </w:r>
          </w:p>
          <w:tbl>
            <w:tblPr>
              <w:tblStyle w:val="8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77"/>
              <w:gridCol w:w="1335"/>
              <w:gridCol w:w="3631"/>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adjustRightInd w:val="0"/>
                    <w:snapToGrid w:val="0"/>
                    <w:spacing w:line="300" w:lineRule="exact"/>
                    <w:jc w:val="center"/>
                    <w:rPr>
                      <w:rFonts w:hint="eastAsia"/>
                      <w:b/>
                      <w:bCs/>
                      <w:sz w:val="18"/>
                      <w:szCs w:val="18"/>
                    </w:rPr>
                  </w:pPr>
                  <w:r>
                    <w:rPr>
                      <w:rFonts w:hint="eastAsia"/>
                      <w:b/>
                      <w:bCs/>
                      <w:sz w:val="18"/>
                      <w:szCs w:val="18"/>
                    </w:rPr>
                    <w:t>序号</w:t>
                  </w:r>
                </w:p>
              </w:tc>
              <w:tc>
                <w:tcPr>
                  <w:tcW w:w="1177" w:type="dxa"/>
                  <w:noWrap w:val="0"/>
                  <w:vAlign w:val="center"/>
                </w:tcPr>
                <w:p>
                  <w:pPr>
                    <w:adjustRightInd w:val="0"/>
                    <w:snapToGrid w:val="0"/>
                    <w:spacing w:line="300" w:lineRule="exact"/>
                    <w:jc w:val="center"/>
                    <w:rPr>
                      <w:rFonts w:hint="eastAsia"/>
                      <w:b/>
                      <w:bCs/>
                      <w:sz w:val="18"/>
                      <w:szCs w:val="18"/>
                    </w:rPr>
                  </w:pPr>
                  <w:r>
                    <w:rPr>
                      <w:rFonts w:hint="eastAsia"/>
                      <w:b/>
                      <w:bCs/>
                      <w:sz w:val="18"/>
                      <w:szCs w:val="18"/>
                    </w:rPr>
                    <w:t>类别</w:t>
                  </w:r>
                </w:p>
              </w:tc>
              <w:tc>
                <w:tcPr>
                  <w:tcW w:w="1335" w:type="dxa"/>
                  <w:noWrap w:val="0"/>
                  <w:vAlign w:val="center"/>
                </w:tcPr>
                <w:p>
                  <w:pPr>
                    <w:adjustRightInd w:val="0"/>
                    <w:snapToGrid w:val="0"/>
                    <w:spacing w:line="300" w:lineRule="exact"/>
                    <w:jc w:val="center"/>
                    <w:rPr>
                      <w:rFonts w:hint="eastAsia"/>
                      <w:b/>
                      <w:bCs/>
                      <w:sz w:val="18"/>
                      <w:szCs w:val="18"/>
                    </w:rPr>
                  </w:pPr>
                  <w:r>
                    <w:rPr>
                      <w:rFonts w:hint="eastAsia"/>
                      <w:b/>
                      <w:bCs/>
                      <w:sz w:val="18"/>
                      <w:szCs w:val="18"/>
                    </w:rPr>
                    <w:t>名称</w:t>
                  </w:r>
                </w:p>
              </w:tc>
              <w:tc>
                <w:tcPr>
                  <w:tcW w:w="3631" w:type="dxa"/>
                  <w:noWrap w:val="0"/>
                  <w:vAlign w:val="center"/>
                </w:tcPr>
                <w:p>
                  <w:pPr>
                    <w:adjustRightInd w:val="0"/>
                    <w:snapToGrid w:val="0"/>
                    <w:spacing w:line="300" w:lineRule="exact"/>
                    <w:jc w:val="center"/>
                    <w:rPr>
                      <w:rFonts w:hint="eastAsia"/>
                      <w:b/>
                      <w:bCs/>
                      <w:sz w:val="18"/>
                      <w:szCs w:val="18"/>
                    </w:rPr>
                  </w:pPr>
                  <w:r>
                    <w:rPr>
                      <w:rFonts w:hint="eastAsia"/>
                      <w:b/>
                      <w:bCs/>
                      <w:sz w:val="18"/>
                      <w:szCs w:val="18"/>
                    </w:rPr>
                    <w:t>防渗措施</w:t>
                  </w:r>
                </w:p>
              </w:tc>
              <w:tc>
                <w:tcPr>
                  <w:tcW w:w="1665" w:type="dxa"/>
                  <w:noWrap w:val="0"/>
                  <w:vAlign w:val="center"/>
                </w:tcPr>
                <w:p>
                  <w:pPr>
                    <w:adjustRightInd w:val="0"/>
                    <w:snapToGrid w:val="0"/>
                    <w:spacing w:line="300" w:lineRule="exact"/>
                    <w:jc w:val="center"/>
                    <w:rPr>
                      <w:rFonts w:hint="eastAsia"/>
                      <w:b/>
                      <w:bCs/>
                      <w:sz w:val="18"/>
                      <w:szCs w:val="18"/>
                    </w:rPr>
                  </w:pPr>
                  <w:r>
                    <w:rPr>
                      <w:rFonts w:hint="eastAsia"/>
                      <w:b/>
                      <w:bCs/>
                      <w:sz w:val="18"/>
                      <w:szCs w:val="18"/>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adjustRightInd w:val="0"/>
                    <w:snapToGrid w:val="0"/>
                    <w:spacing w:line="300" w:lineRule="exact"/>
                    <w:jc w:val="center"/>
                    <w:rPr>
                      <w:rFonts w:hint="eastAsia" w:eastAsia="宋体"/>
                      <w:sz w:val="18"/>
                      <w:szCs w:val="18"/>
                      <w:lang w:eastAsia="zh-CN"/>
                    </w:rPr>
                  </w:pPr>
                  <w:r>
                    <w:rPr>
                      <w:rFonts w:hint="eastAsia"/>
                      <w:sz w:val="18"/>
                      <w:szCs w:val="18"/>
                      <w:lang w:val="en-US" w:eastAsia="zh-CN"/>
                    </w:rPr>
                    <w:t>1</w:t>
                  </w:r>
                </w:p>
              </w:tc>
              <w:tc>
                <w:tcPr>
                  <w:tcW w:w="1177" w:type="dxa"/>
                  <w:noWrap w:val="0"/>
                  <w:vAlign w:val="center"/>
                </w:tcPr>
                <w:p>
                  <w:pPr>
                    <w:adjustRightInd w:val="0"/>
                    <w:snapToGrid w:val="0"/>
                    <w:spacing w:line="300" w:lineRule="exact"/>
                    <w:jc w:val="center"/>
                    <w:rPr>
                      <w:rFonts w:hint="eastAsia"/>
                      <w:sz w:val="18"/>
                      <w:szCs w:val="18"/>
                    </w:rPr>
                  </w:pPr>
                  <w:r>
                    <w:rPr>
                      <w:rFonts w:hint="eastAsia"/>
                      <w:sz w:val="18"/>
                      <w:szCs w:val="18"/>
                    </w:rPr>
                    <w:t>一般污染防治区</w:t>
                  </w:r>
                </w:p>
              </w:tc>
              <w:tc>
                <w:tcPr>
                  <w:tcW w:w="1335" w:type="dxa"/>
                  <w:noWrap w:val="0"/>
                  <w:vAlign w:val="center"/>
                </w:tcPr>
                <w:p>
                  <w:pPr>
                    <w:adjustRightInd w:val="0"/>
                    <w:snapToGrid w:val="0"/>
                    <w:spacing w:line="300" w:lineRule="exact"/>
                    <w:jc w:val="center"/>
                    <w:rPr>
                      <w:rFonts w:hint="eastAsia" w:eastAsia="宋体"/>
                      <w:sz w:val="18"/>
                      <w:szCs w:val="18"/>
                      <w:lang w:eastAsia="zh-CN"/>
                    </w:rPr>
                  </w:pPr>
                  <w:r>
                    <w:rPr>
                      <w:rFonts w:hint="eastAsia"/>
                      <w:sz w:val="18"/>
                      <w:szCs w:val="18"/>
                      <w:lang w:eastAsia="zh-CN"/>
                    </w:rPr>
                    <w:t>各</w:t>
                  </w:r>
                  <w:r>
                    <w:rPr>
                      <w:rFonts w:hint="eastAsia"/>
                      <w:sz w:val="18"/>
                      <w:szCs w:val="18"/>
                    </w:rPr>
                    <w:t>生产车间</w:t>
                  </w:r>
                  <w:r>
                    <w:rPr>
                      <w:rFonts w:hint="eastAsia"/>
                      <w:sz w:val="18"/>
                      <w:szCs w:val="18"/>
                      <w:lang w:eastAsia="zh-CN"/>
                    </w:rPr>
                    <w:t>、仓库等</w:t>
                  </w:r>
                </w:p>
              </w:tc>
              <w:tc>
                <w:tcPr>
                  <w:tcW w:w="3631" w:type="dxa"/>
                  <w:noWrap w:val="0"/>
                  <w:vAlign w:val="center"/>
                </w:tcPr>
                <w:p>
                  <w:pPr>
                    <w:adjustRightInd w:val="0"/>
                    <w:snapToGrid w:val="0"/>
                    <w:spacing w:line="300" w:lineRule="exact"/>
                    <w:jc w:val="both"/>
                    <w:rPr>
                      <w:rFonts w:hint="eastAsia" w:eastAsia="宋体"/>
                      <w:sz w:val="18"/>
                      <w:szCs w:val="18"/>
                      <w:lang w:val="en-US" w:eastAsia="zh-CN"/>
                    </w:rPr>
                  </w:pPr>
                  <w:r>
                    <w:rPr>
                      <w:sz w:val="18"/>
                      <w:szCs w:val="18"/>
                    </w:rPr>
                    <w:t>①</w:t>
                  </w:r>
                  <w:r>
                    <w:rPr>
                      <w:rFonts w:hint="eastAsia"/>
                      <w:sz w:val="18"/>
                      <w:szCs w:val="18"/>
                    </w:rPr>
                    <w:t>1</w:t>
                  </w:r>
                  <w:r>
                    <w:rPr>
                      <w:sz w:val="18"/>
                      <w:szCs w:val="18"/>
                    </w:rPr>
                    <w:t>.5</w:t>
                  </w:r>
                  <w:r>
                    <w:rPr>
                      <w:rFonts w:hint="eastAsia"/>
                      <w:sz w:val="18"/>
                      <w:szCs w:val="18"/>
                    </w:rPr>
                    <w:t>m素土夯实</w:t>
                  </w:r>
                  <w:r>
                    <w:rPr>
                      <w:rFonts w:hint="eastAsia"/>
                      <w:sz w:val="18"/>
                      <w:szCs w:val="18"/>
                      <w:lang w:eastAsia="zh-CN"/>
                    </w:rPr>
                    <w:t>，</w:t>
                  </w:r>
                  <w:r>
                    <w:rPr>
                      <w:sz w:val="18"/>
                      <w:szCs w:val="18"/>
                    </w:rPr>
                    <w:t>150</w:t>
                  </w:r>
                  <w:r>
                    <w:rPr>
                      <w:rFonts w:hint="eastAsia"/>
                      <w:sz w:val="18"/>
                      <w:szCs w:val="18"/>
                      <w:lang w:val="en-US" w:eastAsia="zh-CN"/>
                    </w:rPr>
                    <w:t>m</w:t>
                  </w:r>
                  <w:r>
                    <w:rPr>
                      <w:rFonts w:hint="eastAsia"/>
                      <w:sz w:val="18"/>
                      <w:szCs w:val="18"/>
                    </w:rPr>
                    <w:t>m水泥稳定碎石</w:t>
                  </w:r>
                </w:p>
                <w:p>
                  <w:pPr>
                    <w:adjustRightInd w:val="0"/>
                    <w:snapToGrid w:val="0"/>
                    <w:spacing w:line="300" w:lineRule="exact"/>
                    <w:jc w:val="both"/>
                    <w:rPr>
                      <w:rFonts w:hint="eastAsia"/>
                      <w:sz w:val="18"/>
                      <w:szCs w:val="18"/>
                    </w:rPr>
                  </w:pPr>
                  <w:r>
                    <w:rPr>
                      <w:rFonts w:hint="eastAsia"/>
                      <w:sz w:val="18"/>
                      <w:szCs w:val="18"/>
                    </w:rPr>
                    <w:t>②</w:t>
                  </w:r>
                  <w:r>
                    <w:rPr>
                      <w:sz w:val="18"/>
                      <w:szCs w:val="18"/>
                    </w:rPr>
                    <w:t>150</w:t>
                  </w:r>
                  <w:r>
                    <w:rPr>
                      <w:rFonts w:hint="eastAsia"/>
                      <w:sz w:val="18"/>
                      <w:szCs w:val="18"/>
                    </w:rPr>
                    <w:t>mmC</w:t>
                  </w:r>
                  <w:r>
                    <w:rPr>
                      <w:sz w:val="18"/>
                      <w:szCs w:val="18"/>
                    </w:rPr>
                    <w:t>35P6</w:t>
                  </w:r>
                  <w:r>
                    <w:rPr>
                      <w:rFonts w:hint="eastAsia"/>
                      <w:sz w:val="18"/>
                      <w:szCs w:val="18"/>
                    </w:rPr>
                    <w:t>抗渗混凝土浇筑</w:t>
                  </w:r>
                </w:p>
              </w:tc>
              <w:tc>
                <w:tcPr>
                  <w:tcW w:w="1665" w:type="dxa"/>
                  <w:noWrap w:val="0"/>
                  <w:vAlign w:val="center"/>
                </w:tcPr>
                <w:p>
                  <w:pPr>
                    <w:adjustRightInd w:val="0"/>
                    <w:snapToGrid w:val="0"/>
                    <w:spacing w:line="300" w:lineRule="exact"/>
                    <w:jc w:val="center"/>
                    <w:rPr>
                      <w:rFonts w:hint="eastAsia" w:eastAsia="宋体"/>
                      <w:sz w:val="18"/>
                      <w:szCs w:val="18"/>
                      <w:lang w:eastAsia="zh-CN"/>
                    </w:rPr>
                  </w:pPr>
                  <w:r>
                    <w:rPr>
                      <w:rFonts w:hint="eastAsia"/>
                      <w:sz w:val="18"/>
                      <w:szCs w:val="18"/>
                      <w:lang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adjustRightInd w:val="0"/>
                    <w:snapToGrid w:val="0"/>
                    <w:spacing w:line="300" w:lineRule="exact"/>
                    <w:jc w:val="center"/>
                    <w:rPr>
                      <w:rFonts w:hint="default"/>
                      <w:sz w:val="18"/>
                      <w:szCs w:val="18"/>
                      <w:lang w:val="en-US" w:eastAsia="zh-CN"/>
                    </w:rPr>
                  </w:pPr>
                  <w:r>
                    <w:rPr>
                      <w:rFonts w:hint="eastAsia"/>
                      <w:sz w:val="18"/>
                      <w:szCs w:val="18"/>
                      <w:lang w:val="en-US" w:eastAsia="zh-CN"/>
                    </w:rPr>
                    <w:t>2</w:t>
                  </w:r>
                </w:p>
              </w:tc>
              <w:tc>
                <w:tcPr>
                  <w:tcW w:w="1177" w:type="dxa"/>
                  <w:noWrap w:val="0"/>
                  <w:vAlign w:val="center"/>
                </w:tcPr>
                <w:p>
                  <w:pPr>
                    <w:adjustRightInd w:val="0"/>
                    <w:snapToGrid w:val="0"/>
                    <w:spacing w:line="300" w:lineRule="exact"/>
                    <w:jc w:val="center"/>
                    <w:rPr>
                      <w:rFonts w:hint="eastAsia"/>
                      <w:sz w:val="18"/>
                      <w:szCs w:val="18"/>
                    </w:rPr>
                  </w:pPr>
                  <w:r>
                    <w:rPr>
                      <w:rFonts w:hint="default" w:ascii="Times New Roman" w:hAnsi="Times New Roman" w:cs="Times New Roman"/>
                      <w:sz w:val="18"/>
                      <w:szCs w:val="18"/>
                    </w:rPr>
                    <w:t>重点防渗区</w:t>
                  </w:r>
                </w:p>
              </w:tc>
              <w:tc>
                <w:tcPr>
                  <w:tcW w:w="1335" w:type="dxa"/>
                  <w:noWrap w:val="0"/>
                  <w:vAlign w:val="center"/>
                </w:tcPr>
                <w:p>
                  <w:pPr>
                    <w:adjustRightInd w:val="0"/>
                    <w:snapToGrid w:val="0"/>
                    <w:spacing w:line="300" w:lineRule="exact"/>
                    <w:jc w:val="center"/>
                    <w:rPr>
                      <w:rFonts w:hint="eastAsia"/>
                      <w:sz w:val="18"/>
                      <w:szCs w:val="18"/>
                      <w:lang w:eastAsia="zh-CN"/>
                    </w:rPr>
                  </w:pPr>
                  <w:r>
                    <w:rPr>
                      <w:rFonts w:hint="default" w:ascii="Times New Roman" w:hAnsi="Times New Roman" w:cs="Times New Roman"/>
                      <w:sz w:val="18"/>
                      <w:szCs w:val="18"/>
                    </w:rPr>
                    <w:t>危废间</w:t>
                  </w:r>
                </w:p>
              </w:tc>
              <w:tc>
                <w:tcPr>
                  <w:tcW w:w="3631" w:type="dxa"/>
                  <w:noWrap w:val="0"/>
                  <w:vAlign w:val="center"/>
                </w:tcPr>
                <w:p>
                  <w:pPr>
                    <w:adjustRightInd w:val="0"/>
                    <w:snapToGrid w:val="0"/>
                    <w:spacing w:line="300" w:lineRule="exact"/>
                    <w:jc w:val="both"/>
                    <w:rPr>
                      <w:rFonts w:hint="eastAsia"/>
                      <w:sz w:val="18"/>
                      <w:szCs w:val="18"/>
                    </w:rPr>
                  </w:pPr>
                  <w:r>
                    <w:rPr>
                      <w:rFonts w:hint="eastAsia" w:cs="Times New Roman"/>
                      <w:sz w:val="18"/>
                      <w:szCs w:val="18"/>
                      <w:lang w:eastAsia="zh-CN"/>
                    </w:rPr>
                    <w:t>相当于</w:t>
                  </w:r>
                  <w:r>
                    <w:rPr>
                      <w:rFonts w:hint="default" w:ascii="Times New Roman" w:hAnsi="Times New Roman" w:cs="Times New Roman"/>
                      <w:sz w:val="18"/>
                      <w:szCs w:val="18"/>
                    </w:rPr>
                    <w:t>1m厚黏土层（渗透系数K≤1×10</w:t>
                  </w:r>
                  <w:r>
                    <w:rPr>
                      <w:rFonts w:hint="default" w:ascii="Times New Roman" w:hAnsi="Times New Roman" w:cs="Times New Roman"/>
                      <w:sz w:val="18"/>
                      <w:szCs w:val="18"/>
                      <w:vertAlign w:val="superscript"/>
                    </w:rPr>
                    <w:t>-7</w:t>
                  </w:r>
                  <w:r>
                    <w:rPr>
                      <w:rFonts w:hint="default" w:ascii="Times New Roman" w:hAnsi="Times New Roman" w:cs="Times New Roman"/>
                      <w:sz w:val="18"/>
                      <w:szCs w:val="18"/>
                    </w:rPr>
                    <w:t>cm/s）</w:t>
                  </w:r>
                </w:p>
              </w:tc>
              <w:tc>
                <w:tcPr>
                  <w:tcW w:w="1665" w:type="dxa"/>
                  <w:noWrap w:val="0"/>
                  <w:vAlign w:val="center"/>
                </w:tcPr>
                <w:p>
                  <w:pPr>
                    <w:adjustRightInd w:val="0"/>
                    <w:snapToGrid w:val="0"/>
                    <w:spacing w:line="300" w:lineRule="exact"/>
                    <w:jc w:val="center"/>
                    <w:rPr>
                      <w:rFonts w:hint="eastAsia"/>
                      <w:sz w:val="18"/>
                      <w:szCs w:val="18"/>
                      <w:lang w:eastAsia="zh-CN"/>
                    </w:rPr>
                  </w:pPr>
                  <w:r>
                    <w:rPr>
                      <w:rFonts w:hint="eastAsia"/>
                      <w:sz w:val="18"/>
                      <w:szCs w:val="18"/>
                      <w:lang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0"/>
                  <w:vAlign w:val="center"/>
                </w:tcPr>
                <w:p>
                  <w:pPr>
                    <w:adjustRightInd w:val="0"/>
                    <w:snapToGrid w:val="0"/>
                    <w:spacing w:line="300" w:lineRule="exact"/>
                    <w:jc w:val="center"/>
                    <w:rPr>
                      <w:rFonts w:hint="default"/>
                      <w:sz w:val="18"/>
                      <w:szCs w:val="18"/>
                      <w:lang w:val="en-US" w:eastAsia="zh-CN"/>
                    </w:rPr>
                  </w:pPr>
                  <w:r>
                    <w:rPr>
                      <w:rFonts w:hint="eastAsia"/>
                      <w:sz w:val="18"/>
                      <w:szCs w:val="18"/>
                      <w:lang w:val="en-US" w:eastAsia="zh-CN"/>
                    </w:rPr>
                    <w:t>3</w:t>
                  </w:r>
                </w:p>
              </w:tc>
              <w:tc>
                <w:tcPr>
                  <w:tcW w:w="1177" w:type="dxa"/>
                  <w:noWrap w:val="0"/>
                  <w:vAlign w:val="center"/>
                </w:tcPr>
                <w:p>
                  <w:pPr>
                    <w:adjustRightInd w:val="0"/>
                    <w:snapToGri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简单防渗区</w:t>
                  </w:r>
                </w:p>
              </w:tc>
              <w:tc>
                <w:tcPr>
                  <w:tcW w:w="1335" w:type="dxa"/>
                  <w:noWrap w:val="0"/>
                  <w:vAlign w:val="center"/>
                </w:tcPr>
                <w:p>
                  <w:pPr>
                    <w:adjustRightInd w:val="0"/>
                    <w:snapToGri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其他区域</w:t>
                  </w:r>
                </w:p>
              </w:tc>
              <w:tc>
                <w:tcPr>
                  <w:tcW w:w="3631" w:type="dxa"/>
                  <w:noWrap w:val="0"/>
                  <w:vAlign w:val="center"/>
                </w:tcPr>
                <w:p>
                  <w:pPr>
                    <w:adjustRightInd w:val="0"/>
                    <w:snapToGrid w:val="0"/>
                    <w:spacing w:line="300" w:lineRule="exact"/>
                    <w:jc w:val="both"/>
                    <w:rPr>
                      <w:rFonts w:hint="default" w:ascii="Times New Roman" w:hAnsi="Times New Roman" w:cs="Times New Roman"/>
                      <w:sz w:val="18"/>
                      <w:szCs w:val="18"/>
                    </w:rPr>
                  </w:pPr>
                  <w:r>
                    <w:rPr>
                      <w:rFonts w:hint="default" w:ascii="Times New Roman" w:hAnsi="Times New Roman" w:cs="Times New Roman"/>
                      <w:sz w:val="18"/>
                      <w:szCs w:val="18"/>
                    </w:rPr>
                    <w:t>一般地面硬化措施</w:t>
                  </w:r>
                </w:p>
              </w:tc>
              <w:tc>
                <w:tcPr>
                  <w:tcW w:w="1665" w:type="dxa"/>
                  <w:noWrap w:val="0"/>
                  <w:vAlign w:val="center"/>
                </w:tcPr>
                <w:p>
                  <w:pPr>
                    <w:adjustRightInd w:val="0"/>
                    <w:snapToGrid w:val="0"/>
                    <w:spacing w:line="300" w:lineRule="exact"/>
                    <w:jc w:val="center"/>
                    <w:rPr>
                      <w:rFonts w:hint="eastAsia"/>
                      <w:sz w:val="18"/>
                      <w:szCs w:val="18"/>
                      <w:lang w:eastAsia="zh-CN"/>
                    </w:rPr>
                  </w:pPr>
                  <w:r>
                    <w:rPr>
                      <w:rFonts w:hint="eastAsia"/>
                      <w:sz w:val="18"/>
                      <w:szCs w:val="18"/>
                      <w:lang w:eastAsia="zh-CN"/>
                    </w:rPr>
                    <w:t>满足</w:t>
                  </w:r>
                </w:p>
              </w:tc>
            </w:tr>
          </w:tbl>
          <w:p>
            <w:pPr>
              <w:adjustRightInd w:val="0"/>
              <w:snapToGrid w:val="0"/>
              <w:spacing w:line="360" w:lineRule="auto"/>
              <w:ind w:firstLine="420" w:firstLineChars="200"/>
              <w:rPr>
                <w:bCs/>
                <w:szCs w:val="21"/>
              </w:rPr>
            </w:pPr>
            <w:r>
              <w:rPr>
                <w:bCs/>
                <w:szCs w:val="21"/>
              </w:rPr>
              <w:t>项目</w:t>
            </w:r>
            <w:r>
              <w:rPr>
                <w:rFonts w:hint="eastAsia"/>
                <w:bCs/>
                <w:szCs w:val="21"/>
              </w:rPr>
              <w:t>生产区</w:t>
            </w:r>
            <w:r>
              <w:rPr>
                <w:bCs/>
                <w:szCs w:val="21"/>
              </w:rPr>
              <w:t>需严格进行防渗硬化。分区防渗措施见表4-</w:t>
            </w:r>
            <w:r>
              <w:rPr>
                <w:rFonts w:hint="eastAsia"/>
                <w:bCs/>
                <w:szCs w:val="21"/>
                <w:lang w:val="en-US" w:eastAsia="zh-CN"/>
              </w:rPr>
              <w:t>18</w:t>
            </w:r>
            <w:r>
              <w:rPr>
                <w:bCs/>
                <w:szCs w:val="21"/>
              </w:rPr>
              <w:t>。企业定期对地面进行检查维护，防止防渗层的破坏，在采取相应的措施后，即使发生泄漏由于</w:t>
            </w:r>
            <w:r>
              <w:rPr>
                <w:rFonts w:hint="eastAsia"/>
                <w:bCs/>
                <w:szCs w:val="21"/>
                <w:lang w:eastAsia="zh-CN"/>
              </w:rPr>
              <w:t>已</w:t>
            </w:r>
            <w:r>
              <w:rPr>
                <w:bCs/>
                <w:szCs w:val="21"/>
              </w:rPr>
              <w:t>进行防渗处理，废液也无法进行下渗，本项目的运营几乎没有影响途径，对地下水影响较小。</w:t>
            </w:r>
          </w:p>
          <w:p>
            <w:pPr>
              <w:spacing w:line="360" w:lineRule="auto"/>
              <w:ind w:firstLine="420" w:firstLineChars="200"/>
              <w:rPr>
                <w:bCs/>
                <w:szCs w:val="21"/>
              </w:rPr>
            </w:pPr>
            <w:r>
              <w:rPr>
                <w:bCs/>
                <w:szCs w:val="21"/>
              </w:rPr>
              <w:t>在日常运行时应当加强</w:t>
            </w:r>
            <w:r>
              <w:rPr>
                <w:rFonts w:hint="eastAsia"/>
                <w:bCs/>
                <w:szCs w:val="21"/>
                <w:lang w:eastAsia="zh-CN"/>
              </w:rPr>
              <w:t>生产</w:t>
            </w:r>
            <w:r>
              <w:rPr>
                <w:bCs/>
                <w:szCs w:val="21"/>
              </w:rPr>
              <w:t>车间防渗的巡检和维护工作，确保防渗层不破损。在污染防治措施到位，严格管理的前提下，本项目对土壤和地下水影响极小。</w:t>
            </w:r>
          </w:p>
          <w:p>
            <w:pPr>
              <w:spacing w:line="360" w:lineRule="auto"/>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六、土壤</w:t>
            </w:r>
          </w:p>
          <w:p>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1、污染途径、类型</w:t>
            </w:r>
          </w:p>
          <w:p>
            <w:pPr>
              <w:pStyle w:val="30"/>
              <w:spacing w:line="360" w:lineRule="auto"/>
              <w:ind w:firstLine="420" w:firstLineChars="200"/>
              <w:rPr>
                <w:rFonts w:hint="eastAsia" w:ascii="Times New Roman" w:hAnsi="Times New Roman" w:eastAsia="宋体" w:cs="Times New Roman"/>
                <w:bCs/>
                <w:sz w:val="21"/>
                <w:szCs w:val="21"/>
                <w:lang w:eastAsia="zh-CN"/>
              </w:rPr>
            </w:pPr>
            <w:r>
              <w:rPr>
                <w:rFonts w:hint="default" w:ascii="Times New Roman" w:hAnsi="Times New Roman" w:cs="Times New Roman"/>
                <w:bCs/>
                <w:sz w:val="21"/>
                <w:szCs w:val="21"/>
              </w:rPr>
              <w:t>本项目主要土壤污染源为</w:t>
            </w:r>
            <w:r>
              <w:rPr>
                <w:rFonts w:hint="eastAsia" w:cs="Times New Roman"/>
                <w:bCs/>
                <w:sz w:val="21"/>
                <w:szCs w:val="21"/>
                <w:lang w:eastAsia="zh-CN"/>
              </w:rPr>
              <w:t>搅拌、涂胶、烘干、固化、切割、注塑工</w:t>
            </w:r>
            <w:r>
              <w:rPr>
                <w:rFonts w:hint="default" w:ascii="Times New Roman" w:hAnsi="Times New Roman" w:cs="Times New Roman"/>
                <w:bCs/>
                <w:sz w:val="21"/>
                <w:szCs w:val="21"/>
              </w:rPr>
              <w:t>序有机废气污染源，主要污染因子主要为</w:t>
            </w:r>
            <w:r>
              <w:rPr>
                <w:rFonts w:hint="eastAsia" w:cs="Times New Roman"/>
                <w:bCs/>
                <w:sz w:val="21"/>
                <w:szCs w:val="21"/>
                <w:lang w:eastAsia="zh-CN"/>
              </w:rPr>
              <w:t>搅拌、涂胶、烘干、固化、切割、注塑</w:t>
            </w:r>
            <w:r>
              <w:rPr>
                <w:rFonts w:hint="default" w:ascii="Times New Roman" w:hAnsi="Times New Roman" w:cs="Times New Roman"/>
                <w:bCs/>
                <w:sz w:val="21"/>
                <w:szCs w:val="21"/>
              </w:rPr>
              <w:t>过程产生的VOCs（含</w:t>
            </w:r>
            <w:r>
              <w:rPr>
                <w:rFonts w:hint="eastAsia" w:cs="Times New Roman"/>
                <w:bCs/>
                <w:sz w:val="21"/>
                <w:szCs w:val="21"/>
                <w:lang w:eastAsia="zh-CN"/>
              </w:rPr>
              <w:t>苯酚、甲醛</w:t>
            </w:r>
            <w:r>
              <w:rPr>
                <w:rFonts w:hint="default" w:ascii="Times New Roman" w:hAnsi="Times New Roman" w:cs="Times New Roman"/>
                <w:bCs/>
                <w:sz w:val="21"/>
                <w:szCs w:val="21"/>
              </w:rPr>
              <w:t>），主要污染途经为</w:t>
            </w:r>
            <w:r>
              <w:rPr>
                <w:rFonts w:hint="eastAsia" w:cs="Times New Roman"/>
                <w:bCs/>
                <w:sz w:val="21"/>
                <w:szCs w:val="21"/>
                <w:lang w:eastAsia="zh-CN"/>
              </w:rPr>
              <w:t>搅拌、涂胶、烘干、固化、切割、注塑</w:t>
            </w:r>
            <w:r>
              <w:rPr>
                <w:rFonts w:hint="default" w:ascii="Times New Roman" w:hAnsi="Times New Roman" w:cs="Times New Roman"/>
                <w:bCs/>
                <w:sz w:val="21"/>
                <w:szCs w:val="21"/>
                <w:lang w:eastAsia="zh-CN"/>
              </w:rPr>
              <w:t>工序产生的</w:t>
            </w:r>
            <w:r>
              <w:rPr>
                <w:rFonts w:hint="default" w:ascii="Times New Roman" w:hAnsi="Times New Roman" w:cs="Times New Roman"/>
                <w:bCs/>
                <w:sz w:val="21"/>
                <w:szCs w:val="21"/>
                <w:lang w:val="en-US" w:eastAsia="zh-CN"/>
              </w:rPr>
              <w:t>VOCs</w:t>
            </w:r>
            <w:r>
              <w:rPr>
                <w:rFonts w:hint="default" w:ascii="Times New Roman" w:hAnsi="Times New Roman" w:cs="Times New Roman"/>
                <w:bCs/>
                <w:sz w:val="21"/>
                <w:szCs w:val="21"/>
              </w:rPr>
              <w:t>大气沉降</w:t>
            </w:r>
            <w:r>
              <w:rPr>
                <w:rFonts w:hint="eastAsia" w:cs="Times New Roman"/>
                <w:bCs/>
                <w:sz w:val="21"/>
                <w:szCs w:val="21"/>
                <w:lang w:eastAsia="zh-CN"/>
              </w:rPr>
              <w:t>。</w:t>
            </w:r>
          </w:p>
          <w:p>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2、采取保护措施及影响分析</w:t>
            </w:r>
          </w:p>
          <w:p>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本项目厂区车间根据生产情况的防渗硬化处理，防渗措施详见表4-</w:t>
            </w:r>
            <w:r>
              <w:rPr>
                <w:rFonts w:hint="eastAsia" w:cs="Times New Roman"/>
                <w:bCs/>
                <w:szCs w:val="21"/>
                <w:lang w:val="en-US" w:eastAsia="zh-CN"/>
              </w:rPr>
              <w:t>18</w:t>
            </w:r>
            <w:r>
              <w:rPr>
                <w:rFonts w:hint="default" w:ascii="Times New Roman" w:hAnsi="Times New Roman" w:cs="Times New Roman"/>
                <w:bCs/>
                <w:szCs w:val="21"/>
              </w:rPr>
              <w:t>。企业定期对地面进行检查维护，防止防渗层的破坏，在采取相应的措施后，本项目基本无法在防渗区下渗。综上，本项目的运营对土壤影响较小。</w:t>
            </w:r>
          </w:p>
          <w:p>
            <w:pPr>
              <w:adjustRightInd w:val="0"/>
              <w:snapToGrid w:val="0"/>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3、跟踪监测</w:t>
            </w:r>
          </w:p>
          <w:p>
            <w:pPr>
              <w:adjustRightInd w:val="0"/>
              <w:snapToGrid w:val="0"/>
              <w:spacing w:line="360" w:lineRule="auto"/>
              <w:ind w:firstLine="420" w:firstLineChars="200"/>
              <w:rPr>
                <w:rFonts w:hint="eastAsia" w:ascii="Times New Roman" w:hAnsi="Times New Roman" w:eastAsia="宋体" w:cs="Times New Roman"/>
                <w:bCs/>
                <w:szCs w:val="21"/>
                <w:lang w:val="en-US" w:eastAsia="zh-CN"/>
              </w:rPr>
            </w:pPr>
            <w:r>
              <w:rPr>
                <w:rFonts w:hint="default" w:ascii="Times New Roman" w:hAnsi="Times New Roman" w:cs="Times New Roman"/>
                <w:bCs/>
                <w:szCs w:val="21"/>
              </w:rPr>
              <w:t>拟建项目拟设置一个厂内监测点</w:t>
            </w:r>
            <w:r>
              <w:rPr>
                <w:rFonts w:hint="eastAsia" w:cs="Times New Roman"/>
                <w:bCs/>
                <w:szCs w:val="21"/>
                <w:lang w:eastAsia="zh-CN"/>
              </w:rPr>
              <w:t>。</w:t>
            </w:r>
          </w:p>
          <w:p>
            <w:pPr>
              <w:autoSpaceDE w:val="0"/>
              <w:autoSpaceDN w:val="0"/>
              <w:adjustRightInd w:val="0"/>
              <w:spacing w:line="360" w:lineRule="auto"/>
              <w:ind w:firstLine="25" w:firstLineChars="12"/>
              <w:jc w:val="center"/>
              <w:rPr>
                <w:rFonts w:hint="default" w:ascii="Times New Roman" w:hAnsi="Times New Roman" w:eastAsia="黑体" w:cs="Times New Roman"/>
                <w:szCs w:val="21"/>
              </w:rPr>
            </w:pPr>
            <w:r>
              <w:rPr>
                <w:rFonts w:hint="default" w:ascii="Times New Roman" w:hAnsi="Times New Roman" w:eastAsia="黑体" w:cs="Times New Roman"/>
                <w:szCs w:val="21"/>
              </w:rPr>
              <w:t>表4-</w:t>
            </w:r>
            <w:r>
              <w:rPr>
                <w:rFonts w:hint="eastAsia" w:eastAsia="黑体" w:cs="Times New Roman"/>
                <w:szCs w:val="21"/>
                <w:lang w:val="en-US" w:eastAsia="zh-CN"/>
              </w:rPr>
              <w:t>19</w:t>
            </w:r>
            <w:r>
              <w:rPr>
                <w:rFonts w:hint="default" w:ascii="Times New Roman" w:hAnsi="Times New Roman" w:eastAsia="黑体" w:cs="Times New Roman"/>
                <w:szCs w:val="21"/>
              </w:rPr>
              <w:t xml:space="preserve"> 土壤跟踪监测方案</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1954"/>
              <w:gridCol w:w="1677"/>
              <w:gridCol w:w="1527"/>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点位</w:t>
                  </w:r>
                </w:p>
              </w:tc>
              <w:tc>
                <w:tcPr>
                  <w:tcW w:w="19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位置</w:t>
                  </w:r>
                </w:p>
              </w:tc>
              <w:tc>
                <w:tcPr>
                  <w:tcW w:w="1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特征因子</w:t>
                  </w:r>
                </w:p>
              </w:tc>
              <w:tc>
                <w:tcPr>
                  <w:tcW w:w="15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监测频次</w:t>
                  </w:r>
                </w:p>
              </w:tc>
              <w:tc>
                <w:tcPr>
                  <w:tcW w:w="21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b/>
                      <w:sz w:val="18"/>
                      <w:szCs w:val="18"/>
                    </w:rPr>
                  </w:pPr>
                  <w:r>
                    <w:rPr>
                      <w:rFonts w:hint="default" w:ascii="Times New Roman" w:hAnsi="Times New Roman" w:cs="Times New Roman"/>
                      <w:b/>
                      <w:sz w:val="18"/>
                      <w:szCs w:val="18"/>
                    </w:rPr>
                    <w:t>布设意义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95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拟建项目厂区内</w:t>
                  </w:r>
                </w:p>
              </w:tc>
              <w:tc>
                <w:tcPr>
                  <w:tcW w:w="1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eastAsia="宋体" w:cs="Times New Roman"/>
                      <w:sz w:val="18"/>
                      <w:szCs w:val="18"/>
                      <w:lang w:eastAsia="zh-CN"/>
                    </w:rPr>
                  </w:pPr>
                  <w:r>
                    <w:rPr>
                      <w:rFonts w:hint="eastAsia" w:cs="Times New Roman"/>
                      <w:sz w:val="18"/>
                      <w:szCs w:val="18"/>
                      <w:lang w:eastAsia="zh-CN"/>
                    </w:rPr>
                    <w:t>苯酚、甲醛</w:t>
                  </w:r>
                </w:p>
              </w:tc>
              <w:tc>
                <w:tcPr>
                  <w:tcW w:w="152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5年1次</w:t>
                  </w:r>
                </w:p>
              </w:tc>
              <w:tc>
                <w:tcPr>
                  <w:tcW w:w="21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hint="default" w:ascii="Times New Roman" w:hAnsi="Times New Roman" w:cs="Times New Roman"/>
                      <w:sz w:val="18"/>
                      <w:szCs w:val="18"/>
                    </w:rPr>
                  </w:pPr>
                  <w:r>
                    <w:rPr>
                      <w:rFonts w:hint="default" w:ascii="Times New Roman" w:hAnsi="Times New Roman" w:cs="Times New Roman"/>
                      <w:sz w:val="18"/>
                      <w:szCs w:val="18"/>
                    </w:rPr>
                    <w:t>委托第三方有资质单位</w:t>
                  </w:r>
                </w:p>
              </w:tc>
            </w:tr>
          </w:tbl>
          <w:p>
            <w:pPr>
              <w:spacing w:line="420" w:lineRule="exact"/>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七、生态</w:t>
            </w:r>
          </w:p>
          <w:p>
            <w:pPr>
              <w:spacing w:line="42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项目在现有厂区内开展，不新增占地。项目现有厂区占地内没有珍稀动植物物种，生态环境质量一般。项目占地内原有生物物种在项目周围地域广泛存在，基本不影响评价区域的生物多样性，项目运营对周围生态环境基本上没有产生明显的影响。</w:t>
            </w:r>
          </w:p>
          <w:p>
            <w:pPr>
              <w:spacing w:line="420" w:lineRule="exact"/>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八、环境风险分析</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1、本项目危险物质和风险源分布及可能影响途径</w:t>
            </w:r>
          </w:p>
          <w:p>
            <w:pPr>
              <w:spacing w:line="420" w:lineRule="exact"/>
              <w:ind w:firstLine="420" w:firstLineChars="200"/>
              <w:rPr>
                <w:rFonts w:hint="default" w:ascii="Times New Roman" w:hAnsi="Times New Roman" w:cs="Times New Roman"/>
                <w:szCs w:val="21"/>
              </w:rPr>
            </w:pPr>
            <w:r>
              <w:rPr>
                <w:rFonts w:hint="default" w:ascii="Times New Roman" w:hAnsi="Times New Roman" w:cs="Times New Roman"/>
                <w:szCs w:val="21"/>
              </w:rPr>
              <w:t>（1）危险物质和风险源分布</w:t>
            </w:r>
          </w:p>
          <w:p>
            <w:pPr>
              <w:spacing w:line="420" w:lineRule="exact"/>
              <w:ind w:firstLine="420" w:firstLineChars="200"/>
              <w:rPr>
                <w:rFonts w:hint="default" w:ascii="Times New Roman" w:hAnsi="Times New Roman" w:cs="Times New Roman"/>
                <w:szCs w:val="21"/>
                <w:highlight w:val="none"/>
              </w:rPr>
            </w:pPr>
            <w:r>
              <w:rPr>
                <w:rFonts w:hint="default" w:ascii="Times New Roman" w:hAnsi="Times New Roman" w:cs="Times New Roman"/>
                <w:szCs w:val="21"/>
              </w:rPr>
              <w:t>根据项目生产用原辅材料及生产工艺分析，本项目使用的原辅材料、产品、能耗及固体废物中涉</w:t>
            </w:r>
            <w:r>
              <w:rPr>
                <w:rFonts w:hint="default" w:ascii="Times New Roman" w:hAnsi="Times New Roman" w:cs="Times New Roman"/>
                <w:szCs w:val="21"/>
                <w:highlight w:val="none"/>
              </w:rPr>
              <w:t>及《建设项目环境风险评价技术导则》（HJ169-2018）附录B、《企业突发环境事件风险分级方法》中“附录A突发环境事件风险物质及临界量清单”和</w:t>
            </w:r>
            <w:r>
              <w:rPr>
                <w:rFonts w:hint="default" w:ascii="Times New Roman" w:hAnsi="Times New Roman" w:cs="Times New Roman"/>
                <w:highlight w:val="none"/>
              </w:rPr>
              <w:t>《危险化学品重大危险源辨识》（GB18218-2018）</w:t>
            </w:r>
            <w:r>
              <w:rPr>
                <w:rFonts w:hint="default" w:ascii="Times New Roman" w:hAnsi="Times New Roman" w:cs="Times New Roman"/>
                <w:szCs w:val="21"/>
                <w:highlight w:val="none"/>
              </w:rPr>
              <w:t>中的危险物质，主要为</w:t>
            </w:r>
            <w:r>
              <w:rPr>
                <w:rFonts w:hint="eastAsia" w:cs="Times New Roman"/>
                <w:szCs w:val="21"/>
                <w:highlight w:val="none"/>
                <w:lang w:eastAsia="zh-CN"/>
              </w:rPr>
              <w:t>酚醛树脂胶、废活性炭</w:t>
            </w:r>
            <w:r>
              <w:rPr>
                <w:rFonts w:hint="default" w:ascii="Times New Roman" w:hAnsi="Times New Roman" w:cs="Times New Roman"/>
                <w:szCs w:val="21"/>
                <w:highlight w:val="none"/>
              </w:rPr>
              <w:t>等。主要分布于</w:t>
            </w:r>
            <w:r>
              <w:rPr>
                <w:rFonts w:hint="eastAsia" w:cs="Times New Roman"/>
                <w:szCs w:val="21"/>
                <w:highlight w:val="none"/>
                <w:lang w:eastAsia="zh-CN"/>
              </w:rPr>
              <w:t>生产车间及危废间</w:t>
            </w:r>
            <w:r>
              <w:rPr>
                <w:rFonts w:hint="default" w:ascii="Times New Roman" w:hAnsi="Times New Roman" w:cs="Times New Roman"/>
                <w:szCs w:val="21"/>
                <w:highlight w:val="none"/>
              </w:rPr>
              <w:t>。</w:t>
            </w:r>
          </w:p>
          <w:p>
            <w:pPr>
              <w:autoSpaceDE w:val="0"/>
              <w:autoSpaceDN w:val="0"/>
              <w:adjustRightInd w:val="0"/>
              <w:spacing w:line="420" w:lineRule="exact"/>
              <w:ind w:firstLine="25" w:firstLineChars="12"/>
              <w:jc w:val="center"/>
              <w:rPr>
                <w:rFonts w:hint="default" w:ascii="Times New Roman" w:hAnsi="Times New Roman" w:eastAsia="黑体" w:cs="Times New Roman"/>
                <w:szCs w:val="21"/>
                <w:highlight w:val="none"/>
              </w:rPr>
            </w:pPr>
            <w:r>
              <w:rPr>
                <w:rFonts w:hint="default" w:ascii="Times New Roman" w:hAnsi="Times New Roman" w:eastAsia="黑体" w:cs="Times New Roman"/>
                <w:szCs w:val="21"/>
                <w:highlight w:val="none"/>
              </w:rPr>
              <w:t>表4-</w:t>
            </w:r>
            <w:r>
              <w:rPr>
                <w:rFonts w:hint="eastAsia" w:eastAsia="黑体" w:cs="Times New Roman"/>
                <w:szCs w:val="21"/>
                <w:highlight w:val="none"/>
                <w:lang w:val="en-US" w:eastAsia="zh-CN"/>
              </w:rPr>
              <w:t>20</w:t>
            </w:r>
            <w:r>
              <w:rPr>
                <w:rFonts w:hint="default" w:ascii="Times New Roman" w:hAnsi="Times New Roman" w:eastAsia="黑体" w:cs="Times New Roman"/>
                <w:szCs w:val="21"/>
                <w:highlight w:val="none"/>
              </w:rPr>
              <w:t xml:space="preserve"> 项目风险物质存放情况</w:t>
            </w:r>
          </w:p>
          <w:tbl>
            <w:tblPr>
              <w:tblStyle w:val="8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512"/>
              <w:gridCol w:w="1255"/>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rPr>
                    <w:t>风险物质</w:t>
                  </w:r>
                </w:p>
              </w:tc>
              <w:tc>
                <w:tcPr>
                  <w:tcW w:w="251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rPr>
                    <w:t>实际储存量t/a</w:t>
                  </w:r>
                </w:p>
              </w:tc>
              <w:tc>
                <w:tcPr>
                  <w:tcW w:w="12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rPr>
                    <w:t>临界量t</w:t>
                  </w:r>
                </w:p>
              </w:tc>
              <w:tc>
                <w:tcPr>
                  <w:tcW w:w="12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b/>
                      <w:bCs/>
                      <w:sz w:val="18"/>
                      <w:szCs w:val="18"/>
                      <w:highlight w:val="none"/>
                    </w:rPr>
                  </w:pPr>
                  <w:r>
                    <w:rPr>
                      <w:rFonts w:hint="default" w:ascii="Times New Roman" w:hAnsi="Times New Roman" w:cs="Times New Roman"/>
                      <w:b/>
                      <w:bCs/>
                      <w:sz w:val="18"/>
                      <w:szCs w:val="18"/>
                      <w:highlight w:val="none"/>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废活性炭</w:t>
                  </w:r>
                </w:p>
              </w:tc>
              <w:tc>
                <w:tcPr>
                  <w:tcW w:w="251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w:t>
                  </w:r>
                </w:p>
              </w:tc>
              <w:tc>
                <w:tcPr>
                  <w:tcW w:w="12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200</w:t>
                  </w:r>
                </w:p>
              </w:tc>
              <w:tc>
                <w:tcPr>
                  <w:tcW w:w="12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rPr>
                    <w:t>0.0</w:t>
                  </w:r>
                  <w:r>
                    <w:rPr>
                      <w:rFonts w:hint="eastAsia" w:cs="Times New Roman"/>
                      <w:sz w:val="18"/>
                      <w:szCs w:val="18"/>
                      <w:highlight w:val="no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ascii="Times New Roman" w:hAnsi="Times New Roman" w:eastAsia="宋体" w:cs="Times New Roman"/>
                      <w:sz w:val="18"/>
                      <w:szCs w:val="18"/>
                      <w:highlight w:val="none"/>
                      <w:lang w:eastAsia="zh-CN"/>
                    </w:rPr>
                  </w:pPr>
                  <w:r>
                    <w:rPr>
                      <w:rFonts w:hint="eastAsia" w:cs="Times New Roman"/>
                      <w:sz w:val="18"/>
                      <w:szCs w:val="18"/>
                      <w:highlight w:val="none"/>
                      <w:lang w:eastAsia="zh-CN"/>
                    </w:rPr>
                    <w:t>苯酚（酚醛树脂胶中含量为</w:t>
                  </w:r>
                  <w:r>
                    <w:rPr>
                      <w:rFonts w:hint="eastAsia" w:cs="Times New Roman"/>
                      <w:sz w:val="18"/>
                      <w:szCs w:val="18"/>
                      <w:highlight w:val="none"/>
                      <w:lang w:val="en-US" w:eastAsia="zh-CN"/>
                    </w:rPr>
                    <w:t>2.3%</w:t>
                  </w:r>
                  <w:r>
                    <w:rPr>
                      <w:rFonts w:hint="eastAsia" w:cs="Times New Roman"/>
                      <w:sz w:val="18"/>
                      <w:szCs w:val="18"/>
                      <w:highlight w:val="none"/>
                      <w:lang w:eastAsia="zh-CN"/>
                    </w:rPr>
                    <w:t>）</w:t>
                  </w:r>
                </w:p>
              </w:tc>
              <w:tc>
                <w:tcPr>
                  <w:tcW w:w="251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1.61（酚醛树脂胶70t）</w:t>
                  </w:r>
                </w:p>
              </w:tc>
              <w:tc>
                <w:tcPr>
                  <w:tcW w:w="12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w:t>
                  </w:r>
                </w:p>
              </w:tc>
              <w:tc>
                <w:tcPr>
                  <w:tcW w:w="12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cs="Times New Roman"/>
                      <w:sz w:val="18"/>
                      <w:szCs w:val="18"/>
                      <w:highlight w:val="none"/>
                      <w:lang w:eastAsia="zh-CN"/>
                    </w:rPr>
                  </w:pPr>
                  <w:r>
                    <w:rPr>
                      <w:rFonts w:hint="eastAsia" w:cs="Times New Roman"/>
                      <w:sz w:val="18"/>
                      <w:szCs w:val="18"/>
                      <w:highlight w:val="none"/>
                      <w:lang w:eastAsia="zh-CN"/>
                    </w:rPr>
                    <w:t>甲醛（酚醛树脂中含量为</w:t>
                  </w:r>
                  <w:r>
                    <w:rPr>
                      <w:rFonts w:hint="eastAsia" w:cs="Times New Roman"/>
                      <w:sz w:val="18"/>
                      <w:szCs w:val="18"/>
                      <w:highlight w:val="none"/>
                      <w:lang w:val="en-US" w:eastAsia="zh-CN"/>
                    </w:rPr>
                    <w:t>0.05%</w:t>
                  </w:r>
                  <w:r>
                    <w:rPr>
                      <w:rFonts w:hint="eastAsia" w:cs="Times New Roman"/>
                      <w:sz w:val="18"/>
                      <w:szCs w:val="18"/>
                      <w:highlight w:val="none"/>
                      <w:lang w:eastAsia="zh-CN"/>
                    </w:rPr>
                    <w:t>）</w:t>
                  </w:r>
                </w:p>
              </w:tc>
              <w:tc>
                <w:tcPr>
                  <w:tcW w:w="251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eastAsia" w:cs="Times New Roman"/>
                      <w:sz w:val="18"/>
                      <w:szCs w:val="18"/>
                      <w:highlight w:val="none"/>
                      <w:lang w:val="en-US" w:eastAsia="zh-CN"/>
                    </w:rPr>
                  </w:pPr>
                  <w:r>
                    <w:rPr>
                      <w:rFonts w:hint="eastAsia" w:cs="Times New Roman"/>
                      <w:sz w:val="18"/>
                      <w:szCs w:val="18"/>
                      <w:highlight w:val="none"/>
                      <w:lang w:val="en-US" w:eastAsia="zh-CN"/>
                    </w:rPr>
                    <w:t>0.035（酚醛树脂胶70t）</w:t>
                  </w:r>
                </w:p>
              </w:tc>
              <w:tc>
                <w:tcPr>
                  <w:tcW w:w="12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cs="Times New Roman"/>
                      <w:sz w:val="18"/>
                      <w:szCs w:val="18"/>
                      <w:highlight w:val="none"/>
                      <w:lang w:val="en-US" w:eastAsia="zh-CN"/>
                    </w:rPr>
                  </w:pPr>
                  <w:r>
                    <w:rPr>
                      <w:rFonts w:hint="eastAsia" w:cs="Times New Roman"/>
                      <w:sz w:val="18"/>
                      <w:szCs w:val="18"/>
                      <w:highlight w:val="none"/>
                      <w:lang w:val="en-US" w:eastAsia="zh-CN"/>
                    </w:rPr>
                    <w:t>0.5</w:t>
                  </w:r>
                </w:p>
              </w:tc>
              <w:tc>
                <w:tcPr>
                  <w:tcW w:w="12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总计</w:t>
                  </w:r>
                </w:p>
              </w:tc>
              <w:tc>
                <w:tcPr>
                  <w:tcW w:w="251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25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w:t>
                  </w:r>
                </w:p>
              </w:tc>
              <w:tc>
                <w:tcPr>
                  <w:tcW w:w="12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jc w:val="center"/>
                    <w:rPr>
                      <w:rFonts w:hint="default" w:ascii="Times New Roman" w:hAnsi="Times New Roman" w:eastAsia="宋体" w:cs="Times New Roman"/>
                      <w:color w:val="000000"/>
                      <w:kern w:val="0"/>
                      <w:sz w:val="18"/>
                      <w:szCs w:val="18"/>
                      <w:highlight w:val="none"/>
                      <w:lang w:val="en-US" w:eastAsia="zh-CN"/>
                    </w:rPr>
                  </w:pPr>
                  <w:r>
                    <w:rPr>
                      <w:rFonts w:hint="default" w:ascii="Times New Roman" w:hAnsi="Times New Roman" w:cs="Times New Roman"/>
                      <w:sz w:val="18"/>
                      <w:szCs w:val="18"/>
                      <w:highlight w:val="none"/>
                    </w:rPr>
                    <w:t>0</w:t>
                  </w:r>
                  <w:r>
                    <w:rPr>
                      <w:rFonts w:hint="eastAsia" w:cs="Times New Roman"/>
                      <w:sz w:val="18"/>
                      <w:szCs w:val="18"/>
                      <w:highlight w:val="none"/>
                      <w:lang w:val="en-US" w:eastAsia="zh-CN"/>
                    </w:rPr>
                    <w:t>.4145</w:t>
                  </w:r>
                </w:p>
              </w:tc>
            </w:tr>
          </w:tbl>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由上表可知，本项目建成后其风险物质储存量均小于临界量，总Q值为0.</w:t>
            </w:r>
            <w:r>
              <w:rPr>
                <w:rFonts w:hint="eastAsia" w:cs="Times New Roman"/>
                <w:szCs w:val="21"/>
                <w:lang w:val="en-US" w:eastAsia="zh-CN"/>
              </w:rPr>
              <w:t>4145</w:t>
            </w:r>
            <w:r>
              <w:rPr>
                <w:rFonts w:hint="default" w:ascii="Times New Roman" w:hAnsi="Times New Roman" w:cs="Times New Roman"/>
                <w:szCs w:val="21"/>
              </w:rPr>
              <w:t>＜1，风险评价等级为简单分析。</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（2）风险分析及可能影响途径</w:t>
            </w:r>
          </w:p>
          <w:p>
            <w:pPr>
              <w:spacing w:line="360" w:lineRule="auto"/>
              <w:ind w:firstLine="480"/>
              <w:rPr>
                <w:rFonts w:hint="default" w:ascii="Times New Roman" w:hAnsi="Times New Roman" w:cs="Times New Roman"/>
              </w:rPr>
            </w:pPr>
            <w:r>
              <w:rPr>
                <w:rFonts w:hint="default" w:ascii="Times New Roman" w:hAnsi="Times New Roman" w:cs="Times New Roman"/>
              </w:rPr>
              <w:t>根据同类型项目类比调查，结合拟建项目建成后存在的风险隐患进行源项分析，主要的风险存在于以下几个方面：</w:t>
            </w:r>
          </w:p>
          <w:p>
            <w:pPr>
              <w:spacing w:line="360" w:lineRule="auto"/>
              <w:ind w:firstLine="480"/>
              <w:rPr>
                <w:rFonts w:hint="default" w:ascii="Times New Roman" w:hAnsi="Times New Roman" w:cs="Times New Roman"/>
              </w:rPr>
            </w:pPr>
            <w:r>
              <w:rPr>
                <w:rFonts w:hint="default" w:ascii="Times New Roman" w:hAnsi="Times New Roman" w:cs="Times New Roman"/>
              </w:rPr>
              <w:t>1、火灾爆炸</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拟建项目使用的易燃物质有天然气（主要成分为甲烷）</w:t>
            </w:r>
            <w:r>
              <w:rPr>
                <w:rFonts w:hint="eastAsia" w:cs="Times New Roman"/>
                <w:szCs w:val="21"/>
                <w:lang w:eastAsia="zh-CN"/>
              </w:rPr>
              <w:t>，</w:t>
            </w:r>
            <w:r>
              <w:rPr>
                <w:rFonts w:hint="default" w:ascii="Times New Roman" w:hAnsi="Times New Roman" w:cs="Times New Roman"/>
                <w:szCs w:val="21"/>
              </w:rPr>
              <w:t>运输和贮存过程中如发生泄漏事故，浓度达到一定的限值或遇高温、明火等，有发生火灾或爆炸事故的风险，产生的CO、烟尘和携带少量未燃尽的物料，对环境空气造成一定的影响其产生的消防废水进入到外环境，会影响地表水和地下水环境；产生的消防废水进入到外环境，影响地表和地下水环境。</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2、泄漏</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项目</w:t>
            </w:r>
            <w:r>
              <w:rPr>
                <w:rFonts w:hint="eastAsia" w:cs="Times New Roman"/>
                <w:szCs w:val="21"/>
                <w:lang w:eastAsia="zh-CN"/>
              </w:rPr>
              <w:t>酚醛树脂胶</w:t>
            </w:r>
            <w:r>
              <w:rPr>
                <w:rFonts w:hint="default" w:ascii="Times New Roman" w:hAnsi="Times New Roman" w:cs="Times New Roman"/>
                <w:szCs w:val="21"/>
              </w:rPr>
              <w:t>等物质发生泄漏，若是未来得及收集，会对地下水和土壤造成污染，泄漏过程中物料中的溶剂会部分挥发产生挥发性气体，造成大气污染。其他车间辅材库中的油类物质发生泄漏，若未及时收集，会对地下水和土壤造成污染。</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泄漏事故发生在贮存区及生产区设备、管道等，主要造成厂区局部污染。一般来说液态污染物易于控制，可采取地面防渗处理及设置事故水导排系统，使泄漏物料经封闭的管道进入车间集液池，收集后桶装作为危废处置，可使污染事故得到控制。但一些易挥发的液态污染物等将迅速挥发进入大气环境中造成污染。气态污染物则不容易控制，一旦发生泄漏则迅速进入大气环境中造成污染、碰到火花，雷电等，甚至引发爆炸、火灾等。</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2、风险防范措施</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（1）大气环境风险防范措施</w:t>
            </w:r>
          </w:p>
          <w:p>
            <w:pPr>
              <w:spacing w:line="360" w:lineRule="auto"/>
              <w:ind w:firstLine="480"/>
              <w:rPr>
                <w:rFonts w:hint="eastAsia" w:ascii="Times New Roman" w:hAnsi="Times New Roman" w:eastAsia="宋体" w:cs="Times New Roman"/>
                <w:lang w:eastAsia="zh-CN"/>
              </w:rPr>
            </w:pPr>
            <w:r>
              <w:rPr>
                <w:rFonts w:hint="default" w:ascii="Times New Roman" w:hAnsi="Times New Roman" w:cs="Times New Roman"/>
              </w:rPr>
              <w:t>加强职工安全意识教育和岗位技术培训，制定严格的操作规程，制定安全巡视制度，定期对各类管道及各类阀门、储罐进行检测、检修，定期对储存、输送环节的管道、阀门进行检修、维护和保养，避免发生泄漏事故。管道设置紧急切断阀门，对管道泄漏进行实时监测，发生泄漏时立即切断阀门，设置可燃气体检测报警器。厂区内设置风向表示，在发生事故时按照风向指标反风向撤离疏散</w:t>
            </w:r>
            <w:r>
              <w:rPr>
                <w:rFonts w:hint="eastAsia" w:cs="Times New Roman"/>
                <w:lang w:eastAsia="zh-CN"/>
              </w:rPr>
              <w:t>。</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（2）地表水环境风险防范措施</w:t>
            </w:r>
          </w:p>
          <w:p>
            <w:pPr>
              <w:spacing w:line="360" w:lineRule="auto"/>
              <w:ind w:firstLine="480"/>
              <w:rPr>
                <w:rFonts w:hint="default" w:ascii="Times New Roman" w:hAnsi="Times New Roman" w:cs="Times New Roman"/>
              </w:rPr>
            </w:pPr>
            <w:r>
              <w:rPr>
                <w:rFonts w:hint="default" w:ascii="Times New Roman" w:hAnsi="Times New Roman" w:cs="Times New Roman"/>
              </w:rPr>
              <w:t>根据《建设项目环境风险评价技术导则》（HJ169-2018）、《关于进一步加强环境影响评价管理防范环境风险的通知》(2012年7月3日，环发[2012]77号)和《关于切实加强风险防范严格环境影响评价管理的通知》（2012年8月7日，环发[2012]98号）的规定，对新、改、扩建设项目的环境风险源识别、环境风险预测、选址及敏感目标、防范措施等如实做出评价，提出科学可行的预警监测措施、应急处置措施和应急预案。</w:t>
            </w:r>
          </w:p>
          <w:p>
            <w:pPr>
              <w:spacing w:line="360" w:lineRule="auto"/>
              <w:ind w:firstLine="480"/>
              <w:rPr>
                <w:rFonts w:hint="default" w:ascii="Times New Roman" w:hAnsi="Times New Roman" w:cs="Times New Roman"/>
              </w:rPr>
            </w:pPr>
            <w:r>
              <w:rPr>
                <w:rFonts w:hint="default" w:ascii="Times New Roman" w:hAnsi="Times New Roman" w:cs="Times New Roman"/>
              </w:rPr>
              <w:t>为防止拟建项目在生产过程中发生风险事故时对周围环境产生影响，其环境风险应设立三级应急防控体系，并按照相关要求编制突发环境应急预案，并定期进行演练。</w:t>
            </w:r>
          </w:p>
          <w:p>
            <w:pPr>
              <w:spacing w:line="360" w:lineRule="auto"/>
              <w:ind w:firstLine="480"/>
              <w:rPr>
                <w:rFonts w:hint="default" w:ascii="Times New Roman" w:hAnsi="Times New Roman" w:cs="Times New Roman"/>
              </w:rPr>
            </w:pPr>
            <w:r>
              <w:rPr>
                <w:rFonts w:hint="default" w:ascii="Times New Roman" w:hAnsi="Times New Roman" w:cs="Times New Roman"/>
              </w:rPr>
              <w:t>通过上述措施，可以保证在风险、事故状态下对周围的环境影响较小。</w:t>
            </w:r>
          </w:p>
          <w:p>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（3）地下水环境风险防范措施</w:t>
            </w:r>
          </w:p>
          <w:p>
            <w:pPr>
              <w:spacing w:line="360" w:lineRule="auto"/>
              <w:ind w:firstLine="480"/>
              <w:rPr>
                <w:rFonts w:hint="default" w:ascii="Times New Roman" w:hAnsi="Times New Roman" w:cs="Times New Roman"/>
              </w:rPr>
            </w:pPr>
            <w:r>
              <w:rPr>
                <w:rFonts w:hint="default" w:ascii="Times New Roman" w:hAnsi="Times New Roman" w:cs="Times New Roman"/>
              </w:rPr>
              <w:t>针对项目可能发生的地下水环境风险事故，防范措施按照“源头控制、分区防治、风险监控、应急响应”相结合的原则，从风险事故污染物的产生、入渗、扩散、应急响应全阶段进行控制。</w:t>
            </w:r>
          </w:p>
          <w:p>
            <w:pPr>
              <w:spacing w:line="360" w:lineRule="auto"/>
              <w:ind w:firstLine="482"/>
              <w:rPr>
                <w:rFonts w:hint="default" w:ascii="Times New Roman" w:hAnsi="Times New Roman" w:cs="Times New Roman"/>
              </w:rPr>
            </w:pPr>
            <w:r>
              <w:rPr>
                <w:rFonts w:hint="default" w:ascii="Times New Roman" w:hAnsi="Times New Roman" w:cs="Times New Roman"/>
                <w:b/>
              </w:rPr>
              <w:t>源头控制：</w:t>
            </w:r>
            <w:r>
              <w:rPr>
                <w:rFonts w:hint="default" w:ascii="Times New Roman" w:hAnsi="Times New Roman" w:cs="Times New Roman"/>
              </w:rPr>
              <w:t>主要包括在工艺、管道、设备、污水产生及储存构筑物采取相应措施，防止和降低污染物跑、冒、滴、漏，将污染物泄漏的环境风险事故降到最低程度；</w:t>
            </w:r>
          </w:p>
          <w:p>
            <w:pPr>
              <w:spacing w:line="360" w:lineRule="auto"/>
              <w:ind w:firstLine="482"/>
              <w:rPr>
                <w:rFonts w:hint="default" w:ascii="Times New Roman" w:hAnsi="Times New Roman" w:cs="Times New Roman"/>
              </w:rPr>
            </w:pPr>
            <w:r>
              <w:rPr>
                <w:rFonts w:hint="default" w:ascii="Times New Roman" w:hAnsi="Times New Roman" w:cs="Times New Roman"/>
                <w:b/>
              </w:rPr>
              <w:t>分区防治：</w:t>
            </w:r>
            <w:r>
              <w:rPr>
                <w:rFonts w:hint="default" w:ascii="Times New Roman" w:hAnsi="Times New Roman" w:cs="Times New Roman"/>
              </w:rPr>
              <w:t>结合建设场区生产设备、管道、污染物储存等布局，实行重点污染防治区、一般污染防治区和非污染区防渗措施有区别的防渗原则。主要包括生产区地面和设备的防渗措施和泄漏、渗漏污染物收集措施，分区防渗措施具体见表4-1</w:t>
            </w:r>
            <w:r>
              <w:rPr>
                <w:rFonts w:hint="eastAsia" w:cs="Times New Roman"/>
                <w:lang w:val="en-US" w:eastAsia="zh-CN"/>
              </w:rPr>
              <w:t>8</w:t>
            </w:r>
            <w:r>
              <w:rPr>
                <w:rFonts w:hint="default" w:ascii="Times New Roman" w:hAnsi="Times New Roman" w:cs="Times New Roman"/>
              </w:rPr>
              <w:t>；</w:t>
            </w:r>
          </w:p>
          <w:p>
            <w:pPr>
              <w:spacing w:line="360" w:lineRule="auto"/>
              <w:ind w:firstLine="482"/>
              <w:rPr>
                <w:rFonts w:hint="default" w:ascii="Times New Roman" w:hAnsi="Times New Roman" w:cs="Times New Roman"/>
              </w:rPr>
            </w:pPr>
            <w:r>
              <w:rPr>
                <w:rFonts w:hint="default" w:ascii="Times New Roman" w:hAnsi="Times New Roman" w:cs="Times New Roman"/>
                <w:b/>
              </w:rPr>
              <w:t>风险监控体系：</w:t>
            </w:r>
            <w:r>
              <w:rPr>
                <w:rFonts w:hint="default" w:ascii="Times New Roman" w:hAnsi="Times New Roman" w:cs="Times New Roman"/>
              </w:rPr>
              <w:t>实施覆盖生产区的地下水污染监控系统，包括建立完善的监测制度、配备先进的检测仪器和设备、科学、合理设置地下水污染监控井，及时发现污染事故并及时控制；</w:t>
            </w:r>
          </w:p>
          <w:p>
            <w:pPr>
              <w:spacing w:line="360" w:lineRule="auto"/>
              <w:ind w:firstLine="482"/>
              <w:rPr>
                <w:rFonts w:hint="default" w:ascii="Times New Roman" w:hAnsi="Times New Roman" w:cs="Times New Roman"/>
              </w:rPr>
            </w:pPr>
            <w:r>
              <w:rPr>
                <w:rFonts w:hint="default" w:ascii="Times New Roman" w:hAnsi="Times New Roman" w:cs="Times New Roman"/>
                <w:b/>
              </w:rPr>
              <w:t>应急响应及事故减缓措施：</w:t>
            </w:r>
            <w:r>
              <w:rPr>
                <w:rFonts w:hint="default" w:ascii="Times New Roman" w:hAnsi="Times New Roman" w:cs="Times New Roman"/>
              </w:rPr>
              <w:t>公司制定地下水监测管理措施，并制定地下水应急预案， 当发生地下水异常情况时，按照定制的地下水应急预案采取应急措施。组织专业队伍对事故现场进行调查、监测，查找环境事故发生地点、分析事故原因，尽量将紧急事件局部化， 如可能应予以消除，采取包括切断生产装置或设施等措施，防止事故的扩散、蔓延及连锁反应，尽量缩小地下水污染事故对人和财产的影响。项目区水力梯度平缓，当发生污染事故时，污染物的运移速度较慢，污染范围较小，因此建议采取如下污染治理措施：</w:t>
            </w:r>
          </w:p>
          <w:p>
            <w:pPr>
              <w:pStyle w:val="995"/>
              <w:spacing w:line="360" w:lineRule="auto"/>
              <w:ind w:left="420" w:firstLine="0" w:firstLineChars="0"/>
              <w:rPr>
                <w:rFonts w:hint="default" w:ascii="Times New Roman" w:hAnsi="Times New Roman" w:cs="Times New Roman"/>
              </w:rPr>
            </w:pPr>
            <w:r>
              <w:rPr>
                <w:rFonts w:hint="default" w:ascii="Times New Roman" w:hAnsi="Times New Roman" w:cs="Times New Roman"/>
              </w:rPr>
              <w:t>1）探明地下水污染深度、范围和污染程度。</w:t>
            </w:r>
          </w:p>
          <w:p>
            <w:pPr>
              <w:pStyle w:val="995"/>
              <w:spacing w:line="360" w:lineRule="auto"/>
              <w:ind w:left="420" w:firstLine="0" w:firstLineChars="0"/>
              <w:rPr>
                <w:rFonts w:hint="default" w:ascii="Times New Roman" w:hAnsi="Times New Roman" w:cs="Times New Roman"/>
              </w:rPr>
            </w:pPr>
            <w:r>
              <w:rPr>
                <w:rFonts w:hint="default" w:ascii="Times New Roman" w:hAnsi="Times New Roman" w:cs="Times New Roman"/>
              </w:rPr>
              <w:t>2）根据地下水污染程度，随时化验各井水质，根据水质情况实时调整。</w:t>
            </w:r>
          </w:p>
          <w:p>
            <w:pPr>
              <w:pStyle w:val="995"/>
              <w:spacing w:line="360" w:lineRule="auto"/>
              <w:ind w:left="420" w:firstLine="0" w:firstLineChars="0"/>
              <w:rPr>
                <w:rFonts w:hint="default" w:ascii="Times New Roman" w:hAnsi="Times New Roman" w:cs="Times New Roman"/>
              </w:rPr>
            </w:pPr>
            <w:r>
              <w:rPr>
                <w:rFonts w:hint="default" w:ascii="Times New Roman" w:hAnsi="Times New Roman" w:cs="Times New Roman"/>
              </w:rPr>
              <w:t>3）将抽取的地下水进行集中收集处理，做好污水接收工作。</w:t>
            </w:r>
          </w:p>
          <w:p>
            <w:pPr>
              <w:pStyle w:val="995"/>
              <w:spacing w:line="360" w:lineRule="auto"/>
              <w:ind w:left="420" w:firstLine="0" w:firstLineChars="0"/>
              <w:rPr>
                <w:rFonts w:hint="default" w:ascii="Times New Roman" w:hAnsi="Times New Roman" w:cs="Times New Roman"/>
              </w:rPr>
            </w:pPr>
            <w:r>
              <w:rPr>
                <w:rFonts w:hint="default" w:ascii="Times New Roman" w:hAnsi="Times New Roman" w:cs="Times New Roman"/>
              </w:rPr>
              <w:t>4）当地下水中的特征污染物浓度满足地下水功能区划标准后，逐步停止井点抽水，并进行善后工作。</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在采取严格地下水风险防范措施后，项目事故状态下污染物泄漏下渗对地下水环境影响不大。</w:t>
            </w:r>
          </w:p>
          <w:p>
            <w:pPr>
              <w:spacing w:line="360" w:lineRule="auto"/>
              <w:ind w:firstLine="420" w:firstLineChars="200"/>
              <w:rPr>
                <w:rFonts w:hint="default" w:ascii="Times New Roman" w:hAnsi="Times New Roman" w:cs="Times New Roman"/>
              </w:rPr>
            </w:pPr>
            <w:r>
              <w:rPr>
                <w:rFonts w:hint="default" w:ascii="Times New Roman" w:hAnsi="Times New Roman" w:cs="Times New Roman"/>
              </w:rPr>
              <w:t>（4）总图布置及建筑风险防范措施</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1）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pPr>
              <w:tabs>
                <w:tab w:val="left" w:pos="1152"/>
                <w:tab w:val="left" w:pos="1680"/>
              </w:tabs>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2）配电室的结构、基础应根据水文地理状况进行建设，符合安全规定，预防遭大水淹没，引起电器短路事故。各车间、仓库设立消防水收集管道收集消防废水。</w:t>
            </w:r>
          </w:p>
          <w:p>
            <w:pPr>
              <w:tabs>
                <w:tab w:val="left" w:pos="1152"/>
                <w:tab w:val="left" w:pos="1680"/>
              </w:tabs>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3）生产装置的供电、供水等公用设施必须加强日常管理，确保满足正常生产和事故状态下的要求。</w:t>
            </w:r>
          </w:p>
          <w:p>
            <w:pPr>
              <w:tabs>
                <w:tab w:val="left" w:pos="1152"/>
                <w:tab w:val="left" w:pos="1680"/>
              </w:tabs>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4）企业要加强消防安全管理，开展好消防安全检查和消防安全宣传教育，加强消防安全培训，建立健全各项消防安全制度，落实消防安全责任，提高职工的消防素质，按规范配置灭火器材和消防装备。</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5）规范上述风险物质的使用及储存，严格按照安全规范要求组织生产，定期对储罐及相应的管道进行巡检，风险物质所在区域进行围堰的设置和重点防渗硬化。</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6）为预防事故的发生，应成立应急事故领导小组。</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7）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bCs/>
                <w:szCs w:val="21"/>
              </w:rPr>
              <w:t>在采取以上分析防范措施后，本项目的风险可控。</w:t>
            </w:r>
          </w:p>
          <w:p>
            <w:pPr>
              <w:spacing w:line="360" w:lineRule="auto"/>
              <w:ind w:firstLine="420" w:firstLineChars="200"/>
              <w:rPr>
                <w:rFonts w:hint="default" w:ascii="Times New Roman" w:hAnsi="Times New Roman" w:eastAsia="黑体" w:cs="Times New Roman"/>
                <w:bCs/>
                <w:szCs w:val="21"/>
              </w:rPr>
            </w:pPr>
            <w:r>
              <w:rPr>
                <w:rFonts w:hint="default" w:ascii="Times New Roman" w:hAnsi="Times New Roman" w:eastAsia="黑体" w:cs="Times New Roman"/>
                <w:bCs/>
                <w:szCs w:val="21"/>
              </w:rPr>
              <w:t>九、环保投资及三同时分析</w:t>
            </w:r>
          </w:p>
          <w:p>
            <w:pPr>
              <w:spacing w:line="360" w:lineRule="auto"/>
              <w:ind w:firstLine="420" w:firstLineChars="200"/>
              <w:rPr>
                <w:rFonts w:hint="default" w:ascii="Times New Roman" w:hAnsi="Times New Roman" w:cs="Times New Roman"/>
                <w:bCs/>
                <w:szCs w:val="21"/>
              </w:rPr>
            </w:pPr>
            <w:r>
              <w:rPr>
                <w:rFonts w:hint="default" w:ascii="Times New Roman" w:hAnsi="Times New Roman" w:cs="Times New Roman"/>
                <w:szCs w:val="21"/>
              </w:rPr>
              <w:t>本项目总投资</w:t>
            </w:r>
            <w:r>
              <w:rPr>
                <w:rFonts w:hint="eastAsia" w:cs="Times New Roman"/>
                <w:szCs w:val="21"/>
                <w:lang w:val="en-US" w:eastAsia="zh-CN"/>
              </w:rPr>
              <w:t>3000</w:t>
            </w:r>
            <w:r>
              <w:rPr>
                <w:rFonts w:hint="default" w:ascii="Times New Roman" w:hAnsi="Times New Roman" w:cs="Times New Roman"/>
                <w:szCs w:val="21"/>
              </w:rPr>
              <w:t>万元，其中环保投资</w:t>
            </w:r>
            <w:r>
              <w:rPr>
                <w:rFonts w:hint="eastAsia" w:cs="Times New Roman"/>
                <w:szCs w:val="21"/>
                <w:lang w:val="en-US" w:eastAsia="zh-CN"/>
              </w:rPr>
              <w:t>5</w:t>
            </w:r>
            <w:r>
              <w:rPr>
                <w:rFonts w:hint="default" w:ascii="Times New Roman" w:hAnsi="Times New Roman" w:cs="Times New Roman"/>
                <w:szCs w:val="21"/>
                <w:lang w:val="en-US" w:eastAsia="zh-CN"/>
              </w:rPr>
              <w:t>0</w:t>
            </w:r>
            <w:r>
              <w:rPr>
                <w:rFonts w:hint="default" w:ascii="Times New Roman" w:hAnsi="Times New Roman" w:cs="Times New Roman"/>
                <w:szCs w:val="21"/>
              </w:rPr>
              <w:t>万元，环保投资占总投资的</w:t>
            </w:r>
            <w:r>
              <w:rPr>
                <w:rFonts w:hint="eastAsia" w:cs="Times New Roman"/>
                <w:szCs w:val="21"/>
                <w:lang w:val="en-US" w:eastAsia="zh-CN"/>
              </w:rPr>
              <w:t>1.7</w:t>
            </w:r>
            <w:r>
              <w:rPr>
                <w:rFonts w:hint="default" w:ascii="Times New Roman" w:hAnsi="Times New Roman" w:cs="Times New Roman"/>
                <w:szCs w:val="21"/>
              </w:rPr>
              <w:t>%。</w:t>
            </w:r>
            <w:r>
              <w:rPr>
                <w:rFonts w:hint="default" w:ascii="Times New Roman" w:hAnsi="Times New Roman" w:cs="Times New Roman"/>
                <w:bCs/>
                <w:szCs w:val="21"/>
              </w:rPr>
              <w:t>根据项目的工程分析，污染因素分析及治理对策分析和调查，项目环保投资及三同时一览表如下：</w:t>
            </w:r>
          </w:p>
          <w:p>
            <w:pPr>
              <w:autoSpaceDE w:val="0"/>
              <w:autoSpaceDN w:val="0"/>
              <w:adjustRightInd w:val="0"/>
              <w:spacing w:line="420" w:lineRule="exact"/>
              <w:ind w:firstLine="25" w:firstLineChars="12"/>
              <w:jc w:val="center"/>
              <w:rPr>
                <w:rFonts w:hint="default" w:ascii="Times New Roman" w:hAnsi="Times New Roman" w:eastAsia="黑体" w:cs="Times New Roman"/>
                <w:szCs w:val="21"/>
              </w:rPr>
            </w:pPr>
            <w:r>
              <w:rPr>
                <w:rFonts w:hint="default" w:ascii="Times New Roman" w:hAnsi="Times New Roman" w:eastAsia="黑体" w:cs="Times New Roman"/>
                <w:szCs w:val="21"/>
              </w:rPr>
              <w:t>表4-</w:t>
            </w:r>
            <w:r>
              <w:rPr>
                <w:rFonts w:hint="eastAsia" w:eastAsia="黑体" w:cs="Times New Roman"/>
                <w:szCs w:val="21"/>
                <w:lang w:val="en-US" w:eastAsia="zh-CN"/>
              </w:rPr>
              <w:t>21</w:t>
            </w:r>
            <w:r>
              <w:rPr>
                <w:rFonts w:hint="default" w:ascii="Times New Roman" w:hAnsi="Times New Roman" w:eastAsia="黑体" w:cs="Times New Roman"/>
                <w:szCs w:val="21"/>
              </w:rPr>
              <w:t xml:space="preserve">  项目环保投资及“三同时”一览表     单位：万元</w:t>
            </w:r>
          </w:p>
          <w:tbl>
            <w:tblPr>
              <w:tblStyle w:val="85"/>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334"/>
              <w:gridCol w:w="3721"/>
              <w:gridCol w:w="1294"/>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133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项目</w:t>
                  </w:r>
                </w:p>
              </w:tc>
              <w:tc>
                <w:tcPr>
                  <w:tcW w:w="37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环保措施及验收内容</w:t>
                  </w:r>
                </w:p>
              </w:tc>
              <w:tc>
                <w:tcPr>
                  <w:tcW w:w="129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投资估算</w:t>
                  </w:r>
                </w:p>
              </w:tc>
              <w:tc>
                <w:tcPr>
                  <w:tcW w:w="122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r>
                    <w:rPr>
                      <w:rFonts w:hint="default" w:ascii="Times New Roman" w:hAnsi="Times New Roman" w:cs="Times New Roman"/>
                      <w:bCs/>
                      <w:sz w:val="18"/>
                      <w:szCs w:val="18"/>
                    </w:rPr>
                    <w:t>1</w:t>
                  </w:r>
                </w:p>
              </w:tc>
              <w:tc>
                <w:tcPr>
                  <w:tcW w:w="13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大气污染防治措施</w:t>
                  </w:r>
                </w:p>
              </w:tc>
              <w:tc>
                <w:tcPr>
                  <w:tcW w:w="372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lang w:val="en-US" w:eastAsia="zh-CN"/>
                    </w:rPr>
                  </w:pPr>
                  <w:r>
                    <w:rPr>
                      <w:rFonts w:hint="default" w:ascii="Times New Roman" w:hAnsi="Times New Roman" w:cs="Times New Roman"/>
                      <w:sz w:val="18"/>
                      <w:szCs w:val="18"/>
                      <w:highlight w:val="none"/>
                    </w:rPr>
                    <w:t>本项目</w:t>
                  </w:r>
                  <w:r>
                    <w:rPr>
                      <w:rFonts w:hint="eastAsia" w:cs="Times New Roman"/>
                      <w:sz w:val="18"/>
                      <w:szCs w:val="18"/>
                      <w:highlight w:val="none"/>
                      <w:lang w:eastAsia="zh-CN"/>
                    </w:rPr>
                    <w:t>建设</w:t>
                  </w:r>
                  <w:r>
                    <w:rPr>
                      <w:rFonts w:hint="eastAsia" w:cs="Times New Roman"/>
                      <w:sz w:val="18"/>
                      <w:szCs w:val="18"/>
                      <w:highlight w:val="none"/>
                      <w:lang w:val="en-US" w:eastAsia="zh-CN"/>
                    </w:rPr>
                    <w:t>1套两级活性炭吸附装置，配套建设集气罩、废气管道及15m排气筒</w:t>
                  </w:r>
                </w:p>
              </w:tc>
              <w:tc>
                <w:tcPr>
                  <w:tcW w:w="129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42</w:t>
                  </w:r>
                </w:p>
              </w:tc>
              <w:tc>
                <w:tcPr>
                  <w:tcW w:w="122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项目的污染治理设施与主体工程同时设计、同时施工、同时投入使用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r>
                    <w:rPr>
                      <w:rFonts w:hint="default" w:ascii="Times New Roman" w:hAnsi="Times New Roman" w:cs="Times New Roman"/>
                      <w:bCs/>
                      <w:sz w:val="18"/>
                      <w:szCs w:val="18"/>
                    </w:rPr>
                    <w:t>2</w:t>
                  </w:r>
                </w:p>
              </w:tc>
              <w:tc>
                <w:tcPr>
                  <w:tcW w:w="13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水污染物防治措施</w:t>
                  </w:r>
                </w:p>
              </w:tc>
              <w:tc>
                <w:tcPr>
                  <w:tcW w:w="37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tLeast"/>
                    <w:jc w:val="center"/>
                    <w:rPr>
                      <w:rFonts w:hint="eastAsia" w:ascii="Times New Roman" w:hAnsi="Times New Roman" w:eastAsia="宋体" w:cs="Times New Roman"/>
                      <w:bCs/>
                      <w:sz w:val="18"/>
                      <w:szCs w:val="18"/>
                      <w:lang w:eastAsia="zh-CN"/>
                    </w:rPr>
                  </w:pPr>
                  <w:r>
                    <w:rPr>
                      <w:rFonts w:hint="eastAsia" w:cs="Times New Roman"/>
                      <w:sz w:val="18"/>
                      <w:szCs w:val="16"/>
                      <w:lang w:eastAsia="zh-CN"/>
                    </w:rPr>
                    <w:t>化粪池</w:t>
                  </w:r>
                </w:p>
              </w:tc>
              <w:tc>
                <w:tcPr>
                  <w:tcW w:w="129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18"/>
                      <w:szCs w:val="18"/>
                      <w:lang w:val="en-US" w:eastAsia="zh-CN"/>
                    </w:rPr>
                  </w:pPr>
                  <w:r>
                    <w:rPr>
                      <w:rFonts w:hint="eastAsia" w:cs="Times New Roman"/>
                      <w:bCs/>
                      <w:sz w:val="18"/>
                      <w:szCs w:val="18"/>
                      <w:lang w:val="en-US" w:eastAsia="zh-CN"/>
                    </w:rPr>
                    <w:t>1</w:t>
                  </w: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r>
                    <w:rPr>
                      <w:rFonts w:hint="default" w:ascii="Times New Roman" w:hAnsi="Times New Roman" w:cs="Times New Roman"/>
                      <w:bCs/>
                      <w:sz w:val="18"/>
                      <w:szCs w:val="18"/>
                    </w:rPr>
                    <w:t>3</w:t>
                  </w:r>
                </w:p>
              </w:tc>
              <w:tc>
                <w:tcPr>
                  <w:tcW w:w="13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噪声污染防治措施</w:t>
                  </w:r>
                </w:p>
              </w:tc>
              <w:tc>
                <w:tcPr>
                  <w:tcW w:w="37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合理布置，高噪声设备采用减震、消声、隔声等降噪措施。</w:t>
                  </w:r>
                </w:p>
              </w:tc>
              <w:tc>
                <w:tcPr>
                  <w:tcW w:w="129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r>
                    <w:rPr>
                      <w:rFonts w:hint="default" w:ascii="Times New Roman" w:hAnsi="Times New Roman" w:cs="Times New Roman"/>
                      <w:bCs/>
                      <w:sz w:val="18"/>
                      <w:szCs w:val="18"/>
                    </w:rPr>
                    <w:t>5</w:t>
                  </w: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r>
                    <w:rPr>
                      <w:rFonts w:hint="default" w:ascii="Times New Roman" w:hAnsi="Times New Roman" w:cs="Times New Roman"/>
                      <w:bCs/>
                      <w:sz w:val="18"/>
                      <w:szCs w:val="18"/>
                    </w:rPr>
                    <w:t>4</w:t>
                  </w:r>
                </w:p>
              </w:tc>
              <w:tc>
                <w:tcPr>
                  <w:tcW w:w="13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固体废物处理处置措施</w:t>
                  </w:r>
                </w:p>
              </w:tc>
              <w:tc>
                <w:tcPr>
                  <w:tcW w:w="37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eastAsia" w:cs="Times New Roman"/>
                      <w:bCs/>
                      <w:sz w:val="18"/>
                      <w:szCs w:val="18"/>
                      <w:lang w:eastAsia="zh-CN"/>
                    </w:rPr>
                    <w:t>一般固废储存仓库、</w:t>
                  </w:r>
                  <w:r>
                    <w:rPr>
                      <w:rFonts w:hint="default" w:ascii="Times New Roman" w:hAnsi="Times New Roman" w:cs="Times New Roman"/>
                      <w:bCs/>
                      <w:sz w:val="18"/>
                      <w:szCs w:val="18"/>
                    </w:rPr>
                    <w:t>危险废物</w:t>
                  </w:r>
                  <w:r>
                    <w:rPr>
                      <w:rFonts w:hint="eastAsia" w:cs="Times New Roman"/>
                      <w:bCs/>
                      <w:sz w:val="18"/>
                      <w:szCs w:val="18"/>
                      <w:lang w:eastAsia="zh-CN"/>
                    </w:rPr>
                    <w:t>间</w:t>
                  </w:r>
                  <w:r>
                    <w:rPr>
                      <w:rFonts w:hint="default" w:ascii="Times New Roman" w:hAnsi="Times New Roman" w:cs="Times New Roman"/>
                      <w:bCs/>
                      <w:sz w:val="18"/>
                      <w:szCs w:val="18"/>
                    </w:rPr>
                    <w:t>。</w:t>
                  </w:r>
                </w:p>
              </w:tc>
              <w:tc>
                <w:tcPr>
                  <w:tcW w:w="129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eastAsia="宋体" w:cs="Times New Roman"/>
                      <w:bCs/>
                      <w:sz w:val="18"/>
                      <w:szCs w:val="18"/>
                      <w:lang w:eastAsia="zh-CN"/>
                    </w:rPr>
                  </w:pPr>
                  <w:r>
                    <w:rPr>
                      <w:rFonts w:hint="eastAsia" w:cs="Times New Roman"/>
                      <w:bCs/>
                      <w:sz w:val="18"/>
                      <w:szCs w:val="18"/>
                      <w:lang w:val="en-US" w:eastAsia="zh-CN"/>
                    </w:rPr>
                    <w:t>2</w:t>
                  </w: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72"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r>
                    <w:rPr>
                      <w:rFonts w:hint="default" w:ascii="Times New Roman" w:hAnsi="Times New Roman" w:cs="Times New Roman"/>
                      <w:bCs/>
                      <w:sz w:val="18"/>
                      <w:szCs w:val="18"/>
                    </w:rPr>
                    <w:t>5</w:t>
                  </w:r>
                </w:p>
              </w:tc>
              <w:tc>
                <w:tcPr>
                  <w:tcW w:w="133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地下水、土壤防治措施</w:t>
                  </w:r>
                </w:p>
              </w:tc>
              <w:tc>
                <w:tcPr>
                  <w:tcW w:w="372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r>
                    <w:rPr>
                      <w:rStyle w:val="99"/>
                      <w:rFonts w:hint="default" w:ascii="Times New Roman" w:hAnsi="Times New Roman" w:cs="Times New Roman"/>
                      <w:kern w:val="24"/>
                      <w:sz w:val="18"/>
                      <w:szCs w:val="21"/>
                    </w:rPr>
                    <w:t>厂房内现有</w:t>
                  </w:r>
                  <w:r>
                    <w:rPr>
                      <w:rFonts w:hint="default" w:ascii="Times New Roman" w:hAnsi="Times New Roman" w:cs="Times New Roman"/>
                      <w:bCs/>
                      <w:sz w:val="18"/>
                      <w:szCs w:val="18"/>
                    </w:rPr>
                    <w:t>地面硬化+防渗处理。</w:t>
                  </w:r>
                </w:p>
              </w:tc>
              <w:tc>
                <w:tcPr>
                  <w:tcW w:w="1294"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eastAsia" w:ascii="Times New Roman" w:hAnsi="Times New Roman" w:eastAsia="宋体" w:cs="Times New Roman"/>
                      <w:bCs/>
                      <w:sz w:val="18"/>
                      <w:szCs w:val="18"/>
                      <w:lang w:eastAsia="zh-CN"/>
                    </w:rPr>
                  </w:pPr>
                  <w:r>
                    <w:rPr>
                      <w:rFonts w:hint="eastAsia" w:cs="Times New Roman"/>
                      <w:bCs/>
                      <w:sz w:val="18"/>
                      <w:szCs w:val="18"/>
                      <w:lang w:val="en-US" w:eastAsia="zh-CN"/>
                    </w:rPr>
                    <w:t>0</w:t>
                  </w: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default"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27" w:type="dxa"/>
                  <w:gridSpan w:val="3"/>
                  <w:tcBorders>
                    <w:top w:val="single" w:color="auto" w:sz="4" w:space="0"/>
                    <w:left w:val="single" w:color="auto" w:sz="4" w:space="0"/>
                    <w:bottom w:val="single" w:color="auto" w:sz="4" w:space="0"/>
                    <w:right w:val="single" w:color="auto" w:sz="4" w:space="0"/>
                  </w:tcBorders>
                  <w:vAlign w:val="center"/>
                </w:tcPr>
                <w:p>
                  <w:pPr>
                    <w:pStyle w:val="845"/>
                    <w:tabs>
                      <w:tab w:val="clear" w:pos="400"/>
                    </w:tabs>
                    <w:spacing w:line="300" w:lineRule="exact"/>
                    <w:ind w:firstLine="0"/>
                    <w:jc w:val="center"/>
                    <w:rPr>
                      <w:rFonts w:hint="default" w:ascii="Times New Roman" w:hAnsi="Times New Roman" w:cs="Times New Roman"/>
                      <w:bCs/>
                      <w:sz w:val="18"/>
                      <w:szCs w:val="18"/>
                    </w:rPr>
                  </w:pPr>
                  <w:r>
                    <w:rPr>
                      <w:rFonts w:hint="default" w:ascii="Times New Roman" w:hAnsi="Times New Roman" w:cs="Times New Roman"/>
                      <w:bCs/>
                      <w:sz w:val="18"/>
                      <w:szCs w:val="18"/>
                    </w:rPr>
                    <w:t>合计</w:t>
                  </w:r>
                </w:p>
              </w:tc>
              <w:tc>
                <w:tcPr>
                  <w:tcW w:w="1294" w:type="dxa"/>
                  <w:tcBorders>
                    <w:top w:val="single" w:color="auto" w:sz="4" w:space="0"/>
                    <w:left w:val="single" w:color="auto" w:sz="4" w:space="0"/>
                    <w:bottom w:val="single" w:color="auto" w:sz="4" w:space="0"/>
                    <w:right w:val="single" w:color="auto" w:sz="4" w:space="0"/>
                  </w:tcBorders>
                  <w:vAlign w:val="center"/>
                </w:tcPr>
                <w:p>
                  <w:pPr>
                    <w:pStyle w:val="845"/>
                    <w:tabs>
                      <w:tab w:val="clear" w:pos="400"/>
                    </w:tabs>
                    <w:spacing w:line="300" w:lineRule="exact"/>
                    <w:ind w:firstLine="0"/>
                    <w:jc w:val="center"/>
                    <w:rPr>
                      <w:rFonts w:hint="default" w:ascii="Times New Roman" w:hAnsi="Times New Roman" w:cs="Times New Roman"/>
                      <w:bCs/>
                      <w:sz w:val="18"/>
                      <w:szCs w:val="18"/>
                      <w:lang w:val="en-US"/>
                    </w:rPr>
                  </w:pPr>
                  <w:r>
                    <w:rPr>
                      <w:rFonts w:hint="eastAsia" w:cs="Times New Roman"/>
                      <w:bCs/>
                      <w:sz w:val="18"/>
                      <w:szCs w:val="18"/>
                      <w:lang w:val="en-US" w:eastAsia="zh-CN"/>
                    </w:rPr>
                    <w:t>50</w:t>
                  </w:r>
                </w:p>
              </w:tc>
              <w:tc>
                <w:tcPr>
                  <w:tcW w:w="122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bCs/>
                      <w:sz w:val="18"/>
                      <w:szCs w:val="18"/>
                    </w:rPr>
                  </w:pPr>
                </w:p>
              </w:tc>
            </w:tr>
          </w:tbl>
          <w:p>
            <w:pPr>
              <w:pStyle w:val="2"/>
              <w:rPr>
                <w:rFonts w:hint="default" w:ascii="Times New Roman" w:hAnsi="Times New Roman" w:cs="Times New Roman"/>
              </w:rPr>
            </w:pPr>
          </w:p>
        </w:tc>
      </w:tr>
    </w:tbl>
    <w:p>
      <w:pPr>
        <w:pStyle w:val="80"/>
        <w:spacing w:before="0" w:beforeAutospacing="0" w:after="0" w:afterAutospacing="0" w:line="420" w:lineRule="exact"/>
        <w:jc w:val="center"/>
        <w:outlineLvl w:val="0"/>
        <w:rPr>
          <w:rFonts w:ascii="黑体" w:hAnsi="黑体" w:eastAsia="黑体"/>
          <w:b/>
          <w:bCs/>
          <w:snapToGrid w:val="0"/>
          <w:sz w:val="30"/>
          <w:szCs w:val="30"/>
        </w:rPr>
      </w:pPr>
      <w:r>
        <w:rPr>
          <w:snapToGrid w:val="0"/>
          <w:sz w:val="30"/>
          <w:szCs w:val="30"/>
        </w:rPr>
        <w:br w:type="page"/>
      </w:r>
      <w:r>
        <w:rPr>
          <w:rFonts w:hint="eastAsia" w:ascii="黑体" w:hAnsi="黑体" w:eastAsia="黑体"/>
          <w:b/>
          <w:bCs/>
          <w:snapToGrid w:val="0"/>
          <w:sz w:val="30"/>
          <w:szCs w:val="30"/>
        </w:rPr>
        <w:t>五、</w:t>
      </w:r>
      <w:bookmarkStart w:id="9" w:name="_Hlk54167917"/>
      <w:r>
        <w:rPr>
          <w:rFonts w:hint="eastAsia" w:ascii="黑体" w:hAnsi="黑体" w:eastAsia="黑体"/>
          <w:b/>
          <w:bCs/>
          <w:snapToGrid w:val="0"/>
          <w:sz w:val="30"/>
          <w:szCs w:val="30"/>
        </w:rPr>
        <w:t>环境保护措施监督检查清单</w:t>
      </w:r>
      <w:bookmarkEnd w:id="9"/>
    </w:p>
    <w:tbl>
      <w:tblPr>
        <w:tblStyle w:val="8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286"/>
        <w:gridCol w:w="1820"/>
        <w:gridCol w:w="1908"/>
        <w:gridCol w:w="23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tcBorders>
              <w:top w:val="single" w:color="auto" w:sz="8" w:space="0"/>
              <w:tl2br w:val="single" w:color="auto" w:sz="4" w:space="0"/>
            </w:tcBorders>
          </w:tcPr>
          <w:p>
            <w:pPr>
              <w:adjustRightInd w:val="0"/>
              <w:snapToGrid w:val="0"/>
              <w:spacing w:line="240" w:lineRule="exact"/>
              <w:ind w:firstLine="721"/>
              <w:rPr>
                <w:rFonts w:hint="default" w:ascii="Times New Roman" w:hAnsi="Times New Roman" w:cs="Times New Roman"/>
                <w:b/>
                <w:bCs/>
                <w:szCs w:val="21"/>
              </w:rPr>
            </w:pPr>
            <w:r>
              <w:rPr>
                <w:rFonts w:hint="default" w:ascii="Times New Roman" w:hAnsi="Times New Roman" w:cs="Times New Roman"/>
                <w:b/>
                <w:bCs/>
                <w:szCs w:val="21"/>
              </w:rPr>
              <w:t>内容</w:t>
            </w:r>
          </w:p>
          <w:p>
            <w:pPr>
              <w:adjustRightInd w:val="0"/>
              <w:snapToGrid w:val="0"/>
              <w:spacing w:line="240" w:lineRule="exact"/>
              <w:rPr>
                <w:rFonts w:hint="default" w:ascii="Times New Roman" w:hAnsi="Times New Roman" w:cs="Times New Roman"/>
                <w:b/>
                <w:bCs/>
                <w:szCs w:val="21"/>
              </w:rPr>
            </w:pPr>
            <w:r>
              <w:rPr>
                <w:rFonts w:hint="default" w:ascii="Times New Roman" w:hAnsi="Times New Roman" w:cs="Times New Roman"/>
                <w:b/>
                <w:bCs/>
                <w:szCs w:val="21"/>
              </w:rPr>
              <w:t>要素</w:t>
            </w:r>
          </w:p>
        </w:tc>
        <w:tc>
          <w:tcPr>
            <w:tcW w:w="1286" w:type="dxa"/>
            <w:tcBorders>
              <w:top w:val="single" w:color="auto" w:sz="8" w:space="0"/>
            </w:tcBorders>
            <w:vAlign w:val="center"/>
          </w:tcPr>
          <w:p>
            <w:pPr>
              <w:adjustRightInd w:val="0"/>
              <w:snapToGrid w:val="0"/>
              <w:spacing w:line="240" w:lineRule="exact"/>
              <w:jc w:val="center"/>
              <w:rPr>
                <w:rFonts w:hint="default" w:ascii="Times New Roman" w:hAnsi="Times New Roman" w:cs="Times New Roman"/>
                <w:b/>
                <w:bCs/>
                <w:szCs w:val="21"/>
              </w:rPr>
            </w:pPr>
            <w:r>
              <w:rPr>
                <w:rFonts w:hint="default" w:ascii="Times New Roman" w:hAnsi="Times New Roman" w:cs="Times New Roman"/>
                <w:b/>
                <w:bCs/>
                <w:szCs w:val="21"/>
              </w:rPr>
              <w:t>排放口(编号、名称)/污染源</w:t>
            </w:r>
          </w:p>
        </w:tc>
        <w:tc>
          <w:tcPr>
            <w:tcW w:w="1820" w:type="dxa"/>
            <w:tcBorders>
              <w:top w:val="single" w:color="auto" w:sz="8" w:space="0"/>
            </w:tcBorders>
            <w:vAlign w:val="center"/>
          </w:tcPr>
          <w:p>
            <w:pPr>
              <w:adjustRightInd w:val="0"/>
              <w:snapToGrid w:val="0"/>
              <w:spacing w:line="240" w:lineRule="exact"/>
              <w:jc w:val="center"/>
              <w:rPr>
                <w:rFonts w:hint="default" w:ascii="Times New Roman" w:hAnsi="Times New Roman" w:cs="Times New Roman"/>
                <w:b/>
                <w:bCs/>
                <w:szCs w:val="21"/>
              </w:rPr>
            </w:pPr>
            <w:r>
              <w:rPr>
                <w:rFonts w:hint="default" w:ascii="Times New Roman" w:hAnsi="Times New Roman" w:cs="Times New Roman"/>
                <w:b/>
                <w:bCs/>
                <w:szCs w:val="21"/>
              </w:rPr>
              <w:t>污染物项目</w:t>
            </w:r>
          </w:p>
        </w:tc>
        <w:tc>
          <w:tcPr>
            <w:tcW w:w="1908" w:type="dxa"/>
            <w:tcBorders>
              <w:top w:val="single" w:color="auto" w:sz="8" w:space="0"/>
            </w:tcBorders>
            <w:vAlign w:val="center"/>
          </w:tcPr>
          <w:p>
            <w:pPr>
              <w:adjustRightInd w:val="0"/>
              <w:snapToGrid w:val="0"/>
              <w:spacing w:line="240" w:lineRule="exact"/>
              <w:jc w:val="center"/>
              <w:rPr>
                <w:rFonts w:hint="default" w:ascii="Times New Roman" w:hAnsi="Times New Roman" w:cs="Times New Roman"/>
                <w:b/>
                <w:bCs/>
                <w:szCs w:val="21"/>
              </w:rPr>
            </w:pPr>
            <w:r>
              <w:rPr>
                <w:rFonts w:hint="default" w:ascii="Times New Roman" w:hAnsi="Times New Roman" w:cs="Times New Roman"/>
                <w:b/>
                <w:bCs/>
                <w:szCs w:val="21"/>
              </w:rPr>
              <w:t>环境保护措施</w:t>
            </w:r>
          </w:p>
        </w:tc>
        <w:tc>
          <w:tcPr>
            <w:tcW w:w="2392" w:type="dxa"/>
            <w:tcBorders>
              <w:top w:val="single" w:color="auto" w:sz="8" w:space="0"/>
            </w:tcBorders>
            <w:vAlign w:val="center"/>
          </w:tcPr>
          <w:p>
            <w:pPr>
              <w:adjustRightInd w:val="0"/>
              <w:snapToGrid w:val="0"/>
              <w:spacing w:line="240" w:lineRule="exact"/>
              <w:jc w:val="center"/>
              <w:rPr>
                <w:rFonts w:hint="default" w:ascii="Times New Roman" w:hAnsi="Times New Roman" w:cs="Times New Roman"/>
                <w:b/>
                <w:bCs/>
                <w:szCs w:val="21"/>
              </w:rPr>
            </w:pPr>
            <w:r>
              <w:rPr>
                <w:rFonts w:hint="default" w:ascii="Times New Roman" w:hAnsi="Times New Roman" w:cs="Times New Roman"/>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396" w:type="dxa"/>
            <w:vMerge w:val="restart"/>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大气环境</w:t>
            </w:r>
          </w:p>
        </w:tc>
        <w:tc>
          <w:tcPr>
            <w:tcW w:w="1286" w:type="dxa"/>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eastAsia" w:cs="Times New Roman"/>
                <w:szCs w:val="21"/>
                <w:lang w:val="en-US" w:eastAsia="zh-CN"/>
              </w:rPr>
              <w:t>1#排气筒</w:t>
            </w:r>
          </w:p>
        </w:tc>
        <w:tc>
          <w:tcPr>
            <w:tcW w:w="1820" w:type="dxa"/>
            <w:vAlign w:val="center"/>
          </w:tcPr>
          <w:p>
            <w:pPr>
              <w:adjustRightInd w:val="0"/>
              <w:snapToGrid w:val="0"/>
              <w:spacing w:line="240" w:lineRule="exact"/>
              <w:jc w:val="center"/>
              <w:rPr>
                <w:rFonts w:hint="default" w:ascii="Times New Roman" w:hAnsi="Times New Roman" w:cs="Times New Roman"/>
                <w:szCs w:val="21"/>
              </w:rPr>
            </w:pPr>
            <w:r>
              <w:rPr>
                <w:rFonts w:hint="eastAsia" w:cs="Times New Roman"/>
                <w:szCs w:val="21"/>
                <w:lang w:val="en-US" w:eastAsia="zh-CN"/>
              </w:rPr>
              <w:t>苯酚、甲醛、VOCs</w:t>
            </w:r>
          </w:p>
        </w:tc>
        <w:tc>
          <w:tcPr>
            <w:tcW w:w="1908" w:type="dxa"/>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eastAsia" w:cs="Times New Roman"/>
                <w:szCs w:val="21"/>
                <w:lang w:eastAsia="zh-CN"/>
              </w:rPr>
              <w:t>两级活性炭吸附，</w:t>
            </w:r>
            <w:r>
              <w:rPr>
                <w:rFonts w:hint="eastAsia" w:cs="Times New Roman"/>
                <w:szCs w:val="21"/>
                <w:lang w:val="en-US" w:eastAsia="zh-CN"/>
              </w:rPr>
              <w:t>15m1#排气筒</w:t>
            </w:r>
          </w:p>
        </w:tc>
        <w:tc>
          <w:tcPr>
            <w:tcW w:w="2392" w:type="dxa"/>
            <w:vAlign w:val="center"/>
          </w:tcPr>
          <w:p>
            <w:pPr>
              <w:adjustRightInd w:val="0"/>
              <w:snapToGrid w:val="0"/>
              <w:spacing w:line="240" w:lineRule="exact"/>
              <w:jc w:val="center"/>
              <w:rPr>
                <w:rFonts w:hint="default" w:ascii="Times New Roman" w:hAnsi="Times New Roman" w:eastAsia="宋体" w:cs="Times New Roman"/>
                <w:szCs w:val="21"/>
                <w:lang w:eastAsia="zh-CN"/>
              </w:rPr>
            </w:pPr>
            <w:r>
              <w:rPr>
                <w:rFonts w:hint="default" w:ascii="Times New Roman" w:hAnsi="Times New Roman" w:cs="Times New Roman"/>
              </w:rPr>
              <w:t>有组织VOCs</w:t>
            </w:r>
            <w:r>
              <w:rPr>
                <w:rFonts w:hint="eastAsia" w:cs="Times New Roman"/>
                <w:lang w:eastAsia="zh-CN"/>
              </w:rPr>
              <w:t>、苯酚、甲醛排放满足</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）表</w:t>
            </w:r>
            <w:r>
              <w:rPr>
                <w:rFonts w:hint="eastAsia" w:cs="Times New Roman"/>
                <w:szCs w:val="21"/>
                <w:lang w:val="en-US" w:eastAsia="zh-CN"/>
              </w:rPr>
              <w:t>1、表2中</w:t>
            </w:r>
            <w:r>
              <w:rPr>
                <w:rFonts w:hint="default" w:ascii="Times New Roman" w:hAnsi="Times New Roman" w:cs="Times New Roman"/>
                <w:szCs w:val="21"/>
              </w:rPr>
              <w:t>排放限值</w:t>
            </w:r>
            <w:r>
              <w:rPr>
                <w:rFonts w:hint="eastAsia" w:cs="Times New Roman"/>
                <w:szCs w:val="21"/>
                <w:lang w:eastAsia="zh-CN"/>
              </w:rPr>
              <w:t>；</w:t>
            </w:r>
            <w:r>
              <w:rPr>
                <w:rFonts w:hint="eastAsia" w:cs="Times New Roman"/>
                <w:lang w:eastAsia="zh-CN"/>
              </w:rPr>
              <w:t>苯酚、甲醛有组织排放速率</w:t>
            </w:r>
            <w:r>
              <w:rPr>
                <w:rFonts w:hint="eastAsia" w:ascii="Times New Roman" w:hAnsi="Times New Roman" w:cs="Times New Roman"/>
                <w:lang w:eastAsia="zh-CN"/>
              </w:rPr>
              <w:t>满足</w:t>
            </w:r>
            <w:r>
              <w:rPr>
                <w:rFonts w:hint="default" w:ascii="Times New Roman" w:hAnsi="Times New Roman" w:cs="Times New Roman"/>
                <w:szCs w:val="21"/>
              </w:rPr>
              <w:t>《</w:t>
            </w:r>
            <w:r>
              <w:rPr>
                <w:rFonts w:hint="eastAsia" w:cs="Times New Roman"/>
                <w:szCs w:val="21"/>
                <w:lang w:eastAsia="zh-CN"/>
              </w:rPr>
              <w:t>大气污染物综合排放标准</w:t>
            </w:r>
            <w:r>
              <w:rPr>
                <w:rFonts w:hint="default" w:ascii="Times New Roman" w:hAnsi="Times New Roman" w:cs="Times New Roman"/>
                <w:szCs w:val="21"/>
              </w:rPr>
              <w:t>》（</w:t>
            </w:r>
            <w:r>
              <w:rPr>
                <w:rFonts w:hint="eastAsia" w:cs="Times New Roman"/>
                <w:szCs w:val="21"/>
                <w:lang w:val="en-US" w:eastAsia="zh-CN"/>
              </w:rPr>
              <w:t>GB16297-1996</w:t>
            </w:r>
            <w:r>
              <w:rPr>
                <w:rFonts w:hint="default" w:ascii="Times New Roman" w:hAnsi="Times New Roman" w:cs="Times New Roman"/>
                <w:szCs w:val="21"/>
              </w:rPr>
              <w:t>）表</w:t>
            </w:r>
            <w:r>
              <w:rPr>
                <w:rFonts w:hint="eastAsia" w:cs="Times New Roman"/>
                <w:szCs w:val="21"/>
                <w:lang w:val="en-US" w:eastAsia="zh-CN"/>
              </w:rPr>
              <w:t>2中酚类化合物、甲醛15m有组织</w:t>
            </w:r>
            <w:r>
              <w:rPr>
                <w:rFonts w:hint="default" w:ascii="Times New Roman" w:hAnsi="Times New Roman" w:cs="Times New Roman"/>
                <w:szCs w:val="21"/>
              </w:rPr>
              <w:t>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396"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1286" w:type="dxa"/>
            <w:vMerge w:val="restart"/>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厂界外</w:t>
            </w:r>
          </w:p>
        </w:tc>
        <w:tc>
          <w:tcPr>
            <w:tcW w:w="1820"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VOCs</w:t>
            </w:r>
          </w:p>
        </w:tc>
        <w:tc>
          <w:tcPr>
            <w:tcW w:w="1908" w:type="dxa"/>
            <w:vMerge w:val="restart"/>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车间封闭，加强收集</w:t>
            </w:r>
          </w:p>
        </w:tc>
        <w:tc>
          <w:tcPr>
            <w:tcW w:w="2392" w:type="dxa"/>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w:t>
            </w:r>
            <w:r>
              <w:rPr>
                <w:rFonts w:hint="eastAsia" w:ascii="Times New Roman" w:hAnsi="Times New Roman" w:cs="Times New Roman"/>
                <w:szCs w:val="21"/>
                <w:lang w:eastAsia="zh-CN"/>
              </w:rPr>
              <w:t>表</w:t>
            </w:r>
            <w:r>
              <w:rPr>
                <w:rFonts w:hint="eastAsia" w:ascii="Times New Roman" w:hAnsi="Times New Roman" w:cs="Times New Roman"/>
                <w:szCs w:val="21"/>
                <w:lang w:val="en-US" w:eastAsia="zh-CN"/>
              </w:rPr>
              <w:t>3排放限值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396"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1286"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1820" w:type="dxa"/>
            <w:vAlign w:val="center"/>
          </w:tcPr>
          <w:p>
            <w:pPr>
              <w:adjustRightInd w:val="0"/>
              <w:snapToGrid w:val="0"/>
              <w:spacing w:line="240" w:lineRule="exact"/>
              <w:jc w:val="center"/>
              <w:rPr>
                <w:rFonts w:hint="default" w:ascii="Times New Roman" w:hAnsi="Times New Roman" w:eastAsia="宋体" w:cs="Times New Roman"/>
                <w:szCs w:val="21"/>
                <w:lang w:eastAsia="zh-CN"/>
              </w:rPr>
            </w:pPr>
            <w:r>
              <w:rPr>
                <w:rFonts w:hint="eastAsia" w:cs="Times New Roman"/>
                <w:szCs w:val="21"/>
                <w:lang w:eastAsia="zh-CN"/>
              </w:rPr>
              <w:t>甲醛</w:t>
            </w:r>
          </w:p>
        </w:tc>
        <w:tc>
          <w:tcPr>
            <w:tcW w:w="1908"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2392"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《挥发性有机物排放标准 第</w:t>
            </w:r>
            <w:r>
              <w:rPr>
                <w:rFonts w:hint="eastAsia" w:cs="Times New Roman"/>
                <w:szCs w:val="21"/>
                <w:lang w:val="en-US" w:eastAsia="zh-CN"/>
              </w:rPr>
              <w:t>7</w:t>
            </w:r>
            <w:r>
              <w:rPr>
                <w:rFonts w:hint="default" w:ascii="Times New Roman" w:hAnsi="Times New Roman" w:cs="Times New Roman"/>
                <w:szCs w:val="21"/>
              </w:rPr>
              <w:t>部分：</w:t>
            </w:r>
            <w:r>
              <w:rPr>
                <w:rFonts w:hint="eastAsia" w:cs="Times New Roman"/>
                <w:szCs w:val="21"/>
                <w:lang w:eastAsia="zh-CN"/>
              </w:rPr>
              <w:t>其他</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w:t>
            </w:r>
            <w:r>
              <w:rPr>
                <w:rFonts w:hint="eastAsia" w:cs="Times New Roman"/>
                <w:szCs w:val="21"/>
                <w:lang w:val="en-US" w:eastAsia="zh-CN"/>
              </w:rPr>
              <w:t>表3</w:t>
            </w:r>
            <w:r>
              <w:rPr>
                <w:rFonts w:hint="default" w:ascii="Times New Roman" w:hAnsi="Times New Roman" w:cs="Times New Roman"/>
                <w:szCs w:val="21"/>
                <w:lang w:val="en-US" w:eastAsia="zh-CN"/>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396"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1286"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1820" w:type="dxa"/>
            <w:vAlign w:val="center"/>
          </w:tcPr>
          <w:p>
            <w:pPr>
              <w:adjustRightInd w:val="0"/>
              <w:snapToGrid w:val="0"/>
              <w:spacing w:line="240" w:lineRule="exact"/>
              <w:jc w:val="center"/>
              <w:rPr>
                <w:rFonts w:hint="eastAsia" w:ascii="Times New Roman" w:hAnsi="Times New Roman" w:eastAsia="宋体" w:cs="Times New Roman"/>
                <w:szCs w:val="21"/>
                <w:lang w:eastAsia="zh-CN"/>
              </w:rPr>
            </w:pPr>
            <w:r>
              <w:rPr>
                <w:rFonts w:hint="eastAsia" w:cs="Times New Roman"/>
                <w:szCs w:val="21"/>
                <w:lang w:eastAsia="zh-CN"/>
              </w:rPr>
              <w:t>苯酚</w:t>
            </w:r>
          </w:p>
        </w:tc>
        <w:tc>
          <w:tcPr>
            <w:tcW w:w="1908"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2392" w:type="dxa"/>
            <w:vAlign w:val="center"/>
          </w:tcPr>
          <w:p>
            <w:pPr>
              <w:adjustRightInd w:val="0"/>
              <w:snapToGrid w:val="0"/>
              <w:spacing w:line="240" w:lineRule="exact"/>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《大气污染物综合排放标准》（GB16297-1996）</w:t>
            </w:r>
            <w:r>
              <w:rPr>
                <w:rFonts w:hint="eastAsia" w:cs="Times New Roman"/>
                <w:szCs w:val="21"/>
                <w:lang w:eastAsia="zh-CN"/>
              </w:rPr>
              <w:t>表</w:t>
            </w:r>
            <w:r>
              <w:rPr>
                <w:rFonts w:hint="eastAsia" w:cs="Times New Roman"/>
                <w:szCs w:val="21"/>
                <w:lang w:val="en-US" w:eastAsia="zh-CN"/>
              </w:rPr>
              <w:t>2标准限值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396" w:type="dxa"/>
            <w:vMerge w:val="continue"/>
            <w:vAlign w:val="center"/>
          </w:tcPr>
          <w:p>
            <w:pPr>
              <w:adjustRightInd w:val="0"/>
              <w:snapToGrid w:val="0"/>
              <w:spacing w:line="240" w:lineRule="exact"/>
              <w:jc w:val="center"/>
              <w:rPr>
                <w:rFonts w:hint="default" w:ascii="Times New Roman" w:hAnsi="Times New Roman" w:cs="Times New Roman"/>
                <w:szCs w:val="21"/>
              </w:rPr>
            </w:pPr>
          </w:p>
        </w:tc>
        <w:tc>
          <w:tcPr>
            <w:tcW w:w="1286" w:type="dxa"/>
            <w:vAlign w:val="center"/>
          </w:tcPr>
          <w:p>
            <w:pPr>
              <w:adjustRightInd w:val="0"/>
              <w:snapToGrid w:val="0"/>
              <w:spacing w:line="24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厂区内</w:t>
            </w:r>
          </w:p>
        </w:tc>
        <w:tc>
          <w:tcPr>
            <w:tcW w:w="1820"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VOCs</w:t>
            </w:r>
          </w:p>
        </w:tc>
        <w:tc>
          <w:tcPr>
            <w:tcW w:w="1908"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车间封闭，加强收集</w:t>
            </w:r>
          </w:p>
        </w:tc>
        <w:tc>
          <w:tcPr>
            <w:tcW w:w="2392"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396"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地表水环境</w:t>
            </w:r>
          </w:p>
        </w:tc>
        <w:tc>
          <w:tcPr>
            <w:tcW w:w="1286" w:type="dxa"/>
            <w:vAlign w:val="center"/>
          </w:tcPr>
          <w:p>
            <w:pPr>
              <w:adjustRightInd w:val="0"/>
              <w:snapToGrid w:val="0"/>
              <w:spacing w:line="240" w:lineRule="exact"/>
              <w:jc w:val="center"/>
              <w:rPr>
                <w:rFonts w:hint="default" w:ascii="Times New Roman" w:hAnsi="Times New Roman" w:cs="Times New Roman"/>
                <w:szCs w:val="21"/>
                <w:lang w:eastAsia="zh-CN"/>
              </w:rPr>
            </w:pPr>
            <w:r>
              <w:rPr>
                <w:rFonts w:hint="eastAsia" w:cs="Times New Roman"/>
                <w:szCs w:val="21"/>
                <w:lang w:eastAsia="zh-CN"/>
              </w:rPr>
              <w:t>生活污水</w:t>
            </w:r>
          </w:p>
        </w:tc>
        <w:tc>
          <w:tcPr>
            <w:tcW w:w="1820" w:type="dxa"/>
            <w:vAlign w:val="center"/>
          </w:tcPr>
          <w:p>
            <w:pPr>
              <w:adjustRightInd w:val="0"/>
              <w:snapToGrid w:val="0"/>
              <w:spacing w:line="240" w:lineRule="exact"/>
              <w:jc w:val="center"/>
              <w:rPr>
                <w:rFonts w:hint="default" w:ascii="Times New Roman" w:hAnsi="Times New Roman" w:eastAsia="宋体" w:cs="Times New Roman"/>
                <w:szCs w:val="21"/>
                <w:vertAlign w:val="baseline"/>
                <w:lang w:val="en-US" w:eastAsia="zh-CN"/>
              </w:rPr>
            </w:pPr>
            <w:r>
              <w:rPr>
                <w:rFonts w:hint="eastAsia" w:cs="Times New Roman"/>
                <w:szCs w:val="21"/>
                <w:lang w:val="en-US" w:eastAsia="zh-CN"/>
              </w:rPr>
              <w:t>COD、氨氮、BOD</w:t>
            </w:r>
            <w:r>
              <w:rPr>
                <w:rFonts w:hint="eastAsia" w:cs="Times New Roman"/>
                <w:szCs w:val="21"/>
                <w:vertAlign w:val="subscript"/>
                <w:lang w:val="en-US" w:eastAsia="zh-CN"/>
              </w:rPr>
              <w:t>5</w:t>
            </w:r>
            <w:r>
              <w:rPr>
                <w:rFonts w:hint="eastAsia" w:cs="Times New Roman"/>
                <w:szCs w:val="21"/>
                <w:vertAlign w:val="baseline"/>
                <w:lang w:val="en-US" w:eastAsia="zh-CN"/>
              </w:rPr>
              <w:t>、SS</w:t>
            </w:r>
          </w:p>
        </w:tc>
        <w:tc>
          <w:tcPr>
            <w:tcW w:w="1908" w:type="dxa"/>
            <w:vAlign w:val="center"/>
          </w:tcPr>
          <w:p>
            <w:pPr>
              <w:adjustRightInd w:val="0"/>
              <w:snapToGrid w:val="0"/>
              <w:spacing w:line="240" w:lineRule="exact"/>
              <w:jc w:val="center"/>
              <w:rPr>
                <w:rFonts w:hint="eastAsia" w:ascii="Times New Roman" w:hAnsi="Times New Roman" w:eastAsia="宋体" w:cs="Times New Roman"/>
                <w:szCs w:val="21"/>
                <w:lang w:eastAsia="zh-CN"/>
              </w:rPr>
            </w:pPr>
            <w:r>
              <w:rPr>
                <w:rFonts w:hint="eastAsia" w:cs="Times New Roman"/>
                <w:szCs w:val="21"/>
                <w:lang w:eastAsia="zh-CN"/>
              </w:rPr>
              <w:t>化粪池预处理后经市政污水管网排入淄博市利民净化水有限公司处理</w:t>
            </w:r>
          </w:p>
        </w:tc>
        <w:tc>
          <w:tcPr>
            <w:tcW w:w="2392"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《污水综合排放标准》（GB 8978-1996）中三级标准，《污水排入城镇下水道水质标准》（GB/T31962-2015）B等级标准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声环境</w:t>
            </w:r>
          </w:p>
        </w:tc>
        <w:tc>
          <w:tcPr>
            <w:tcW w:w="1286"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产噪设备及车间</w:t>
            </w:r>
          </w:p>
        </w:tc>
        <w:tc>
          <w:tcPr>
            <w:tcW w:w="1820"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dB(A)</w:t>
            </w:r>
          </w:p>
        </w:tc>
        <w:tc>
          <w:tcPr>
            <w:tcW w:w="1908"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减震、隔声、室内布置</w:t>
            </w:r>
          </w:p>
        </w:tc>
        <w:tc>
          <w:tcPr>
            <w:tcW w:w="2392"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符合《工业企业厂界环境噪声排放标准》（GB12348-2008）</w:t>
            </w:r>
            <w:r>
              <w:rPr>
                <w:rFonts w:hint="default" w:ascii="Times New Roman" w:hAnsi="Times New Roman" w:cs="Times New Roman"/>
                <w:szCs w:val="21"/>
                <w:lang w:val="en-US" w:eastAsia="zh-CN"/>
              </w:rPr>
              <w:t>3</w:t>
            </w:r>
            <w:r>
              <w:rPr>
                <w:rFonts w:hint="default" w:ascii="Times New Roman" w:hAnsi="Times New Roman" w:cs="Times New Roman"/>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96"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电磁辐射</w:t>
            </w:r>
          </w:p>
        </w:tc>
        <w:tc>
          <w:tcPr>
            <w:tcW w:w="1286"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820" w:type="dxa"/>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1908" w:type="dxa"/>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w:t>
            </w:r>
          </w:p>
        </w:tc>
        <w:tc>
          <w:tcPr>
            <w:tcW w:w="2392" w:type="dxa"/>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96" w:type="dxa"/>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固体废物</w:t>
            </w:r>
          </w:p>
        </w:tc>
        <w:tc>
          <w:tcPr>
            <w:tcW w:w="7406" w:type="dxa"/>
            <w:gridSpan w:val="4"/>
            <w:vAlign w:val="center"/>
          </w:tcPr>
          <w:p>
            <w:pPr>
              <w:spacing w:line="360" w:lineRule="auto"/>
              <w:ind w:firstLine="482"/>
              <w:rPr>
                <w:rFonts w:hint="default" w:ascii="Times New Roman" w:hAnsi="Times New Roman" w:cs="Times New Roman"/>
              </w:rPr>
            </w:pPr>
            <w:r>
              <w:rPr>
                <w:rFonts w:hint="default" w:ascii="Times New Roman" w:hAnsi="Times New Roman" w:cs="Times New Roman"/>
              </w:rPr>
              <w:t>本项目</w:t>
            </w:r>
            <w:r>
              <w:rPr>
                <w:rFonts w:hint="eastAsia" w:cs="Times New Roman"/>
                <w:lang w:eastAsia="zh-CN"/>
              </w:rPr>
              <w:t>酚醛树脂胶</w:t>
            </w:r>
            <w:r>
              <w:rPr>
                <w:rFonts w:hint="default" w:ascii="Times New Roman" w:hAnsi="Times New Roman" w:cs="Times New Roman"/>
              </w:rPr>
              <w:t>桶使用完毕后由生产厂家回收直接罐装后运回。根据《工业固体废物鉴别标准通则》（GB34330-2017），本项目</w:t>
            </w:r>
            <w:r>
              <w:rPr>
                <w:rFonts w:hint="eastAsia" w:cs="Times New Roman"/>
                <w:lang w:eastAsia="zh-CN"/>
              </w:rPr>
              <w:t>酚醛树脂胶</w:t>
            </w:r>
            <w:r>
              <w:rPr>
                <w:rFonts w:hint="default" w:ascii="Times New Roman" w:hAnsi="Times New Roman" w:cs="Times New Roman"/>
              </w:rPr>
              <w:t>桶作为原始用途使用时不作为固体废物进行管理，当</w:t>
            </w:r>
            <w:r>
              <w:rPr>
                <w:rFonts w:hint="default" w:ascii="Times New Roman" w:hAnsi="Times New Roman" w:cs="Times New Roman"/>
                <w:lang w:eastAsia="zh-CN"/>
              </w:rPr>
              <w:t>包装</w:t>
            </w:r>
            <w:r>
              <w:rPr>
                <w:rFonts w:hint="default" w:ascii="Times New Roman" w:hAnsi="Times New Roman" w:cs="Times New Roman"/>
              </w:rPr>
              <w:t>桶破损不能再使用时需按照危险废物进行处置。</w:t>
            </w:r>
          </w:p>
          <w:p>
            <w:pPr>
              <w:ind w:firstLine="480"/>
              <w:rPr>
                <w:rFonts w:hint="default" w:ascii="Times New Roman" w:hAnsi="Times New Roman" w:cs="Times New Roman"/>
              </w:rPr>
            </w:pPr>
            <w:r>
              <w:rPr>
                <w:rFonts w:hint="default" w:ascii="Times New Roman" w:hAnsi="Times New Roman" w:cs="Times New Roman"/>
              </w:rPr>
              <w:t>项目生产过程</w:t>
            </w:r>
            <w:r>
              <w:rPr>
                <w:rFonts w:hint="eastAsia" w:cs="Times New Roman"/>
                <w:lang w:eastAsia="zh-CN"/>
              </w:rPr>
              <w:t>会产生生活固废、</w:t>
            </w:r>
            <w:r>
              <w:rPr>
                <w:rFonts w:hint="default" w:ascii="Times New Roman" w:hAnsi="Times New Roman" w:cs="Times New Roman"/>
              </w:rPr>
              <w:t>一般工业固体废物</w:t>
            </w:r>
            <w:r>
              <w:rPr>
                <w:rFonts w:hint="eastAsia" w:cs="Times New Roman"/>
                <w:lang w:eastAsia="zh-CN"/>
              </w:rPr>
              <w:t>及</w:t>
            </w:r>
            <w:r>
              <w:rPr>
                <w:rFonts w:hint="default" w:ascii="Times New Roman" w:hAnsi="Times New Roman" w:cs="Times New Roman"/>
              </w:rPr>
              <w:t>危险废物</w:t>
            </w:r>
            <w:r>
              <w:rPr>
                <w:rFonts w:hint="eastAsia" w:cs="Times New Roman"/>
                <w:lang w:eastAsia="zh-CN"/>
              </w:rPr>
              <w:t>，</w:t>
            </w:r>
            <w:r>
              <w:rPr>
                <w:rFonts w:hint="default" w:ascii="Times New Roman" w:hAnsi="Times New Roman" w:cs="Times New Roman"/>
              </w:rPr>
              <w:t>产生情况及治理措施如下：</w:t>
            </w:r>
          </w:p>
          <w:p>
            <w:pPr>
              <w:autoSpaceDE w:val="0"/>
              <w:autoSpaceDN w:val="0"/>
              <w:adjustRightInd w:val="0"/>
              <w:spacing w:line="360" w:lineRule="auto"/>
              <w:ind w:firstLine="420" w:firstLineChars="200"/>
              <w:rPr>
                <w:rFonts w:hint="eastAsia" w:cs="Times New Roman"/>
                <w:szCs w:val="21"/>
                <w:lang w:eastAsia="zh-CN"/>
              </w:rPr>
            </w:pPr>
            <w:r>
              <w:rPr>
                <w:rFonts w:hint="eastAsia" w:cs="Times New Roman"/>
                <w:szCs w:val="21"/>
                <w:lang w:eastAsia="zh-CN"/>
              </w:rPr>
              <w:t>（</w:t>
            </w:r>
            <w:r>
              <w:rPr>
                <w:rFonts w:hint="eastAsia" w:cs="Times New Roman"/>
                <w:szCs w:val="21"/>
                <w:lang w:val="en-US" w:eastAsia="zh-CN"/>
              </w:rPr>
              <w:t>1</w:t>
            </w:r>
            <w:r>
              <w:rPr>
                <w:rFonts w:hint="eastAsia" w:cs="Times New Roman"/>
                <w:szCs w:val="21"/>
                <w:lang w:eastAsia="zh-CN"/>
              </w:rPr>
              <w:t>）生活垃圾</w:t>
            </w:r>
          </w:p>
          <w:p>
            <w:pPr>
              <w:autoSpaceDE w:val="0"/>
              <w:autoSpaceDN w:val="0"/>
              <w:adjustRightIn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拟建项目劳动定员为</w:t>
            </w:r>
            <w:r>
              <w:rPr>
                <w:rFonts w:hint="eastAsia" w:cs="Times New Roman"/>
                <w:szCs w:val="21"/>
                <w:lang w:val="en-US" w:eastAsia="zh-CN"/>
              </w:rPr>
              <w:t>38</w:t>
            </w:r>
            <w:r>
              <w:rPr>
                <w:rFonts w:hint="default" w:ascii="Times New Roman" w:hAnsi="Times New Roman" w:cs="Times New Roman"/>
                <w:szCs w:val="21"/>
              </w:rPr>
              <w:t>人，生活垃圾产生量按照0.5kg/人·d计，则全年生活垃圾产生量为</w:t>
            </w:r>
            <w:r>
              <w:rPr>
                <w:rFonts w:hint="eastAsia" w:cs="Times New Roman"/>
                <w:szCs w:val="21"/>
                <w:lang w:val="en-US" w:eastAsia="zh-CN"/>
              </w:rPr>
              <w:t>5.7</w:t>
            </w:r>
            <w:r>
              <w:rPr>
                <w:rFonts w:hint="default" w:ascii="Times New Roman" w:hAnsi="Times New Roman" w:cs="Times New Roman"/>
                <w:szCs w:val="21"/>
              </w:rPr>
              <w:t>t/a，由环卫部门定期清理。</w:t>
            </w:r>
          </w:p>
          <w:p>
            <w:pPr>
              <w:autoSpaceDE w:val="0"/>
              <w:autoSpaceDN w:val="0"/>
              <w:adjustRightInd w:val="0"/>
              <w:spacing w:line="360" w:lineRule="auto"/>
              <w:ind w:firstLine="420" w:firstLineChars="200"/>
              <w:rPr>
                <w:rFonts w:hint="eastAsia" w:ascii="Times New Roman" w:hAnsi="Times New Roman" w:eastAsia="宋体" w:cs="Times New Roman"/>
                <w:szCs w:val="21"/>
                <w:lang w:eastAsia="zh-CN"/>
              </w:rPr>
            </w:pPr>
            <w:r>
              <w:rPr>
                <w:rFonts w:hint="eastAsia" w:cs="Times New Roman"/>
                <w:szCs w:val="21"/>
                <w:lang w:eastAsia="zh-CN"/>
              </w:rPr>
              <w:t>（</w:t>
            </w:r>
            <w:r>
              <w:rPr>
                <w:rFonts w:hint="eastAsia" w:cs="Times New Roman"/>
                <w:szCs w:val="21"/>
                <w:lang w:val="en-US" w:eastAsia="zh-CN"/>
              </w:rPr>
              <w:t>2</w:t>
            </w:r>
            <w:r>
              <w:rPr>
                <w:rFonts w:hint="eastAsia" w:cs="Times New Roman"/>
                <w:szCs w:val="21"/>
                <w:lang w:eastAsia="zh-CN"/>
              </w:rPr>
              <w:t>）一般工业固废</w:t>
            </w:r>
          </w:p>
          <w:p>
            <w:pPr>
              <w:autoSpaceDE w:val="0"/>
              <w:autoSpaceDN w:val="0"/>
              <w:adjustRightInd w:val="0"/>
              <w:spacing w:line="360" w:lineRule="auto"/>
              <w:ind w:firstLine="420" w:firstLineChars="200"/>
              <w:rPr>
                <w:rFonts w:hint="eastAsia" w:eastAsiaTheme="minorEastAsia"/>
                <w:lang w:val="en-US" w:eastAsia="zh-CN"/>
              </w:rPr>
            </w:pPr>
            <w:r>
              <w:rPr>
                <w:rFonts w:hint="eastAsia" w:eastAsiaTheme="minorEastAsia"/>
                <w:lang w:val="en-US" w:eastAsia="zh-CN"/>
              </w:rPr>
              <w:t>1）</w:t>
            </w:r>
            <w:r>
              <w:rPr>
                <w:rFonts w:hint="eastAsia" w:cs="Times New Roman"/>
                <w:color w:val="auto"/>
                <w:szCs w:val="21"/>
                <w:lang w:eastAsia="zh-CN"/>
              </w:rPr>
              <w:t>生产过程中产生的涤纶排管不合格产品、涤纶排管下脚料</w:t>
            </w:r>
            <w:r>
              <w:rPr>
                <w:rFonts w:hint="default" w:ascii="Times New Roman" w:hAnsi="Times New Roman" w:cs="Times New Roman"/>
                <w:color w:val="auto"/>
                <w:szCs w:val="21"/>
              </w:rPr>
              <w:t>。</w:t>
            </w:r>
          </w:p>
          <w:p>
            <w:pPr>
              <w:autoSpaceDE w:val="0"/>
              <w:autoSpaceDN w:val="0"/>
              <w:adjustRightInd w:val="0"/>
              <w:spacing w:line="360" w:lineRule="auto"/>
              <w:ind w:firstLine="420" w:firstLineChars="200"/>
              <w:rPr>
                <w:rFonts w:hint="default" w:ascii="Times New Roman" w:hAnsi="Times New Roman" w:cs="Times New Roman"/>
                <w:szCs w:val="21"/>
              </w:rPr>
            </w:pPr>
            <w:r>
              <w:rPr>
                <w:rFonts w:hint="eastAsia" w:eastAsiaTheme="minorEastAsia"/>
              </w:rPr>
              <w:t>生产过程中产生的不合格产品及切割机切割下来的涤纶排管下脚料为4t/a，收集后</w:t>
            </w:r>
            <w:r>
              <w:rPr>
                <w:rFonts w:hint="eastAsia" w:eastAsiaTheme="minorEastAsia"/>
                <w:lang w:eastAsia="zh-CN"/>
              </w:rPr>
              <w:t>全部外卖处理</w:t>
            </w:r>
            <w:r>
              <w:rPr>
                <w:rFonts w:hint="eastAsia" w:eastAsiaTheme="minorEastAsia"/>
              </w:rPr>
              <w:t>。</w:t>
            </w:r>
          </w:p>
          <w:p>
            <w:pPr>
              <w:autoSpaceDE w:val="0"/>
              <w:autoSpaceDN w:val="0"/>
              <w:adjustRightInd w:val="0"/>
              <w:spacing w:line="360" w:lineRule="auto"/>
              <w:ind w:firstLine="420" w:firstLineChars="200"/>
              <w:rPr>
                <w:rFonts w:hint="eastAsia" w:ascii="Times New Roman" w:hAnsi="Times New Roman" w:eastAsia="宋体" w:cs="Times New Roman"/>
                <w:szCs w:val="21"/>
                <w:lang w:val="en-US" w:eastAsia="zh-CN"/>
              </w:rPr>
            </w:pPr>
            <w:r>
              <w:rPr>
                <w:rFonts w:hint="eastAsia" w:cs="Times New Roman"/>
                <w:szCs w:val="21"/>
                <w:lang w:val="en-US" w:eastAsia="zh-CN"/>
              </w:rPr>
              <w:t>2）</w:t>
            </w:r>
            <w:r>
              <w:rPr>
                <w:rFonts w:hint="eastAsia" w:cs="Times New Roman"/>
                <w:color w:val="auto"/>
                <w:szCs w:val="21"/>
                <w:lang w:eastAsia="zh-CN"/>
              </w:rPr>
              <w:t>注塑过程产生的不合格产品</w:t>
            </w:r>
          </w:p>
          <w:p>
            <w:pPr>
              <w:spacing w:line="360" w:lineRule="auto"/>
              <w:ind w:firstLine="420" w:firstLineChars="200"/>
              <w:rPr>
                <w:rFonts w:eastAsiaTheme="minorEastAsia"/>
                <w:sz w:val="21"/>
                <w:szCs w:val="21"/>
              </w:rPr>
            </w:pPr>
            <w:r>
              <w:rPr>
                <w:rFonts w:hint="eastAsia" w:eastAsiaTheme="minorEastAsia"/>
                <w:sz w:val="21"/>
                <w:szCs w:val="21"/>
              </w:rPr>
              <w:t>项目生产电源连接线时产生的不合格的注塑产品量为0.05t/a，经企业收集外协破碎后回用于生产。</w:t>
            </w:r>
          </w:p>
          <w:p>
            <w:pPr>
              <w:pStyle w:val="2"/>
              <w:ind w:left="0" w:leftChars="0" w:firstLine="420" w:firstLineChars="200"/>
              <w:rPr>
                <w:rFonts w:hint="eastAsia" w:eastAsiaTheme="minorEastAsia"/>
                <w:lang w:val="en-US" w:eastAsia="zh-CN"/>
              </w:rPr>
            </w:pPr>
            <w:r>
              <w:rPr>
                <w:rFonts w:hint="eastAsia" w:eastAsiaTheme="minorEastAsia"/>
                <w:sz w:val="21"/>
                <w:szCs w:val="21"/>
                <w:lang w:val="en-US" w:eastAsia="zh-CN"/>
              </w:rPr>
              <w:t>3）废原料包装袋</w:t>
            </w:r>
          </w:p>
          <w:p>
            <w:pPr>
              <w:autoSpaceDE w:val="0"/>
              <w:autoSpaceDN w:val="0"/>
              <w:adjustRightInd w:val="0"/>
              <w:spacing w:line="360" w:lineRule="auto"/>
              <w:ind w:firstLine="420" w:firstLineChars="200"/>
              <w:rPr>
                <w:rFonts w:hint="default" w:ascii="Times New Roman" w:hAnsi="Times New Roman" w:eastAsia="宋体" w:cs="Times New Roman"/>
                <w:szCs w:val="21"/>
                <w:lang w:val="en-US" w:eastAsia="zh-CN"/>
              </w:rPr>
            </w:pPr>
            <w:r>
              <w:rPr>
                <w:rFonts w:hint="eastAsia" w:cs="Times New Roman"/>
                <w:szCs w:val="21"/>
                <w:lang w:eastAsia="zh-CN"/>
              </w:rPr>
              <w:t>项目原料包装会产生废原料包装袋，年产生量</w:t>
            </w:r>
            <w:r>
              <w:rPr>
                <w:rFonts w:hint="eastAsia" w:cs="Times New Roman"/>
                <w:szCs w:val="21"/>
                <w:lang w:val="en-US" w:eastAsia="zh-CN"/>
              </w:rPr>
              <w:t>0.2t/a，收集后外卖处理。</w:t>
            </w:r>
          </w:p>
          <w:p>
            <w:pPr>
              <w:autoSpaceDE w:val="0"/>
              <w:autoSpaceDN w:val="0"/>
              <w:adjustRightIn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w:t>
            </w:r>
            <w:r>
              <w:rPr>
                <w:rFonts w:hint="eastAsia" w:cs="Times New Roman"/>
                <w:szCs w:val="21"/>
                <w:lang w:val="en-US" w:eastAsia="zh-CN"/>
              </w:rPr>
              <w:t>3</w:t>
            </w:r>
            <w:r>
              <w:rPr>
                <w:rFonts w:hint="default" w:ascii="Times New Roman" w:hAnsi="Times New Roman" w:cs="Times New Roman"/>
                <w:szCs w:val="21"/>
              </w:rPr>
              <w:t>）危险废物</w:t>
            </w:r>
          </w:p>
          <w:p>
            <w:pPr>
              <w:autoSpaceDE w:val="0"/>
              <w:autoSpaceDN w:val="0"/>
              <w:adjustRightInd w:val="0"/>
              <w:spacing w:line="360" w:lineRule="auto"/>
              <w:ind w:firstLine="420" w:firstLineChars="200"/>
              <w:rPr>
                <w:rFonts w:hint="eastAsia" w:cs="Times New Roman"/>
                <w:szCs w:val="21"/>
                <w:highlight w:val="none"/>
                <w:lang w:eastAsia="zh-CN"/>
              </w:rPr>
            </w:pPr>
            <w:r>
              <w:rPr>
                <w:rFonts w:hint="default" w:ascii="Times New Roman" w:hAnsi="Times New Roman" w:cs="Times New Roman"/>
                <w:szCs w:val="21"/>
                <w:highlight w:val="none"/>
              </w:rPr>
              <w:t>1）</w:t>
            </w:r>
            <w:r>
              <w:rPr>
                <w:rFonts w:hint="eastAsia" w:cs="Times New Roman"/>
                <w:szCs w:val="21"/>
                <w:highlight w:val="none"/>
                <w:lang w:eastAsia="zh-CN"/>
              </w:rPr>
              <w:t>废活性炭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szCs w:val="21"/>
              </w:rPr>
            </w:pPr>
            <w:r>
              <w:rPr>
                <w:rFonts w:hint="eastAsia" w:cs="Times New Roman"/>
                <w:szCs w:val="21"/>
                <w:highlight w:val="none"/>
                <w:lang w:val="en-US" w:eastAsia="zh-CN"/>
              </w:rPr>
              <w:t>项目配套建设1套活性炭吸附装置，活性炭均为蜂窝状活性炭，碘值不小于650mg/g。</w:t>
            </w:r>
            <w:r>
              <w:rPr>
                <w:rFonts w:hint="default" w:ascii="Times New Roman" w:hAnsi="Times New Roman" w:cs="Times New Roman"/>
                <w:color w:val="auto"/>
              </w:rPr>
              <w:t>根据相关实验数据，1kg活性炭的VOCs饱和吸附量约为0.3kg，</w:t>
            </w:r>
            <w:r>
              <w:rPr>
                <w:rFonts w:hint="eastAsia" w:ascii="Times New Roman" w:hAnsi="Times New Roman" w:cs="Times New Roman"/>
                <w:color w:val="auto"/>
                <w:lang w:eastAsia="zh-CN"/>
              </w:rPr>
              <w:t>全厂有组织</w:t>
            </w:r>
            <w:r>
              <w:rPr>
                <w:rFonts w:hint="eastAsia" w:ascii="Times New Roman" w:hAnsi="Times New Roman" w:cs="Times New Roman"/>
                <w:color w:val="auto"/>
                <w:lang w:val="en-US" w:eastAsia="zh-CN"/>
              </w:rPr>
              <w:t>VOCs产生量为</w:t>
            </w:r>
            <w:r>
              <w:rPr>
                <w:rFonts w:hint="eastAsia" w:cs="Times New Roman"/>
                <w:color w:val="auto"/>
                <w:lang w:val="en-US" w:eastAsia="zh-CN"/>
              </w:rPr>
              <w:t>1.505</w:t>
            </w:r>
            <w:r>
              <w:rPr>
                <w:rFonts w:hint="eastAsia" w:ascii="Times New Roman" w:hAnsi="Times New Roman" w:cs="Times New Roman"/>
                <w:color w:val="auto"/>
                <w:lang w:val="en-US" w:eastAsia="zh-CN"/>
              </w:rPr>
              <w:t>t/a，有组织VOCs排放量为</w:t>
            </w:r>
            <w:r>
              <w:rPr>
                <w:rFonts w:hint="eastAsia" w:cs="Times New Roman"/>
                <w:color w:val="auto"/>
                <w:lang w:val="en-US" w:eastAsia="zh-CN"/>
              </w:rPr>
              <w:t>0.302</w:t>
            </w:r>
            <w:r>
              <w:rPr>
                <w:rFonts w:hint="eastAsia" w:ascii="Times New Roman" w:hAnsi="Times New Roman" w:cs="Times New Roman"/>
                <w:color w:val="auto"/>
                <w:lang w:val="en-US" w:eastAsia="zh-CN"/>
              </w:rPr>
              <w:t>t</w:t>
            </w:r>
            <w:r>
              <w:rPr>
                <w:rFonts w:hint="eastAsia" w:cs="Times New Roman"/>
                <w:color w:val="auto"/>
                <w:lang w:val="en-US" w:eastAsia="zh-CN"/>
              </w:rPr>
              <w:t>/a</w:t>
            </w:r>
            <w:r>
              <w:rPr>
                <w:rFonts w:hint="eastAsia" w:ascii="Times New Roman" w:hAnsi="Times New Roman" w:cs="Times New Roman"/>
                <w:color w:val="auto"/>
                <w:lang w:val="en-US" w:eastAsia="zh-CN"/>
              </w:rPr>
              <w:t>，其余全部经活性炭吸附，</w:t>
            </w:r>
            <w:r>
              <w:rPr>
                <w:rFonts w:hint="default" w:ascii="Times New Roman" w:hAnsi="Times New Roman" w:cs="Times New Roman"/>
                <w:color w:val="auto"/>
              </w:rPr>
              <w:t>则</w:t>
            </w:r>
            <w:r>
              <w:rPr>
                <w:rFonts w:hint="eastAsia" w:ascii="Times New Roman" w:hAnsi="Times New Roman" w:cs="Times New Roman"/>
                <w:color w:val="auto"/>
                <w:lang w:eastAsia="zh-CN"/>
              </w:rPr>
              <w:t>全厂废</w:t>
            </w:r>
            <w:r>
              <w:rPr>
                <w:rFonts w:hint="default" w:ascii="Times New Roman" w:hAnsi="Times New Roman" w:cs="Times New Roman"/>
                <w:color w:val="auto"/>
              </w:rPr>
              <w:t>活性炭的产生量合计</w:t>
            </w:r>
            <w:r>
              <w:rPr>
                <w:rFonts w:hint="eastAsia" w:cs="Times New Roman"/>
                <w:color w:val="auto"/>
                <w:lang w:eastAsia="zh-CN"/>
              </w:rPr>
              <w:t>约</w:t>
            </w:r>
            <w:r>
              <w:rPr>
                <w:rFonts w:hint="default" w:ascii="Times New Roman" w:hAnsi="Times New Roman" w:cs="Times New Roman"/>
                <w:color w:val="auto"/>
              </w:rPr>
              <w:t>为</w:t>
            </w:r>
            <w:r>
              <w:rPr>
                <w:rFonts w:hint="eastAsia" w:cs="Times New Roman"/>
                <w:color w:val="auto"/>
                <w:lang w:val="en-US" w:eastAsia="zh-CN"/>
              </w:rPr>
              <w:t>5.2</w:t>
            </w:r>
            <w:r>
              <w:rPr>
                <w:rFonts w:hint="eastAsia" w:ascii="Times New Roman" w:hAnsi="Times New Roman" w:cs="Times New Roman"/>
                <w:color w:val="auto"/>
                <w:lang w:val="en-US" w:eastAsia="zh-CN"/>
              </w:rPr>
              <w:t>t</w:t>
            </w:r>
            <w:r>
              <w:rPr>
                <w:rFonts w:hint="default" w:ascii="Times New Roman" w:hAnsi="Times New Roman" w:cs="Times New Roman"/>
                <w:color w:val="auto"/>
              </w:rPr>
              <w:t>/a</w:t>
            </w:r>
            <w:r>
              <w:rPr>
                <w:rFonts w:hint="eastAsia" w:ascii="Times New Roman" w:hAnsi="Times New Roman" w:cs="Times New Roman"/>
                <w:color w:val="auto"/>
                <w:lang w:eastAsia="zh-CN"/>
              </w:rPr>
              <w:t>。</w:t>
            </w:r>
            <w:r>
              <w:rPr>
                <w:rFonts w:hint="eastAsia" w:cs="Times New Roman"/>
                <w:color w:val="auto"/>
                <w:lang w:eastAsia="zh-CN"/>
              </w:rPr>
              <w:t>废活性炭</w:t>
            </w:r>
            <w:r>
              <w:rPr>
                <w:rFonts w:hint="eastAsia" w:cs="Times New Roman"/>
                <w:szCs w:val="21"/>
                <w:lang w:val="en-US" w:eastAsia="zh-CN"/>
              </w:rPr>
              <w:t>属于危险废物，危废代码HW49 ，900-039-49，产生后储存在危废间内，委托第三方危废处置资质单位定期处置。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396" w:type="dxa"/>
            <w:vAlign w:val="center"/>
          </w:tcPr>
          <w:p>
            <w:pPr>
              <w:adjustRightInd w:val="0"/>
              <w:snapToGrid w:val="0"/>
              <w:spacing w:line="240" w:lineRule="exact"/>
              <w:ind w:left="-128" w:leftChars="-61" w:right="-107" w:rightChars="-51" w:firstLine="128" w:firstLineChars="61"/>
              <w:jc w:val="center"/>
              <w:rPr>
                <w:rFonts w:hint="default" w:ascii="Times New Roman" w:hAnsi="Times New Roman" w:cs="Times New Roman"/>
                <w:szCs w:val="21"/>
              </w:rPr>
            </w:pPr>
            <w:r>
              <w:rPr>
                <w:rFonts w:hint="default" w:ascii="Times New Roman" w:hAnsi="Times New Roman" w:cs="Times New Roman"/>
                <w:szCs w:val="21"/>
              </w:rPr>
              <w:t>土壤及地下水</w:t>
            </w:r>
          </w:p>
          <w:p>
            <w:pPr>
              <w:adjustRightInd w:val="0"/>
              <w:snapToGrid w:val="0"/>
              <w:spacing w:line="240" w:lineRule="exact"/>
              <w:ind w:left="-128" w:leftChars="-61" w:right="-107" w:rightChars="-51" w:firstLine="128" w:firstLineChars="61"/>
              <w:jc w:val="center"/>
              <w:rPr>
                <w:rFonts w:hint="default" w:ascii="Times New Roman" w:hAnsi="Times New Roman" w:cs="Times New Roman"/>
                <w:szCs w:val="21"/>
              </w:rPr>
            </w:pPr>
            <w:r>
              <w:rPr>
                <w:rFonts w:hint="default" w:ascii="Times New Roman" w:hAnsi="Times New Roman" w:cs="Times New Roman"/>
                <w:szCs w:val="21"/>
              </w:rPr>
              <w:t>污染防治措施</w:t>
            </w:r>
          </w:p>
        </w:tc>
        <w:tc>
          <w:tcPr>
            <w:tcW w:w="7406" w:type="dxa"/>
            <w:gridSpan w:val="4"/>
            <w:vAlign w:val="center"/>
          </w:tcPr>
          <w:p>
            <w:pPr>
              <w:adjustRightInd w:val="0"/>
              <w:snapToGrid w:val="0"/>
              <w:spacing w:line="300" w:lineRule="exact"/>
              <w:jc w:val="both"/>
              <w:rPr>
                <w:rFonts w:hint="default" w:ascii="Times New Roman" w:hAnsi="Times New Roman" w:cs="Times New Roman"/>
                <w:szCs w:val="21"/>
              </w:rPr>
            </w:pPr>
            <w:r>
              <w:rPr>
                <w:rFonts w:hint="default" w:ascii="Times New Roman" w:hAnsi="Times New Roman" w:cs="Times New Roman"/>
                <w:szCs w:val="21"/>
              </w:rPr>
              <w:t>采取分区防渗措施，其中重点防渗区，</w:t>
            </w:r>
            <w:r>
              <w:rPr>
                <w:rFonts w:hint="eastAsia" w:cs="Times New Roman"/>
                <w:szCs w:val="21"/>
                <w:lang w:eastAsia="zh-CN"/>
              </w:rPr>
              <w:t>已</w:t>
            </w:r>
            <w:r>
              <w:rPr>
                <w:rFonts w:hint="default" w:ascii="Times New Roman" w:hAnsi="Times New Roman" w:cs="Times New Roman"/>
                <w:szCs w:val="21"/>
              </w:rPr>
              <w:t>设置不低于</w:t>
            </w:r>
            <w:r>
              <w:rPr>
                <w:rFonts w:hint="eastAsia" w:cs="Times New Roman"/>
                <w:szCs w:val="21"/>
                <w:lang w:val="en-US" w:eastAsia="zh-CN"/>
              </w:rPr>
              <w:t>1</w:t>
            </w:r>
            <w:r>
              <w:rPr>
                <w:rFonts w:hint="default" w:ascii="Times New Roman" w:hAnsi="Times New Roman" w:cs="Times New Roman"/>
                <w:szCs w:val="21"/>
              </w:rPr>
              <w:t>m厚渗透系数为1.0×10</w:t>
            </w:r>
            <w:r>
              <w:rPr>
                <w:rFonts w:hint="default" w:ascii="Times New Roman" w:hAnsi="Times New Roman" w:cs="Times New Roman"/>
                <w:szCs w:val="21"/>
                <w:vertAlign w:val="superscript"/>
              </w:rPr>
              <w:t>-7</w:t>
            </w:r>
            <w:r>
              <w:rPr>
                <w:rFonts w:hint="default" w:ascii="Times New Roman" w:hAnsi="Times New Roman" w:cs="Times New Roman"/>
                <w:szCs w:val="21"/>
              </w:rPr>
              <w:t>cm/s的黏土层的防渗性能；一般防渗区</w:t>
            </w:r>
            <w:r>
              <w:rPr>
                <w:rFonts w:hint="default" w:ascii="Times New Roman" w:hAnsi="Times New Roman" w:cs="Times New Roman"/>
                <w:sz w:val="21"/>
                <w:szCs w:val="21"/>
              </w:rPr>
              <w:t>，</w:t>
            </w:r>
            <w:r>
              <w:rPr>
                <w:rFonts w:hint="eastAsia"/>
                <w:sz w:val="21"/>
                <w:szCs w:val="21"/>
              </w:rPr>
              <w:t>1</w:t>
            </w:r>
            <w:r>
              <w:rPr>
                <w:sz w:val="21"/>
                <w:szCs w:val="21"/>
              </w:rPr>
              <w:t>.5</w:t>
            </w:r>
            <w:r>
              <w:rPr>
                <w:rFonts w:hint="eastAsia"/>
                <w:sz w:val="21"/>
                <w:szCs w:val="21"/>
              </w:rPr>
              <w:t>m素土夯实</w:t>
            </w:r>
            <w:r>
              <w:rPr>
                <w:rFonts w:hint="eastAsia"/>
                <w:sz w:val="21"/>
                <w:szCs w:val="21"/>
                <w:lang w:eastAsia="zh-CN"/>
              </w:rPr>
              <w:t>，</w:t>
            </w:r>
            <w:r>
              <w:rPr>
                <w:sz w:val="21"/>
                <w:szCs w:val="21"/>
              </w:rPr>
              <w:t>150</w:t>
            </w:r>
            <w:r>
              <w:rPr>
                <w:rFonts w:hint="eastAsia"/>
                <w:sz w:val="21"/>
                <w:szCs w:val="21"/>
                <w:lang w:val="en-US" w:eastAsia="zh-CN"/>
              </w:rPr>
              <w:t>m</w:t>
            </w:r>
            <w:r>
              <w:rPr>
                <w:rFonts w:hint="eastAsia"/>
                <w:sz w:val="21"/>
                <w:szCs w:val="21"/>
              </w:rPr>
              <w:t>m水泥稳定碎石</w:t>
            </w:r>
            <w:r>
              <w:rPr>
                <w:rFonts w:hint="eastAsia"/>
                <w:sz w:val="21"/>
                <w:szCs w:val="21"/>
                <w:lang w:eastAsia="zh-CN"/>
              </w:rPr>
              <w:t>及</w:t>
            </w:r>
            <w:r>
              <w:rPr>
                <w:sz w:val="21"/>
                <w:szCs w:val="21"/>
              </w:rPr>
              <w:t>150</w:t>
            </w:r>
            <w:r>
              <w:rPr>
                <w:rFonts w:hint="eastAsia"/>
                <w:sz w:val="21"/>
                <w:szCs w:val="21"/>
              </w:rPr>
              <w:t>mmC</w:t>
            </w:r>
            <w:r>
              <w:rPr>
                <w:sz w:val="21"/>
                <w:szCs w:val="21"/>
              </w:rPr>
              <w:t>35P6</w:t>
            </w:r>
            <w:r>
              <w:rPr>
                <w:rFonts w:hint="eastAsia"/>
                <w:sz w:val="21"/>
                <w:szCs w:val="21"/>
              </w:rPr>
              <w:t>抗渗混凝土浇筑</w:t>
            </w:r>
            <w:r>
              <w:rPr>
                <w:rFonts w:hint="default" w:ascii="Times New Roman" w:hAnsi="Times New Roman" w:cs="Times New Roman"/>
                <w:sz w:val="21"/>
                <w:szCs w:val="21"/>
              </w:rPr>
              <w:t>；办</w:t>
            </w:r>
            <w:r>
              <w:rPr>
                <w:rFonts w:hint="default" w:ascii="Times New Roman" w:hAnsi="Times New Roman" w:cs="Times New Roman"/>
                <w:szCs w:val="21"/>
              </w:rPr>
              <w:t>公室等其他区域采取硬化等简单防渗。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96" w:type="dxa"/>
            <w:vAlign w:val="center"/>
          </w:tcPr>
          <w:p>
            <w:pPr>
              <w:adjustRightInd w:val="0"/>
              <w:snapToGrid w:val="0"/>
              <w:spacing w:line="240" w:lineRule="exact"/>
              <w:ind w:left="-128" w:leftChars="-61" w:right="-107" w:rightChars="-51" w:firstLine="128" w:firstLineChars="61"/>
              <w:jc w:val="center"/>
              <w:rPr>
                <w:rFonts w:hint="default" w:ascii="Times New Roman" w:hAnsi="Times New Roman" w:cs="Times New Roman"/>
                <w:szCs w:val="21"/>
              </w:rPr>
            </w:pPr>
            <w:r>
              <w:rPr>
                <w:rFonts w:hint="default" w:ascii="Times New Roman" w:hAnsi="Times New Roman" w:cs="Times New Roman"/>
                <w:szCs w:val="21"/>
              </w:rPr>
              <w:t>生态保护措施</w:t>
            </w:r>
          </w:p>
        </w:tc>
        <w:tc>
          <w:tcPr>
            <w:tcW w:w="7406" w:type="dxa"/>
            <w:gridSpan w:val="4"/>
            <w:vAlign w:val="center"/>
          </w:tcPr>
          <w:p>
            <w:pPr>
              <w:adjustRightInd w:val="0"/>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加强绿化。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396" w:type="dxa"/>
            <w:vAlign w:val="center"/>
          </w:tcPr>
          <w:p>
            <w:pPr>
              <w:adjustRightInd w:val="0"/>
              <w:snapToGrid w:val="0"/>
              <w:spacing w:line="240" w:lineRule="exact"/>
              <w:jc w:val="center"/>
              <w:rPr>
                <w:rFonts w:hint="default" w:ascii="Times New Roman" w:hAnsi="Times New Roman" w:cs="Times New Roman"/>
                <w:spacing w:val="-8"/>
                <w:szCs w:val="21"/>
              </w:rPr>
            </w:pPr>
            <w:r>
              <w:rPr>
                <w:rFonts w:hint="default" w:ascii="Times New Roman" w:hAnsi="Times New Roman" w:cs="Times New Roman"/>
                <w:spacing w:val="-8"/>
                <w:szCs w:val="21"/>
              </w:rPr>
              <w:t>环境风险</w:t>
            </w:r>
          </w:p>
          <w:p>
            <w:pPr>
              <w:adjustRightInd w:val="0"/>
              <w:snapToGrid w:val="0"/>
              <w:spacing w:line="240" w:lineRule="exact"/>
              <w:jc w:val="center"/>
              <w:rPr>
                <w:rFonts w:hint="default" w:ascii="Times New Roman" w:hAnsi="Times New Roman" w:cs="Times New Roman"/>
                <w:spacing w:val="-8"/>
                <w:szCs w:val="21"/>
              </w:rPr>
            </w:pPr>
            <w:r>
              <w:rPr>
                <w:rFonts w:hint="default" w:ascii="Times New Roman" w:hAnsi="Times New Roman" w:cs="Times New Roman"/>
                <w:spacing w:val="-8"/>
                <w:szCs w:val="21"/>
              </w:rPr>
              <w:t>防范措施</w:t>
            </w:r>
          </w:p>
        </w:tc>
        <w:tc>
          <w:tcPr>
            <w:tcW w:w="7406" w:type="dxa"/>
            <w:gridSpan w:val="4"/>
            <w:vAlign w:val="center"/>
          </w:tcPr>
          <w:p>
            <w:pPr>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（1）大气环境风险防范措施</w:t>
            </w:r>
          </w:p>
          <w:p>
            <w:pPr>
              <w:spacing w:line="240" w:lineRule="exact"/>
              <w:ind w:firstLine="480"/>
              <w:rPr>
                <w:rFonts w:hint="default" w:ascii="Times New Roman" w:hAnsi="Times New Roman" w:cs="Times New Roman"/>
              </w:rPr>
            </w:pPr>
            <w:r>
              <w:rPr>
                <w:rFonts w:hint="default" w:ascii="Times New Roman" w:hAnsi="Times New Roman" w:cs="Times New Roman"/>
              </w:rPr>
              <w:t>加强职工安全意识教育和岗位技术培训，制定严格的操作规程，制定安全巡视制度，定期对各类管道及各类阀门、储罐进行检测、检修，定期对储存、输送环节的管道、阀门进行检修、维护和保养，避免发生泄漏事故。管道设置紧急切断阀门，对管道泄漏进行实时监测，发生泄漏时立即切断阀门，设置可燃气体检测报警器。厂区内设置风向表示，在发生事故时按照风向指标反风向撤离疏散。</w:t>
            </w:r>
          </w:p>
          <w:p>
            <w:pPr>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（2）地表水环境风险防范措施</w:t>
            </w:r>
          </w:p>
          <w:p>
            <w:pPr>
              <w:spacing w:line="240" w:lineRule="exact"/>
              <w:ind w:firstLine="480"/>
              <w:rPr>
                <w:rFonts w:hint="default" w:ascii="Times New Roman" w:hAnsi="Times New Roman" w:cs="Times New Roman"/>
              </w:rPr>
            </w:pPr>
            <w:r>
              <w:rPr>
                <w:rFonts w:hint="default" w:ascii="Times New Roman" w:hAnsi="Times New Roman" w:cs="Times New Roman"/>
              </w:rPr>
              <w:t xml:space="preserve">建设三级防控体系，编制突发环境应急预案并定期进行演练。 </w:t>
            </w:r>
          </w:p>
          <w:p>
            <w:pPr>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（3）地下水环境风险防范措施</w:t>
            </w:r>
          </w:p>
          <w:p>
            <w:pPr>
              <w:spacing w:line="240" w:lineRule="exact"/>
              <w:ind w:firstLine="480"/>
              <w:rPr>
                <w:rFonts w:hint="default" w:ascii="Times New Roman" w:hAnsi="Times New Roman" w:cs="Times New Roman"/>
              </w:rPr>
            </w:pPr>
            <w:r>
              <w:rPr>
                <w:rFonts w:hint="default" w:ascii="Times New Roman" w:hAnsi="Times New Roman" w:cs="Times New Roman"/>
              </w:rPr>
              <w:t>针对项目可能发生的地下水环境风险事故，防范措施按照“源头控制、分区防治、风险监控、应急响应”相结合的原则，从风险事故污染物的产生、入渗、扩散、应急响应全阶段进行控制。</w:t>
            </w:r>
          </w:p>
          <w:p>
            <w:pPr>
              <w:spacing w:line="240" w:lineRule="exact"/>
              <w:ind w:firstLine="482"/>
              <w:rPr>
                <w:rFonts w:hint="default" w:ascii="Times New Roman" w:hAnsi="Times New Roman" w:cs="Times New Roman"/>
              </w:rPr>
            </w:pPr>
            <w:r>
              <w:rPr>
                <w:rFonts w:hint="default" w:ascii="Times New Roman" w:hAnsi="Times New Roman" w:cs="Times New Roman"/>
                <w:b/>
              </w:rPr>
              <w:t>源头控制：</w:t>
            </w:r>
            <w:r>
              <w:rPr>
                <w:rFonts w:hint="default" w:ascii="Times New Roman" w:hAnsi="Times New Roman" w:cs="Times New Roman"/>
              </w:rPr>
              <w:t>主要包括在工艺、管道、设备、污水产生及储存构筑物采取相应措施，防止和降低污染物跑、冒、滴、漏，将污染物泄漏的环境风险事故降到最低程度；</w:t>
            </w:r>
          </w:p>
          <w:p>
            <w:pPr>
              <w:spacing w:line="240" w:lineRule="exact"/>
              <w:ind w:firstLine="482"/>
              <w:rPr>
                <w:rFonts w:hint="default" w:ascii="Times New Roman" w:hAnsi="Times New Roman" w:cs="Times New Roman"/>
              </w:rPr>
            </w:pPr>
            <w:r>
              <w:rPr>
                <w:rFonts w:hint="default" w:ascii="Times New Roman" w:hAnsi="Times New Roman" w:cs="Times New Roman"/>
                <w:b/>
              </w:rPr>
              <w:t>分区防治：</w:t>
            </w:r>
            <w:r>
              <w:rPr>
                <w:rFonts w:hint="default" w:ascii="Times New Roman" w:hAnsi="Times New Roman" w:cs="Times New Roman"/>
              </w:rPr>
              <w:t>结合建设场区生产设备、管道、污染物储存等布局，实行重点污染防治区、一般污染防治区和非污染区防渗措施有区别的防渗原则。主要包括生产区地面和设备的防渗措施和泄漏、渗漏污染物收集措施；</w:t>
            </w:r>
          </w:p>
          <w:p>
            <w:pPr>
              <w:spacing w:line="240" w:lineRule="exact"/>
              <w:ind w:firstLine="482"/>
              <w:rPr>
                <w:rFonts w:hint="default" w:ascii="Times New Roman" w:hAnsi="Times New Roman" w:cs="Times New Roman"/>
              </w:rPr>
            </w:pPr>
            <w:r>
              <w:rPr>
                <w:rFonts w:hint="default" w:ascii="Times New Roman" w:hAnsi="Times New Roman" w:cs="Times New Roman"/>
                <w:b/>
              </w:rPr>
              <w:t>风险监控体系：</w:t>
            </w:r>
            <w:r>
              <w:rPr>
                <w:rFonts w:hint="default" w:ascii="Times New Roman" w:hAnsi="Times New Roman" w:cs="Times New Roman"/>
              </w:rPr>
              <w:t>实施覆盖生产区的地下水污染监控系统，包括建立完善的监测制度、配备先进的检测仪器和设备、科学、合理设置地下水污染监控井，及时发现污染事故并及时控制；</w:t>
            </w:r>
          </w:p>
          <w:p>
            <w:pPr>
              <w:spacing w:line="240" w:lineRule="exact"/>
              <w:ind w:firstLine="482"/>
              <w:rPr>
                <w:rFonts w:hint="default" w:ascii="Times New Roman" w:hAnsi="Times New Roman" w:cs="Times New Roman"/>
              </w:rPr>
            </w:pPr>
            <w:r>
              <w:rPr>
                <w:rFonts w:hint="default" w:ascii="Times New Roman" w:hAnsi="Times New Roman" w:cs="Times New Roman"/>
                <w:b/>
              </w:rPr>
              <w:t>应急响应及事故减缓措施：</w:t>
            </w:r>
            <w:r>
              <w:rPr>
                <w:rFonts w:hint="default" w:ascii="Times New Roman" w:hAnsi="Times New Roman" w:cs="Times New Roman"/>
              </w:rPr>
              <w:t>公司制定地下水监测管理措施，并制定地下水应急预案， 当发生地下水异常情况时，按照定制的地下水应急预案采取应急措施。组织专业队伍对事故现场进行调查、监测，查找环境事故发生地点、分析事故原因，尽量将紧急事件局部化， 如可能应予以消除，采取包括切断生产装置或设施等措施，防止事故的扩散、蔓延及连锁反应，尽量缩小地下水污染事故对人和财产的影响。项目区水力梯度平缓，当发生污染事故时，污染物的运移速度较慢，污染范围较小。</w:t>
            </w:r>
          </w:p>
          <w:p>
            <w:pPr>
              <w:spacing w:line="240" w:lineRule="exact"/>
              <w:ind w:firstLine="420" w:firstLineChars="200"/>
              <w:rPr>
                <w:rFonts w:hint="default" w:ascii="Times New Roman" w:hAnsi="Times New Roman" w:cs="Times New Roman"/>
              </w:rPr>
            </w:pPr>
            <w:r>
              <w:rPr>
                <w:rFonts w:hint="default" w:ascii="Times New Roman" w:hAnsi="Times New Roman" w:cs="Times New Roman"/>
              </w:rPr>
              <w:t>（4）总图布置及建筑风险防范措施</w:t>
            </w:r>
          </w:p>
          <w:p>
            <w:pPr>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1）在总图布置中，考虑各建筑物的防火间距，安全疏散以及自然条件等方面的问题，确保其符合国家的有关规定。完善相关消防设施，严格划分生产区和储存区。企业按照《建筑设计防火规范》（GB50016-2014）和《工业企业总平面布置设计规范》（GB51087-2012）等规范要求进行设计。</w:t>
            </w:r>
          </w:p>
          <w:p>
            <w:pPr>
              <w:tabs>
                <w:tab w:val="left" w:pos="1152"/>
                <w:tab w:val="left" w:pos="1680"/>
              </w:tabs>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2）配电室的结构、基础应根据水文地理状况进行建设，符合安全规定，预防遭大水淹没，引起电器短路事故。各车间、仓库设立消防水收集管道收集消防废水。</w:t>
            </w:r>
          </w:p>
          <w:p>
            <w:pPr>
              <w:tabs>
                <w:tab w:val="left" w:pos="1152"/>
                <w:tab w:val="left" w:pos="1680"/>
              </w:tabs>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3）生产装置的供电、供水等公用设施必须加强日常管理，确保满足正常生产和事故状态下的要求。</w:t>
            </w:r>
          </w:p>
          <w:p>
            <w:pPr>
              <w:tabs>
                <w:tab w:val="left" w:pos="1152"/>
                <w:tab w:val="left" w:pos="1680"/>
              </w:tabs>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4）企业要加强消防安全管理，开展好消防安全检查和消防安全宣传教育，加强消防安全培训，建立健全各项消防安全制度，落实消防安全责任，提高职工的消防素质，按规范配置灭火器材和消防装备。</w:t>
            </w:r>
          </w:p>
          <w:p>
            <w:pPr>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5）规范上述风险物质的使用及储存，严格按照安全规范要求组织生产，定期对储罐及相应的管道进行巡检，风险物质所在区域进行围堰的设置和重点防渗硬化。</w:t>
            </w:r>
          </w:p>
          <w:p>
            <w:pPr>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6）为预防事故的发生，应成立应急事故领导小组。</w:t>
            </w:r>
          </w:p>
          <w:p>
            <w:pPr>
              <w:spacing w:line="240" w:lineRule="exact"/>
              <w:ind w:firstLine="420" w:firstLineChars="200"/>
              <w:rPr>
                <w:rFonts w:hint="default" w:ascii="Times New Roman" w:hAnsi="Times New Roman" w:cs="Times New Roman"/>
                <w:bCs/>
                <w:szCs w:val="21"/>
              </w:rPr>
            </w:pPr>
            <w:r>
              <w:rPr>
                <w:rFonts w:hint="default" w:ascii="Times New Roman" w:hAnsi="Times New Roman" w:cs="Times New Roman"/>
                <w:bCs/>
                <w:szCs w:val="21"/>
              </w:rPr>
              <w:t>7）编制突发环境事件应急预案，包括预案适用范围、环境事件分类与分级、组织机构与职责、监控和预警、应急响应、应急保障、善后处置、预案管理与演练等内容。应急预案应体现分级响应、区域联动的原则，与地方政府突发环境事件应急预案相衔接，明确分级响应程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96" w:type="dxa"/>
            <w:tcBorders>
              <w:bottom w:val="single" w:color="auto" w:sz="8" w:space="0"/>
            </w:tcBorders>
            <w:vAlign w:val="center"/>
          </w:tcPr>
          <w:p>
            <w:pPr>
              <w:adjustRightInd w:val="0"/>
              <w:snapToGrid w:val="0"/>
              <w:spacing w:line="240" w:lineRule="exact"/>
              <w:jc w:val="center"/>
              <w:rPr>
                <w:rFonts w:hint="default" w:ascii="Times New Roman" w:hAnsi="Times New Roman" w:cs="Times New Roman"/>
                <w:spacing w:val="-8"/>
                <w:szCs w:val="21"/>
              </w:rPr>
            </w:pPr>
            <w:r>
              <w:rPr>
                <w:rFonts w:hint="default" w:ascii="Times New Roman" w:hAnsi="Times New Roman" w:cs="Times New Roman"/>
                <w:spacing w:val="-8"/>
                <w:szCs w:val="21"/>
              </w:rPr>
              <w:t>其他环境</w:t>
            </w:r>
          </w:p>
          <w:p>
            <w:pPr>
              <w:adjustRightInd w:val="0"/>
              <w:snapToGrid w:val="0"/>
              <w:spacing w:line="240" w:lineRule="exact"/>
              <w:jc w:val="center"/>
              <w:rPr>
                <w:rFonts w:hint="default" w:ascii="Times New Roman" w:hAnsi="Times New Roman" w:cs="Times New Roman"/>
                <w:spacing w:val="-8"/>
                <w:szCs w:val="21"/>
              </w:rPr>
            </w:pPr>
            <w:r>
              <w:rPr>
                <w:rFonts w:hint="default" w:ascii="Times New Roman" w:hAnsi="Times New Roman" w:cs="Times New Roman"/>
                <w:spacing w:val="-8"/>
                <w:szCs w:val="21"/>
              </w:rPr>
              <w:t>管理要求</w:t>
            </w:r>
          </w:p>
        </w:tc>
        <w:tc>
          <w:tcPr>
            <w:tcW w:w="7406" w:type="dxa"/>
            <w:gridSpan w:val="4"/>
            <w:tcBorders>
              <w:bottom w:val="single" w:color="auto" w:sz="8" w:space="0"/>
            </w:tcBorders>
            <w:vAlign w:val="center"/>
          </w:tcPr>
          <w:p>
            <w:pPr>
              <w:adjustRightInd w:val="0"/>
              <w:snapToGrid w:val="0"/>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①严格按照国家有关建设项目环保管理规定，各类污染物的排放应执行本次环评规定的标准。</w:t>
            </w:r>
          </w:p>
          <w:p>
            <w:pPr>
              <w:adjustRightInd w:val="0"/>
              <w:snapToGrid w:val="0"/>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②确保所用原辅材料为符合环保要求的产品。</w:t>
            </w:r>
          </w:p>
          <w:p>
            <w:pPr>
              <w:adjustRightInd w:val="0"/>
              <w:snapToGrid w:val="0"/>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③对涉及风险物质设施定期检查，确定其可以长期稳定运行。</w:t>
            </w:r>
          </w:p>
          <w:p>
            <w:pPr>
              <w:adjustRightInd w:val="0"/>
              <w:snapToGrid w:val="0"/>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④加强职工宣传教育，制定环保管理制度并严格执行。</w:t>
            </w:r>
          </w:p>
          <w:p>
            <w:pPr>
              <w:adjustRightInd w:val="0"/>
              <w:snapToGrid w:val="0"/>
              <w:spacing w:line="240" w:lineRule="exact"/>
              <w:ind w:firstLine="420" w:firstLineChars="200"/>
              <w:rPr>
                <w:rFonts w:hint="default" w:ascii="Times New Roman" w:hAnsi="Times New Roman" w:cs="Times New Roman"/>
                <w:szCs w:val="21"/>
              </w:rPr>
            </w:pPr>
            <w:r>
              <w:rPr>
                <w:rFonts w:hint="default" w:ascii="Times New Roman" w:hAnsi="Times New Roman" w:cs="Times New Roman"/>
                <w:szCs w:val="21"/>
              </w:rPr>
              <w:t>⑤</w:t>
            </w:r>
            <w:r>
              <w:rPr>
                <w:rFonts w:hint="default" w:ascii="Times New Roman" w:hAnsi="Times New Roman" w:cs="Times New Roman"/>
                <w:szCs w:val="21"/>
                <w:lang w:eastAsia="zh-CN"/>
              </w:rPr>
              <w:t>项目建设完成后，需</w:t>
            </w:r>
            <w:r>
              <w:rPr>
                <w:rFonts w:hint="eastAsia" w:cs="Times New Roman"/>
                <w:szCs w:val="21"/>
                <w:lang w:eastAsia="zh-CN"/>
              </w:rPr>
              <w:t>完善</w:t>
            </w:r>
            <w:r>
              <w:rPr>
                <w:rFonts w:hint="default" w:ascii="Times New Roman" w:hAnsi="Times New Roman" w:cs="Times New Roman"/>
                <w:szCs w:val="21"/>
                <w:lang w:eastAsia="zh-CN"/>
              </w:rPr>
              <w:t>排污登记，并进行建设项目竣工验收，</w:t>
            </w:r>
            <w:r>
              <w:rPr>
                <w:rFonts w:hint="default" w:ascii="Times New Roman" w:hAnsi="Times New Roman" w:cs="Times New Roman"/>
                <w:szCs w:val="21"/>
              </w:rPr>
              <w:t>严格按照环评及排污许可要求进行例行监测。</w:t>
            </w:r>
          </w:p>
          <w:p>
            <w:pPr>
              <w:pStyle w:val="2"/>
              <w:ind w:left="31680" w:firstLine="31680"/>
              <w:rPr>
                <w:rFonts w:hint="default" w:ascii="Times New Roman" w:hAnsi="Times New Roman" w:cs="Times New Roman"/>
              </w:rPr>
            </w:pPr>
          </w:p>
          <w:p>
            <w:pPr>
              <w:rPr>
                <w:rFonts w:hint="default" w:ascii="Times New Roman" w:hAnsi="Times New Roman" w:cs="Times New Roman"/>
              </w:rPr>
            </w:pPr>
          </w:p>
          <w:p>
            <w:pPr>
              <w:pStyle w:val="2"/>
              <w:ind w:left="31680" w:firstLine="31680"/>
              <w:rPr>
                <w:rFonts w:hint="default" w:ascii="Times New Roman" w:hAnsi="Times New Roman" w:cs="Times New Roman"/>
              </w:rPr>
            </w:pPr>
          </w:p>
          <w:p>
            <w:pPr>
              <w:rPr>
                <w:rFonts w:hint="default" w:ascii="Times New Roman" w:hAnsi="Times New Roman" w:cs="Times New Roman"/>
              </w:rPr>
            </w:pPr>
          </w:p>
          <w:p>
            <w:pPr>
              <w:pStyle w:val="2"/>
              <w:ind w:left="31680" w:firstLine="31680"/>
              <w:rPr>
                <w:rFonts w:hint="default" w:ascii="Times New Roman" w:hAnsi="Times New Roman" w:cs="Times New Roman"/>
              </w:rPr>
            </w:pPr>
          </w:p>
          <w:p>
            <w:pPr>
              <w:rPr>
                <w:rFonts w:hint="default" w:ascii="Times New Roman" w:hAnsi="Times New Roman" w:cs="Times New Roman"/>
              </w:rPr>
            </w:pPr>
          </w:p>
          <w:p>
            <w:pPr>
              <w:pStyle w:val="2"/>
              <w:ind w:left="31680" w:firstLine="31680"/>
              <w:rPr>
                <w:rFonts w:hint="default" w:ascii="Times New Roman" w:hAnsi="Times New Roman" w:cs="Times New Roman"/>
              </w:rPr>
            </w:pPr>
          </w:p>
          <w:p>
            <w:pPr>
              <w:rPr>
                <w:rFonts w:hint="default" w:ascii="Times New Roman" w:hAnsi="Times New Roman" w:cs="Times New Roman"/>
              </w:rPr>
            </w:pPr>
          </w:p>
          <w:p>
            <w:pPr>
              <w:pStyle w:val="2"/>
              <w:ind w:left="31680" w:firstLine="31680"/>
              <w:rPr>
                <w:rFonts w:hint="default" w:ascii="Times New Roman" w:hAnsi="Times New Roman" w:cs="Times New Roman"/>
              </w:rPr>
            </w:pPr>
          </w:p>
          <w:p>
            <w:pPr>
              <w:rPr>
                <w:rFonts w:hint="default" w:ascii="Times New Roman" w:hAnsi="Times New Roman" w:cs="Times New Roman"/>
              </w:rPr>
            </w:pPr>
          </w:p>
          <w:p>
            <w:pPr>
              <w:pStyle w:val="2"/>
              <w:ind w:left="31680" w:firstLine="31680"/>
              <w:rPr>
                <w:rFonts w:hint="default" w:ascii="Times New Roman" w:hAnsi="Times New Roman" w:cs="Times New Roman"/>
              </w:rPr>
            </w:pPr>
          </w:p>
          <w:p>
            <w:pPr>
              <w:rPr>
                <w:rFonts w:hint="default" w:ascii="Times New Roman" w:hAnsi="Times New Roman" w:cs="Times New Roman"/>
              </w:rPr>
            </w:pPr>
          </w:p>
          <w:p>
            <w:pPr>
              <w:pStyle w:val="2"/>
              <w:ind w:left="0" w:leftChars="0" w:firstLine="0" w:firstLineChars="0"/>
              <w:rPr>
                <w:rFonts w:hint="default" w:ascii="Times New Roman" w:hAnsi="Times New Roman" w:cs="Times New Roman"/>
              </w:rPr>
            </w:pPr>
          </w:p>
        </w:tc>
      </w:tr>
    </w:tbl>
    <w:p>
      <w:pPr>
        <w:pStyle w:val="80"/>
        <w:spacing w:before="0" w:beforeAutospacing="0" w:after="0" w:afterAutospacing="0" w:line="420" w:lineRule="exact"/>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8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bottom w:val="single" w:color="auto" w:sz="8" w:space="0"/>
            </w:tcBorders>
            <w:vAlign w:val="center"/>
          </w:tcPr>
          <w:p>
            <w:pPr>
              <w:adjustRightInd w:val="0"/>
              <w:snapToGrid w:val="0"/>
              <w:spacing w:line="420" w:lineRule="exact"/>
              <w:ind w:firstLine="420" w:firstLineChars="200"/>
              <w:rPr>
                <w:rFonts w:ascii="宋体" w:cs="宋体"/>
                <w:szCs w:val="21"/>
              </w:rPr>
            </w:pPr>
            <w:r>
              <w:rPr>
                <w:rFonts w:hint="eastAsia" w:ascii="宋体" w:hAnsi="宋体" w:cs="宋体"/>
                <w:szCs w:val="21"/>
              </w:rPr>
              <w:t>本项目符合国家产业政策的要求。项目区内的污染物可达标排放；在认真落实各项污染防治措施下，对周围环境影响较小，从环保角度上讲，本项目的建设运营是可行的。</w:t>
            </w:r>
          </w:p>
        </w:tc>
      </w:tr>
    </w:tbl>
    <w:p>
      <w:pPr>
        <w:spacing w:line="420" w:lineRule="exact"/>
        <w:rPr>
          <w:rFonts w:ascii="宋体"/>
        </w:rPr>
        <w:sectPr>
          <w:pgSz w:w="11906" w:h="16838"/>
          <w:pgMar w:top="1701" w:right="1531" w:bottom="1701" w:left="1531" w:header="851" w:footer="851" w:gutter="0"/>
          <w:pgNumType w:fmt="numberInDash"/>
          <w:cols w:space="720" w:num="1"/>
          <w:docGrid w:linePitch="312" w:charSpace="0"/>
        </w:sectPr>
      </w:pPr>
    </w:p>
    <w:p>
      <w:pPr>
        <w:pStyle w:val="80"/>
        <w:adjustRightInd w:val="0"/>
        <w:snapToGrid w:val="0"/>
        <w:spacing w:before="0" w:beforeAutospacing="0" w:after="0" w:afterAutospacing="0" w:line="420" w:lineRule="exact"/>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80"/>
        <w:adjustRightInd w:val="0"/>
        <w:snapToGrid w:val="0"/>
        <w:spacing w:before="0" w:beforeAutospacing="0" w:after="0" w:afterAutospacing="0" w:line="420" w:lineRule="exact"/>
        <w:jc w:val="center"/>
        <w:outlineLvl w:val="0"/>
        <w:rPr>
          <w:rFonts w:ascii="黑体" w:hAnsi="黑体" w:eastAsia="黑体"/>
          <w:snapToGrid w:val="0"/>
          <w:sz w:val="38"/>
          <w:szCs w:val="38"/>
        </w:rPr>
      </w:pPr>
      <w:r>
        <w:rPr>
          <w:rFonts w:hint="eastAsia" w:ascii="黑体" w:hAnsi="黑体" w:eastAsia="黑体"/>
          <w:snapToGrid w:val="0"/>
          <w:sz w:val="38"/>
          <w:szCs w:val="38"/>
        </w:rPr>
        <w:t>建设项目污染物排放量汇总表</w:t>
      </w:r>
    </w:p>
    <w:tbl>
      <w:tblPr>
        <w:tblStyle w:val="85"/>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022"/>
        <w:gridCol w:w="1701"/>
        <w:gridCol w:w="1276"/>
        <w:gridCol w:w="1701"/>
        <w:gridCol w:w="1725"/>
        <w:gridCol w:w="1595"/>
        <w:gridCol w:w="1641"/>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83" w:type="dxa"/>
            <w:tcBorders>
              <w:top w:val="single" w:color="auto" w:sz="8" w:space="0"/>
              <w:tl2br w:val="single" w:color="auto" w:sz="4"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 xml:space="preserve">    项目</w:t>
            </w:r>
          </w:p>
          <w:p>
            <w:pPr>
              <w:pStyle w:val="198"/>
              <w:spacing w:beforeLines="0" w:afterLines="0" w:line="420" w:lineRule="exact"/>
              <w:jc w:val="both"/>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分类</w:t>
            </w:r>
          </w:p>
        </w:tc>
        <w:tc>
          <w:tcPr>
            <w:tcW w:w="2022"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污染物名称</w:t>
            </w:r>
          </w:p>
        </w:tc>
        <w:tc>
          <w:tcPr>
            <w:tcW w:w="1701"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现有工程</w:t>
            </w:r>
          </w:p>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排放量（固体废物产生量）</w:t>
            </w:r>
            <w:r>
              <w:rPr>
                <w:rFonts w:hint="default" w:ascii="Times New Roman" w:hAnsi="Times New Roman" w:cs="Times New Roman"/>
                <w:snapToGrid w:val="0"/>
                <w:spacing w:val="-6"/>
                <w:kern w:val="21"/>
                <w:sz w:val="21"/>
                <w:szCs w:val="21"/>
              </w:rPr>
              <w:fldChar w:fldCharType="begin"/>
            </w:r>
            <w:r>
              <w:rPr>
                <w:rFonts w:hint="default" w:ascii="Times New Roman" w:hAnsi="Times New Roman" w:cs="Times New Roman"/>
                <w:snapToGrid w:val="0"/>
                <w:spacing w:val="-6"/>
                <w:kern w:val="21"/>
                <w:sz w:val="21"/>
                <w:szCs w:val="21"/>
              </w:rPr>
              <w:instrText xml:space="preserve"> = 1 \* GB3 \* MERGEFORMAT </w:instrText>
            </w:r>
            <w:r>
              <w:rPr>
                <w:rFonts w:hint="default" w:ascii="Times New Roman" w:hAnsi="Times New Roman" w:cs="Times New Roman"/>
                <w:snapToGrid w:val="0"/>
                <w:spacing w:val="-6"/>
                <w:kern w:val="21"/>
                <w:sz w:val="21"/>
                <w:szCs w:val="21"/>
              </w:rPr>
              <w:fldChar w:fldCharType="separate"/>
            </w:r>
            <w:r>
              <w:rPr>
                <w:rFonts w:hint="default" w:ascii="Times New Roman" w:hAnsi="Times New Roman" w:cs="Times New Roman"/>
                <w:kern w:val="2"/>
                <w:sz w:val="21"/>
                <w:szCs w:val="21"/>
              </w:rPr>
              <w:t>①</w:t>
            </w:r>
            <w:r>
              <w:rPr>
                <w:rFonts w:hint="default" w:ascii="Times New Roman" w:hAnsi="Times New Roman" w:cs="Times New Roman"/>
                <w:snapToGrid w:val="0"/>
                <w:spacing w:val="-6"/>
                <w:kern w:val="21"/>
                <w:sz w:val="21"/>
                <w:szCs w:val="21"/>
              </w:rPr>
              <w:fldChar w:fldCharType="end"/>
            </w:r>
          </w:p>
        </w:tc>
        <w:tc>
          <w:tcPr>
            <w:tcW w:w="1276"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现有工程</w:t>
            </w:r>
          </w:p>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许可排放量</w:t>
            </w:r>
          </w:p>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fldChar w:fldCharType="begin"/>
            </w:r>
            <w:r>
              <w:rPr>
                <w:rFonts w:hint="default" w:ascii="Times New Roman" w:hAnsi="Times New Roman" w:cs="Times New Roman"/>
                <w:snapToGrid w:val="0"/>
                <w:spacing w:val="-6"/>
                <w:kern w:val="21"/>
                <w:sz w:val="21"/>
                <w:szCs w:val="21"/>
              </w:rPr>
              <w:instrText xml:space="preserve"> = 2 \* GB3 \* MERGEFORMAT </w:instrText>
            </w:r>
            <w:r>
              <w:rPr>
                <w:rFonts w:hint="default" w:ascii="Times New Roman" w:hAnsi="Times New Roman" w:cs="Times New Roman"/>
                <w:snapToGrid w:val="0"/>
                <w:spacing w:val="-6"/>
                <w:kern w:val="21"/>
                <w:sz w:val="21"/>
                <w:szCs w:val="21"/>
              </w:rPr>
              <w:fldChar w:fldCharType="separate"/>
            </w:r>
            <w:r>
              <w:rPr>
                <w:rFonts w:hint="default" w:ascii="Times New Roman" w:hAnsi="Times New Roman" w:cs="Times New Roman"/>
                <w:snapToGrid w:val="0"/>
                <w:spacing w:val="-6"/>
                <w:kern w:val="21"/>
                <w:sz w:val="21"/>
                <w:szCs w:val="21"/>
              </w:rPr>
              <w:t>②</w:t>
            </w:r>
            <w:r>
              <w:rPr>
                <w:rFonts w:hint="default" w:ascii="Times New Roman" w:hAnsi="Times New Roman" w:cs="Times New Roman"/>
                <w:snapToGrid w:val="0"/>
                <w:spacing w:val="-6"/>
                <w:kern w:val="21"/>
                <w:sz w:val="21"/>
                <w:szCs w:val="21"/>
              </w:rPr>
              <w:fldChar w:fldCharType="end"/>
            </w:r>
          </w:p>
        </w:tc>
        <w:tc>
          <w:tcPr>
            <w:tcW w:w="1701"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在建工程</w:t>
            </w:r>
          </w:p>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排放量（固体废物产生量）</w:t>
            </w:r>
            <w:r>
              <w:rPr>
                <w:rFonts w:hint="default" w:ascii="Times New Roman" w:hAnsi="Times New Roman" w:cs="Times New Roman"/>
                <w:snapToGrid w:val="0"/>
                <w:spacing w:val="-6"/>
                <w:kern w:val="21"/>
                <w:sz w:val="21"/>
                <w:szCs w:val="21"/>
              </w:rPr>
              <w:fldChar w:fldCharType="begin"/>
            </w:r>
            <w:r>
              <w:rPr>
                <w:rFonts w:hint="default" w:ascii="Times New Roman" w:hAnsi="Times New Roman" w:cs="Times New Roman"/>
                <w:snapToGrid w:val="0"/>
                <w:spacing w:val="-6"/>
                <w:kern w:val="21"/>
                <w:sz w:val="21"/>
                <w:szCs w:val="21"/>
              </w:rPr>
              <w:instrText xml:space="preserve"> = 3 \* GB3 \* MERGEFORMAT </w:instrText>
            </w:r>
            <w:r>
              <w:rPr>
                <w:rFonts w:hint="default" w:ascii="Times New Roman" w:hAnsi="Times New Roman" w:cs="Times New Roman"/>
                <w:snapToGrid w:val="0"/>
                <w:spacing w:val="-6"/>
                <w:kern w:val="21"/>
                <w:sz w:val="21"/>
                <w:szCs w:val="21"/>
              </w:rPr>
              <w:fldChar w:fldCharType="separate"/>
            </w:r>
            <w:r>
              <w:rPr>
                <w:rFonts w:hint="default" w:ascii="Times New Roman" w:hAnsi="Times New Roman" w:cs="Times New Roman"/>
                <w:kern w:val="2"/>
                <w:sz w:val="21"/>
                <w:szCs w:val="21"/>
              </w:rPr>
              <w:t>③</w:t>
            </w:r>
            <w:r>
              <w:rPr>
                <w:rFonts w:hint="default" w:ascii="Times New Roman" w:hAnsi="Times New Roman" w:cs="Times New Roman"/>
                <w:snapToGrid w:val="0"/>
                <w:spacing w:val="-6"/>
                <w:kern w:val="21"/>
                <w:sz w:val="21"/>
                <w:szCs w:val="21"/>
              </w:rPr>
              <w:fldChar w:fldCharType="end"/>
            </w:r>
          </w:p>
        </w:tc>
        <w:tc>
          <w:tcPr>
            <w:tcW w:w="1725"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本项目</w:t>
            </w:r>
          </w:p>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排放量（固体废物产生量）</w:t>
            </w:r>
            <w:r>
              <w:rPr>
                <w:rFonts w:hint="default" w:ascii="Times New Roman" w:hAnsi="Times New Roman" w:cs="Times New Roman"/>
                <w:snapToGrid w:val="0"/>
                <w:spacing w:val="-6"/>
                <w:kern w:val="21"/>
                <w:sz w:val="21"/>
                <w:szCs w:val="21"/>
              </w:rPr>
              <w:fldChar w:fldCharType="begin"/>
            </w:r>
            <w:r>
              <w:rPr>
                <w:rFonts w:hint="default" w:ascii="Times New Roman" w:hAnsi="Times New Roman" w:cs="Times New Roman"/>
                <w:snapToGrid w:val="0"/>
                <w:spacing w:val="-6"/>
                <w:kern w:val="21"/>
                <w:sz w:val="21"/>
                <w:szCs w:val="21"/>
              </w:rPr>
              <w:instrText xml:space="preserve"> = 4 \* GB3 \* MERGEFORMAT </w:instrText>
            </w:r>
            <w:r>
              <w:rPr>
                <w:rFonts w:hint="default" w:ascii="Times New Roman" w:hAnsi="Times New Roman" w:cs="Times New Roman"/>
                <w:snapToGrid w:val="0"/>
                <w:spacing w:val="-6"/>
                <w:kern w:val="21"/>
                <w:sz w:val="21"/>
                <w:szCs w:val="21"/>
              </w:rPr>
              <w:fldChar w:fldCharType="separate"/>
            </w:r>
            <w:r>
              <w:rPr>
                <w:rFonts w:hint="default" w:ascii="Times New Roman" w:hAnsi="Times New Roman" w:cs="Times New Roman"/>
                <w:kern w:val="2"/>
                <w:sz w:val="21"/>
                <w:szCs w:val="21"/>
              </w:rPr>
              <w:t>④</w:t>
            </w:r>
            <w:r>
              <w:rPr>
                <w:rFonts w:hint="default" w:ascii="Times New Roman" w:hAnsi="Times New Roman" w:cs="Times New Roman"/>
                <w:snapToGrid w:val="0"/>
                <w:spacing w:val="-6"/>
                <w:kern w:val="21"/>
                <w:sz w:val="21"/>
                <w:szCs w:val="21"/>
              </w:rPr>
              <w:fldChar w:fldCharType="end"/>
            </w:r>
          </w:p>
        </w:tc>
        <w:tc>
          <w:tcPr>
            <w:tcW w:w="1595"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16"/>
                <w:kern w:val="21"/>
                <w:sz w:val="21"/>
                <w:szCs w:val="21"/>
              </w:rPr>
            </w:pPr>
            <w:r>
              <w:rPr>
                <w:rFonts w:hint="default" w:ascii="Times New Roman" w:hAnsi="Times New Roman" w:cs="Times New Roman"/>
                <w:snapToGrid w:val="0"/>
                <w:spacing w:val="-16"/>
                <w:kern w:val="21"/>
                <w:sz w:val="21"/>
                <w:szCs w:val="21"/>
              </w:rPr>
              <w:t>以新带老削减量</w:t>
            </w:r>
          </w:p>
          <w:p>
            <w:pPr>
              <w:pStyle w:val="198"/>
              <w:spacing w:beforeLines="0" w:afterLines="0" w:line="420" w:lineRule="exact"/>
              <w:rPr>
                <w:rFonts w:hint="default" w:ascii="Times New Roman" w:hAnsi="Times New Roman" w:cs="Times New Roman"/>
                <w:snapToGrid w:val="0"/>
                <w:spacing w:val="-16"/>
                <w:kern w:val="21"/>
                <w:sz w:val="21"/>
                <w:szCs w:val="21"/>
              </w:rPr>
            </w:pPr>
            <w:r>
              <w:rPr>
                <w:rFonts w:hint="default" w:ascii="Times New Roman" w:hAnsi="Times New Roman" w:cs="Times New Roman"/>
                <w:snapToGrid w:val="0"/>
                <w:spacing w:val="-16"/>
                <w:kern w:val="21"/>
                <w:sz w:val="21"/>
                <w:szCs w:val="21"/>
              </w:rPr>
              <w:t>（新建项目不填）</w:t>
            </w:r>
            <w:r>
              <w:rPr>
                <w:rFonts w:hint="default" w:ascii="Times New Roman" w:hAnsi="Times New Roman" w:cs="Times New Roman"/>
                <w:snapToGrid w:val="0"/>
                <w:spacing w:val="-16"/>
                <w:kern w:val="21"/>
                <w:sz w:val="21"/>
                <w:szCs w:val="21"/>
              </w:rPr>
              <w:fldChar w:fldCharType="begin"/>
            </w:r>
            <w:r>
              <w:rPr>
                <w:rFonts w:hint="default" w:ascii="Times New Roman" w:hAnsi="Times New Roman" w:cs="Times New Roman"/>
                <w:snapToGrid w:val="0"/>
                <w:spacing w:val="-16"/>
                <w:kern w:val="21"/>
                <w:sz w:val="21"/>
                <w:szCs w:val="21"/>
              </w:rPr>
              <w:instrText xml:space="preserve"> = 5 \* GB3 \* MERGEFORMAT </w:instrText>
            </w:r>
            <w:r>
              <w:rPr>
                <w:rFonts w:hint="default" w:ascii="Times New Roman" w:hAnsi="Times New Roman" w:cs="Times New Roman"/>
                <w:snapToGrid w:val="0"/>
                <w:spacing w:val="-16"/>
                <w:kern w:val="21"/>
                <w:sz w:val="21"/>
                <w:szCs w:val="21"/>
              </w:rPr>
              <w:fldChar w:fldCharType="separate"/>
            </w:r>
            <w:r>
              <w:rPr>
                <w:rFonts w:hint="default" w:ascii="Times New Roman" w:hAnsi="Times New Roman" w:cs="Times New Roman"/>
                <w:kern w:val="2"/>
                <w:sz w:val="21"/>
                <w:szCs w:val="21"/>
              </w:rPr>
              <w:t>⑤</w:t>
            </w:r>
            <w:r>
              <w:rPr>
                <w:rFonts w:hint="default" w:ascii="Times New Roman" w:hAnsi="Times New Roman" w:cs="Times New Roman"/>
                <w:snapToGrid w:val="0"/>
                <w:spacing w:val="-16"/>
                <w:kern w:val="21"/>
                <w:sz w:val="21"/>
                <w:szCs w:val="21"/>
              </w:rPr>
              <w:fldChar w:fldCharType="end"/>
            </w:r>
          </w:p>
        </w:tc>
        <w:tc>
          <w:tcPr>
            <w:tcW w:w="1641"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16"/>
                <w:kern w:val="21"/>
                <w:sz w:val="21"/>
                <w:szCs w:val="21"/>
              </w:rPr>
            </w:pPr>
            <w:r>
              <w:rPr>
                <w:rFonts w:hint="default" w:ascii="Times New Roman" w:hAnsi="Times New Roman" w:cs="Times New Roman"/>
                <w:snapToGrid w:val="0"/>
                <w:spacing w:val="-16"/>
                <w:kern w:val="21"/>
                <w:sz w:val="21"/>
                <w:szCs w:val="21"/>
              </w:rPr>
              <w:t>本项目建成后</w:t>
            </w:r>
          </w:p>
          <w:p>
            <w:pPr>
              <w:pStyle w:val="198"/>
              <w:spacing w:beforeLines="0" w:afterLines="0" w:line="420" w:lineRule="exact"/>
              <w:rPr>
                <w:rFonts w:hint="default" w:ascii="Times New Roman" w:hAnsi="Times New Roman" w:cs="Times New Roman"/>
                <w:snapToGrid w:val="0"/>
                <w:spacing w:val="-16"/>
                <w:kern w:val="21"/>
                <w:sz w:val="21"/>
                <w:szCs w:val="21"/>
              </w:rPr>
            </w:pPr>
            <w:r>
              <w:rPr>
                <w:rFonts w:hint="default" w:ascii="Times New Roman" w:hAnsi="Times New Roman" w:cs="Times New Roman"/>
                <w:snapToGrid w:val="0"/>
                <w:spacing w:val="-16"/>
                <w:kern w:val="21"/>
                <w:sz w:val="21"/>
                <w:szCs w:val="21"/>
              </w:rPr>
              <w:t>全厂排放量（固体废物产生量）</w:t>
            </w:r>
            <w:r>
              <w:rPr>
                <w:rFonts w:hint="default" w:ascii="Times New Roman" w:hAnsi="Times New Roman" w:cs="Times New Roman"/>
                <w:snapToGrid w:val="0"/>
                <w:spacing w:val="-16"/>
                <w:kern w:val="21"/>
                <w:sz w:val="21"/>
                <w:szCs w:val="21"/>
              </w:rPr>
              <w:fldChar w:fldCharType="begin"/>
            </w:r>
            <w:r>
              <w:rPr>
                <w:rFonts w:hint="default" w:ascii="Times New Roman" w:hAnsi="Times New Roman" w:cs="Times New Roman"/>
                <w:snapToGrid w:val="0"/>
                <w:spacing w:val="-16"/>
                <w:kern w:val="21"/>
                <w:sz w:val="21"/>
                <w:szCs w:val="21"/>
              </w:rPr>
              <w:instrText xml:space="preserve"> = 6 \* GB3 \* MERGEFORMAT </w:instrText>
            </w:r>
            <w:r>
              <w:rPr>
                <w:rFonts w:hint="default" w:ascii="Times New Roman" w:hAnsi="Times New Roman" w:cs="Times New Roman"/>
                <w:snapToGrid w:val="0"/>
                <w:spacing w:val="-16"/>
                <w:kern w:val="21"/>
                <w:sz w:val="21"/>
                <w:szCs w:val="21"/>
              </w:rPr>
              <w:fldChar w:fldCharType="separate"/>
            </w:r>
            <w:r>
              <w:rPr>
                <w:rFonts w:hint="default" w:ascii="Times New Roman" w:hAnsi="Times New Roman" w:cs="Times New Roman"/>
                <w:kern w:val="2"/>
                <w:sz w:val="21"/>
                <w:szCs w:val="21"/>
              </w:rPr>
              <w:t>⑥</w:t>
            </w:r>
            <w:r>
              <w:rPr>
                <w:rFonts w:hint="default" w:ascii="Times New Roman" w:hAnsi="Times New Roman" w:cs="Times New Roman"/>
                <w:snapToGrid w:val="0"/>
                <w:spacing w:val="-16"/>
                <w:kern w:val="21"/>
                <w:sz w:val="21"/>
                <w:szCs w:val="21"/>
              </w:rPr>
              <w:fldChar w:fldCharType="end"/>
            </w:r>
          </w:p>
        </w:tc>
        <w:tc>
          <w:tcPr>
            <w:tcW w:w="1144" w:type="dxa"/>
            <w:tcBorders>
              <w:top w:val="single" w:color="auto" w:sz="8" w:space="0"/>
            </w:tcBorders>
            <w:tcMar>
              <w:left w:w="28" w:type="dxa"/>
              <w:right w:w="28" w:type="dxa"/>
            </w:tcMar>
            <w:vAlign w:val="center"/>
          </w:tcPr>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t>变化量</w:t>
            </w:r>
          </w:p>
          <w:p>
            <w:pPr>
              <w:pStyle w:val="198"/>
              <w:spacing w:beforeLines="0" w:afterLines="0" w:line="420" w:lineRule="exact"/>
              <w:rPr>
                <w:rFonts w:hint="default" w:ascii="Times New Roman" w:hAnsi="Times New Roman" w:cs="Times New Roman"/>
                <w:snapToGrid w:val="0"/>
                <w:spacing w:val="-6"/>
                <w:kern w:val="21"/>
                <w:sz w:val="21"/>
                <w:szCs w:val="21"/>
              </w:rPr>
            </w:pPr>
            <w:r>
              <w:rPr>
                <w:rFonts w:hint="default" w:ascii="Times New Roman" w:hAnsi="Times New Roman" w:cs="Times New Roman"/>
                <w:snapToGrid w:val="0"/>
                <w:spacing w:val="-6"/>
                <w:kern w:val="21"/>
                <w:sz w:val="21"/>
                <w:szCs w:val="21"/>
              </w:rPr>
              <w:fldChar w:fldCharType="begin"/>
            </w:r>
            <w:r>
              <w:rPr>
                <w:rFonts w:hint="default" w:ascii="Times New Roman" w:hAnsi="Times New Roman" w:cs="Times New Roman"/>
                <w:snapToGrid w:val="0"/>
                <w:spacing w:val="-6"/>
                <w:kern w:val="21"/>
                <w:sz w:val="21"/>
                <w:szCs w:val="21"/>
              </w:rPr>
              <w:instrText xml:space="preserve"> = 7 \* GB3 \* MERGEFORMAT </w:instrText>
            </w:r>
            <w:r>
              <w:rPr>
                <w:rFonts w:hint="default" w:ascii="Times New Roman" w:hAnsi="Times New Roman" w:cs="Times New Roman"/>
                <w:snapToGrid w:val="0"/>
                <w:spacing w:val="-6"/>
                <w:kern w:val="21"/>
                <w:sz w:val="21"/>
                <w:szCs w:val="21"/>
              </w:rPr>
              <w:fldChar w:fldCharType="separate"/>
            </w:r>
            <w:r>
              <w:rPr>
                <w:rFonts w:hint="default" w:ascii="Times New Roman" w:hAnsi="Times New Roman" w:cs="Times New Roman"/>
                <w:kern w:val="2"/>
                <w:sz w:val="21"/>
                <w:szCs w:val="21"/>
              </w:rPr>
              <w:t>⑦</w:t>
            </w:r>
            <w:r>
              <w:rPr>
                <w:rFonts w:hint="default" w:ascii="Times New Roman" w:hAnsi="Times New Roman" w:cs="Times New Roman"/>
                <w:snapToGrid w:val="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restart"/>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废气</w:t>
            </w:r>
          </w:p>
        </w:tc>
        <w:tc>
          <w:tcPr>
            <w:tcW w:w="2022" w:type="dxa"/>
            <w:vAlign w:val="center"/>
          </w:tcPr>
          <w:p>
            <w:pPr>
              <w:pStyle w:val="198"/>
              <w:spacing w:beforeLines="0" w:afterLines="0" w:line="420" w:lineRule="exact"/>
              <w:rPr>
                <w:rFonts w:hint="eastAsia"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kern w:val="21"/>
                <w:sz w:val="21"/>
                <w:szCs w:val="21"/>
                <w:lang w:eastAsia="zh-CN"/>
              </w:rPr>
              <w:t>苯酚</w:t>
            </w:r>
          </w:p>
        </w:tc>
        <w:tc>
          <w:tcPr>
            <w:tcW w:w="1701" w:type="dxa"/>
            <w:vAlign w:val="center"/>
          </w:tcPr>
          <w:p>
            <w:pPr>
              <w:spacing w:beforeLines="0" w:afterLines="0" w:line="420" w:lineRule="exact"/>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 w:val="21"/>
                <w:szCs w:val="21"/>
                <w:lang w:val="en-US" w:eastAsia="zh-CN"/>
              </w:rPr>
              <w:t>0</w:t>
            </w:r>
            <w:r>
              <w:rPr>
                <w:rFonts w:hint="eastAsia" w:cs="Times New Roman"/>
                <w:snapToGrid w:val="0"/>
                <w:kern w:val="21"/>
                <w:sz w:val="21"/>
                <w:szCs w:val="21"/>
                <w:lang w:val="en-US" w:eastAsia="zh-CN"/>
              </w:rPr>
              <w:t>.084</w:t>
            </w:r>
          </w:p>
        </w:tc>
        <w:tc>
          <w:tcPr>
            <w:tcW w:w="1276" w:type="dxa"/>
            <w:vAlign w:val="center"/>
          </w:tcPr>
          <w:p>
            <w:pPr>
              <w:spacing w:beforeLines="0" w:afterLines="0" w:line="420" w:lineRule="exact"/>
              <w:jc w:val="center"/>
              <w:rPr>
                <w:rFonts w:hint="default" w:ascii="Times New Roman" w:hAnsi="Times New Roman" w:eastAsia="宋体" w:cs="Times New Roman"/>
                <w:snapToGrid w:val="0"/>
                <w:kern w:val="21"/>
                <w:sz w:val="21"/>
                <w:szCs w:val="21"/>
                <w:lang w:val="en-US" w:eastAsia="zh-CN" w:bidi="ar-SA"/>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kern w:val="21"/>
                <w:sz w:val="21"/>
                <w:szCs w:val="21"/>
                <w:lang w:val="en-US" w:eastAsia="zh-CN"/>
              </w:rPr>
              <w:t>0</w:t>
            </w:r>
          </w:p>
        </w:tc>
        <w:tc>
          <w:tcPr>
            <w:tcW w:w="1725"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451</w:t>
            </w:r>
          </w:p>
        </w:tc>
        <w:tc>
          <w:tcPr>
            <w:tcW w:w="1595" w:type="dxa"/>
            <w:vAlign w:val="center"/>
          </w:tcPr>
          <w:p>
            <w:pPr>
              <w:spacing w:beforeLines="0" w:afterLines="0"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 w:val="21"/>
                <w:szCs w:val="21"/>
                <w:lang w:val="en-US" w:eastAsia="zh-CN"/>
              </w:rPr>
              <w:t>0</w:t>
            </w:r>
            <w:r>
              <w:rPr>
                <w:rFonts w:hint="eastAsia" w:cs="Times New Roman"/>
                <w:snapToGrid w:val="0"/>
                <w:kern w:val="21"/>
                <w:sz w:val="21"/>
                <w:szCs w:val="21"/>
                <w:lang w:val="en-US" w:eastAsia="zh-CN"/>
              </w:rPr>
              <w:t>.084</w:t>
            </w:r>
          </w:p>
        </w:tc>
        <w:tc>
          <w:tcPr>
            <w:tcW w:w="1641"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451</w:t>
            </w:r>
          </w:p>
        </w:tc>
        <w:tc>
          <w:tcPr>
            <w:tcW w:w="1144"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367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pStyle w:val="198"/>
              <w:spacing w:beforeLines="0" w:afterLines="0" w:line="420" w:lineRule="exact"/>
              <w:rPr>
                <w:rFonts w:hint="default" w:ascii="Times New Roman" w:hAnsi="Times New Roman" w:eastAsia="宋体" w:cs="Times New Roman"/>
                <w:snapToGrid w:val="0"/>
                <w:color w:val="000000"/>
                <w:kern w:val="21"/>
                <w:sz w:val="21"/>
                <w:szCs w:val="21"/>
                <w:lang w:val="en-US" w:eastAsia="zh-CN" w:bidi="ar-SA"/>
              </w:rPr>
            </w:pPr>
            <w:r>
              <w:rPr>
                <w:rFonts w:hint="eastAsia" w:ascii="Times New Roman" w:cs="Times New Roman"/>
                <w:snapToGrid w:val="0"/>
                <w:kern w:val="21"/>
                <w:sz w:val="21"/>
                <w:szCs w:val="21"/>
                <w:lang w:eastAsia="zh-CN"/>
              </w:rPr>
              <w:t>甲醛</w:t>
            </w:r>
          </w:p>
        </w:tc>
        <w:tc>
          <w:tcPr>
            <w:tcW w:w="1701" w:type="dxa"/>
            <w:vAlign w:val="center"/>
          </w:tcPr>
          <w:p>
            <w:pPr>
              <w:spacing w:beforeLines="0" w:afterLines="0" w:line="420" w:lineRule="exact"/>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 w:val="21"/>
                <w:szCs w:val="21"/>
              </w:rPr>
              <w:t>0</w:t>
            </w:r>
            <w:r>
              <w:rPr>
                <w:rFonts w:hint="eastAsia" w:cs="Times New Roman"/>
                <w:snapToGrid w:val="0"/>
                <w:kern w:val="21"/>
                <w:sz w:val="21"/>
                <w:szCs w:val="21"/>
                <w:lang w:val="en-US" w:eastAsia="zh-CN"/>
              </w:rPr>
              <w:t>.076</w:t>
            </w:r>
          </w:p>
        </w:tc>
        <w:tc>
          <w:tcPr>
            <w:tcW w:w="1276" w:type="dxa"/>
            <w:vAlign w:val="center"/>
          </w:tcPr>
          <w:p>
            <w:pPr>
              <w:spacing w:beforeLines="0" w:afterLines="0" w:line="420" w:lineRule="exact"/>
              <w:jc w:val="center"/>
              <w:rPr>
                <w:rFonts w:hint="default" w:ascii="Times New Roman" w:hAnsi="Times New Roman" w:eastAsia="宋体" w:cs="Times New Roman"/>
                <w:snapToGrid w:val="0"/>
                <w:kern w:val="21"/>
                <w:sz w:val="21"/>
                <w:szCs w:val="21"/>
                <w:lang w:val="en-US" w:eastAsia="zh-CN" w:bidi="ar-SA"/>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kern w:val="21"/>
                <w:sz w:val="21"/>
                <w:szCs w:val="21"/>
              </w:rPr>
              <w:t>0</w:t>
            </w:r>
          </w:p>
        </w:tc>
        <w:tc>
          <w:tcPr>
            <w:tcW w:w="1725"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1</w:t>
            </w:r>
          </w:p>
        </w:tc>
        <w:tc>
          <w:tcPr>
            <w:tcW w:w="1595" w:type="dxa"/>
            <w:vAlign w:val="center"/>
          </w:tcPr>
          <w:p>
            <w:pPr>
              <w:spacing w:beforeLines="0" w:afterLines="0"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 w:val="21"/>
                <w:szCs w:val="21"/>
              </w:rPr>
              <w:t>0</w:t>
            </w:r>
            <w:r>
              <w:rPr>
                <w:rFonts w:hint="eastAsia" w:cs="Times New Roman"/>
                <w:snapToGrid w:val="0"/>
                <w:kern w:val="21"/>
                <w:sz w:val="21"/>
                <w:szCs w:val="21"/>
                <w:lang w:val="en-US" w:eastAsia="zh-CN"/>
              </w:rPr>
              <w:t>.076</w:t>
            </w:r>
          </w:p>
        </w:tc>
        <w:tc>
          <w:tcPr>
            <w:tcW w:w="1641"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1</w:t>
            </w:r>
          </w:p>
        </w:tc>
        <w:tc>
          <w:tcPr>
            <w:tcW w:w="1144"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eastAsia" w:cs="Times New Roman"/>
                <w:snapToGrid w:val="0"/>
                <w:kern w:val="21"/>
                <w:sz w:val="21"/>
                <w:szCs w:val="21"/>
                <w:lang w:val="en-US" w:eastAsia="zh-CN" w:bidi="ar-SA"/>
              </w:rPr>
              <w:t>-0.066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pStyle w:val="198"/>
              <w:spacing w:beforeLines="0" w:afterLines="0" w:line="420" w:lineRule="exact"/>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kern w:val="21"/>
                <w:sz w:val="21"/>
                <w:szCs w:val="21"/>
              </w:rPr>
              <w:t>VOCs</w:t>
            </w:r>
          </w:p>
        </w:tc>
        <w:tc>
          <w:tcPr>
            <w:tcW w:w="1701" w:type="dxa"/>
            <w:vAlign w:val="center"/>
          </w:tcPr>
          <w:p>
            <w:pPr>
              <w:spacing w:beforeLines="0" w:afterLines="0"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 w:val="21"/>
                <w:szCs w:val="21"/>
                <w:lang w:val="en-US" w:eastAsia="zh-CN"/>
              </w:rPr>
              <w:t>0.</w:t>
            </w:r>
            <w:r>
              <w:rPr>
                <w:rFonts w:hint="eastAsia" w:cs="Times New Roman"/>
                <w:snapToGrid w:val="0"/>
                <w:kern w:val="21"/>
                <w:sz w:val="21"/>
                <w:szCs w:val="21"/>
                <w:lang w:val="en-US" w:eastAsia="zh-CN"/>
              </w:rPr>
              <w:t>41（有组织0.312）</w:t>
            </w:r>
          </w:p>
        </w:tc>
        <w:tc>
          <w:tcPr>
            <w:tcW w:w="1276" w:type="dxa"/>
            <w:vAlign w:val="center"/>
          </w:tcPr>
          <w:p>
            <w:pPr>
              <w:spacing w:beforeLines="0" w:afterLines="0" w:line="240" w:lineRule="auto"/>
              <w:jc w:val="center"/>
              <w:rPr>
                <w:rFonts w:hint="default" w:ascii="Times New Roman" w:hAnsi="Times New Roman" w:eastAsia="宋体" w:cs="Times New Roman"/>
                <w:snapToGrid w:val="0"/>
                <w:kern w:val="21"/>
                <w:sz w:val="21"/>
                <w:szCs w:val="21"/>
                <w:lang w:val="en-US" w:eastAsia="zh-CN" w:bidi="ar-SA"/>
              </w:rPr>
            </w:pPr>
            <w:r>
              <w:rPr>
                <w:rFonts w:hint="eastAsia" w:cs="Times New Roman"/>
                <w:snapToGrid w:val="0"/>
                <w:kern w:val="21"/>
                <w:sz w:val="21"/>
                <w:szCs w:val="21"/>
                <w:lang w:val="en-US" w:eastAsia="zh-CN"/>
              </w:rPr>
              <w:t>有组织0.3551</w:t>
            </w:r>
          </w:p>
        </w:tc>
        <w:tc>
          <w:tcPr>
            <w:tcW w:w="1701" w:type="dxa"/>
            <w:vAlign w:val="center"/>
          </w:tcPr>
          <w:p>
            <w:pPr>
              <w:pStyle w:val="198"/>
              <w:spacing w:beforeLines="0" w:afterLines="0" w:line="420" w:lineRule="exact"/>
              <w:jc w:val="center"/>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cs="Times New Roman"/>
                <w:snapToGrid w:val="0"/>
                <w:kern w:val="21"/>
                <w:sz w:val="21"/>
                <w:szCs w:val="21"/>
              </w:rPr>
              <w:t>0</w:t>
            </w:r>
          </w:p>
        </w:tc>
        <w:tc>
          <w:tcPr>
            <w:tcW w:w="1725"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47</w:t>
            </w:r>
          </w:p>
        </w:tc>
        <w:tc>
          <w:tcPr>
            <w:tcW w:w="1595" w:type="dxa"/>
            <w:vAlign w:val="center"/>
          </w:tcPr>
          <w:p>
            <w:pPr>
              <w:spacing w:beforeLines="0" w:afterLines="0" w:line="240" w:lineRule="auto"/>
              <w:jc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cs="Times New Roman"/>
                <w:snapToGrid w:val="0"/>
                <w:kern w:val="21"/>
                <w:sz w:val="21"/>
                <w:szCs w:val="21"/>
                <w:lang w:val="en-US" w:eastAsia="zh-CN"/>
              </w:rPr>
              <w:t>0.</w:t>
            </w:r>
            <w:r>
              <w:rPr>
                <w:rFonts w:hint="eastAsia" w:cs="Times New Roman"/>
                <w:snapToGrid w:val="0"/>
                <w:kern w:val="21"/>
                <w:sz w:val="21"/>
                <w:szCs w:val="21"/>
                <w:lang w:val="en-US" w:eastAsia="zh-CN"/>
              </w:rPr>
              <w:t>41（有组织0.312）</w:t>
            </w:r>
          </w:p>
        </w:tc>
        <w:tc>
          <w:tcPr>
            <w:tcW w:w="1641" w:type="dxa"/>
            <w:vAlign w:val="center"/>
          </w:tcPr>
          <w:p>
            <w:pPr>
              <w:keepNext w:val="0"/>
              <w:keepLines w:val="0"/>
              <w:widowControl/>
              <w:suppressLineNumbers w:val="0"/>
              <w:jc w:val="center"/>
              <w:textAlignment w:val="bottom"/>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47</w:t>
            </w:r>
          </w:p>
        </w:tc>
        <w:tc>
          <w:tcPr>
            <w:tcW w:w="1144" w:type="dxa"/>
            <w:vAlign w:val="center"/>
          </w:tcPr>
          <w:p>
            <w:pPr>
              <w:keepNext w:val="0"/>
              <w:keepLines w:val="0"/>
              <w:widowControl/>
              <w:suppressLineNumbers w:val="0"/>
              <w:jc w:val="center"/>
              <w:textAlignment w:val="center"/>
              <w:rPr>
                <w:rFonts w:hint="default" w:ascii="Times New Roman" w:hAnsi="Times New Roman" w:eastAsia="宋体" w:cs="Times New Roman"/>
                <w:snapToGrid w:val="0"/>
                <w:kern w:val="21"/>
                <w:sz w:val="21"/>
                <w:szCs w:val="21"/>
                <w:lang w:val="en-US" w:eastAsia="zh-CN" w:bidi="ar-SA"/>
              </w:rPr>
            </w:pPr>
            <w:r>
              <w:rPr>
                <w:rFonts w:hint="default" w:ascii="Times New Roman" w:hAnsi="Times New Roman" w:eastAsia="黑体" w:cs="Times New Roman"/>
                <w:i w:val="0"/>
                <w:iCs w:val="0"/>
                <w:color w:val="000000"/>
                <w:kern w:val="0"/>
                <w:sz w:val="21"/>
                <w:szCs w:val="21"/>
                <w:u w:val="none"/>
                <w:lang w:val="en-US" w:eastAsia="zh-CN" w:bidi="ar"/>
              </w:rPr>
              <w:t>+0.</w:t>
            </w:r>
            <w:r>
              <w:rPr>
                <w:rFonts w:hint="eastAsia" w:eastAsia="黑体" w:cs="Times New Roman"/>
                <w:i w:val="0"/>
                <w:iCs w:val="0"/>
                <w:color w:val="000000"/>
                <w:kern w:val="0"/>
                <w:sz w:val="21"/>
                <w:szCs w:val="21"/>
                <w:u w:val="none"/>
                <w:lang w:val="en-US" w:eastAsia="zh-CN" w:bidi="ar"/>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restart"/>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废水</w:t>
            </w:r>
          </w:p>
        </w:tc>
        <w:tc>
          <w:tcPr>
            <w:tcW w:w="2022" w:type="dxa"/>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COD</w:t>
            </w:r>
          </w:p>
        </w:tc>
        <w:tc>
          <w:tcPr>
            <w:tcW w:w="1701" w:type="dxa"/>
            <w:vAlign w:val="center"/>
          </w:tcPr>
          <w:p>
            <w:pPr>
              <w:spacing w:beforeLines="0" w:afterLines="0" w:line="420" w:lineRule="exact"/>
              <w:jc w:val="center"/>
              <w:rPr>
                <w:rFonts w:hint="default" w:ascii="Times New Roman" w:hAnsi="Times New Roman" w:eastAsia="宋体" w:cs="Times New Roman"/>
                <w:snapToGrid w:val="0"/>
                <w:kern w:val="21"/>
                <w:sz w:val="21"/>
                <w:szCs w:val="21"/>
                <w:lang w:val="en-US" w:eastAsia="zh-CN"/>
              </w:rPr>
            </w:pPr>
            <w:r>
              <w:rPr>
                <w:rFonts w:hint="default" w:ascii="Times New Roman" w:hAnsi="Times New Roman" w:cs="Times New Roman"/>
                <w:snapToGrid w:val="0"/>
                <w:kern w:val="21"/>
                <w:sz w:val="21"/>
                <w:szCs w:val="21"/>
              </w:rPr>
              <w:t>0</w:t>
            </w:r>
            <w:r>
              <w:rPr>
                <w:rFonts w:hint="eastAsia" w:cs="Times New Roman"/>
                <w:snapToGrid w:val="0"/>
                <w:kern w:val="21"/>
                <w:sz w:val="21"/>
                <w:szCs w:val="21"/>
                <w:lang w:val="en-US" w:eastAsia="zh-CN"/>
              </w:rPr>
              <w:t>.0199</w:t>
            </w:r>
          </w:p>
        </w:tc>
        <w:tc>
          <w:tcPr>
            <w:tcW w:w="1276" w:type="dxa"/>
            <w:vAlign w:val="center"/>
          </w:tcPr>
          <w:p>
            <w:pPr>
              <w:spacing w:beforeLines="0" w:afterLines="0" w:line="420" w:lineRule="exact"/>
              <w:jc w:val="center"/>
              <w:rPr>
                <w:rFonts w:hint="default" w:ascii="Times New Roman" w:hAnsi="Times New Roman" w:cs="Times New Roman"/>
                <w:snapToGrid w:val="0"/>
                <w:kern w:val="21"/>
                <w:sz w:val="21"/>
                <w:szCs w:val="21"/>
                <w:highlight w:val="none"/>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jc w:val="center"/>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0</w:t>
            </w:r>
          </w:p>
        </w:tc>
        <w:tc>
          <w:tcPr>
            <w:tcW w:w="1725" w:type="dxa"/>
            <w:vAlign w:val="center"/>
          </w:tcPr>
          <w:p>
            <w:pPr>
              <w:pStyle w:val="198"/>
              <w:spacing w:beforeLines="0" w:afterLines="0" w:line="420" w:lineRule="exact"/>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0.0199</w:t>
            </w:r>
          </w:p>
        </w:tc>
        <w:tc>
          <w:tcPr>
            <w:tcW w:w="1595" w:type="dxa"/>
            <w:vAlign w:val="center"/>
          </w:tcPr>
          <w:p>
            <w:pPr>
              <w:spacing w:beforeLines="0" w:afterLines="0" w:line="240" w:lineRule="auto"/>
              <w:jc w:val="center"/>
              <w:rPr>
                <w:rFonts w:hint="default" w:ascii="Times New Roman" w:hAnsi="Times New Roman" w:eastAsia="宋体" w:cs="Times New Roman"/>
                <w:snapToGrid w:val="0"/>
                <w:kern w:val="21"/>
                <w:sz w:val="21"/>
                <w:szCs w:val="21"/>
                <w:highlight w:val="none"/>
                <w:lang w:val="en-US" w:eastAsia="zh-CN"/>
              </w:rPr>
            </w:pPr>
            <w:r>
              <w:rPr>
                <w:rFonts w:hint="default" w:ascii="Times New Roman" w:hAnsi="Times New Roman" w:cs="Times New Roman"/>
                <w:snapToGrid w:val="0"/>
                <w:kern w:val="21"/>
                <w:sz w:val="21"/>
                <w:szCs w:val="21"/>
              </w:rPr>
              <w:t>0</w:t>
            </w:r>
            <w:r>
              <w:rPr>
                <w:rFonts w:hint="eastAsia" w:cs="Times New Roman"/>
                <w:snapToGrid w:val="0"/>
                <w:kern w:val="21"/>
                <w:sz w:val="21"/>
                <w:szCs w:val="21"/>
                <w:lang w:val="en-US" w:eastAsia="zh-CN"/>
              </w:rPr>
              <w:t>.0199</w:t>
            </w:r>
          </w:p>
        </w:tc>
        <w:tc>
          <w:tcPr>
            <w:tcW w:w="1641" w:type="dxa"/>
            <w:vAlign w:val="center"/>
          </w:tcPr>
          <w:p>
            <w:pPr>
              <w:pStyle w:val="198"/>
              <w:spacing w:beforeLines="0" w:afterLines="0" w:line="420" w:lineRule="exact"/>
              <w:rPr>
                <w:rFonts w:hint="default" w:ascii="Times New Roman" w:hAnsi="Times New Roman" w:cs="Times New Roman"/>
                <w:snapToGrid w:val="0"/>
                <w:kern w:val="21"/>
                <w:sz w:val="21"/>
                <w:szCs w:val="21"/>
                <w:highlight w:val="none"/>
              </w:rPr>
            </w:pPr>
            <w:r>
              <w:rPr>
                <w:rFonts w:hint="eastAsia" w:ascii="Times New Roman" w:hAnsi="Times New Roman" w:eastAsia="宋体" w:cs="Times New Roman"/>
                <w:i w:val="0"/>
                <w:iCs w:val="0"/>
                <w:color w:val="000000"/>
                <w:kern w:val="0"/>
                <w:sz w:val="21"/>
                <w:szCs w:val="21"/>
                <w:u w:val="none"/>
                <w:lang w:val="en-US" w:eastAsia="zh-CN" w:bidi="ar"/>
              </w:rPr>
              <w:t>0.0199</w:t>
            </w:r>
          </w:p>
        </w:tc>
        <w:tc>
          <w:tcPr>
            <w:tcW w:w="1144" w:type="dxa"/>
            <w:vAlign w:val="center"/>
          </w:tcPr>
          <w:p>
            <w:pPr>
              <w:pStyle w:val="198"/>
              <w:spacing w:beforeLines="0" w:afterLines="0" w:line="420" w:lineRule="exact"/>
              <w:rPr>
                <w:rFonts w:hint="eastAsia" w:ascii="Times New Roman" w:hAnsi="Times New Roman" w:eastAsia="宋体" w:cs="Times New Roman"/>
                <w:snapToGrid w:val="0"/>
                <w:kern w:val="21"/>
                <w:sz w:val="21"/>
                <w:szCs w:val="21"/>
                <w:highlight w:val="none"/>
                <w:lang w:val="en-US" w:eastAsia="zh-CN"/>
              </w:rPr>
            </w:pPr>
            <w:r>
              <w:rPr>
                <w:rFonts w:hint="eastAsia" w:ascii="Times New Roman" w:cs="Times New Roman"/>
                <w:snapToGrid w:val="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氨氮</w:t>
            </w:r>
          </w:p>
        </w:tc>
        <w:tc>
          <w:tcPr>
            <w:tcW w:w="1701" w:type="dxa"/>
            <w:vAlign w:val="center"/>
          </w:tcPr>
          <w:p>
            <w:pPr>
              <w:spacing w:beforeLines="0" w:afterLines="0" w:line="420" w:lineRule="exact"/>
              <w:jc w:val="center"/>
              <w:rPr>
                <w:rFonts w:hint="default" w:ascii="Times New Roman" w:hAnsi="Times New Roman" w:eastAsia="宋体" w:cs="Times New Roman"/>
                <w:snapToGrid w:val="0"/>
                <w:kern w:val="21"/>
                <w:sz w:val="21"/>
                <w:szCs w:val="21"/>
                <w:lang w:val="en-US" w:eastAsia="zh-CN"/>
              </w:rPr>
            </w:pPr>
            <w:r>
              <w:rPr>
                <w:rFonts w:hint="default" w:ascii="Times New Roman" w:hAnsi="Times New Roman" w:cs="Times New Roman"/>
                <w:snapToGrid w:val="0"/>
                <w:kern w:val="21"/>
                <w:sz w:val="21"/>
                <w:szCs w:val="21"/>
              </w:rPr>
              <w:t>0</w:t>
            </w:r>
            <w:r>
              <w:rPr>
                <w:rFonts w:hint="eastAsia" w:cs="Times New Roman"/>
                <w:snapToGrid w:val="0"/>
                <w:kern w:val="21"/>
                <w:sz w:val="21"/>
                <w:szCs w:val="21"/>
                <w:lang w:val="en-US" w:eastAsia="zh-CN"/>
              </w:rPr>
              <w:t>.0006</w:t>
            </w:r>
          </w:p>
        </w:tc>
        <w:tc>
          <w:tcPr>
            <w:tcW w:w="1276" w:type="dxa"/>
            <w:vAlign w:val="center"/>
          </w:tcPr>
          <w:p>
            <w:pPr>
              <w:spacing w:beforeLines="0" w:afterLines="0" w:line="420" w:lineRule="exact"/>
              <w:jc w:val="center"/>
              <w:rPr>
                <w:rFonts w:hint="default" w:ascii="Times New Roman" w:hAnsi="Times New Roman" w:cs="Times New Roman"/>
                <w:snapToGrid w:val="0"/>
                <w:kern w:val="21"/>
                <w:sz w:val="21"/>
                <w:szCs w:val="21"/>
                <w:highlight w:val="none"/>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jc w:val="center"/>
              <w:rPr>
                <w:rFonts w:hint="default" w:ascii="Times New Roman" w:hAnsi="Times New Roman" w:cs="Times New Roman"/>
                <w:snapToGrid w:val="0"/>
                <w:kern w:val="21"/>
                <w:sz w:val="21"/>
                <w:szCs w:val="21"/>
                <w:highlight w:val="none"/>
              </w:rPr>
            </w:pPr>
            <w:r>
              <w:rPr>
                <w:rFonts w:hint="default" w:ascii="Times New Roman" w:hAnsi="Times New Roman" w:cs="Times New Roman"/>
                <w:snapToGrid w:val="0"/>
                <w:kern w:val="21"/>
                <w:sz w:val="21"/>
                <w:szCs w:val="21"/>
                <w:highlight w:val="none"/>
              </w:rPr>
              <w:t>0</w:t>
            </w:r>
          </w:p>
        </w:tc>
        <w:tc>
          <w:tcPr>
            <w:tcW w:w="1725" w:type="dxa"/>
            <w:vAlign w:val="center"/>
          </w:tcPr>
          <w:p>
            <w:pPr>
              <w:pStyle w:val="198"/>
              <w:spacing w:beforeLines="0" w:afterLines="0" w:line="420" w:lineRule="exact"/>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.0006</w:t>
            </w:r>
          </w:p>
        </w:tc>
        <w:tc>
          <w:tcPr>
            <w:tcW w:w="1595" w:type="dxa"/>
            <w:vAlign w:val="center"/>
          </w:tcPr>
          <w:p>
            <w:pPr>
              <w:spacing w:beforeLines="0" w:afterLines="0" w:line="240" w:lineRule="auto"/>
              <w:jc w:val="center"/>
              <w:rPr>
                <w:rFonts w:hint="default" w:ascii="Times New Roman" w:hAnsi="Times New Roman" w:eastAsia="宋体" w:cs="Times New Roman"/>
                <w:snapToGrid w:val="0"/>
                <w:kern w:val="21"/>
                <w:sz w:val="21"/>
                <w:szCs w:val="21"/>
                <w:highlight w:val="none"/>
                <w:lang w:val="en-US" w:eastAsia="zh-CN"/>
              </w:rPr>
            </w:pPr>
            <w:r>
              <w:rPr>
                <w:rFonts w:hint="default" w:ascii="Times New Roman" w:hAnsi="Times New Roman" w:cs="Times New Roman"/>
                <w:snapToGrid w:val="0"/>
                <w:kern w:val="21"/>
                <w:sz w:val="21"/>
                <w:szCs w:val="21"/>
              </w:rPr>
              <w:t>0</w:t>
            </w:r>
            <w:r>
              <w:rPr>
                <w:rFonts w:hint="eastAsia" w:cs="Times New Roman"/>
                <w:snapToGrid w:val="0"/>
                <w:kern w:val="21"/>
                <w:sz w:val="21"/>
                <w:szCs w:val="21"/>
                <w:lang w:val="en-US" w:eastAsia="zh-CN"/>
              </w:rPr>
              <w:t>.0006</w:t>
            </w:r>
          </w:p>
        </w:tc>
        <w:tc>
          <w:tcPr>
            <w:tcW w:w="1641" w:type="dxa"/>
            <w:vAlign w:val="center"/>
          </w:tcPr>
          <w:p>
            <w:pPr>
              <w:pStyle w:val="198"/>
              <w:spacing w:beforeLines="0" w:afterLines="0" w:line="420" w:lineRule="exact"/>
              <w:rPr>
                <w:rFonts w:hint="default" w:ascii="Times New Roman" w:hAnsi="Times New Roman" w:cs="Times New Roman"/>
                <w:snapToGrid w:val="0"/>
                <w:kern w:val="21"/>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.0006</w:t>
            </w:r>
          </w:p>
        </w:tc>
        <w:tc>
          <w:tcPr>
            <w:tcW w:w="1144" w:type="dxa"/>
            <w:vAlign w:val="center"/>
          </w:tcPr>
          <w:p>
            <w:pPr>
              <w:pStyle w:val="198"/>
              <w:spacing w:beforeLines="0" w:afterLines="0" w:line="420" w:lineRule="exact"/>
              <w:rPr>
                <w:rFonts w:hint="eastAsia" w:ascii="Times New Roman" w:hAnsi="Times New Roman" w:eastAsia="宋体" w:cs="Times New Roman"/>
                <w:snapToGrid w:val="0"/>
                <w:kern w:val="21"/>
                <w:sz w:val="21"/>
                <w:szCs w:val="21"/>
                <w:highlight w:val="none"/>
                <w:lang w:val="en-US" w:eastAsia="zh-CN"/>
              </w:rPr>
            </w:pPr>
            <w:r>
              <w:rPr>
                <w:rFonts w:hint="eastAsia" w:ascii="Times New Roman" w:cs="Times New Roman"/>
                <w:snapToGrid w:val="0"/>
                <w:kern w:val="21"/>
                <w:sz w:val="21"/>
                <w:szCs w:val="21"/>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983" w:type="dxa"/>
            <w:vMerge w:val="restart"/>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一般工业固体废物</w:t>
            </w:r>
          </w:p>
        </w:tc>
        <w:tc>
          <w:tcPr>
            <w:tcW w:w="2022" w:type="dxa"/>
            <w:vAlign w:val="center"/>
          </w:tcPr>
          <w:p>
            <w:pPr>
              <w:autoSpaceDE w:val="0"/>
              <w:autoSpaceDN w:val="0"/>
              <w:adjustRightInd w:val="0"/>
              <w:spacing w:line="24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eastAsia="zh-CN"/>
              </w:rPr>
              <w:t>涤纶排管不合格品及下脚料</w:t>
            </w:r>
          </w:p>
        </w:tc>
        <w:tc>
          <w:tcPr>
            <w:tcW w:w="1701" w:type="dxa"/>
            <w:vAlign w:val="center"/>
          </w:tcPr>
          <w:p>
            <w:pPr>
              <w:pStyle w:val="198"/>
              <w:spacing w:beforeLines="0" w:afterLines="0" w:line="420" w:lineRule="exact"/>
              <w:rPr>
                <w:rFonts w:hint="default"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4</w:t>
            </w:r>
          </w:p>
        </w:tc>
        <w:tc>
          <w:tcPr>
            <w:tcW w:w="1276" w:type="dxa"/>
            <w:vAlign w:val="center"/>
          </w:tcPr>
          <w:p>
            <w:pPr>
              <w:spacing w:beforeLines="0" w:afterLines="0" w:line="420" w:lineRule="exact"/>
              <w:jc w:val="center"/>
              <w:rPr>
                <w:rFonts w:hint="default" w:ascii="Times New Roman" w:hAnsi="Times New Roman" w:cs="Times New Roman"/>
                <w:snapToGrid w:val="0"/>
                <w:kern w:val="21"/>
                <w:sz w:val="21"/>
                <w:szCs w:val="21"/>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0</w:t>
            </w:r>
          </w:p>
        </w:tc>
        <w:tc>
          <w:tcPr>
            <w:tcW w:w="1725"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w:t>
            </w:r>
          </w:p>
        </w:tc>
        <w:tc>
          <w:tcPr>
            <w:tcW w:w="1595" w:type="dxa"/>
            <w:vAlign w:val="center"/>
          </w:tcPr>
          <w:p>
            <w:pPr>
              <w:pStyle w:val="198"/>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4</w:t>
            </w:r>
          </w:p>
        </w:tc>
        <w:tc>
          <w:tcPr>
            <w:tcW w:w="1641"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w:t>
            </w:r>
          </w:p>
        </w:tc>
        <w:tc>
          <w:tcPr>
            <w:tcW w:w="1144"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autoSpaceDE w:val="0"/>
              <w:autoSpaceDN w:val="0"/>
              <w:adjustRightInd w:val="0"/>
              <w:spacing w:line="24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eastAsia="zh-CN"/>
              </w:rPr>
              <w:t>注塑不合格品</w:t>
            </w:r>
          </w:p>
        </w:tc>
        <w:tc>
          <w:tcPr>
            <w:tcW w:w="1701" w:type="dxa"/>
            <w:vAlign w:val="center"/>
          </w:tcPr>
          <w:p>
            <w:pPr>
              <w:pStyle w:val="198"/>
              <w:spacing w:beforeLines="0" w:afterLines="0" w:line="420" w:lineRule="exact"/>
              <w:rPr>
                <w:rFonts w:hint="default"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0.05</w:t>
            </w:r>
          </w:p>
        </w:tc>
        <w:tc>
          <w:tcPr>
            <w:tcW w:w="1276" w:type="dxa"/>
            <w:vAlign w:val="center"/>
          </w:tcPr>
          <w:p>
            <w:pPr>
              <w:spacing w:beforeLines="0" w:afterLines="0" w:line="420" w:lineRule="exact"/>
              <w:jc w:val="center"/>
              <w:rPr>
                <w:rFonts w:hint="default" w:ascii="Times New Roman" w:hAnsi="Times New Roman" w:cs="Times New Roman"/>
                <w:snapToGrid w:val="0"/>
                <w:kern w:val="21"/>
                <w:sz w:val="21"/>
                <w:szCs w:val="21"/>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0</w:t>
            </w:r>
          </w:p>
        </w:tc>
        <w:tc>
          <w:tcPr>
            <w:tcW w:w="1725"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0.05</w:t>
            </w:r>
          </w:p>
        </w:tc>
        <w:tc>
          <w:tcPr>
            <w:tcW w:w="1595" w:type="dxa"/>
            <w:vAlign w:val="center"/>
          </w:tcPr>
          <w:p>
            <w:pPr>
              <w:pStyle w:val="198"/>
              <w:spacing w:beforeLines="0" w:afterLines="0" w:line="240" w:lineRule="auto"/>
              <w:rPr>
                <w:rFonts w:hint="default"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0.05</w:t>
            </w:r>
          </w:p>
        </w:tc>
        <w:tc>
          <w:tcPr>
            <w:tcW w:w="1641"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0.05</w:t>
            </w:r>
          </w:p>
        </w:tc>
        <w:tc>
          <w:tcPr>
            <w:tcW w:w="1144"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autoSpaceDE w:val="0"/>
              <w:autoSpaceDN w:val="0"/>
              <w:adjustRightInd w:val="0"/>
              <w:spacing w:line="240" w:lineRule="exact"/>
              <w:jc w:val="center"/>
              <w:rPr>
                <w:rFonts w:hint="eastAsia"/>
                <w:sz w:val="21"/>
                <w:szCs w:val="21"/>
                <w:lang w:eastAsia="zh-CN"/>
              </w:rPr>
            </w:pPr>
            <w:r>
              <w:rPr>
                <w:rFonts w:hint="eastAsia"/>
                <w:sz w:val="21"/>
                <w:szCs w:val="21"/>
                <w:lang w:eastAsia="zh-CN"/>
              </w:rPr>
              <w:t>废原料包装袋</w:t>
            </w:r>
          </w:p>
        </w:tc>
        <w:tc>
          <w:tcPr>
            <w:tcW w:w="1701" w:type="dxa"/>
            <w:vAlign w:val="center"/>
          </w:tcPr>
          <w:p>
            <w:pPr>
              <w:pStyle w:val="198"/>
              <w:spacing w:beforeLines="0" w:afterLines="0" w:line="420" w:lineRule="exact"/>
              <w:rPr>
                <w:rFonts w:hint="default" w:ascii="Times New Roman" w:cs="Times New Roman"/>
                <w:snapToGrid w:val="0"/>
                <w:kern w:val="21"/>
                <w:sz w:val="21"/>
                <w:szCs w:val="21"/>
                <w:lang w:val="en-US" w:eastAsia="zh-CN"/>
              </w:rPr>
            </w:pPr>
            <w:r>
              <w:rPr>
                <w:rFonts w:hint="eastAsia" w:ascii="Times New Roman" w:cs="Times New Roman"/>
                <w:snapToGrid w:val="0"/>
                <w:kern w:val="21"/>
                <w:sz w:val="21"/>
                <w:szCs w:val="21"/>
                <w:lang w:val="en-US" w:eastAsia="zh-CN"/>
              </w:rPr>
              <w:t>0.1</w:t>
            </w:r>
          </w:p>
        </w:tc>
        <w:tc>
          <w:tcPr>
            <w:tcW w:w="1276" w:type="dxa"/>
            <w:vAlign w:val="center"/>
          </w:tcPr>
          <w:p>
            <w:pPr>
              <w:spacing w:beforeLines="0" w:afterLines="0" w:line="420" w:lineRule="exact"/>
              <w:jc w:val="center"/>
              <w:rPr>
                <w:rFonts w:hint="default" w:cs="Times New Roman"/>
                <w:snapToGrid w:val="0"/>
                <w:kern w:val="21"/>
                <w:sz w:val="21"/>
                <w:szCs w:val="21"/>
                <w:lang w:val="en-US" w:eastAsia="zh-CN"/>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rPr>
                <w:rFonts w:hint="eastAsia"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0</w:t>
            </w:r>
          </w:p>
        </w:tc>
        <w:tc>
          <w:tcPr>
            <w:tcW w:w="1725" w:type="dxa"/>
            <w:vAlign w:val="center"/>
          </w:tcPr>
          <w:p>
            <w:pPr>
              <w:autoSpaceDE w:val="0"/>
              <w:autoSpaceDN w:val="0"/>
              <w:adjustRightInd w:val="0"/>
              <w:spacing w:line="240" w:lineRule="exact"/>
              <w:jc w:val="center"/>
              <w:rPr>
                <w:rFonts w:hint="default" w:cs="Times New Roman"/>
                <w:kern w:val="2"/>
                <w:sz w:val="21"/>
                <w:szCs w:val="21"/>
                <w:lang w:val="en-US" w:eastAsia="zh-CN" w:bidi="ar-SA"/>
              </w:rPr>
            </w:pPr>
            <w:r>
              <w:rPr>
                <w:rFonts w:hint="eastAsia" w:cs="Times New Roman"/>
                <w:kern w:val="2"/>
                <w:sz w:val="21"/>
                <w:szCs w:val="21"/>
                <w:lang w:val="en-US" w:eastAsia="zh-CN" w:bidi="ar-SA"/>
              </w:rPr>
              <w:t>0.2</w:t>
            </w:r>
          </w:p>
        </w:tc>
        <w:tc>
          <w:tcPr>
            <w:tcW w:w="1595" w:type="dxa"/>
            <w:vAlign w:val="center"/>
          </w:tcPr>
          <w:p>
            <w:pPr>
              <w:pStyle w:val="198"/>
              <w:spacing w:beforeLines="0" w:afterLines="0" w:line="240" w:lineRule="auto"/>
              <w:rPr>
                <w:rFonts w:hint="default" w:ascii="Times New Roman" w:cs="Times New Roman"/>
                <w:snapToGrid w:val="0"/>
                <w:kern w:val="21"/>
                <w:sz w:val="21"/>
                <w:szCs w:val="21"/>
                <w:lang w:val="en-US" w:eastAsia="zh-CN"/>
              </w:rPr>
            </w:pPr>
            <w:r>
              <w:rPr>
                <w:rFonts w:hint="eastAsia" w:ascii="Times New Roman" w:cs="Times New Roman"/>
                <w:snapToGrid w:val="0"/>
                <w:kern w:val="21"/>
                <w:sz w:val="21"/>
                <w:szCs w:val="21"/>
                <w:lang w:val="en-US" w:eastAsia="zh-CN"/>
              </w:rPr>
              <w:t>0.2</w:t>
            </w:r>
          </w:p>
        </w:tc>
        <w:tc>
          <w:tcPr>
            <w:tcW w:w="1641" w:type="dxa"/>
            <w:vAlign w:val="center"/>
          </w:tcPr>
          <w:p>
            <w:pPr>
              <w:autoSpaceDE w:val="0"/>
              <w:autoSpaceDN w:val="0"/>
              <w:adjustRightInd w:val="0"/>
              <w:spacing w:line="240" w:lineRule="exact"/>
              <w:jc w:val="center"/>
              <w:rPr>
                <w:rFonts w:hint="default" w:cs="Times New Roman"/>
                <w:kern w:val="2"/>
                <w:sz w:val="21"/>
                <w:szCs w:val="21"/>
                <w:lang w:val="en-US" w:eastAsia="zh-CN" w:bidi="ar-SA"/>
              </w:rPr>
            </w:pPr>
            <w:r>
              <w:rPr>
                <w:rFonts w:hint="eastAsia" w:cs="Times New Roman"/>
                <w:kern w:val="2"/>
                <w:sz w:val="21"/>
                <w:szCs w:val="21"/>
                <w:lang w:val="en-US" w:eastAsia="zh-CN" w:bidi="ar-SA"/>
              </w:rPr>
              <w:t>0.2</w:t>
            </w:r>
          </w:p>
        </w:tc>
        <w:tc>
          <w:tcPr>
            <w:tcW w:w="1144" w:type="dxa"/>
            <w:vAlign w:val="center"/>
          </w:tcPr>
          <w:p>
            <w:pPr>
              <w:autoSpaceDE w:val="0"/>
              <w:autoSpaceDN w:val="0"/>
              <w:adjustRightInd w:val="0"/>
              <w:spacing w:line="240" w:lineRule="exact"/>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生活垃圾</w:t>
            </w:r>
          </w:p>
        </w:tc>
        <w:tc>
          <w:tcPr>
            <w:tcW w:w="1701" w:type="dxa"/>
            <w:vAlign w:val="center"/>
          </w:tcPr>
          <w:p>
            <w:pPr>
              <w:pStyle w:val="198"/>
              <w:spacing w:beforeLines="0" w:afterLines="0" w:line="420" w:lineRule="exact"/>
              <w:rPr>
                <w:rFonts w:hint="default"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5.7</w:t>
            </w:r>
          </w:p>
        </w:tc>
        <w:tc>
          <w:tcPr>
            <w:tcW w:w="1276" w:type="dxa"/>
            <w:vAlign w:val="center"/>
          </w:tcPr>
          <w:p>
            <w:pPr>
              <w:spacing w:beforeLines="0" w:afterLines="0" w:line="420" w:lineRule="exact"/>
              <w:jc w:val="center"/>
              <w:rPr>
                <w:rFonts w:hint="default" w:ascii="Times New Roman" w:hAnsi="Times New Roman" w:cs="Times New Roman"/>
                <w:snapToGrid w:val="0"/>
                <w:kern w:val="21"/>
                <w:sz w:val="21"/>
                <w:szCs w:val="21"/>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0</w:t>
            </w:r>
          </w:p>
        </w:tc>
        <w:tc>
          <w:tcPr>
            <w:tcW w:w="1725"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5.7</w:t>
            </w:r>
          </w:p>
        </w:tc>
        <w:tc>
          <w:tcPr>
            <w:tcW w:w="1595" w:type="dxa"/>
            <w:vAlign w:val="center"/>
          </w:tcPr>
          <w:p>
            <w:pPr>
              <w:pStyle w:val="198"/>
              <w:spacing w:beforeLines="0" w:afterLines="0" w:line="240" w:lineRule="auto"/>
              <w:rPr>
                <w:rFonts w:hint="eastAsia"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5.7</w:t>
            </w:r>
          </w:p>
        </w:tc>
        <w:tc>
          <w:tcPr>
            <w:tcW w:w="1641"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5.7</w:t>
            </w:r>
          </w:p>
        </w:tc>
        <w:tc>
          <w:tcPr>
            <w:tcW w:w="1144"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restart"/>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危险废物</w:t>
            </w:r>
          </w:p>
        </w:tc>
        <w:tc>
          <w:tcPr>
            <w:tcW w:w="2022" w:type="dxa"/>
            <w:vAlign w:val="center"/>
          </w:tcPr>
          <w:p>
            <w:pPr>
              <w:autoSpaceDE w:val="0"/>
              <w:autoSpaceDN w:val="0"/>
              <w:adjustRightInd w:val="0"/>
              <w:spacing w:line="240" w:lineRule="exact"/>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废</w:t>
            </w:r>
            <w:r>
              <w:rPr>
                <w:rFonts w:hint="eastAsia" w:ascii="Times New Roman" w:hAnsi="Times New Roman" w:cs="Times New Roman"/>
                <w:sz w:val="21"/>
                <w:szCs w:val="21"/>
                <w:lang w:val="en-US" w:eastAsia="zh-CN"/>
              </w:rPr>
              <w:t>UV灯管</w:t>
            </w:r>
          </w:p>
        </w:tc>
        <w:tc>
          <w:tcPr>
            <w:tcW w:w="1701" w:type="dxa"/>
            <w:vAlign w:val="center"/>
          </w:tcPr>
          <w:p>
            <w:pPr>
              <w:pStyle w:val="198"/>
              <w:spacing w:beforeLines="0" w:afterLines="0" w:line="420" w:lineRule="exact"/>
              <w:rPr>
                <w:rFonts w:hint="default" w:ascii="Times New Roman" w:hAnsi="Times New Roman" w:eastAsia="宋体" w:cs="Times New Roman"/>
                <w:snapToGrid w:val="0"/>
                <w:kern w:val="21"/>
                <w:sz w:val="21"/>
                <w:szCs w:val="21"/>
                <w:lang w:val="en-US" w:eastAsia="zh-CN"/>
              </w:rPr>
            </w:pPr>
            <w:r>
              <w:rPr>
                <w:rFonts w:hint="default" w:ascii="Times New Roman" w:hAnsi="Times New Roman" w:cs="Times New Roman"/>
                <w:snapToGrid w:val="0"/>
                <w:kern w:val="21"/>
                <w:sz w:val="21"/>
                <w:szCs w:val="21"/>
              </w:rPr>
              <w:t>0</w:t>
            </w:r>
            <w:r>
              <w:rPr>
                <w:rFonts w:hint="eastAsia" w:ascii="Times New Roman" w:cs="Times New Roman"/>
                <w:snapToGrid w:val="0"/>
                <w:kern w:val="21"/>
                <w:sz w:val="21"/>
                <w:szCs w:val="21"/>
                <w:lang w:val="en-US" w:eastAsia="zh-CN"/>
              </w:rPr>
              <w:t>.05</w:t>
            </w:r>
          </w:p>
        </w:tc>
        <w:tc>
          <w:tcPr>
            <w:tcW w:w="1276" w:type="dxa"/>
            <w:vAlign w:val="center"/>
          </w:tcPr>
          <w:p>
            <w:pPr>
              <w:spacing w:beforeLines="0" w:afterLines="0" w:line="420" w:lineRule="exact"/>
              <w:jc w:val="center"/>
              <w:rPr>
                <w:rFonts w:hint="default" w:ascii="Times New Roman" w:hAnsi="Times New Roman" w:cs="Times New Roman"/>
                <w:snapToGrid w:val="0"/>
                <w:kern w:val="21"/>
                <w:sz w:val="21"/>
                <w:szCs w:val="21"/>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rPr>
                <w:rFonts w:hint="default" w:ascii="Times New Roman" w:hAnsi="Times New Roman" w:cs="Times New Roman"/>
                <w:snapToGrid w:val="0"/>
                <w:kern w:val="21"/>
                <w:sz w:val="21"/>
                <w:szCs w:val="21"/>
              </w:rPr>
            </w:pPr>
            <w:r>
              <w:rPr>
                <w:rFonts w:hint="default" w:ascii="Times New Roman" w:hAnsi="Times New Roman" w:cs="Times New Roman"/>
                <w:snapToGrid w:val="0"/>
                <w:kern w:val="21"/>
                <w:sz w:val="21"/>
                <w:szCs w:val="21"/>
              </w:rPr>
              <w:t>0</w:t>
            </w:r>
          </w:p>
        </w:tc>
        <w:tc>
          <w:tcPr>
            <w:tcW w:w="1725"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w:t>
            </w:r>
          </w:p>
        </w:tc>
        <w:tc>
          <w:tcPr>
            <w:tcW w:w="1595" w:type="dxa"/>
            <w:vAlign w:val="center"/>
          </w:tcPr>
          <w:p>
            <w:pPr>
              <w:pStyle w:val="198"/>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kern w:val="21"/>
                <w:sz w:val="21"/>
                <w:szCs w:val="21"/>
                <w:lang w:val="en-US" w:eastAsia="zh-CN"/>
              </w:rPr>
            </w:pPr>
            <w:r>
              <w:rPr>
                <w:rFonts w:hint="default" w:ascii="Times New Roman" w:hAnsi="Times New Roman" w:cs="Times New Roman"/>
                <w:snapToGrid w:val="0"/>
                <w:kern w:val="21"/>
                <w:sz w:val="21"/>
                <w:szCs w:val="21"/>
              </w:rPr>
              <w:t>0</w:t>
            </w:r>
            <w:r>
              <w:rPr>
                <w:rFonts w:hint="eastAsia" w:ascii="Times New Roman" w:cs="Times New Roman"/>
                <w:snapToGrid w:val="0"/>
                <w:kern w:val="21"/>
                <w:sz w:val="21"/>
                <w:szCs w:val="21"/>
                <w:lang w:val="en-US" w:eastAsia="zh-CN"/>
              </w:rPr>
              <w:t>.05</w:t>
            </w:r>
          </w:p>
        </w:tc>
        <w:tc>
          <w:tcPr>
            <w:tcW w:w="1641"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w:t>
            </w:r>
          </w:p>
        </w:tc>
        <w:tc>
          <w:tcPr>
            <w:tcW w:w="1144" w:type="dxa"/>
            <w:vAlign w:val="center"/>
          </w:tcPr>
          <w:p>
            <w:pPr>
              <w:autoSpaceDE w:val="0"/>
              <w:autoSpaceDN w:val="0"/>
              <w:adjustRightInd w:val="0"/>
              <w:spacing w:line="240" w:lineRule="exact"/>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983" w:type="dxa"/>
            <w:vMerge w:val="continue"/>
            <w:vAlign w:val="center"/>
          </w:tcPr>
          <w:p>
            <w:pPr>
              <w:pStyle w:val="198"/>
              <w:spacing w:beforeLines="0" w:afterLines="0" w:line="420" w:lineRule="exact"/>
              <w:rPr>
                <w:rFonts w:hint="default" w:ascii="Times New Roman" w:hAnsi="Times New Roman" w:cs="Times New Roman"/>
                <w:snapToGrid w:val="0"/>
                <w:kern w:val="21"/>
                <w:sz w:val="21"/>
                <w:szCs w:val="21"/>
              </w:rPr>
            </w:pPr>
          </w:p>
        </w:tc>
        <w:tc>
          <w:tcPr>
            <w:tcW w:w="2022" w:type="dxa"/>
            <w:vAlign w:val="center"/>
          </w:tcPr>
          <w:p>
            <w:pPr>
              <w:autoSpaceDE w:val="0"/>
              <w:autoSpaceDN w:val="0"/>
              <w:adjustRightInd w:val="0"/>
              <w:spacing w:line="240" w:lineRule="exact"/>
              <w:jc w:val="center"/>
              <w:rPr>
                <w:rFonts w:hint="eastAsia" w:ascii="Times New Roman" w:hAnsi="Times New Roman" w:eastAsia="宋体" w:cs="Times New Roman"/>
                <w:sz w:val="21"/>
                <w:szCs w:val="21"/>
                <w:lang w:eastAsia="zh-CN"/>
              </w:rPr>
            </w:pPr>
            <w:r>
              <w:rPr>
                <w:rFonts w:hint="eastAsia" w:cs="Times New Roman"/>
                <w:sz w:val="21"/>
                <w:szCs w:val="21"/>
                <w:lang w:eastAsia="zh-CN"/>
              </w:rPr>
              <w:t>废活性炭</w:t>
            </w:r>
          </w:p>
        </w:tc>
        <w:tc>
          <w:tcPr>
            <w:tcW w:w="1701" w:type="dxa"/>
            <w:vAlign w:val="center"/>
          </w:tcPr>
          <w:p>
            <w:pPr>
              <w:pStyle w:val="198"/>
              <w:spacing w:beforeLines="0" w:afterLines="0" w:line="420" w:lineRule="exact"/>
              <w:rPr>
                <w:rFonts w:hint="default"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0</w:t>
            </w:r>
          </w:p>
        </w:tc>
        <w:tc>
          <w:tcPr>
            <w:tcW w:w="1276" w:type="dxa"/>
            <w:vAlign w:val="center"/>
          </w:tcPr>
          <w:p>
            <w:pPr>
              <w:spacing w:beforeLines="0" w:afterLines="0" w:line="420" w:lineRule="exact"/>
              <w:jc w:val="center"/>
              <w:rPr>
                <w:rFonts w:hint="eastAsia" w:ascii="Times New Roman" w:hAnsi="Times New Roman" w:eastAsia="宋体" w:cs="Times New Roman"/>
                <w:snapToGrid w:val="0"/>
                <w:kern w:val="21"/>
                <w:sz w:val="21"/>
                <w:szCs w:val="21"/>
                <w:lang w:val="en-US" w:eastAsia="zh-CN"/>
              </w:rPr>
            </w:pPr>
            <w:r>
              <w:rPr>
                <w:rFonts w:hint="eastAsia" w:cs="Times New Roman"/>
                <w:snapToGrid w:val="0"/>
                <w:kern w:val="21"/>
                <w:sz w:val="21"/>
                <w:szCs w:val="21"/>
                <w:lang w:val="en-US" w:eastAsia="zh-CN"/>
              </w:rPr>
              <w:t>/</w:t>
            </w:r>
          </w:p>
        </w:tc>
        <w:tc>
          <w:tcPr>
            <w:tcW w:w="1701" w:type="dxa"/>
            <w:vAlign w:val="center"/>
          </w:tcPr>
          <w:p>
            <w:pPr>
              <w:pStyle w:val="198"/>
              <w:spacing w:beforeLines="0" w:afterLines="0" w:line="420" w:lineRule="exact"/>
              <w:rPr>
                <w:rFonts w:hint="eastAsia" w:ascii="Times New Roman" w:hAnsi="Times New Roman" w:eastAsia="宋体" w:cs="Times New Roman"/>
                <w:snapToGrid w:val="0"/>
                <w:kern w:val="21"/>
                <w:sz w:val="21"/>
                <w:szCs w:val="21"/>
                <w:lang w:val="en-US" w:eastAsia="zh-CN"/>
              </w:rPr>
            </w:pPr>
            <w:r>
              <w:rPr>
                <w:rFonts w:hint="eastAsia" w:ascii="Times New Roman" w:cs="Times New Roman"/>
                <w:snapToGrid w:val="0"/>
                <w:kern w:val="21"/>
                <w:sz w:val="21"/>
                <w:szCs w:val="21"/>
                <w:lang w:val="en-US" w:eastAsia="zh-CN"/>
              </w:rPr>
              <w:t>0</w:t>
            </w:r>
          </w:p>
        </w:tc>
        <w:tc>
          <w:tcPr>
            <w:tcW w:w="1725" w:type="dxa"/>
            <w:vAlign w:val="center"/>
          </w:tcPr>
          <w:p>
            <w:pPr>
              <w:autoSpaceDE w:val="0"/>
              <w:autoSpaceDN w:val="0"/>
              <w:adjustRightInd w:val="0"/>
              <w:spacing w:line="240" w:lineRule="exact"/>
              <w:jc w:val="center"/>
              <w:rPr>
                <w:rFonts w:hint="default" w:cs="Times New Roman"/>
                <w:kern w:val="2"/>
                <w:sz w:val="21"/>
                <w:szCs w:val="21"/>
                <w:lang w:val="en-US" w:eastAsia="zh-CN" w:bidi="ar-SA"/>
              </w:rPr>
            </w:pPr>
            <w:r>
              <w:rPr>
                <w:rFonts w:hint="eastAsia" w:cs="Times New Roman"/>
                <w:kern w:val="2"/>
                <w:sz w:val="21"/>
                <w:szCs w:val="21"/>
                <w:lang w:val="en-US" w:eastAsia="zh-CN" w:bidi="ar-SA"/>
              </w:rPr>
              <w:t>5.2</w:t>
            </w:r>
          </w:p>
        </w:tc>
        <w:tc>
          <w:tcPr>
            <w:tcW w:w="1595" w:type="dxa"/>
            <w:vAlign w:val="center"/>
          </w:tcPr>
          <w:p>
            <w:pPr>
              <w:pStyle w:val="198"/>
              <w:spacing w:beforeLines="0" w:afterLines="0" w:line="240" w:lineRule="auto"/>
              <w:rPr>
                <w:rFonts w:hint="default" w:ascii="Times New Roman" w:cs="Times New Roman"/>
                <w:snapToGrid w:val="0"/>
                <w:kern w:val="21"/>
                <w:sz w:val="21"/>
                <w:szCs w:val="21"/>
                <w:lang w:val="en-US" w:eastAsia="zh-CN"/>
              </w:rPr>
            </w:pPr>
            <w:r>
              <w:rPr>
                <w:rFonts w:hint="eastAsia" w:ascii="Times New Roman" w:cs="Times New Roman"/>
                <w:snapToGrid w:val="0"/>
                <w:kern w:val="21"/>
                <w:sz w:val="21"/>
                <w:szCs w:val="21"/>
                <w:lang w:val="en-US" w:eastAsia="zh-CN"/>
              </w:rPr>
              <w:t>/</w:t>
            </w:r>
          </w:p>
        </w:tc>
        <w:tc>
          <w:tcPr>
            <w:tcW w:w="1641" w:type="dxa"/>
            <w:vAlign w:val="center"/>
          </w:tcPr>
          <w:p>
            <w:pPr>
              <w:autoSpaceDE w:val="0"/>
              <w:autoSpaceDN w:val="0"/>
              <w:adjustRightInd w:val="0"/>
              <w:spacing w:line="240" w:lineRule="exact"/>
              <w:jc w:val="center"/>
              <w:rPr>
                <w:rFonts w:hint="default" w:cs="Times New Roman"/>
                <w:sz w:val="21"/>
                <w:szCs w:val="21"/>
                <w:lang w:val="en-US" w:eastAsia="zh-CN"/>
              </w:rPr>
            </w:pPr>
            <w:r>
              <w:rPr>
                <w:rFonts w:hint="eastAsia" w:cs="Times New Roman"/>
                <w:sz w:val="21"/>
                <w:szCs w:val="21"/>
                <w:lang w:val="en-US" w:eastAsia="zh-CN"/>
              </w:rPr>
              <w:t>5.2</w:t>
            </w:r>
          </w:p>
        </w:tc>
        <w:tc>
          <w:tcPr>
            <w:tcW w:w="1144" w:type="dxa"/>
            <w:vAlign w:val="center"/>
          </w:tcPr>
          <w:p>
            <w:pPr>
              <w:autoSpaceDE w:val="0"/>
              <w:autoSpaceDN w:val="0"/>
              <w:adjustRightInd w:val="0"/>
              <w:spacing w:line="240" w:lineRule="exact"/>
              <w:jc w:val="center"/>
              <w:rPr>
                <w:rFonts w:hint="default" w:cs="Times New Roman"/>
                <w:sz w:val="21"/>
                <w:szCs w:val="21"/>
                <w:lang w:val="en-US" w:eastAsia="zh-CN"/>
              </w:rPr>
            </w:pPr>
            <w:r>
              <w:rPr>
                <w:rFonts w:hint="eastAsia" w:cs="Times New Roman"/>
                <w:sz w:val="21"/>
                <w:szCs w:val="21"/>
                <w:lang w:val="en-US" w:eastAsia="zh-CN"/>
              </w:rPr>
              <w:t>+5.2</w:t>
            </w:r>
          </w:p>
        </w:tc>
      </w:tr>
    </w:tbl>
    <w:p>
      <w:pPr>
        <w:pStyle w:val="198"/>
        <w:spacing w:beforeLines="80" w:after="31" w:line="420" w:lineRule="exact"/>
        <w:jc w:val="left"/>
        <w:rPr>
          <w:rFonts w:hAnsi="宋体"/>
          <w:snapToGrid w:val="0"/>
          <w:spacing w:val="-6"/>
          <w:kern w:val="21"/>
          <w:szCs w:val="21"/>
        </w:rPr>
        <w:sectPr>
          <w:footerReference r:id="rId4" w:type="default"/>
          <w:pgSz w:w="16838" w:h="11906" w:orient="landscape"/>
          <w:pgMar w:top="1417" w:right="1247" w:bottom="1417" w:left="1247" w:header="851" w:footer="992" w:gutter="0"/>
          <w:pgNumType w:fmt="numberInDash"/>
          <w:cols w:space="720" w:num="1"/>
          <w:docGrid w:type="lines" w:linePitch="312" w:charSpace="0"/>
        </w:sectPr>
      </w:pPr>
      <w:r>
        <w:rPr>
          <w:rFonts w:hint="eastAsia"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int="eastAsia"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pPr>
        <w:jc w:val="center"/>
        <w:rPr>
          <w:sz w:val="48"/>
          <w:szCs w:val="48"/>
        </w:rPr>
      </w:pPr>
      <w:bookmarkStart w:id="10" w:name="bookmark4"/>
      <w:bookmarkStart w:id="11" w:name="bookmark5"/>
      <w:bookmarkStart w:id="12" w:name="bookmark3"/>
    </w:p>
    <w:p>
      <w:pPr>
        <w:jc w:val="center"/>
        <w:rPr>
          <w:sz w:val="48"/>
          <w:szCs w:val="48"/>
        </w:rPr>
      </w:pPr>
    </w:p>
    <w:p>
      <w:pPr>
        <w:jc w:val="center"/>
        <w:rPr>
          <w:sz w:val="48"/>
          <w:szCs w:val="48"/>
        </w:rPr>
      </w:pPr>
    </w:p>
    <w:p>
      <w:pPr>
        <w:jc w:val="center"/>
        <w:rPr>
          <w:b/>
          <w:bCs/>
          <w:sz w:val="48"/>
          <w:szCs w:val="48"/>
          <w:lang w:eastAsia="zh-CN"/>
        </w:rPr>
      </w:pPr>
      <w:r>
        <w:rPr>
          <w:rFonts w:hint="eastAsia"/>
          <w:b/>
          <w:bCs/>
          <w:sz w:val="48"/>
          <w:szCs w:val="48"/>
          <w:lang w:eastAsia="zh-CN"/>
        </w:rPr>
        <w:t>年产20万平方米涤纶排管及电源连接线技改搬迁项目</w:t>
      </w:r>
    </w:p>
    <w:p>
      <w:pPr>
        <w:jc w:val="center"/>
        <w:rPr>
          <w:b/>
          <w:bCs/>
          <w:sz w:val="48"/>
          <w:szCs w:val="48"/>
          <w:lang w:val="zh-TW" w:eastAsia="zh-TW"/>
        </w:rPr>
      </w:pPr>
      <w:bookmarkStart w:id="13" w:name="bookmark0"/>
      <w:bookmarkStart w:id="14" w:name="bookmark2"/>
      <w:bookmarkStart w:id="15" w:name="bookmark1"/>
    </w:p>
    <w:p>
      <w:pPr>
        <w:jc w:val="center"/>
        <w:rPr>
          <w:b/>
          <w:bCs/>
          <w:sz w:val="48"/>
          <w:szCs w:val="48"/>
          <w:lang w:eastAsia="zh-CN"/>
        </w:rPr>
      </w:pPr>
      <w:r>
        <w:rPr>
          <w:b/>
          <w:bCs/>
          <w:sz w:val="48"/>
          <w:szCs w:val="48"/>
          <w:lang w:val="zh-TW" w:eastAsia="zh-TW"/>
        </w:rPr>
        <w:t>大气环境评价专题</w:t>
      </w:r>
      <w:bookmarkEnd w:id="13"/>
      <w:bookmarkEnd w:id="14"/>
      <w:bookmarkEnd w:id="15"/>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jc w:val="center"/>
        <w:rPr>
          <w:sz w:val="48"/>
          <w:szCs w:val="48"/>
          <w:lang w:eastAsia="zh-CN"/>
        </w:rPr>
      </w:pPr>
    </w:p>
    <w:p>
      <w:pPr>
        <w:jc w:val="center"/>
        <w:rPr>
          <w:sz w:val="30"/>
          <w:szCs w:val="30"/>
          <w:lang w:eastAsia="zh-CN"/>
        </w:rPr>
      </w:pPr>
      <w:r>
        <w:rPr>
          <w:rFonts w:hint="eastAsia"/>
          <w:sz w:val="30"/>
          <w:szCs w:val="30"/>
          <w:lang w:eastAsia="zh-CN"/>
        </w:rPr>
        <w:t>建设单位：淄博龙昊电源科技有限公司</w:t>
      </w:r>
    </w:p>
    <w:p>
      <w:pPr>
        <w:jc w:val="center"/>
        <w:rPr>
          <w:sz w:val="30"/>
          <w:szCs w:val="30"/>
          <w:lang w:eastAsia="zh-CN"/>
        </w:rPr>
      </w:pPr>
    </w:p>
    <w:p>
      <w:pPr>
        <w:jc w:val="center"/>
        <w:rPr>
          <w:sz w:val="30"/>
          <w:szCs w:val="30"/>
          <w:lang w:eastAsia="zh-CN"/>
        </w:rPr>
      </w:pPr>
      <w:r>
        <w:rPr>
          <w:rFonts w:hint="eastAsia"/>
          <w:sz w:val="30"/>
          <w:szCs w:val="30"/>
          <w:lang w:eastAsia="zh-CN"/>
        </w:rPr>
        <w:t>编制日期：二O</w:t>
      </w:r>
      <w:r>
        <w:rPr>
          <w:rFonts w:hint="eastAsia" w:eastAsia="宋体"/>
          <w:sz w:val="30"/>
          <w:szCs w:val="30"/>
          <w:lang w:eastAsia="zh-CN"/>
        </w:rPr>
        <w:t>二三</w:t>
      </w:r>
      <w:r>
        <w:rPr>
          <w:rFonts w:hint="eastAsia"/>
          <w:sz w:val="30"/>
          <w:szCs w:val="30"/>
          <w:lang w:eastAsia="zh-CN"/>
        </w:rPr>
        <w:t>年三月</w:t>
      </w:r>
    </w:p>
    <w:p>
      <w:pPr>
        <w:jc w:val="center"/>
        <w:rPr>
          <w:sz w:val="48"/>
          <w:szCs w:val="48"/>
          <w:lang w:eastAsia="zh-CN"/>
        </w:rPr>
      </w:pPr>
    </w:p>
    <w:p>
      <w:pPr>
        <w:rPr>
          <w:lang w:val="zh-TW" w:eastAsia="zh-TW"/>
        </w:rPr>
        <w:sectPr>
          <w:footerReference r:id="rId5" w:type="default"/>
          <w:pgSz w:w="11906" w:h="16838"/>
          <w:pgMar w:top="1440" w:right="1800" w:bottom="1440" w:left="1800" w:header="851" w:footer="992" w:gutter="0"/>
          <w:cols w:space="425" w:num="1"/>
          <w:docGrid w:type="lines" w:linePitch="312" w:charSpace="0"/>
        </w:sectPr>
      </w:pPr>
    </w:p>
    <w:p>
      <w:pPr>
        <w:spacing w:line="360" w:lineRule="auto"/>
        <w:rPr>
          <w:rFonts w:ascii="宋体" w:hAnsi="宋体" w:eastAsia="宋体" w:cs="宋体"/>
          <w:b/>
          <w:bCs/>
          <w:lang w:eastAsia="zh-CN"/>
        </w:rPr>
      </w:pPr>
      <w:r>
        <w:rPr>
          <w:rFonts w:hint="eastAsia" w:ascii="宋体" w:hAnsi="宋体" w:eastAsia="宋体" w:cs="宋体"/>
          <w:b/>
          <w:bCs/>
          <w:lang w:val="zh-TW" w:eastAsia="zh-TW"/>
        </w:rPr>
        <w:t>1评价目的</w:t>
      </w:r>
      <w:bookmarkEnd w:id="10"/>
      <w:bookmarkEnd w:id="11"/>
      <w:bookmarkEnd w:id="12"/>
    </w:p>
    <w:p>
      <w:pPr>
        <w:spacing w:line="360" w:lineRule="auto"/>
        <w:ind w:firstLine="420" w:firstLineChars="200"/>
        <w:rPr>
          <w:rFonts w:ascii="宋体" w:hAnsi="宋体" w:eastAsia="宋体" w:cs="宋体"/>
          <w:lang w:eastAsia="zh-CN"/>
        </w:rPr>
      </w:pPr>
      <w:r>
        <w:rPr>
          <w:rFonts w:hint="eastAsia" w:ascii="宋体" w:hAnsi="宋体" w:eastAsia="宋体" w:cs="宋体"/>
          <w:lang w:eastAsia="zh-CN"/>
        </w:rPr>
        <w:t>本大气环境评价专题的编制，旨在进一步分析说明</w:t>
      </w:r>
      <w:r>
        <w:rPr>
          <w:rFonts w:hint="eastAsia"/>
          <w:lang w:eastAsia="zh-CN"/>
        </w:rPr>
        <w:t>淄博龙昊电源科技有限公司年产20万平方米涤纶排管及电源连接线技改搬迁项目</w:t>
      </w:r>
      <w:r>
        <w:rPr>
          <w:rFonts w:hint="eastAsia" w:ascii="宋体" w:hAnsi="宋体" w:eastAsia="宋体" w:cs="宋体"/>
          <w:lang w:eastAsia="zh-CN"/>
        </w:rPr>
        <w:t>环境影响报告表中所不能详尽说明的大气环境问题，为环境保护行政主管部门的决策提供科学依据。</w:t>
      </w:r>
    </w:p>
    <w:p>
      <w:pPr>
        <w:spacing w:line="360" w:lineRule="auto"/>
        <w:rPr>
          <w:rFonts w:ascii="宋体" w:hAnsi="宋体" w:eastAsia="宋体" w:cs="宋体"/>
          <w:b/>
          <w:bCs/>
          <w:lang w:eastAsia="zh-CN"/>
        </w:rPr>
      </w:pPr>
      <w:bookmarkStart w:id="16" w:name="bookmark6"/>
      <w:bookmarkStart w:id="17" w:name="bookmark8"/>
      <w:bookmarkStart w:id="18" w:name="bookmark7"/>
      <w:r>
        <w:rPr>
          <w:rFonts w:hint="eastAsia" w:ascii="宋体" w:hAnsi="宋体" w:eastAsia="宋体" w:cs="宋体"/>
          <w:b/>
          <w:bCs/>
          <w:lang w:val="zh-TW" w:eastAsia="zh-TW"/>
        </w:rPr>
        <w:t>2编制依据</w:t>
      </w:r>
      <w:bookmarkEnd w:id="16"/>
      <w:bookmarkEnd w:id="17"/>
      <w:bookmarkEnd w:id="18"/>
    </w:p>
    <w:p>
      <w:pPr>
        <w:spacing w:line="360" w:lineRule="auto"/>
        <w:rPr>
          <w:rFonts w:eastAsia="宋体"/>
          <w:lang w:eastAsia="zh-CN"/>
        </w:rPr>
      </w:pPr>
      <w:bookmarkStart w:id="19" w:name="bookmark9"/>
      <w:bookmarkEnd w:id="19"/>
      <w:r>
        <w:rPr>
          <w:rFonts w:eastAsia="宋体"/>
          <w:lang w:eastAsia="zh-CN"/>
        </w:rPr>
        <w:t>（1）《环境影响评价技术导则总纲》(HJ2.1-2016)；</w:t>
      </w:r>
    </w:p>
    <w:p>
      <w:pPr>
        <w:spacing w:line="360" w:lineRule="auto"/>
        <w:rPr>
          <w:rFonts w:eastAsia="宋体"/>
          <w:lang w:eastAsia="zh-CN"/>
        </w:rPr>
      </w:pPr>
      <w:bookmarkStart w:id="20" w:name="bookmark10"/>
      <w:bookmarkEnd w:id="20"/>
      <w:r>
        <w:rPr>
          <w:rFonts w:eastAsia="宋体"/>
          <w:lang w:eastAsia="zh-CN"/>
        </w:rPr>
        <w:t>（2）《环境评价技术导则 大气环境》(HJ2.2.2018)；</w:t>
      </w:r>
    </w:p>
    <w:p>
      <w:pPr>
        <w:spacing w:line="360" w:lineRule="auto"/>
        <w:rPr>
          <w:rFonts w:eastAsia="宋体"/>
          <w:lang w:eastAsia="zh-CN"/>
        </w:rPr>
      </w:pPr>
      <w:bookmarkStart w:id="21" w:name="bookmark11"/>
      <w:bookmarkEnd w:id="21"/>
      <w:r>
        <w:rPr>
          <w:rFonts w:eastAsia="宋体"/>
          <w:lang w:eastAsia="zh-CN"/>
        </w:rPr>
        <w:t>（3）《中华人民共和国环境保护法》(2014年修订，2015年1</w:t>
      </w:r>
      <w:r>
        <w:rPr>
          <w:rFonts w:eastAsia="宋体"/>
          <w:lang w:val="zh-CN" w:eastAsia="zh-CN"/>
        </w:rPr>
        <w:t>月</w:t>
      </w:r>
      <w:r>
        <w:rPr>
          <w:rFonts w:eastAsia="宋体"/>
          <w:lang w:eastAsia="zh-CN"/>
        </w:rPr>
        <w:t>1日起实施)；</w:t>
      </w:r>
    </w:p>
    <w:p>
      <w:pPr>
        <w:spacing w:line="360" w:lineRule="auto"/>
        <w:rPr>
          <w:rFonts w:eastAsia="宋体"/>
          <w:lang w:eastAsia="zh-CN"/>
        </w:rPr>
      </w:pPr>
      <w:bookmarkStart w:id="22" w:name="bookmark12"/>
      <w:bookmarkEnd w:id="22"/>
      <w:r>
        <w:rPr>
          <w:rFonts w:eastAsia="宋体"/>
          <w:lang w:eastAsia="zh-CN"/>
        </w:rPr>
        <w:t>（4）《中华人民共和国大气污染防治法》(2018年10月26日修正实施)</w:t>
      </w:r>
      <w:r>
        <w:rPr>
          <w:rFonts w:hint="eastAsia" w:eastAsia="宋体"/>
          <w:lang w:eastAsia="zh-CN"/>
        </w:rPr>
        <w:t>；</w:t>
      </w:r>
    </w:p>
    <w:p>
      <w:pPr>
        <w:spacing w:line="360" w:lineRule="auto"/>
        <w:rPr>
          <w:rFonts w:eastAsia="宋体"/>
          <w:lang w:eastAsia="zh-CN"/>
        </w:rPr>
      </w:pPr>
      <w:bookmarkStart w:id="23" w:name="bookmark13"/>
      <w:bookmarkEnd w:id="23"/>
      <w:r>
        <w:rPr>
          <w:rFonts w:eastAsia="宋体"/>
          <w:lang w:eastAsia="zh-CN"/>
        </w:rPr>
        <w:t>（5）《国务院关于印发大气污染防治行动计划的通知》(国发(2013) 37号，2013年9月10日印发)</w:t>
      </w:r>
      <w:r>
        <w:rPr>
          <w:rFonts w:hint="eastAsia" w:eastAsia="宋体"/>
          <w:lang w:eastAsia="zh-CN"/>
        </w:rPr>
        <w:t>；</w:t>
      </w:r>
    </w:p>
    <w:p>
      <w:pPr>
        <w:spacing w:line="360" w:lineRule="auto"/>
        <w:rPr>
          <w:rFonts w:eastAsia="宋体"/>
          <w:lang w:eastAsia="zh-CN"/>
        </w:rPr>
      </w:pPr>
      <w:r>
        <w:rPr>
          <w:rFonts w:hint="eastAsia" w:eastAsia="宋体"/>
          <w:lang w:eastAsia="zh-CN"/>
        </w:rPr>
        <w:t>（</w:t>
      </w:r>
      <w:r>
        <w:rPr>
          <w:rFonts w:eastAsia="宋体"/>
          <w:lang w:eastAsia="zh-CN"/>
        </w:rPr>
        <w:t>6</w:t>
      </w:r>
      <w:r>
        <w:rPr>
          <w:rFonts w:hint="eastAsia" w:eastAsia="宋体"/>
          <w:lang w:eastAsia="zh-CN"/>
        </w:rPr>
        <w:t>）</w:t>
      </w:r>
      <w:r>
        <w:rPr>
          <w:rFonts w:eastAsia="宋体"/>
          <w:lang w:eastAsia="zh-CN"/>
        </w:rPr>
        <w:t>《关于落实大气污染防治行动计划严格环境影响评价准入的通知》(环办(2014) 30号，2014年3月25日印发)</w:t>
      </w:r>
      <w:r>
        <w:rPr>
          <w:rFonts w:hint="eastAsia" w:eastAsia="宋体"/>
          <w:lang w:eastAsia="zh-CN"/>
        </w:rPr>
        <w:t>；</w:t>
      </w:r>
    </w:p>
    <w:p>
      <w:pPr>
        <w:spacing w:line="360" w:lineRule="auto"/>
        <w:rPr>
          <w:rFonts w:eastAsia="宋体"/>
          <w:lang w:val="zh-TW" w:eastAsia="zh-CN"/>
        </w:rPr>
      </w:pPr>
      <w:bookmarkStart w:id="24" w:name="bookmark14"/>
      <w:bookmarkStart w:id="25" w:name="bookmark15"/>
      <w:bookmarkStart w:id="26" w:name="bookmark16"/>
      <w:r>
        <w:rPr>
          <w:rFonts w:eastAsia="宋体"/>
          <w:lang w:val="zh-TW" w:eastAsia="zh-CN"/>
        </w:rPr>
        <w:t>（</w:t>
      </w:r>
      <w:r>
        <w:rPr>
          <w:rFonts w:eastAsia="宋体"/>
          <w:lang w:eastAsia="zh-CN"/>
        </w:rPr>
        <w:t>7</w:t>
      </w:r>
      <w:r>
        <w:rPr>
          <w:rFonts w:eastAsia="宋体"/>
          <w:lang w:val="zh-TW" w:eastAsia="zh-CN"/>
        </w:rPr>
        <w:t>）《</w:t>
      </w:r>
      <w:r>
        <w:rPr>
          <w:rFonts w:eastAsia="宋体"/>
          <w:lang w:eastAsia="zh-CN"/>
        </w:rPr>
        <w:t>建设项目环境影响报告表编制技术指南（污染影响类）（试行）</w:t>
      </w:r>
      <w:r>
        <w:rPr>
          <w:rFonts w:eastAsia="宋体"/>
          <w:lang w:val="zh-TW" w:eastAsia="zh-CN"/>
        </w:rPr>
        <w:t>》</w:t>
      </w:r>
      <w:r>
        <w:rPr>
          <w:rFonts w:hint="eastAsia" w:eastAsia="宋体"/>
          <w:lang w:val="zh-TW" w:eastAsia="zh-CN"/>
        </w:rPr>
        <w:t>。</w:t>
      </w:r>
    </w:p>
    <w:p>
      <w:pPr>
        <w:keepNext/>
        <w:keepLines/>
        <w:adjustRightInd w:val="0"/>
        <w:snapToGrid w:val="0"/>
        <w:spacing w:line="360" w:lineRule="auto"/>
        <w:outlineLvl w:val="1"/>
        <w:rPr>
          <w:rFonts w:eastAsia="宋体"/>
          <w:b/>
          <w:bCs/>
          <w:lang w:val="zh-TW" w:eastAsia="zh-CN" w:bidi="zh-TW"/>
        </w:rPr>
      </w:pPr>
      <w:r>
        <w:rPr>
          <w:b/>
          <w:bCs/>
          <w:lang w:val="zh-TW" w:eastAsia="zh-TW" w:bidi="zh-TW"/>
        </w:rPr>
        <w:t>3</w:t>
      </w:r>
      <w:bookmarkEnd w:id="24"/>
      <w:bookmarkEnd w:id="25"/>
      <w:bookmarkEnd w:id="26"/>
      <w:bookmarkStart w:id="27" w:name="_Toc87343674"/>
      <w:r>
        <w:rPr>
          <w:rFonts w:hint="eastAsia" w:eastAsia="宋体"/>
          <w:b/>
          <w:bCs/>
          <w:lang w:val="zh-TW" w:eastAsia="zh-CN" w:bidi="zh-TW"/>
        </w:rPr>
        <w:t>评价等级与范围</w:t>
      </w:r>
    </w:p>
    <w:p>
      <w:pPr>
        <w:keepNext/>
        <w:keepLines/>
        <w:widowControl/>
        <w:adjustRightInd w:val="0"/>
        <w:snapToGrid w:val="0"/>
        <w:spacing w:line="360" w:lineRule="auto"/>
        <w:outlineLvl w:val="3"/>
        <w:rPr>
          <w:rFonts w:eastAsiaTheme="minorEastAsia"/>
          <w:b/>
          <w:bCs/>
          <w:lang w:eastAsia="zh-CN"/>
        </w:rPr>
      </w:pPr>
      <w:r>
        <w:rPr>
          <w:rFonts w:hint="eastAsia" w:eastAsiaTheme="minorEastAsia"/>
          <w:b/>
          <w:bCs/>
          <w:lang w:eastAsia="zh-CN"/>
        </w:rPr>
        <w:t>3</w:t>
      </w:r>
      <w:r>
        <w:rPr>
          <w:rFonts w:eastAsiaTheme="minorEastAsia"/>
          <w:b/>
          <w:bCs/>
          <w:lang w:eastAsia="zh-CN"/>
        </w:rPr>
        <w:t>.1 环境影响识别与评价因子筛选</w:t>
      </w:r>
    </w:p>
    <w:p>
      <w:pPr>
        <w:adjustRightInd w:val="0"/>
        <w:snapToGrid w:val="0"/>
        <w:spacing w:line="360" w:lineRule="auto"/>
        <w:ind w:firstLine="420" w:firstLineChars="200"/>
        <w:rPr>
          <w:rFonts w:eastAsiaTheme="minorEastAsia"/>
          <w:lang w:eastAsia="zh-CN"/>
        </w:rPr>
      </w:pPr>
      <w:r>
        <w:rPr>
          <w:rFonts w:eastAsiaTheme="minorEastAsia"/>
          <w:lang w:eastAsia="zh-CN"/>
        </w:rPr>
        <w:t>根据导则要求对本项目大气环境影响因素进行识别，筛选大气环境影响评价因子，本项目评价因子选取项目有组织和无组织排放的基本污染物和其他污染物中有环境质量标准的所有因子，</w:t>
      </w:r>
      <w:r>
        <w:rPr>
          <w:rFonts w:hint="eastAsia" w:eastAsiaTheme="minorEastAsia"/>
          <w:lang w:eastAsia="zh-CN"/>
        </w:rPr>
        <w:t>根据环境影响报告表主要环境影响和保护措施章节内容，</w:t>
      </w:r>
      <w:r>
        <w:rPr>
          <w:lang w:eastAsia="zh-CN"/>
        </w:rPr>
        <w:t>项目产生的主要大气污染物</w:t>
      </w:r>
      <w:r>
        <w:rPr>
          <w:rFonts w:eastAsiaTheme="minorEastAsia"/>
          <w:lang w:eastAsia="zh-CN"/>
        </w:rPr>
        <w:t>为</w:t>
      </w:r>
      <w:r>
        <w:rPr>
          <w:rFonts w:hint="eastAsia" w:eastAsiaTheme="minorEastAsia"/>
          <w:lang w:val="en-US" w:eastAsia="zh-CN"/>
        </w:rPr>
        <w:t>VOCs</w:t>
      </w:r>
      <w:r>
        <w:rPr>
          <w:rFonts w:hint="eastAsia" w:eastAsiaTheme="minorEastAsia"/>
          <w:lang w:eastAsia="zh-CN"/>
        </w:rPr>
        <w:t>（含苯酚、甲醛）</w:t>
      </w:r>
      <w:r>
        <w:rPr>
          <w:rFonts w:eastAsiaTheme="minorEastAsia"/>
          <w:lang w:eastAsia="zh-CN"/>
        </w:rPr>
        <w:t>。</w:t>
      </w:r>
    </w:p>
    <w:p>
      <w:pPr>
        <w:keepNext/>
        <w:keepLines/>
        <w:widowControl/>
        <w:adjustRightInd w:val="0"/>
        <w:snapToGrid w:val="0"/>
        <w:spacing w:line="360" w:lineRule="auto"/>
        <w:outlineLvl w:val="3"/>
        <w:rPr>
          <w:rFonts w:eastAsiaTheme="minorEastAsia"/>
          <w:b/>
          <w:bCs/>
          <w:lang w:eastAsia="zh-CN"/>
        </w:rPr>
      </w:pPr>
      <w:r>
        <w:rPr>
          <w:rFonts w:hint="eastAsia" w:eastAsiaTheme="minorEastAsia"/>
          <w:b/>
          <w:bCs/>
          <w:lang w:eastAsia="zh-CN"/>
        </w:rPr>
        <w:t>3.2评价标准的确定</w:t>
      </w:r>
    </w:p>
    <w:p>
      <w:pPr>
        <w:pStyle w:val="2"/>
        <w:ind w:left="0" w:leftChars="0" w:firstLine="480"/>
        <w:rPr>
          <w:lang w:eastAsia="zh-CN"/>
        </w:rPr>
      </w:pPr>
      <w:r>
        <w:rPr>
          <w:rFonts w:hint="eastAsia"/>
          <w:lang w:eastAsia="zh-CN"/>
        </w:rPr>
        <w:t>本项目大气环境影响评价因子非甲烷总烃、甲醛、苯酚执行的评价标准如下。</w:t>
      </w:r>
    </w:p>
    <w:p>
      <w:pPr>
        <w:jc w:val="center"/>
        <w:rPr>
          <w:rFonts w:hint="eastAsia"/>
          <w:b/>
          <w:bCs/>
          <w:lang w:eastAsia="zh-CN"/>
        </w:rPr>
      </w:pPr>
      <w:r>
        <w:rPr>
          <w:rFonts w:hint="eastAsia"/>
          <w:b/>
          <w:bCs/>
          <w:lang w:val="en-US" w:eastAsia="zh-CN"/>
        </w:rPr>
        <w:t xml:space="preserve">    </w:t>
      </w:r>
      <w:r>
        <w:rPr>
          <w:rFonts w:hint="eastAsia"/>
          <w:b/>
          <w:bCs/>
          <w:lang w:eastAsia="zh-CN"/>
        </w:rPr>
        <w:t>表3.2.1  大气环境影响评价因子标准及限值</w:t>
      </w:r>
      <w:r>
        <w:rPr>
          <w:rFonts w:hint="eastAsia"/>
          <w:b/>
          <w:bCs/>
          <w:lang w:val="en-US" w:eastAsia="zh-CN"/>
        </w:rPr>
        <w:t xml:space="preserve">      </w:t>
      </w:r>
      <w:r>
        <w:rPr>
          <w:rFonts w:hint="default" w:ascii="Times New Roman" w:hAnsi="Times New Roman" w:eastAsia="黑体" w:cs="Times New Roman"/>
          <w:kern w:val="0"/>
          <w:sz w:val="21"/>
          <w:szCs w:val="21"/>
        </w:rPr>
        <w:t>单位：</w:t>
      </w:r>
      <w:r>
        <w:rPr>
          <w:rFonts w:ascii="Times New Roman" w:hAnsi="Times New Roman"/>
          <w:sz w:val="21"/>
          <w:szCs w:val="21"/>
        </w:rPr>
        <w:t>μg</w:t>
      </w:r>
      <w:r>
        <w:rPr>
          <w:rFonts w:hint="default" w:ascii="Times New Roman" w:hAnsi="Times New Roman" w:eastAsia="黑体" w:cs="Times New Roman"/>
          <w:kern w:val="0"/>
          <w:sz w:val="21"/>
          <w:szCs w:val="21"/>
        </w:rPr>
        <w:t>/Nm</w:t>
      </w:r>
      <w:r>
        <w:rPr>
          <w:rFonts w:hint="default" w:ascii="Times New Roman" w:hAnsi="Times New Roman" w:eastAsia="黑体" w:cs="Times New Roman"/>
          <w:kern w:val="0"/>
          <w:sz w:val="21"/>
          <w:szCs w:val="21"/>
          <w:vertAlign w:val="superscript"/>
        </w:rPr>
        <w:t>3</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418"/>
        <w:gridCol w:w="1589"/>
        <w:gridCol w:w="1282"/>
        <w:gridCol w:w="3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87"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763"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小时浓度</w:t>
            </w:r>
          </w:p>
        </w:tc>
        <w:tc>
          <w:tcPr>
            <w:tcW w:w="855"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日均浓度</w:t>
            </w:r>
          </w:p>
        </w:tc>
        <w:tc>
          <w:tcPr>
            <w:tcW w:w="690"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年均浓度</w:t>
            </w:r>
          </w:p>
        </w:tc>
        <w:tc>
          <w:tcPr>
            <w:tcW w:w="200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87" w:type="pct"/>
            <w:noWrap w:val="0"/>
            <w:vAlign w:val="center"/>
          </w:tcPr>
          <w:p>
            <w:pPr>
              <w:adjustRightInd w:val="0"/>
              <w:snapToGrid w:val="0"/>
              <w:spacing w:line="360" w:lineRule="exact"/>
              <w:ind w:firstLine="0" w:firstLineChars="0"/>
              <w:jc w:val="center"/>
              <w:rPr>
                <w:rFonts w:hint="eastAsia" w:ascii="Times New Roman" w:hAnsi="Times New Roman" w:eastAsia="宋体" w:cs="Times New Roman"/>
                <w:sz w:val="21"/>
                <w:szCs w:val="21"/>
                <w:lang w:eastAsia="zh-CN"/>
              </w:rPr>
            </w:pPr>
            <w:r>
              <w:rPr>
                <w:rFonts w:hint="eastAsia" w:eastAsia="宋体" w:cs="Times New Roman"/>
                <w:sz w:val="21"/>
                <w:szCs w:val="21"/>
                <w:lang w:eastAsia="zh-CN"/>
              </w:rPr>
              <w:t>甲醛</w:t>
            </w:r>
          </w:p>
        </w:tc>
        <w:tc>
          <w:tcPr>
            <w:tcW w:w="763" w:type="pct"/>
            <w:noWrap w:val="0"/>
            <w:vAlign w:val="center"/>
          </w:tcPr>
          <w:p>
            <w:pPr>
              <w:adjustRightInd w:val="0"/>
              <w:snapToGrid w:val="0"/>
              <w:spacing w:line="360" w:lineRule="exact"/>
              <w:ind w:firstLine="0" w:firstLineChars="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50</w:t>
            </w:r>
          </w:p>
        </w:tc>
        <w:tc>
          <w:tcPr>
            <w:tcW w:w="855" w:type="pct"/>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690" w:type="pct"/>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200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参考《环境影响评价技术导则-大气环境》（HJ2.2-2018）附录D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87" w:type="pct"/>
            <w:noWrap w:val="0"/>
            <w:vAlign w:val="center"/>
          </w:tcPr>
          <w:p>
            <w:pPr>
              <w:adjustRightInd w:val="0"/>
              <w:snapToGrid w:val="0"/>
              <w:spacing w:line="360" w:lineRule="exact"/>
              <w:ind w:firstLine="0" w:firstLineChars="0"/>
              <w:jc w:val="center"/>
              <w:rPr>
                <w:rFonts w:hint="eastAsia" w:eastAsia="宋体" w:cs="Times New Roman"/>
                <w:sz w:val="21"/>
                <w:szCs w:val="21"/>
                <w:lang w:eastAsia="zh-CN"/>
              </w:rPr>
            </w:pPr>
            <w:r>
              <w:rPr>
                <w:rFonts w:hint="eastAsia" w:eastAsia="宋体" w:cs="Times New Roman"/>
                <w:sz w:val="21"/>
                <w:szCs w:val="21"/>
                <w:lang w:eastAsia="zh-CN"/>
              </w:rPr>
              <w:t>酚类</w:t>
            </w:r>
          </w:p>
        </w:tc>
        <w:tc>
          <w:tcPr>
            <w:tcW w:w="763" w:type="pct"/>
            <w:noWrap w:val="0"/>
            <w:vAlign w:val="center"/>
          </w:tcPr>
          <w:p>
            <w:pPr>
              <w:adjustRightInd w:val="0"/>
              <w:snapToGrid w:val="0"/>
              <w:spacing w:line="360" w:lineRule="exact"/>
              <w:ind w:firstLine="0" w:firstLineChars="0"/>
              <w:jc w:val="center"/>
              <w:rPr>
                <w:rFonts w:hint="default" w:eastAsia="宋体" w:cs="Times New Roman"/>
                <w:sz w:val="21"/>
                <w:szCs w:val="21"/>
                <w:lang w:val="en-US" w:eastAsia="zh-CN"/>
              </w:rPr>
            </w:pPr>
            <w:r>
              <w:rPr>
                <w:rFonts w:hint="eastAsia" w:eastAsia="宋体" w:cs="Times New Roman"/>
                <w:sz w:val="21"/>
                <w:szCs w:val="21"/>
                <w:lang w:val="en-US" w:eastAsia="zh-CN"/>
              </w:rPr>
              <w:t>20</w:t>
            </w:r>
          </w:p>
        </w:tc>
        <w:tc>
          <w:tcPr>
            <w:tcW w:w="855" w:type="pct"/>
            <w:noWrap w:val="0"/>
            <w:vAlign w:val="center"/>
          </w:tcPr>
          <w:p>
            <w:pPr>
              <w:spacing w:line="360" w:lineRule="exact"/>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690" w:type="pct"/>
            <w:noWrap w:val="0"/>
            <w:vAlign w:val="center"/>
          </w:tcPr>
          <w:p>
            <w:pPr>
              <w:spacing w:line="360" w:lineRule="exact"/>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2002" w:type="pct"/>
            <w:noWrap w:val="0"/>
            <w:vAlign w:val="center"/>
          </w:tcPr>
          <w:p>
            <w:pPr>
              <w:spacing w:line="360" w:lineRule="exact"/>
              <w:jc w:val="center"/>
              <w:rPr>
                <w:rFonts w:hint="eastAsia" w:ascii="Times New Roman" w:hAnsi="Times New Roman" w:eastAsia="宋体" w:cs="Times New Roman"/>
                <w:sz w:val="21"/>
                <w:szCs w:val="21"/>
                <w:lang w:eastAsia="zh-CN"/>
              </w:rPr>
            </w:pPr>
            <w:r>
              <w:rPr>
                <w:rFonts w:hint="eastAsia" w:eastAsia="宋体" w:cs="Times New Roman"/>
                <w:sz w:val="21"/>
                <w:szCs w:val="21"/>
                <w:lang w:eastAsia="zh-CN"/>
              </w:rPr>
              <w:t>参考《工业企业涉及卫生标准》（</w:t>
            </w:r>
            <w:r>
              <w:rPr>
                <w:rFonts w:hint="eastAsia" w:eastAsia="宋体" w:cs="Times New Roman"/>
                <w:sz w:val="21"/>
                <w:szCs w:val="21"/>
                <w:lang w:val="en-US" w:eastAsia="zh-CN"/>
              </w:rPr>
              <w:t>TJ36-79</w:t>
            </w:r>
            <w:r>
              <w:rPr>
                <w:rFonts w:hint="eastAsia"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87"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非甲烷总烃</w:t>
            </w:r>
          </w:p>
        </w:tc>
        <w:tc>
          <w:tcPr>
            <w:tcW w:w="763" w:type="pct"/>
            <w:noWrap w:val="0"/>
            <w:vAlign w:val="center"/>
          </w:tcPr>
          <w:p>
            <w:pPr>
              <w:spacing w:line="360" w:lineRule="exact"/>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2000</w:t>
            </w:r>
          </w:p>
        </w:tc>
        <w:tc>
          <w:tcPr>
            <w:tcW w:w="855"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690"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200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参考《大气污染物综合排放标准详解》</w:t>
            </w:r>
          </w:p>
        </w:tc>
      </w:tr>
    </w:tbl>
    <w:p>
      <w:pPr>
        <w:rPr>
          <w:lang w:eastAsia="zh-CN"/>
        </w:rPr>
      </w:pPr>
    </w:p>
    <w:p>
      <w:pPr>
        <w:spacing w:line="360" w:lineRule="auto"/>
        <w:ind w:firstLine="480" w:firstLineChars="200"/>
        <w:rPr>
          <w:lang w:eastAsia="zh-CN"/>
        </w:rPr>
      </w:pPr>
      <w:r>
        <w:rPr>
          <w:rFonts w:hint="eastAsia"/>
          <w:sz w:val="24"/>
          <w:szCs w:val="24"/>
          <w:lang w:eastAsia="zh-CN"/>
        </w:rPr>
        <w:t>非甲烷总</w:t>
      </w:r>
      <w:r>
        <w:rPr>
          <w:rFonts w:hint="eastAsia"/>
          <w:lang w:eastAsia="zh-CN"/>
        </w:rPr>
        <w:t>烃、酚类参照</w:t>
      </w:r>
      <w:bookmarkStart w:id="48" w:name="_GoBack"/>
      <w:r>
        <w:rPr>
          <w:rFonts w:hint="eastAsia"/>
          <w:lang w:eastAsia="zh-CN"/>
        </w:rPr>
        <w:t>执</w:t>
      </w:r>
      <w:bookmarkEnd w:id="48"/>
      <w:r>
        <w:rPr>
          <w:rFonts w:hint="eastAsia"/>
          <w:lang w:eastAsia="zh-CN"/>
        </w:rPr>
        <w:t>行《大气污染综合排放标准详解》中标</w:t>
      </w:r>
      <w:r>
        <w:rPr>
          <w:rFonts w:hint="eastAsia"/>
          <w:sz w:val="24"/>
          <w:szCs w:val="24"/>
          <w:lang w:eastAsia="zh-CN"/>
        </w:rPr>
        <w:t>准（</w:t>
      </w:r>
      <w:r>
        <w:rPr>
          <w:rFonts w:hint="eastAsia"/>
          <w:lang w:eastAsia="zh-CN"/>
        </w:rPr>
        <w:t>非甲烷总烃：</w:t>
      </w:r>
      <w:r>
        <w:rPr>
          <w:rFonts w:hint="eastAsia"/>
          <w:sz w:val="24"/>
          <w:szCs w:val="24"/>
          <w:lang w:eastAsia="zh-CN"/>
        </w:rPr>
        <w:t>2</w:t>
      </w:r>
      <w:r>
        <w:rPr>
          <w:rFonts w:hint="eastAsia"/>
          <w:sz w:val="24"/>
          <w:szCs w:val="24"/>
          <w:lang w:val="en-US" w:eastAsia="zh-CN"/>
        </w:rPr>
        <w:t>000</w:t>
      </w:r>
      <w:r>
        <w:rPr>
          <w:sz w:val="24"/>
          <w:szCs w:val="24"/>
          <w:lang w:eastAsia="zh-CN"/>
        </w:rPr>
        <w:t xml:space="preserve"> </w:t>
      </w:r>
      <w:r>
        <w:rPr>
          <w:rFonts w:ascii="Times New Roman" w:hAnsi="Times New Roman"/>
          <w:sz w:val="24"/>
          <w:szCs w:val="24"/>
        </w:rPr>
        <w:t>μg</w:t>
      </w:r>
      <w:r>
        <w:rPr>
          <w:sz w:val="24"/>
          <w:szCs w:val="24"/>
          <w:lang w:eastAsia="zh-CN"/>
        </w:rPr>
        <w:t>/m</w:t>
      </w:r>
      <w:r>
        <w:rPr>
          <w:sz w:val="24"/>
          <w:szCs w:val="24"/>
          <w:vertAlign w:val="superscript"/>
          <w:lang w:eastAsia="zh-CN"/>
        </w:rPr>
        <w:t>3</w:t>
      </w:r>
      <w:r>
        <w:rPr>
          <w:rFonts w:hint="eastAsia"/>
          <w:sz w:val="24"/>
          <w:szCs w:val="24"/>
          <w:lang w:eastAsia="zh-CN"/>
        </w:rPr>
        <w:t>），酚类参照执行</w:t>
      </w:r>
      <w:r>
        <w:rPr>
          <w:rFonts w:hint="eastAsia" w:eastAsia="宋体" w:cs="Times New Roman"/>
          <w:sz w:val="24"/>
          <w:szCs w:val="24"/>
          <w:lang w:eastAsia="zh-CN"/>
        </w:rPr>
        <w:t>《工业企业涉及卫生标准》（</w:t>
      </w:r>
      <w:r>
        <w:rPr>
          <w:rFonts w:hint="eastAsia" w:eastAsia="宋体" w:cs="Times New Roman"/>
          <w:sz w:val="24"/>
          <w:szCs w:val="24"/>
          <w:lang w:val="en-US" w:eastAsia="zh-CN"/>
        </w:rPr>
        <w:t>TJ36-79</w:t>
      </w:r>
      <w:r>
        <w:rPr>
          <w:rFonts w:hint="eastAsia" w:eastAsia="宋体" w:cs="Times New Roman"/>
          <w:sz w:val="24"/>
          <w:szCs w:val="24"/>
          <w:lang w:eastAsia="zh-CN"/>
        </w:rPr>
        <w:t>）（</w:t>
      </w:r>
      <w:r>
        <w:rPr>
          <w:rFonts w:hint="eastAsia"/>
          <w:sz w:val="24"/>
          <w:szCs w:val="24"/>
          <w:vertAlign w:val="baseline"/>
          <w:lang w:eastAsia="zh-CN"/>
        </w:rPr>
        <w:t>酚类</w:t>
      </w:r>
      <w:r>
        <w:rPr>
          <w:rFonts w:hint="eastAsia"/>
          <w:sz w:val="24"/>
          <w:szCs w:val="24"/>
          <w:vertAlign w:val="baseline"/>
          <w:lang w:val="en-US" w:eastAsia="zh-CN"/>
        </w:rPr>
        <w:t>20</w:t>
      </w:r>
      <w:r>
        <w:rPr>
          <w:rFonts w:ascii="Times New Roman" w:hAnsi="Times New Roman"/>
          <w:sz w:val="24"/>
          <w:szCs w:val="24"/>
        </w:rPr>
        <w:t>μg</w:t>
      </w:r>
      <w:r>
        <w:rPr>
          <w:sz w:val="24"/>
          <w:szCs w:val="24"/>
          <w:lang w:eastAsia="zh-CN"/>
        </w:rPr>
        <w:t>/m</w:t>
      </w:r>
      <w:r>
        <w:rPr>
          <w:sz w:val="24"/>
          <w:szCs w:val="24"/>
          <w:vertAlign w:val="superscript"/>
          <w:lang w:eastAsia="zh-CN"/>
        </w:rPr>
        <w:t>3</w:t>
      </w:r>
      <w:r>
        <w:rPr>
          <w:rFonts w:hint="eastAsia" w:eastAsia="宋体" w:cs="Times New Roman"/>
          <w:sz w:val="24"/>
          <w:szCs w:val="24"/>
          <w:lang w:eastAsia="zh-CN"/>
        </w:rPr>
        <w:t>）；</w:t>
      </w:r>
      <w:r>
        <w:rPr>
          <w:rFonts w:hint="eastAsia"/>
          <w:sz w:val="24"/>
          <w:szCs w:val="24"/>
          <w:lang w:eastAsia="zh-CN"/>
        </w:rPr>
        <w:t>甲醛参照执行《环境影响评价技术导则 大气环境》（HJ2.2-2018）附录D中甲醛标准（</w:t>
      </w:r>
      <w:r>
        <w:rPr>
          <w:rFonts w:hint="eastAsia"/>
          <w:lang w:val="en-US" w:eastAsia="zh-CN"/>
        </w:rPr>
        <w:t>1h平均</w:t>
      </w:r>
      <w:r>
        <w:rPr>
          <w:rFonts w:hint="eastAsia"/>
          <w:lang w:eastAsia="zh-CN"/>
        </w:rPr>
        <w:t>：</w:t>
      </w:r>
      <w:r>
        <w:rPr>
          <w:rFonts w:hint="eastAsia"/>
          <w:lang w:val="en-US" w:eastAsia="zh-CN"/>
        </w:rPr>
        <w:t>5</w:t>
      </w:r>
      <w:r>
        <w:rPr>
          <w:rFonts w:hint="eastAsia"/>
          <w:lang w:eastAsia="zh-CN"/>
        </w:rPr>
        <w:t>0</w:t>
      </w:r>
      <w:r>
        <w:rPr>
          <w:rFonts w:ascii="Times New Roman" w:hAnsi="Times New Roman"/>
          <w:sz w:val="24"/>
          <w:szCs w:val="24"/>
        </w:rPr>
        <w:t>μg</w:t>
      </w:r>
      <w:r>
        <w:rPr>
          <w:lang w:eastAsia="zh-CN"/>
        </w:rPr>
        <w:t>/m</w:t>
      </w:r>
      <w:r>
        <w:rPr>
          <w:vertAlign w:val="superscript"/>
          <w:lang w:eastAsia="zh-CN"/>
        </w:rPr>
        <w:t>3</w:t>
      </w:r>
      <w:r>
        <w:rPr>
          <w:rFonts w:hint="eastAsia"/>
          <w:lang w:eastAsia="zh-CN"/>
        </w:rPr>
        <w:t>）。</w:t>
      </w:r>
    </w:p>
    <w:p>
      <w:pPr>
        <w:keepNext/>
        <w:keepLines/>
        <w:widowControl/>
        <w:adjustRightInd w:val="0"/>
        <w:snapToGrid w:val="0"/>
        <w:spacing w:line="360" w:lineRule="auto"/>
        <w:outlineLvl w:val="3"/>
        <w:rPr>
          <w:rFonts w:eastAsiaTheme="minorEastAsia"/>
          <w:b/>
          <w:bCs/>
          <w:lang w:eastAsia="zh-CN"/>
        </w:rPr>
      </w:pPr>
      <w:r>
        <w:rPr>
          <w:rFonts w:hint="eastAsia" w:eastAsiaTheme="minorEastAsia"/>
          <w:b/>
          <w:bCs/>
          <w:lang w:eastAsia="zh-CN"/>
        </w:rPr>
        <w:t>3.3</w:t>
      </w:r>
      <w:r>
        <w:rPr>
          <w:rFonts w:eastAsiaTheme="minorEastAsia"/>
          <w:b/>
          <w:bCs/>
          <w:lang w:eastAsia="zh-CN"/>
        </w:rPr>
        <w:t xml:space="preserve"> 评价等级的确定</w:t>
      </w:r>
    </w:p>
    <w:p>
      <w:pPr>
        <w:adjustRightInd w:val="0"/>
        <w:snapToGrid w:val="0"/>
        <w:spacing w:line="360" w:lineRule="auto"/>
        <w:ind w:firstLine="420" w:firstLineChars="200"/>
        <w:jc w:val="both"/>
        <w:rPr>
          <w:rFonts w:eastAsiaTheme="minorEastAsia"/>
          <w:lang w:eastAsia="zh-CN"/>
        </w:rPr>
      </w:pPr>
      <w:r>
        <w:rPr>
          <w:rFonts w:eastAsiaTheme="minorEastAsia"/>
          <w:lang w:eastAsia="zh-CN"/>
        </w:rPr>
        <w:t>根据拟建项目污染物</w:t>
      </w:r>
      <w:r>
        <w:rPr>
          <w:rFonts w:hint="eastAsia" w:eastAsiaTheme="minorEastAsia"/>
          <w:lang w:eastAsia="zh-CN"/>
        </w:rPr>
        <w:t>排放</w:t>
      </w:r>
      <w:r>
        <w:rPr>
          <w:rFonts w:eastAsiaTheme="minorEastAsia"/>
          <w:lang w:eastAsia="zh-CN"/>
        </w:rPr>
        <w:t>情况，按照《环境影响评价技术导则 大气环境》（HJ2.2-2018）中“5.3评价等级判定”来确定本项目环境空气的评价等级。</w:t>
      </w:r>
    </w:p>
    <w:p>
      <w:pPr>
        <w:adjustRightInd w:val="0"/>
        <w:snapToGrid w:val="0"/>
        <w:spacing w:line="360" w:lineRule="auto"/>
        <w:ind w:firstLine="422" w:firstLineChars="200"/>
        <w:rPr>
          <w:rFonts w:eastAsiaTheme="minorEastAsia"/>
          <w:b/>
          <w:bCs/>
        </w:rPr>
      </w:pPr>
      <w:r>
        <w:rPr>
          <w:rFonts w:hint="eastAsia" w:eastAsiaTheme="minorEastAsia"/>
          <w:b/>
          <w:bCs/>
          <w:lang w:val="en-US" w:eastAsia="zh-CN"/>
        </w:rPr>
        <w:t>3.3.1</w:t>
      </w:r>
      <w:r>
        <w:rPr>
          <w:rFonts w:eastAsiaTheme="minorEastAsia"/>
          <w:b/>
          <w:bCs/>
        </w:rPr>
        <w:t>参数选取</w:t>
      </w:r>
    </w:p>
    <w:p>
      <w:pPr>
        <w:adjustRightInd w:val="0"/>
        <w:snapToGrid w:val="0"/>
        <w:spacing w:line="360" w:lineRule="auto"/>
        <w:ind w:firstLine="420" w:firstLineChars="200"/>
        <w:jc w:val="both"/>
        <w:rPr>
          <w:rFonts w:eastAsiaTheme="minorEastAsia"/>
          <w:lang w:eastAsia="zh-CN"/>
        </w:rPr>
      </w:pPr>
      <w:r>
        <w:rPr>
          <w:rFonts w:eastAsiaTheme="minorEastAsia"/>
          <w:lang w:eastAsia="zh-CN"/>
        </w:rPr>
        <w:t>采用《环境影响评价技术导则 大气环境》（HJ2.2-2018）中要求的AERSCREEN估算软件对项目污染物的排放进行估算，估算时</w:t>
      </w:r>
      <w:r>
        <w:rPr>
          <w:rFonts w:hint="eastAsia" w:eastAsiaTheme="minorEastAsia"/>
          <w:lang w:eastAsia="zh-CN"/>
        </w:rPr>
        <w:t>不</w:t>
      </w:r>
      <w:r>
        <w:rPr>
          <w:rFonts w:eastAsiaTheme="minorEastAsia"/>
          <w:lang w:eastAsia="zh-CN"/>
        </w:rPr>
        <w:t>考虑地形参数。参照HJ2.2-2018附录C，本次评价选取的估算模型参数见表</w:t>
      </w:r>
      <w:r>
        <w:rPr>
          <w:rFonts w:hint="eastAsia" w:eastAsiaTheme="minorEastAsia"/>
          <w:lang w:eastAsia="zh-CN"/>
        </w:rPr>
        <w:t>3.3-</w:t>
      </w:r>
      <w:r>
        <w:rPr>
          <w:rFonts w:hint="eastAsia" w:eastAsiaTheme="minorEastAsia"/>
          <w:lang w:val="en-US" w:eastAsia="zh-CN"/>
        </w:rPr>
        <w:t>1</w:t>
      </w:r>
      <w:r>
        <w:rPr>
          <w:rFonts w:eastAsiaTheme="minorEastAsia"/>
          <w:lang w:eastAsia="zh-CN"/>
        </w:rPr>
        <w:t>。</w:t>
      </w:r>
    </w:p>
    <w:p>
      <w:pPr>
        <w:adjustRightInd w:val="0"/>
        <w:snapToGrid w:val="0"/>
        <w:spacing w:line="360" w:lineRule="auto"/>
        <w:jc w:val="center"/>
        <w:rPr>
          <w:rFonts w:eastAsiaTheme="minorEastAsia"/>
          <w:b/>
          <w:bCs/>
          <w:lang w:eastAsia="zh-CN"/>
        </w:rPr>
      </w:pPr>
      <w:r>
        <w:rPr>
          <w:rFonts w:eastAsiaTheme="minorEastAsia"/>
          <w:b/>
          <w:bCs/>
          <w:lang w:eastAsia="zh-CN"/>
        </w:rPr>
        <w:t xml:space="preserve">表 </w:t>
      </w:r>
      <w:r>
        <w:rPr>
          <w:rFonts w:hint="eastAsia" w:eastAsiaTheme="minorEastAsia"/>
          <w:b/>
          <w:bCs/>
          <w:lang w:eastAsia="zh-CN"/>
        </w:rPr>
        <w:t>3.3-</w:t>
      </w:r>
      <w:r>
        <w:rPr>
          <w:rFonts w:hint="eastAsia" w:eastAsiaTheme="minorEastAsia"/>
          <w:b/>
          <w:bCs/>
          <w:lang w:val="en-US" w:eastAsia="zh-CN"/>
        </w:rPr>
        <w:t>1</w:t>
      </w:r>
      <w:r>
        <w:rPr>
          <w:rFonts w:eastAsiaTheme="minorEastAsia"/>
          <w:b/>
          <w:bCs/>
          <w:lang w:eastAsia="zh-CN"/>
        </w:rPr>
        <w:t xml:space="preserve"> 估算模型参数及选取依据表</w:t>
      </w:r>
    </w:p>
    <w:tbl>
      <w:tblPr>
        <w:tblStyle w:val="85"/>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21"/>
        <w:gridCol w:w="2322"/>
        <w:gridCol w:w="2179"/>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643" w:type="dxa"/>
            <w:gridSpan w:val="2"/>
            <w:tcBorders>
              <w:bottom w:val="single" w:color="auto" w:sz="4" w:space="0"/>
            </w:tcBorders>
            <w:shd w:val="clear" w:color="auto" w:fill="auto"/>
            <w:vAlign w:val="center"/>
          </w:tcPr>
          <w:p>
            <w:pPr>
              <w:adjustRightInd w:val="0"/>
              <w:snapToGrid w:val="0"/>
              <w:spacing w:line="240" w:lineRule="exact"/>
              <w:jc w:val="center"/>
              <w:rPr>
                <w:rFonts w:eastAsiaTheme="minorEastAsia"/>
                <w:b/>
                <w:bCs/>
                <w:sz w:val="21"/>
                <w:szCs w:val="21"/>
              </w:rPr>
            </w:pPr>
            <w:r>
              <w:rPr>
                <w:rFonts w:eastAsiaTheme="minorEastAsia"/>
                <w:b/>
                <w:bCs/>
                <w:sz w:val="21"/>
                <w:szCs w:val="21"/>
              </w:rPr>
              <w:t>参数</w:t>
            </w:r>
          </w:p>
        </w:tc>
        <w:tc>
          <w:tcPr>
            <w:tcW w:w="2179" w:type="dxa"/>
            <w:tcBorders>
              <w:bottom w:val="single" w:color="auto" w:sz="4" w:space="0"/>
            </w:tcBorders>
            <w:shd w:val="clear" w:color="auto" w:fill="auto"/>
            <w:vAlign w:val="center"/>
          </w:tcPr>
          <w:p>
            <w:pPr>
              <w:adjustRightInd w:val="0"/>
              <w:snapToGrid w:val="0"/>
              <w:spacing w:line="240" w:lineRule="exact"/>
              <w:jc w:val="center"/>
              <w:rPr>
                <w:rFonts w:eastAsiaTheme="minorEastAsia"/>
                <w:b/>
                <w:bCs/>
                <w:sz w:val="21"/>
                <w:szCs w:val="21"/>
              </w:rPr>
            </w:pPr>
            <w:r>
              <w:rPr>
                <w:rFonts w:eastAsiaTheme="minorEastAsia"/>
                <w:b/>
                <w:bCs/>
                <w:sz w:val="21"/>
                <w:szCs w:val="21"/>
              </w:rPr>
              <w:t>取值</w:t>
            </w:r>
          </w:p>
        </w:tc>
        <w:tc>
          <w:tcPr>
            <w:tcW w:w="2465" w:type="dxa"/>
            <w:tcBorders>
              <w:bottom w:val="single" w:color="auto" w:sz="4" w:space="0"/>
            </w:tcBorders>
            <w:shd w:val="clear" w:color="auto" w:fill="auto"/>
            <w:vAlign w:val="center"/>
          </w:tcPr>
          <w:p>
            <w:pPr>
              <w:adjustRightInd w:val="0"/>
              <w:snapToGrid w:val="0"/>
              <w:spacing w:line="240" w:lineRule="exact"/>
              <w:jc w:val="center"/>
              <w:rPr>
                <w:rFonts w:eastAsiaTheme="minorEastAsia"/>
                <w:b/>
                <w:bCs/>
                <w:sz w:val="21"/>
                <w:szCs w:val="21"/>
              </w:rPr>
            </w:pPr>
            <w:r>
              <w:rPr>
                <w:rFonts w:eastAsiaTheme="minorEastAsia"/>
                <w:b/>
                <w:bCs/>
                <w:sz w:val="21"/>
                <w:szCs w:val="21"/>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restart"/>
            <w:tcBorders>
              <w:top w:val="single" w:color="auto" w:sz="4" w:space="0"/>
            </w:tcBorders>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农村/城市选项</w:t>
            </w:r>
          </w:p>
        </w:tc>
        <w:tc>
          <w:tcPr>
            <w:tcW w:w="2322" w:type="dxa"/>
            <w:tcBorders>
              <w:top w:val="single" w:color="auto" w:sz="4" w:space="0"/>
            </w:tcBorders>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城市/农村</w:t>
            </w:r>
          </w:p>
        </w:tc>
        <w:tc>
          <w:tcPr>
            <w:tcW w:w="2179" w:type="dxa"/>
            <w:tcBorders>
              <w:top w:val="single" w:color="auto" w:sz="4" w:space="0"/>
            </w:tcBorders>
            <w:shd w:val="clear" w:color="auto" w:fill="auto"/>
            <w:vAlign w:val="center"/>
          </w:tcPr>
          <w:p>
            <w:pPr>
              <w:adjustRightInd w:val="0"/>
              <w:snapToGrid w:val="0"/>
              <w:spacing w:line="240" w:lineRule="exact"/>
              <w:jc w:val="center"/>
              <w:rPr>
                <w:rFonts w:eastAsiaTheme="minorEastAsia"/>
                <w:sz w:val="21"/>
                <w:szCs w:val="21"/>
                <w:lang w:eastAsia="zh-CN"/>
              </w:rPr>
            </w:pPr>
            <w:r>
              <w:rPr>
                <w:rFonts w:hint="eastAsia" w:eastAsiaTheme="minorEastAsia"/>
                <w:sz w:val="21"/>
                <w:szCs w:val="21"/>
                <w:lang w:eastAsia="zh-CN"/>
              </w:rPr>
              <w:t>城市</w:t>
            </w:r>
          </w:p>
        </w:tc>
        <w:tc>
          <w:tcPr>
            <w:tcW w:w="2465" w:type="dxa"/>
            <w:tcBorders>
              <w:top w:val="single" w:color="auto" w:sz="4" w:space="0"/>
            </w:tcBorders>
            <w:shd w:val="clear" w:color="auto" w:fill="auto"/>
            <w:vAlign w:val="center"/>
          </w:tcPr>
          <w:p>
            <w:pPr>
              <w:pStyle w:val="30"/>
              <w:rPr>
                <w:rFonts w:eastAsiaTheme="minorEastAsia"/>
                <w:sz w:val="21"/>
                <w:szCs w:val="21"/>
                <w:lang w:eastAsia="zh-CN"/>
              </w:rPr>
            </w:pPr>
            <w:r>
              <w:rPr>
                <w:rFonts w:hint="default" w:ascii="Times New Roman" w:hAnsi="Times New Roman" w:eastAsia="宋体" w:cs="Times New Roman"/>
                <w:color w:val="auto"/>
                <w:sz w:val="21"/>
                <w:szCs w:val="21"/>
                <w:highlight w:val="none"/>
              </w:rPr>
              <w:t>项目周边3km半径范围内一半以上为</w:t>
            </w:r>
            <w:r>
              <w:rPr>
                <w:rFonts w:hint="eastAsia" w:ascii="Times New Roman" w:hAnsi="Times New Roman" w:eastAsia="宋体" w:cs="Times New Roman"/>
                <w:color w:val="auto"/>
                <w:sz w:val="21"/>
                <w:szCs w:val="21"/>
                <w:highlight w:val="none"/>
                <w:lang w:val="en-US" w:eastAsia="zh-CN"/>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continue"/>
            <w:shd w:val="clear" w:color="auto" w:fill="auto"/>
            <w:vAlign w:val="center"/>
          </w:tcPr>
          <w:p>
            <w:pPr>
              <w:adjustRightInd w:val="0"/>
              <w:snapToGrid w:val="0"/>
              <w:spacing w:line="240" w:lineRule="exact"/>
              <w:jc w:val="center"/>
              <w:rPr>
                <w:rFonts w:eastAsiaTheme="minorEastAsia"/>
                <w:sz w:val="21"/>
                <w:szCs w:val="21"/>
              </w:rPr>
            </w:pPr>
          </w:p>
        </w:tc>
        <w:tc>
          <w:tcPr>
            <w:tcW w:w="2322" w:type="dxa"/>
            <w:shd w:val="clear" w:color="auto" w:fill="auto"/>
            <w:vAlign w:val="center"/>
          </w:tcPr>
          <w:p>
            <w:pPr>
              <w:adjustRightInd w:val="0"/>
              <w:snapToGrid w:val="0"/>
              <w:spacing w:line="240" w:lineRule="exact"/>
              <w:jc w:val="center"/>
              <w:rPr>
                <w:rFonts w:eastAsiaTheme="minorEastAsia"/>
                <w:sz w:val="21"/>
                <w:szCs w:val="21"/>
                <w:lang w:eastAsia="zh-CN"/>
              </w:rPr>
            </w:pPr>
            <w:r>
              <w:rPr>
                <w:rFonts w:eastAsiaTheme="minorEastAsia"/>
                <w:sz w:val="21"/>
                <w:szCs w:val="21"/>
                <w:lang w:eastAsia="zh-CN"/>
              </w:rPr>
              <w:t>人口数（城市选项时）</w:t>
            </w:r>
          </w:p>
        </w:tc>
        <w:tc>
          <w:tcPr>
            <w:tcW w:w="2179" w:type="dxa"/>
            <w:shd w:val="clear" w:color="auto" w:fill="auto"/>
            <w:vAlign w:val="center"/>
          </w:tcPr>
          <w:p>
            <w:pPr>
              <w:adjustRightInd w:val="0"/>
              <w:snapToGrid w:val="0"/>
              <w:spacing w:line="240" w:lineRule="exact"/>
              <w:jc w:val="center"/>
              <w:rPr>
                <w:rFonts w:eastAsiaTheme="minorEastAsia"/>
                <w:sz w:val="21"/>
                <w:szCs w:val="21"/>
                <w:lang w:eastAsia="zh-CN"/>
              </w:rPr>
            </w:pPr>
            <w:r>
              <w:rPr>
                <w:rFonts w:hint="eastAsia" w:eastAsiaTheme="minorEastAsia"/>
                <w:sz w:val="21"/>
                <w:szCs w:val="21"/>
                <w:lang w:eastAsia="zh-CN"/>
              </w:rPr>
              <w:t>6万人</w:t>
            </w:r>
          </w:p>
        </w:tc>
        <w:tc>
          <w:tcPr>
            <w:tcW w:w="2465" w:type="dxa"/>
            <w:shd w:val="clear" w:color="auto" w:fill="auto"/>
            <w:vAlign w:val="center"/>
          </w:tcPr>
          <w:p>
            <w:pPr>
              <w:adjustRightInd w:val="0"/>
              <w:snapToGrid w:val="0"/>
              <w:spacing w:line="240" w:lineRule="exact"/>
              <w:jc w:val="center"/>
              <w:rPr>
                <w:rFonts w:eastAsiaTheme="minorEastAsia"/>
                <w:sz w:val="21"/>
                <w:szCs w:val="21"/>
                <w:lang w:eastAsia="zh-CN"/>
              </w:rPr>
            </w:pPr>
            <w:r>
              <w:rPr>
                <w:rFonts w:hint="eastAsia" w:eastAsiaTheme="minorEastAsia"/>
                <w:sz w:val="21"/>
                <w:szCs w:val="21"/>
                <w:lang w:eastAsia="zh-CN"/>
              </w:rPr>
              <w:t>园区规划人口数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3" w:type="dxa"/>
            <w:gridSpan w:val="2"/>
            <w:shd w:val="clear" w:color="auto" w:fill="auto"/>
            <w:vAlign w:val="center"/>
          </w:tcPr>
          <w:p>
            <w:pPr>
              <w:adjustRightInd w:val="0"/>
              <w:snapToGrid w:val="0"/>
              <w:spacing w:line="240" w:lineRule="exact"/>
              <w:jc w:val="center"/>
              <w:rPr>
                <w:rFonts w:eastAsiaTheme="minorEastAsia"/>
                <w:sz w:val="21"/>
                <w:szCs w:val="21"/>
                <w:lang w:eastAsia="ja-JP"/>
              </w:rPr>
            </w:pPr>
            <w:r>
              <w:rPr>
                <w:rFonts w:eastAsiaTheme="minorEastAsia"/>
                <w:sz w:val="21"/>
                <w:szCs w:val="21"/>
              </w:rPr>
              <w:t>最高环境温度/</w:t>
            </w:r>
            <w:r>
              <w:rPr>
                <w:sz w:val="21"/>
                <w:szCs w:val="21"/>
                <w:lang w:eastAsia="ja-JP"/>
              </w:rPr>
              <w:t>℃</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41</w:t>
            </w:r>
          </w:p>
        </w:tc>
        <w:tc>
          <w:tcPr>
            <w:tcW w:w="2465" w:type="dxa"/>
            <w:vMerge w:val="restart"/>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近20年气象资料统计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3" w:type="dxa"/>
            <w:gridSpan w:val="2"/>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最低环境温度/</w:t>
            </w:r>
            <w:r>
              <w:rPr>
                <w:sz w:val="21"/>
                <w:szCs w:val="21"/>
                <w:lang w:eastAsia="ja-JP"/>
              </w:rPr>
              <w:t>℃</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-18.5</w:t>
            </w:r>
          </w:p>
        </w:tc>
        <w:tc>
          <w:tcPr>
            <w:tcW w:w="2465" w:type="dxa"/>
            <w:vMerge w:val="continue"/>
            <w:shd w:val="clear" w:color="auto" w:fill="auto"/>
            <w:vAlign w:val="center"/>
          </w:tcPr>
          <w:p>
            <w:pPr>
              <w:adjustRightInd w:val="0"/>
              <w:snapToGrid w:val="0"/>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3" w:type="dxa"/>
            <w:gridSpan w:val="2"/>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土地利用类型</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hint="eastAsia" w:eastAsiaTheme="minorEastAsia"/>
                <w:sz w:val="21"/>
                <w:szCs w:val="21"/>
                <w:highlight w:val="none"/>
                <w:lang w:eastAsia="zh-CN"/>
              </w:rPr>
              <w:t>工业</w:t>
            </w:r>
            <w:r>
              <w:rPr>
                <w:rFonts w:eastAsiaTheme="minorEastAsia"/>
                <w:sz w:val="21"/>
                <w:szCs w:val="21"/>
                <w:highlight w:val="none"/>
              </w:rPr>
              <w:t>用地</w:t>
            </w:r>
          </w:p>
        </w:tc>
        <w:tc>
          <w:tcPr>
            <w:tcW w:w="2465" w:type="dxa"/>
            <w:shd w:val="clear" w:color="auto" w:fill="auto"/>
            <w:vAlign w:val="center"/>
          </w:tcPr>
          <w:p>
            <w:pPr>
              <w:adjustRightInd w:val="0"/>
              <w:snapToGrid w:val="0"/>
              <w:spacing w:line="240" w:lineRule="exact"/>
              <w:jc w:val="center"/>
              <w:rPr>
                <w:rFonts w:eastAsiaTheme="minorEastAsia"/>
                <w:sz w:val="21"/>
                <w:szCs w:val="21"/>
                <w:lang w:eastAsia="zh-CN"/>
              </w:rPr>
            </w:pPr>
            <w:r>
              <w:rPr>
                <w:rFonts w:eastAsiaTheme="minorEastAsia"/>
                <w:sz w:val="21"/>
                <w:szCs w:val="21"/>
                <w:lang w:eastAsia="zh-CN"/>
              </w:rPr>
              <w:t>3km 半径范围内土地利用状况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643" w:type="dxa"/>
            <w:gridSpan w:val="2"/>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区域湿度条件</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中等湿度</w:t>
            </w:r>
          </w:p>
        </w:tc>
        <w:tc>
          <w:tcPr>
            <w:tcW w:w="2465"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中国干湿状况分布图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restart"/>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是否考虑地形</w:t>
            </w:r>
          </w:p>
        </w:tc>
        <w:tc>
          <w:tcPr>
            <w:tcW w:w="2322"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考虑地形</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sym w:font="Wingdings 2" w:char="00A3"/>
            </w:r>
            <w:r>
              <w:rPr>
                <w:rFonts w:eastAsiaTheme="minorEastAsia"/>
                <w:sz w:val="21"/>
                <w:szCs w:val="21"/>
              </w:rPr>
              <w:t xml:space="preserve">是  </w:t>
            </w:r>
            <w:r>
              <w:rPr>
                <w:rFonts w:eastAsiaTheme="minorEastAsia"/>
                <w:sz w:val="21"/>
                <w:szCs w:val="21"/>
              </w:rPr>
              <w:sym w:font="Wingdings 2" w:char="0052"/>
            </w:r>
            <w:r>
              <w:rPr>
                <w:rFonts w:eastAsiaTheme="minorEastAsia"/>
                <w:sz w:val="21"/>
                <w:szCs w:val="21"/>
              </w:rPr>
              <w:t>否</w:t>
            </w:r>
          </w:p>
        </w:tc>
        <w:tc>
          <w:tcPr>
            <w:tcW w:w="2465" w:type="dxa"/>
            <w:shd w:val="clear" w:color="auto" w:fill="auto"/>
            <w:vAlign w:val="center"/>
          </w:tcPr>
          <w:p>
            <w:pPr>
              <w:adjustRightInd w:val="0"/>
              <w:snapToGrid w:val="0"/>
              <w:spacing w:line="240" w:lineRule="exact"/>
              <w:jc w:val="center"/>
              <w:rPr>
                <w:rFonts w:hint="default" w:eastAsiaTheme="minorEastAsia"/>
                <w:sz w:val="21"/>
                <w:szCs w:val="21"/>
                <w:lang w:val="en-US" w:eastAsia="zh-CN"/>
              </w:rPr>
            </w:pPr>
            <w:r>
              <w:rPr>
                <w:rFonts w:hint="eastAsia"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continue"/>
            <w:shd w:val="clear" w:color="auto" w:fill="auto"/>
            <w:vAlign w:val="center"/>
          </w:tcPr>
          <w:p>
            <w:pPr>
              <w:adjustRightInd w:val="0"/>
              <w:snapToGrid w:val="0"/>
              <w:spacing w:line="240" w:lineRule="exact"/>
              <w:jc w:val="center"/>
              <w:rPr>
                <w:rFonts w:eastAsiaTheme="minorEastAsia"/>
                <w:sz w:val="21"/>
                <w:szCs w:val="21"/>
                <w:lang w:eastAsia="zh-CN"/>
              </w:rPr>
            </w:pPr>
          </w:p>
        </w:tc>
        <w:tc>
          <w:tcPr>
            <w:tcW w:w="2322"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地形数据分辨率/m</w:t>
            </w:r>
          </w:p>
        </w:tc>
        <w:tc>
          <w:tcPr>
            <w:tcW w:w="2179" w:type="dxa"/>
            <w:shd w:val="clear" w:color="auto" w:fill="auto"/>
            <w:vAlign w:val="center"/>
          </w:tcPr>
          <w:p>
            <w:pPr>
              <w:adjustRightInd w:val="0"/>
              <w:snapToGrid w:val="0"/>
              <w:spacing w:line="240" w:lineRule="exact"/>
              <w:jc w:val="center"/>
              <w:rPr>
                <w:rFonts w:eastAsiaTheme="minorEastAsia"/>
                <w:sz w:val="21"/>
                <w:szCs w:val="21"/>
                <w:lang w:eastAsia="zh-CN"/>
              </w:rPr>
            </w:pPr>
            <w:r>
              <w:rPr>
                <w:rFonts w:hint="eastAsia" w:eastAsiaTheme="minorEastAsia"/>
                <w:sz w:val="21"/>
                <w:szCs w:val="21"/>
                <w:lang w:eastAsia="zh-CN"/>
              </w:rPr>
              <w:t>--</w:t>
            </w:r>
          </w:p>
        </w:tc>
        <w:tc>
          <w:tcPr>
            <w:tcW w:w="2465" w:type="dxa"/>
            <w:shd w:val="clear" w:color="auto" w:fill="auto"/>
            <w:vAlign w:val="center"/>
          </w:tcPr>
          <w:p>
            <w:pPr>
              <w:adjustRightInd w:val="0"/>
              <w:snapToGrid w:val="0"/>
              <w:spacing w:line="240" w:lineRule="exact"/>
              <w:jc w:val="center"/>
              <w:rPr>
                <w:rFonts w:eastAsiaTheme="minorEastAsia"/>
                <w:sz w:val="21"/>
                <w:szCs w:val="21"/>
                <w:lang w:eastAsia="zh-CN"/>
              </w:rPr>
            </w:pPr>
            <w:r>
              <w:rPr>
                <w:rFonts w:hint="eastAsia" w:eastAsiaTheme="minor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continue"/>
            <w:shd w:val="clear" w:color="auto" w:fill="auto"/>
            <w:vAlign w:val="center"/>
          </w:tcPr>
          <w:p>
            <w:pPr>
              <w:adjustRightInd w:val="0"/>
              <w:snapToGrid w:val="0"/>
              <w:spacing w:line="240" w:lineRule="exact"/>
              <w:jc w:val="center"/>
              <w:rPr>
                <w:rFonts w:eastAsiaTheme="minorEastAsia"/>
                <w:sz w:val="21"/>
                <w:szCs w:val="21"/>
              </w:rPr>
            </w:pPr>
          </w:p>
        </w:tc>
        <w:tc>
          <w:tcPr>
            <w:tcW w:w="2322"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考虑岸线熏烟</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sym w:font="Wingdings 2" w:char="00A3"/>
            </w:r>
            <w:r>
              <w:rPr>
                <w:rFonts w:eastAsiaTheme="minorEastAsia"/>
                <w:sz w:val="21"/>
                <w:szCs w:val="21"/>
              </w:rPr>
              <w:t>是  √否</w:t>
            </w:r>
          </w:p>
        </w:tc>
        <w:tc>
          <w:tcPr>
            <w:tcW w:w="2465" w:type="dxa"/>
            <w:vMerge w:val="restart"/>
            <w:shd w:val="clear" w:color="auto" w:fill="auto"/>
            <w:vAlign w:val="center"/>
          </w:tcPr>
          <w:p>
            <w:pPr>
              <w:adjustRightInd w:val="0"/>
              <w:snapToGrid w:val="0"/>
              <w:spacing w:line="240" w:lineRule="exact"/>
              <w:jc w:val="center"/>
              <w:rPr>
                <w:rFonts w:eastAsiaTheme="minorEastAsia"/>
                <w:sz w:val="21"/>
                <w:szCs w:val="21"/>
                <w:lang w:eastAsia="zh-CN"/>
              </w:rPr>
            </w:pPr>
            <w:r>
              <w:rPr>
                <w:rFonts w:hint="eastAsia" w:eastAsiaTheme="minor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continue"/>
            <w:shd w:val="clear" w:color="auto" w:fill="auto"/>
            <w:vAlign w:val="center"/>
          </w:tcPr>
          <w:p>
            <w:pPr>
              <w:adjustRightInd w:val="0"/>
              <w:snapToGrid w:val="0"/>
              <w:spacing w:line="240" w:lineRule="exact"/>
              <w:jc w:val="center"/>
              <w:rPr>
                <w:rFonts w:eastAsiaTheme="minorEastAsia"/>
                <w:sz w:val="21"/>
                <w:szCs w:val="21"/>
              </w:rPr>
            </w:pPr>
          </w:p>
        </w:tc>
        <w:tc>
          <w:tcPr>
            <w:tcW w:w="2322"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岸线距离/m</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w:t>
            </w:r>
          </w:p>
        </w:tc>
        <w:tc>
          <w:tcPr>
            <w:tcW w:w="2465" w:type="dxa"/>
            <w:vMerge w:val="continue"/>
            <w:shd w:val="clear" w:color="auto" w:fill="auto"/>
            <w:vAlign w:val="center"/>
          </w:tcPr>
          <w:p>
            <w:pPr>
              <w:adjustRightInd w:val="0"/>
              <w:snapToGrid w:val="0"/>
              <w:spacing w:line="240" w:lineRule="exact"/>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1" w:type="dxa"/>
            <w:vMerge w:val="continue"/>
            <w:shd w:val="clear" w:color="auto" w:fill="auto"/>
            <w:vAlign w:val="center"/>
          </w:tcPr>
          <w:p>
            <w:pPr>
              <w:adjustRightInd w:val="0"/>
              <w:snapToGrid w:val="0"/>
              <w:spacing w:line="240" w:lineRule="exact"/>
              <w:jc w:val="center"/>
              <w:rPr>
                <w:rFonts w:eastAsiaTheme="minorEastAsia"/>
                <w:sz w:val="21"/>
                <w:szCs w:val="21"/>
              </w:rPr>
            </w:pPr>
          </w:p>
        </w:tc>
        <w:tc>
          <w:tcPr>
            <w:tcW w:w="2322"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岸线方向/°</w:t>
            </w:r>
          </w:p>
        </w:tc>
        <w:tc>
          <w:tcPr>
            <w:tcW w:w="2179" w:type="dxa"/>
            <w:shd w:val="clear" w:color="auto" w:fill="auto"/>
            <w:vAlign w:val="center"/>
          </w:tcPr>
          <w:p>
            <w:pPr>
              <w:adjustRightInd w:val="0"/>
              <w:snapToGrid w:val="0"/>
              <w:spacing w:line="240" w:lineRule="exact"/>
              <w:jc w:val="center"/>
              <w:rPr>
                <w:rFonts w:eastAsiaTheme="minorEastAsia"/>
                <w:sz w:val="21"/>
                <w:szCs w:val="21"/>
              </w:rPr>
            </w:pPr>
            <w:r>
              <w:rPr>
                <w:rFonts w:eastAsiaTheme="minorEastAsia"/>
                <w:sz w:val="21"/>
                <w:szCs w:val="21"/>
              </w:rPr>
              <w:t>--</w:t>
            </w:r>
          </w:p>
        </w:tc>
        <w:tc>
          <w:tcPr>
            <w:tcW w:w="2465" w:type="dxa"/>
            <w:vMerge w:val="continue"/>
            <w:shd w:val="clear" w:color="auto" w:fill="auto"/>
            <w:vAlign w:val="center"/>
          </w:tcPr>
          <w:p>
            <w:pPr>
              <w:adjustRightInd w:val="0"/>
              <w:snapToGrid w:val="0"/>
              <w:spacing w:line="240" w:lineRule="exact"/>
              <w:jc w:val="center"/>
              <w:rPr>
                <w:rFonts w:eastAsiaTheme="minorEastAsia"/>
                <w:sz w:val="21"/>
                <w:szCs w:val="21"/>
              </w:rPr>
            </w:pPr>
          </w:p>
        </w:tc>
      </w:tr>
    </w:tbl>
    <w:p>
      <w:pPr>
        <w:adjustRightInd w:val="0"/>
        <w:snapToGrid w:val="0"/>
        <w:spacing w:line="360" w:lineRule="auto"/>
        <w:ind w:firstLine="422" w:firstLineChars="200"/>
        <w:rPr>
          <w:rFonts w:eastAsiaTheme="minorEastAsia"/>
          <w:b/>
          <w:bCs/>
        </w:rPr>
      </w:pPr>
      <w:r>
        <w:rPr>
          <w:rFonts w:hint="eastAsia" w:eastAsiaTheme="minorEastAsia"/>
          <w:b/>
          <w:bCs/>
          <w:lang w:val="en-US" w:eastAsia="zh-CN"/>
        </w:rPr>
        <w:t>3.3.2</w:t>
      </w:r>
      <w:r>
        <w:rPr>
          <w:rFonts w:eastAsiaTheme="minorEastAsia"/>
          <w:b/>
          <w:bCs/>
        </w:rPr>
        <w:t>评价等级判定</w:t>
      </w:r>
    </w:p>
    <w:p>
      <w:pPr>
        <w:adjustRightInd w:val="0"/>
        <w:snapToGrid w:val="0"/>
        <w:spacing w:line="360" w:lineRule="auto"/>
        <w:ind w:firstLine="420" w:firstLineChars="200"/>
        <w:rPr>
          <w:rFonts w:eastAsiaTheme="minorEastAsia"/>
        </w:rPr>
      </w:pPr>
      <w:r>
        <w:rPr>
          <w:rFonts w:eastAsiaTheme="minorEastAsia"/>
          <w:lang w:eastAsia="zh-CN"/>
        </w:rPr>
        <w:t>按《环境影响评价技术导则-大气环境》（HJ2.2-2018）要求，环境空气影响评价等级由每一种污染物的最大地面空气质量浓度占标率P</w:t>
      </w:r>
      <w:r>
        <w:rPr>
          <w:rFonts w:eastAsiaTheme="minorEastAsia"/>
          <w:vertAlign w:val="subscript"/>
          <w:lang w:eastAsia="zh-CN"/>
        </w:rPr>
        <w:t>i</w:t>
      </w:r>
      <w:r>
        <w:rPr>
          <w:rFonts w:eastAsiaTheme="minorEastAsia"/>
          <w:lang w:eastAsia="zh-CN"/>
        </w:rPr>
        <w:t>的大小，及第i个污染物的地面空气质量浓度达标准限值10%时所对应的最远距离D</w:t>
      </w:r>
      <w:r>
        <w:rPr>
          <w:rFonts w:eastAsiaTheme="minorEastAsia"/>
          <w:vertAlign w:val="subscript"/>
          <w:lang w:eastAsia="zh-CN"/>
        </w:rPr>
        <w:t>10%</w:t>
      </w:r>
      <w:r>
        <w:rPr>
          <w:rFonts w:eastAsiaTheme="minorEastAsia"/>
          <w:lang w:eastAsia="zh-CN"/>
        </w:rPr>
        <w:t>来确定。</w:t>
      </w:r>
      <w:r>
        <w:rPr>
          <w:rFonts w:eastAsiaTheme="minorEastAsia"/>
        </w:rPr>
        <w:t>其中P</w:t>
      </w:r>
      <w:r>
        <w:rPr>
          <w:rFonts w:eastAsiaTheme="minorEastAsia"/>
          <w:vertAlign w:val="subscript"/>
        </w:rPr>
        <w:t>i</w:t>
      </w:r>
      <w:r>
        <w:rPr>
          <w:rFonts w:eastAsiaTheme="minorEastAsia"/>
        </w:rPr>
        <w:t>定义为：</w:t>
      </w:r>
    </w:p>
    <w:p>
      <w:pPr>
        <w:adjustRightInd w:val="0"/>
        <w:snapToGrid w:val="0"/>
        <w:spacing w:line="360" w:lineRule="auto"/>
        <w:jc w:val="center"/>
        <w:rPr>
          <w:rFonts w:eastAsiaTheme="minorEastAsia"/>
        </w:rPr>
      </w:pPr>
      <m:oMathPara>
        <m:oMath>
          <m:r>
            <m:rPr>
              <m:sty m:val="p"/>
            </m:rPr>
            <w:rPr>
              <w:rFonts w:ascii="Cambria Math" w:hAnsi="Cambria Math" w:eastAsiaTheme="minorEastAsia"/>
            </w:rPr>
            <m:t>Pi=</m:t>
          </m:r>
          <m:f>
            <m:fPr>
              <m:ctrlPr>
                <w:rPr>
                  <w:rFonts w:ascii="Cambria Math" w:hAnsi="Cambria Math" w:eastAsiaTheme="minorEastAsia"/>
                </w:rPr>
              </m:ctrlPr>
            </m:fPr>
            <m:num>
              <m:sSub>
                <m:sSubPr>
                  <m:ctrlPr>
                    <w:rPr>
                      <w:rFonts w:ascii="Cambria Math" w:hAnsi="Cambria Math" w:eastAsiaTheme="minorEastAsia"/>
                      <w:i/>
                    </w:rPr>
                  </m:ctrlPr>
                </m:sSubPr>
                <m:e>
                  <m:r>
                    <m:rPr/>
                    <w:rPr>
                      <w:rFonts w:ascii="Cambria Math" w:hAnsi="Cambria Math" w:eastAsiaTheme="minorEastAsia"/>
                    </w:rPr>
                    <m:t>C</m:t>
                  </m:r>
                  <m:ctrlPr>
                    <w:rPr>
                      <w:rFonts w:ascii="Cambria Math" w:hAnsi="Cambria Math" w:eastAsiaTheme="minorEastAsia"/>
                      <w:i/>
                    </w:rPr>
                  </m:ctrlPr>
                </m:e>
                <m:sub>
                  <m:r>
                    <m:rPr/>
                    <w:rPr>
                      <w:rFonts w:ascii="Cambria Math" w:hAnsi="Cambria Math" w:eastAsiaTheme="minorEastAsia"/>
                    </w:rPr>
                    <m:t>i</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m:rPr/>
                    <w:rPr>
                      <w:rFonts w:ascii="Cambria Math" w:hAnsi="Cambria Math" w:eastAsiaTheme="minorEastAsia"/>
                    </w:rPr>
                    <m:t>C</m:t>
                  </m:r>
                  <m:ctrlPr>
                    <w:rPr>
                      <w:rFonts w:ascii="Cambria Math" w:hAnsi="Cambria Math" w:eastAsiaTheme="minorEastAsia"/>
                      <w:i/>
                    </w:rPr>
                  </m:ctrlPr>
                </m:e>
                <m:sub>
                  <m:r>
                    <m:rPr/>
                    <w:rPr>
                      <w:rFonts w:ascii="Cambria Math" w:hAnsi="Cambria Math" w:eastAsiaTheme="minorEastAsia"/>
                    </w:rPr>
                    <m:t>oi</m:t>
                  </m:r>
                  <m:ctrlPr>
                    <w:rPr>
                      <w:rFonts w:ascii="Cambria Math" w:hAnsi="Cambria Math" w:eastAsiaTheme="minorEastAsia"/>
                      <w:i/>
                    </w:rPr>
                  </m:ctrlPr>
                </m:sub>
              </m:sSub>
              <m:ctrlPr>
                <w:rPr>
                  <w:rFonts w:ascii="Cambria Math" w:hAnsi="Cambria Math" w:eastAsiaTheme="minorEastAsia"/>
                  <w:i/>
                </w:rPr>
              </m:ctrlPr>
            </m:den>
          </m:f>
          <m:r>
            <m:rPr/>
            <w:rPr>
              <w:rFonts w:ascii="Cambria Math" w:hAnsi="Cambria Math" w:eastAsiaTheme="minorEastAsia"/>
            </w:rPr>
            <m:t>×100%</m:t>
          </m:r>
        </m:oMath>
      </m:oMathPara>
    </w:p>
    <w:p>
      <w:pPr>
        <w:adjustRightInd w:val="0"/>
        <w:snapToGrid w:val="0"/>
        <w:spacing w:line="360" w:lineRule="auto"/>
        <w:rPr>
          <w:rFonts w:eastAsiaTheme="minorEastAsia"/>
          <w:lang w:eastAsia="zh-CN"/>
        </w:rPr>
      </w:pPr>
      <w:r>
        <w:rPr>
          <w:rFonts w:eastAsiaTheme="minorEastAsia"/>
          <w:lang w:eastAsia="zh-CN"/>
        </w:rPr>
        <w:t>式中：P</w:t>
      </w:r>
      <w:r>
        <w:rPr>
          <w:rFonts w:eastAsiaTheme="minorEastAsia"/>
          <w:vertAlign w:val="subscript"/>
          <w:lang w:eastAsia="zh-CN"/>
        </w:rPr>
        <w:t>i</w:t>
      </w:r>
      <w:r>
        <w:rPr>
          <w:rFonts w:eastAsiaTheme="minorEastAsia"/>
          <w:lang w:eastAsia="zh-CN"/>
        </w:rPr>
        <w:softHyphen/>
      </w:r>
      <w:r>
        <w:rPr>
          <w:rFonts w:eastAsiaTheme="minorEastAsia"/>
          <w:lang w:eastAsia="zh-CN"/>
        </w:rPr>
        <w:t xml:space="preserve">—第 i 个污染物的最大地面空气质量浓度占标率，%； </w:t>
      </w:r>
    </w:p>
    <w:p>
      <w:pPr>
        <w:adjustRightInd w:val="0"/>
        <w:snapToGrid w:val="0"/>
        <w:spacing w:line="360" w:lineRule="auto"/>
        <w:ind w:firstLine="630" w:firstLineChars="300"/>
        <w:rPr>
          <w:rFonts w:eastAsiaTheme="minorEastAsia"/>
        </w:rPr>
      </w:pPr>
      <w:r>
        <w:rPr>
          <w:rFonts w:eastAsiaTheme="minorEastAsia"/>
        </w:rPr>
        <w:t>Ci——采用估算模型计算出的第 i 个污染物的最大1h地面空气质量浓度，μg/m</w:t>
      </w:r>
      <w:r>
        <w:rPr>
          <w:rFonts w:eastAsiaTheme="minorEastAsia"/>
          <w:vertAlign w:val="superscript"/>
        </w:rPr>
        <w:t>3</w:t>
      </w:r>
      <w:r>
        <w:rPr>
          <w:rFonts w:eastAsiaTheme="minorEastAsia"/>
        </w:rPr>
        <w:t>；</w:t>
      </w:r>
    </w:p>
    <w:p>
      <w:pPr>
        <w:adjustRightInd w:val="0"/>
        <w:snapToGrid w:val="0"/>
        <w:spacing w:line="360" w:lineRule="auto"/>
        <w:ind w:firstLine="630" w:firstLineChars="300"/>
        <w:rPr>
          <w:rFonts w:eastAsiaTheme="minorEastAsia"/>
        </w:rPr>
      </w:pPr>
      <w:r>
        <w:rPr>
          <w:rFonts w:eastAsiaTheme="minorEastAsia"/>
        </w:rPr>
        <w:t>C</w:t>
      </w:r>
      <w:r>
        <w:rPr>
          <w:rFonts w:eastAsiaTheme="minorEastAsia"/>
          <w:vertAlign w:val="subscript"/>
        </w:rPr>
        <w:t>0i</w:t>
      </w:r>
      <w:r>
        <w:rPr>
          <w:rFonts w:eastAsiaTheme="minorEastAsia"/>
        </w:rPr>
        <w:t>——第 i 个污染物的环境空气质量浓度标准，μg/m</w:t>
      </w:r>
      <w:r>
        <w:rPr>
          <w:rFonts w:eastAsiaTheme="minorEastAsia"/>
          <w:vertAlign w:val="superscript"/>
        </w:rPr>
        <w:t>3</w:t>
      </w:r>
      <w:r>
        <w:rPr>
          <w:rFonts w:eastAsiaTheme="minorEastAsia"/>
        </w:rPr>
        <w:t>；</w:t>
      </w:r>
    </w:p>
    <w:p>
      <w:pPr>
        <w:adjustRightInd w:val="0"/>
        <w:snapToGrid w:val="0"/>
        <w:spacing w:line="360" w:lineRule="auto"/>
        <w:ind w:firstLine="420" w:firstLineChars="200"/>
        <w:rPr>
          <w:rFonts w:eastAsiaTheme="minorEastAsia"/>
          <w:lang w:eastAsia="zh-CN"/>
        </w:rPr>
      </w:pPr>
      <w:r>
        <w:rPr>
          <w:rFonts w:eastAsiaTheme="minorEastAsia"/>
          <w:lang w:eastAsia="zh-CN"/>
        </w:rPr>
        <w:t>采用《环境影响评价技术导则-大气环境》（HJ2.2-2018）中要求的AERSCREEN估算</w:t>
      </w:r>
      <w:r>
        <w:rPr>
          <w:rFonts w:hint="eastAsia" w:eastAsiaTheme="minorEastAsia"/>
          <w:lang w:eastAsia="zh-CN"/>
        </w:rPr>
        <w:t>模型</w:t>
      </w:r>
      <w:r>
        <w:rPr>
          <w:rFonts w:eastAsiaTheme="minorEastAsia"/>
          <w:lang w:eastAsia="zh-CN"/>
        </w:rPr>
        <w:t>对项目污染物的排放进行估算。</w:t>
      </w:r>
      <w:r>
        <w:rPr>
          <w:rFonts w:hint="eastAsia" w:eastAsiaTheme="minorEastAsia"/>
          <w:lang w:eastAsia="zh-CN"/>
        </w:rPr>
        <w:t>本</w:t>
      </w:r>
      <w:r>
        <w:rPr>
          <w:rFonts w:eastAsiaTheme="minorEastAsia"/>
          <w:lang w:eastAsia="zh-CN"/>
        </w:rPr>
        <w:t>项目排放的大气污染物主要为有组织排放的</w:t>
      </w:r>
      <w:r>
        <w:rPr>
          <w:rFonts w:hint="eastAsia" w:eastAsiaTheme="minorEastAsia"/>
          <w:lang w:eastAsia="zh-CN"/>
        </w:rPr>
        <w:t>VOCs、甲醛、苯酚</w:t>
      </w:r>
      <w:r>
        <w:rPr>
          <w:rFonts w:eastAsiaTheme="minorEastAsia"/>
          <w:lang w:eastAsia="zh-CN"/>
        </w:rPr>
        <w:t>及无组织排放的</w:t>
      </w:r>
      <w:r>
        <w:rPr>
          <w:rFonts w:hint="eastAsia" w:eastAsiaTheme="minorEastAsia"/>
          <w:lang w:eastAsia="zh-CN"/>
        </w:rPr>
        <w:t>VOCs、甲醛、苯酚</w:t>
      </w:r>
      <w:r>
        <w:rPr>
          <w:rFonts w:eastAsiaTheme="minorEastAsia"/>
          <w:lang w:eastAsia="zh-CN"/>
        </w:rPr>
        <w:t>。</w:t>
      </w:r>
    </w:p>
    <w:p>
      <w:pPr>
        <w:adjustRightInd w:val="0"/>
        <w:snapToGrid w:val="0"/>
        <w:spacing w:line="360" w:lineRule="auto"/>
        <w:ind w:firstLine="420" w:firstLineChars="200"/>
        <w:rPr>
          <w:rFonts w:eastAsiaTheme="minorEastAsia"/>
          <w:lang w:eastAsia="zh-CN"/>
        </w:rPr>
      </w:pPr>
      <w:r>
        <w:rPr>
          <w:rFonts w:eastAsiaTheme="minorEastAsia"/>
          <w:lang w:eastAsia="zh-CN"/>
        </w:rPr>
        <w:t>根据相关参数，采用AERSCREEN估算</w:t>
      </w:r>
      <w:r>
        <w:rPr>
          <w:rFonts w:hint="eastAsia" w:eastAsiaTheme="minorEastAsia"/>
          <w:lang w:eastAsia="zh-CN"/>
        </w:rPr>
        <w:t>模型</w:t>
      </w:r>
      <w:r>
        <w:rPr>
          <w:rFonts w:eastAsiaTheme="minorEastAsia"/>
          <w:lang w:eastAsia="zh-CN"/>
        </w:rPr>
        <w:t>进行计算，</w:t>
      </w:r>
      <w:r>
        <w:rPr>
          <w:rFonts w:hint="eastAsia" w:eastAsiaTheme="minorEastAsia"/>
          <w:lang w:eastAsia="zh-CN"/>
        </w:rPr>
        <w:t>项目评价等级确定情况</w:t>
      </w:r>
      <w:r>
        <w:rPr>
          <w:rFonts w:eastAsiaTheme="minorEastAsia"/>
          <w:lang w:eastAsia="zh-CN"/>
        </w:rPr>
        <w:t>见表</w:t>
      </w:r>
      <w:r>
        <w:rPr>
          <w:rFonts w:hint="eastAsia" w:eastAsiaTheme="minorEastAsia"/>
          <w:lang w:val="en-US" w:eastAsia="zh-CN"/>
        </w:rPr>
        <w:t>3.3-2</w:t>
      </w:r>
      <w:r>
        <w:rPr>
          <w:rFonts w:eastAsiaTheme="minorEastAsia"/>
          <w:lang w:eastAsia="zh-CN"/>
        </w:rPr>
        <w:t>。</w:t>
      </w:r>
    </w:p>
    <w:p>
      <w:pPr>
        <w:adjustRightInd w:val="0"/>
        <w:snapToGrid w:val="0"/>
        <w:spacing w:line="360" w:lineRule="auto"/>
        <w:jc w:val="center"/>
        <w:rPr>
          <w:rFonts w:eastAsiaTheme="minorEastAsia"/>
          <w:b/>
          <w:lang w:eastAsia="zh-CN"/>
        </w:rPr>
      </w:pPr>
      <w:r>
        <w:rPr>
          <w:rFonts w:eastAsiaTheme="minorEastAsia"/>
          <w:b/>
          <w:lang w:eastAsia="zh-CN"/>
        </w:rPr>
        <w:t>表</w:t>
      </w:r>
      <w:r>
        <w:rPr>
          <w:rFonts w:hint="eastAsia" w:eastAsiaTheme="minorEastAsia"/>
          <w:b/>
          <w:lang w:eastAsia="zh-CN"/>
        </w:rPr>
        <w:t>3.3-</w:t>
      </w:r>
      <w:r>
        <w:rPr>
          <w:rFonts w:hint="eastAsia" w:eastAsiaTheme="minorEastAsia"/>
          <w:b/>
          <w:lang w:val="en-US" w:eastAsia="zh-CN"/>
        </w:rPr>
        <w:t>2</w:t>
      </w:r>
      <w:r>
        <w:rPr>
          <w:rFonts w:eastAsiaTheme="minorEastAsia"/>
          <w:b/>
          <w:lang w:eastAsia="zh-CN"/>
        </w:rPr>
        <w:t>所有污染源的正常排放的污染物的P</w:t>
      </w:r>
      <w:r>
        <w:rPr>
          <w:rFonts w:eastAsiaTheme="minorEastAsia"/>
          <w:b/>
          <w:vertAlign w:val="subscript"/>
          <w:lang w:eastAsia="zh-CN"/>
        </w:rPr>
        <w:t>max</w:t>
      </w:r>
      <w:r>
        <w:rPr>
          <w:rFonts w:eastAsiaTheme="minorEastAsia"/>
          <w:b/>
          <w:lang w:eastAsia="zh-CN"/>
        </w:rPr>
        <w:t>和D</w:t>
      </w:r>
      <w:r>
        <w:rPr>
          <w:rFonts w:eastAsiaTheme="minorEastAsia"/>
          <w:b/>
          <w:vertAlign w:val="subscript"/>
          <w:lang w:eastAsia="zh-CN"/>
        </w:rPr>
        <w:t>10%</w:t>
      </w:r>
      <w:r>
        <w:rPr>
          <w:rFonts w:eastAsiaTheme="minorEastAsia"/>
          <w:b/>
          <w:lang w:eastAsia="zh-CN"/>
        </w:rPr>
        <w:t>预测结果一览表</w:t>
      </w:r>
    </w:p>
    <w:tbl>
      <w:tblPr>
        <w:tblStyle w:val="85"/>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18"/>
        <w:gridCol w:w="1224"/>
        <w:gridCol w:w="1386"/>
        <w:gridCol w:w="1386"/>
        <w:gridCol w:w="1233"/>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2518" w:type="dxa"/>
            <w:tcBorders>
              <w:bottom w:val="single" w:color="auto" w:sz="4" w:space="0"/>
            </w:tcBorders>
            <w:shd w:val="clear" w:color="auto" w:fill="auto"/>
            <w:vAlign w:val="center"/>
          </w:tcPr>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污染源名称</w:t>
            </w:r>
          </w:p>
        </w:tc>
        <w:tc>
          <w:tcPr>
            <w:tcW w:w="1224" w:type="dxa"/>
            <w:tcBorders>
              <w:bottom w:val="single" w:color="auto" w:sz="4" w:space="0"/>
            </w:tcBorders>
            <w:shd w:val="clear" w:color="auto" w:fill="auto"/>
            <w:vAlign w:val="center"/>
          </w:tcPr>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评价因子</w:t>
            </w:r>
          </w:p>
        </w:tc>
        <w:tc>
          <w:tcPr>
            <w:tcW w:w="1386" w:type="dxa"/>
            <w:tcBorders>
              <w:bottom w:val="single" w:color="auto" w:sz="4" w:space="0"/>
            </w:tcBorders>
            <w:shd w:val="clear" w:color="auto" w:fill="auto"/>
            <w:vAlign w:val="center"/>
          </w:tcPr>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评价标准(mg/m</w:t>
            </w:r>
            <w:r>
              <w:rPr>
                <w:rFonts w:eastAsiaTheme="minorEastAsia"/>
                <w:b/>
                <w:bCs/>
                <w:sz w:val="21"/>
                <w:szCs w:val="21"/>
                <w:vertAlign w:val="superscript"/>
              </w:rPr>
              <w:t>3</w:t>
            </w:r>
            <w:r>
              <w:rPr>
                <w:rFonts w:eastAsiaTheme="minorEastAsia"/>
                <w:b/>
                <w:bCs/>
                <w:sz w:val="21"/>
                <w:szCs w:val="21"/>
              </w:rPr>
              <w:t>)</w:t>
            </w:r>
          </w:p>
        </w:tc>
        <w:tc>
          <w:tcPr>
            <w:tcW w:w="1386" w:type="dxa"/>
            <w:tcBorders>
              <w:bottom w:val="single" w:color="auto" w:sz="4" w:space="0"/>
            </w:tcBorders>
            <w:shd w:val="clear" w:color="auto" w:fill="auto"/>
            <w:vAlign w:val="center"/>
          </w:tcPr>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C</w:t>
            </w:r>
            <w:r>
              <w:rPr>
                <w:rFonts w:eastAsiaTheme="minorEastAsia"/>
                <w:b/>
                <w:bCs/>
                <w:sz w:val="21"/>
                <w:szCs w:val="21"/>
                <w:vertAlign w:val="subscript"/>
              </w:rPr>
              <w:t>max</w:t>
            </w:r>
          </w:p>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(mg/m</w:t>
            </w:r>
            <w:r>
              <w:rPr>
                <w:rFonts w:eastAsiaTheme="minorEastAsia"/>
                <w:b/>
                <w:bCs/>
                <w:sz w:val="21"/>
                <w:szCs w:val="21"/>
                <w:vertAlign w:val="superscript"/>
              </w:rPr>
              <w:t>3</w:t>
            </w:r>
            <w:r>
              <w:rPr>
                <w:rFonts w:eastAsiaTheme="minorEastAsia"/>
                <w:b/>
                <w:bCs/>
                <w:sz w:val="21"/>
                <w:szCs w:val="21"/>
              </w:rPr>
              <w:t>)</w:t>
            </w:r>
          </w:p>
        </w:tc>
        <w:tc>
          <w:tcPr>
            <w:tcW w:w="1233" w:type="dxa"/>
            <w:tcBorders>
              <w:bottom w:val="single" w:color="auto" w:sz="4" w:space="0"/>
            </w:tcBorders>
            <w:shd w:val="clear" w:color="auto" w:fill="auto"/>
            <w:vAlign w:val="center"/>
          </w:tcPr>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P</w:t>
            </w:r>
            <w:r>
              <w:rPr>
                <w:rFonts w:eastAsiaTheme="minorEastAsia"/>
                <w:b/>
                <w:bCs/>
                <w:sz w:val="21"/>
                <w:szCs w:val="21"/>
                <w:vertAlign w:val="subscript"/>
              </w:rPr>
              <w:t>max</w:t>
            </w:r>
          </w:p>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w:t>
            </w:r>
          </w:p>
        </w:tc>
        <w:tc>
          <w:tcPr>
            <w:tcW w:w="1540" w:type="dxa"/>
            <w:tcBorders>
              <w:bottom w:val="single" w:color="auto" w:sz="4" w:space="0"/>
            </w:tcBorders>
            <w:shd w:val="clear" w:color="auto" w:fill="auto"/>
            <w:vAlign w:val="center"/>
          </w:tcPr>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D</w:t>
            </w:r>
            <w:r>
              <w:rPr>
                <w:rFonts w:eastAsiaTheme="minorEastAsia"/>
                <w:b/>
                <w:bCs/>
                <w:sz w:val="21"/>
                <w:szCs w:val="21"/>
                <w:vertAlign w:val="subscript"/>
              </w:rPr>
              <w:t>10%</w:t>
            </w:r>
          </w:p>
          <w:p>
            <w:pPr>
              <w:adjustRightInd w:val="0"/>
              <w:snapToGrid w:val="0"/>
              <w:spacing w:line="240" w:lineRule="exact"/>
              <w:contextualSpacing/>
              <w:jc w:val="center"/>
              <w:rPr>
                <w:rFonts w:eastAsiaTheme="minorEastAsia"/>
                <w:b/>
                <w:bCs/>
                <w:sz w:val="21"/>
                <w:szCs w:val="21"/>
              </w:rPr>
            </w:pPr>
            <w:r>
              <w:rPr>
                <w:rFonts w:eastAsiaTheme="minorEastAsia"/>
                <w:b/>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Merge w:val="restart"/>
            <w:tcBorders>
              <w:top w:val="single" w:color="auto" w:sz="4" w:space="0"/>
            </w:tcBorders>
            <w:shd w:val="clear" w:color="auto" w:fill="auto"/>
            <w:vAlign w:val="center"/>
          </w:tcPr>
          <w:p>
            <w:pPr>
              <w:adjustRightInd w:val="0"/>
              <w:snapToGrid w:val="0"/>
              <w:spacing w:line="240" w:lineRule="exact"/>
              <w:contextualSpacing/>
              <w:jc w:val="center"/>
              <w:rPr>
                <w:rFonts w:eastAsiaTheme="minorEastAsia"/>
                <w:sz w:val="21"/>
                <w:szCs w:val="21"/>
              </w:rPr>
            </w:pPr>
            <w:r>
              <w:rPr>
                <w:rFonts w:hint="eastAsia" w:cs="Times New Roman"/>
                <w:sz w:val="21"/>
                <w:szCs w:val="21"/>
                <w:lang w:val="en-US" w:eastAsia="zh-CN"/>
              </w:rPr>
              <w:t>1#排气筒</w:t>
            </w:r>
          </w:p>
        </w:tc>
        <w:tc>
          <w:tcPr>
            <w:tcW w:w="1224" w:type="dxa"/>
            <w:tcBorders>
              <w:top w:val="single" w:color="auto" w:sz="4" w:space="0"/>
            </w:tcBorders>
            <w:shd w:val="clear" w:color="auto" w:fill="auto"/>
            <w:vAlign w:val="center"/>
          </w:tcPr>
          <w:p>
            <w:pPr>
              <w:pStyle w:val="2"/>
              <w:spacing w:after="0"/>
              <w:ind w:left="0" w:leftChars="0" w:firstLine="0" w:firstLineChars="0"/>
              <w:jc w:val="center"/>
              <w:rPr>
                <w:rFonts w:hint="eastAsia" w:ascii="Times New Roman" w:hAnsi="Times New Roman" w:eastAsia="宋体" w:cs="Times New Roman"/>
                <w:color w:val="000000"/>
                <w:sz w:val="21"/>
                <w:szCs w:val="21"/>
                <w:lang w:val="en-US" w:eastAsia="zh-CN" w:bidi="en-US"/>
              </w:rPr>
            </w:pPr>
            <w:r>
              <w:rPr>
                <w:rFonts w:hint="eastAsia" w:eastAsia="宋体"/>
                <w:sz w:val="21"/>
                <w:szCs w:val="21"/>
                <w:lang w:eastAsia="zh-CN"/>
              </w:rPr>
              <w:t>甲醛</w:t>
            </w:r>
          </w:p>
        </w:tc>
        <w:tc>
          <w:tcPr>
            <w:tcW w:w="1386" w:type="dxa"/>
            <w:tcBorders>
              <w:top w:val="single" w:color="auto" w:sz="4" w:space="0"/>
            </w:tcBorders>
            <w:shd w:val="clear" w:color="auto" w:fill="auto"/>
            <w:vAlign w:val="center"/>
          </w:tcPr>
          <w:p>
            <w:pPr>
              <w:contextualSpacing/>
              <w:jc w:val="center"/>
              <w:rPr>
                <w:rFonts w:hint="default" w:ascii="Times New Roman" w:hAnsi="Times New Roman" w:eastAsia="宋体" w:cs="Times New Roman"/>
                <w:color w:val="000000"/>
                <w:sz w:val="21"/>
                <w:szCs w:val="21"/>
                <w:lang w:val="en-US" w:eastAsia="zh-CN" w:bidi="en-US"/>
              </w:rPr>
            </w:pPr>
            <w:r>
              <w:rPr>
                <w:rFonts w:hint="eastAsia" w:eastAsia="宋体"/>
                <w:sz w:val="21"/>
                <w:szCs w:val="21"/>
                <w:lang w:val="en-US" w:eastAsia="zh-CN"/>
              </w:rPr>
              <w:t>0.05</w:t>
            </w:r>
          </w:p>
        </w:tc>
        <w:tc>
          <w:tcPr>
            <w:tcW w:w="1386" w:type="dxa"/>
            <w:tcBorders>
              <w:top w:val="single" w:color="auto" w:sz="4" w:space="0"/>
            </w:tcBorders>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0.0000481</w:t>
            </w:r>
          </w:p>
        </w:tc>
        <w:tc>
          <w:tcPr>
            <w:tcW w:w="1233" w:type="dxa"/>
            <w:tcBorders>
              <w:top w:val="single" w:color="auto" w:sz="4" w:space="0"/>
            </w:tcBorders>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0.1</w:t>
            </w:r>
          </w:p>
        </w:tc>
        <w:tc>
          <w:tcPr>
            <w:tcW w:w="1540" w:type="dxa"/>
            <w:tcBorders>
              <w:top w:val="single" w:color="auto" w:sz="4" w:space="0"/>
            </w:tcBorders>
            <w:shd w:val="clear" w:color="auto" w:fill="auto"/>
            <w:vAlign w:val="center"/>
          </w:tcPr>
          <w:p>
            <w:pPr>
              <w:contextualSpacing/>
              <w:jc w:val="center"/>
              <w:rPr>
                <w:rFonts w:eastAsiaTheme="minorEastAsia"/>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Merge w:val="continue"/>
            <w:shd w:val="clear" w:color="auto" w:fill="auto"/>
            <w:vAlign w:val="center"/>
          </w:tcPr>
          <w:p>
            <w:pPr>
              <w:adjustRightInd w:val="0"/>
              <w:snapToGrid w:val="0"/>
              <w:spacing w:line="240" w:lineRule="exact"/>
              <w:contextualSpacing/>
              <w:jc w:val="center"/>
              <w:rPr>
                <w:rFonts w:hint="eastAsia" w:cs="Times New Roman"/>
                <w:sz w:val="21"/>
                <w:szCs w:val="21"/>
                <w:lang w:val="en-US" w:eastAsia="zh-CN"/>
              </w:rPr>
            </w:pPr>
          </w:p>
        </w:tc>
        <w:tc>
          <w:tcPr>
            <w:tcW w:w="1224" w:type="dxa"/>
            <w:tcBorders>
              <w:top w:val="single" w:color="auto" w:sz="4" w:space="0"/>
            </w:tcBorders>
            <w:shd w:val="clear" w:color="auto" w:fill="auto"/>
            <w:vAlign w:val="center"/>
          </w:tcPr>
          <w:p>
            <w:pPr>
              <w:pStyle w:val="2"/>
              <w:spacing w:after="0"/>
              <w:ind w:left="0" w:leftChars="0" w:firstLine="0" w:firstLineChars="0"/>
              <w:jc w:val="center"/>
              <w:rPr>
                <w:rFonts w:hint="eastAsia" w:eastAsia="宋体"/>
                <w:sz w:val="21"/>
                <w:szCs w:val="21"/>
                <w:lang w:eastAsia="zh-CN"/>
              </w:rPr>
            </w:pPr>
            <w:r>
              <w:rPr>
                <w:rFonts w:hint="eastAsia" w:eastAsia="宋体"/>
                <w:sz w:val="21"/>
                <w:szCs w:val="21"/>
                <w:lang w:eastAsia="zh-CN"/>
              </w:rPr>
              <w:t>酚类</w:t>
            </w:r>
          </w:p>
        </w:tc>
        <w:tc>
          <w:tcPr>
            <w:tcW w:w="1386" w:type="dxa"/>
            <w:tcBorders>
              <w:top w:val="single" w:color="auto" w:sz="4" w:space="0"/>
            </w:tcBorders>
            <w:shd w:val="clear" w:color="auto" w:fill="auto"/>
            <w:vAlign w:val="center"/>
          </w:tcPr>
          <w:p>
            <w:pPr>
              <w:contextualSpacing/>
              <w:jc w:val="center"/>
              <w:rPr>
                <w:rFonts w:hint="default" w:eastAsia="宋体"/>
                <w:sz w:val="21"/>
                <w:szCs w:val="21"/>
                <w:lang w:val="en-US" w:eastAsia="zh-CN"/>
              </w:rPr>
            </w:pPr>
            <w:r>
              <w:rPr>
                <w:rFonts w:hint="eastAsia" w:eastAsia="宋体"/>
                <w:sz w:val="21"/>
                <w:szCs w:val="21"/>
                <w:lang w:val="en-US" w:eastAsia="zh-CN"/>
              </w:rPr>
              <w:t>0.02</w:t>
            </w:r>
          </w:p>
        </w:tc>
        <w:tc>
          <w:tcPr>
            <w:tcW w:w="1386" w:type="dxa"/>
            <w:tcBorders>
              <w:top w:val="single" w:color="auto" w:sz="4" w:space="0"/>
            </w:tcBorders>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0.00194</w:t>
            </w:r>
          </w:p>
        </w:tc>
        <w:tc>
          <w:tcPr>
            <w:tcW w:w="1233" w:type="dxa"/>
            <w:tcBorders>
              <w:top w:val="single" w:color="auto" w:sz="4" w:space="0"/>
            </w:tcBorders>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0.97</w:t>
            </w:r>
          </w:p>
        </w:tc>
        <w:tc>
          <w:tcPr>
            <w:tcW w:w="1540" w:type="dxa"/>
            <w:tcBorders>
              <w:top w:val="single" w:color="auto" w:sz="4" w:space="0"/>
            </w:tcBorders>
            <w:shd w:val="clear" w:color="auto" w:fill="auto"/>
            <w:vAlign w:val="center"/>
          </w:tcPr>
          <w:p>
            <w:pPr>
              <w:contextualSpacing/>
              <w:jc w:val="center"/>
              <w:rPr>
                <w:rFonts w:hint="default" w:eastAsia="宋体"/>
                <w:bCs/>
                <w:sz w:val="21"/>
                <w:szCs w:val="21"/>
                <w:lang w:val="en-US" w:eastAsia="zh-CN"/>
              </w:rPr>
            </w:pPr>
            <w:r>
              <w:rPr>
                <w:rFonts w:hint="eastAsia" w:eastAsia="宋体"/>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Merge w:val="continue"/>
            <w:shd w:val="clear" w:color="auto" w:fill="auto"/>
            <w:vAlign w:val="center"/>
          </w:tcPr>
          <w:p>
            <w:pPr>
              <w:adjustRightInd w:val="0"/>
              <w:snapToGrid w:val="0"/>
              <w:spacing w:line="240" w:lineRule="exact"/>
              <w:contextualSpacing/>
              <w:jc w:val="center"/>
              <w:rPr>
                <w:rFonts w:hint="eastAsia" w:eastAsiaTheme="minorEastAsia"/>
                <w:sz w:val="21"/>
                <w:szCs w:val="21"/>
                <w:lang w:eastAsia="zh-CN"/>
              </w:rPr>
            </w:pPr>
          </w:p>
        </w:tc>
        <w:tc>
          <w:tcPr>
            <w:tcW w:w="1224" w:type="dxa"/>
            <w:tcBorders>
              <w:top w:val="single" w:color="auto" w:sz="4" w:space="0"/>
            </w:tcBorders>
            <w:shd w:val="clear" w:color="auto" w:fill="auto"/>
            <w:vAlign w:val="center"/>
          </w:tcPr>
          <w:p>
            <w:pPr>
              <w:pStyle w:val="2"/>
              <w:spacing w:after="0"/>
              <w:ind w:left="0" w:leftChars="0" w:firstLine="0" w:firstLineChars="0"/>
              <w:jc w:val="center"/>
              <w:rPr>
                <w:rFonts w:hint="eastAsia" w:ascii="Times New Roman" w:hAnsi="Times New Roman" w:eastAsia="宋体" w:cs="Times New Roman"/>
                <w:color w:val="000000"/>
                <w:sz w:val="21"/>
                <w:szCs w:val="21"/>
                <w:lang w:val="en-US" w:eastAsia="zh-CN" w:bidi="en-US"/>
              </w:rPr>
            </w:pPr>
            <w:r>
              <w:rPr>
                <w:rFonts w:hint="eastAsia" w:eastAsia="宋体"/>
                <w:sz w:val="21"/>
                <w:szCs w:val="21"/>
                <w:lang w:val="en-US" w:eastAsia="zh-CN"/>
              </w:rPr>
              <w:t>VOCs</w:t>
            </w:r>
          </w:p>
        </w:tc>
        <w:tc>
          <w:tcPr>
            <w:tcW w:w="1386" w:type="dxa"/>
            <w:tcBorders>
              <w:top w:val="single" w:color="auto" w:sz="4" w:space="0"/>
            </w:tcBorders>
            <w:shd w:val="clear" w:color="auto" w:fill="auto"/>
            <w:vAlign w:val="center"/>
          </w:tcPr>
          <w:p>
            <w:pPr>
              <w:contextualSpacing/>
              <w:jc w:val="center"/>
              <w:rPr>
                <w:rFonts w:hint="default" w:ascii="Times New Roman" w:hAnsi="Times New Roman" w:eastAsia="宋体" w:cs="Times New Roman"/>
                <w:color w:val="000000"/>
                <w:sz w:val="21"/>
                <w:szCs w:val="21"/>
                <w:lang w:val="en-US" w:eastAsia="zh-CN" w:bidi="en-US"/>
              </w:rPr>
            </w:pPr>
            <w:r>
              <w:rPr>
                <w:rFonts w:hint="eastAsia" w:eastAsia="宋体"/>
                <w:sz w:val="21"/>
                <w:szCs w:val="21"/>
                <w:lang w:val="en-US" w:eastAsia="zh-CN"/>
              </w:rPr>
              <w:t>2.0</w:t>
            </w:r>
          </w:p>
        </w:tc>
        <w:tc>
          <w:tcPr>
            <w:tcW w:w="1386" w:type="dxa"/>
            <w:tcBorders>
              <w:top w:val="single" w:color="auto" w:sz="4" w:space="0"/>
            </w:tcBorders>
            <w:shd w:val="clear" w:color="auto" w:fill="auto"/>
            <w:vAlign w:val="center"/>
          </w:tcPr>
          <w:p>
            <w:pPr>
              <w:contextualSpacing/>
              <w:jc w:val="center"/>
              <w:rPr>
                <w:rFonts w:hint="default" w:eastAsia="宋体"/>
                <w:sz w:val="21"/>
                <w:szCs w:val="21"/>
                <w:lang w:val="en-US" w:eastAsia="zh-CN"/>
              </w:rPr>
            </w:pPr>
            <w:r>
              <w:rPr>
                <w:rFonts w:hint="eastAsia" w:eastAsia="宋体"/>
                <w:sz w:val="21"/>
                <w:szCs w:val="21"/>
                <w:lang w:val="en-US" w:eastAsia="zh-CN"/>
              </w:rPr>
              <w:t>0.00204</w:t>
            </w:r>
          </w:p>
        </w:tc>
        <w:tc>
          <w:tcPr>
            <w:tcW w:w="1233" w:type="dxa"/>
            <w:tcBorders>
              <w:top w:val="single" w:color="auto" w:sz="4" w:space="0"/>
            </w:tcBorders>
            <w:shd w:val="clear" w:color="auto" w:fill="auto"/>
            <w:vAlign w:val="center"/>
          </w:tcPr>
          <w:p>
            <w:pPr>
              <w:contextualSpacing/>
              <w:jc w:val="center"/>
              <w:rPr>
                <w:rFonts w:hint="default"/>
                <w:sz w:val="21"/>
                <w:szCs w:val="21"/>
                <w:lang w:val="en-US" w:eastAsia="zh-CN"/>
              </w:rPr>
            </w:pPr>
            <w:r>
              <w:rPr>
                <w:rFonts w:hint="eastAsia"/>
                <w:sz w:val="21"/>
                <w:szCs w:val="21"/>
                <w:lang w:val="en-US" w:eastAsia="zh-CN"/>
              </w:rPr>
              <w:t>0.1</w:t>
            </w:r>
          </w:p>
        </w:tc>
        <w:tc>
          <w:tcPr>
            <w:tcW w:w="1540" w:type="dxa"/>
            <w:tcBorders>
              <w:top w:val="single" w:color="auto" w:sz="4" w:space="0"/>
            </w:tcBorders>
            <w:shd w:val="clear" w:color="auto" w:fill="auto"/>
            <w:vAlign w:val="center"/>
          </w:tcPr>
          <w:p>
            <w:pPr>
              <w:contextualSpacing/>
              <w:jc w:val="center"/>
              <w:rPr>
                <w:bCs/>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Merge w:val="restart"/>
            <w:shd w:val="clear" w:color="auto" w:fill="auto"/>
            <w:vAlign w:val="center"/>
          </w:tcPr>
          <w:p>
            <w:pPr>
              <w:spacing w:line="280" w:lineRule="exact"/>
              <w:jc w:val="center"/>
              <w:rPr>
                <w:rFonts w:hint="eastAsia" w:eastAsiaTheme="minorEastAsia"/>
                <w:sz w:val="21"/>
                <w:szCs w:val="21"/>
                <w:lang w:val="en-US" w:eastAsia="zh-CN"/>
              </w:rPr>
            </w:pPr>
            <w:r>
              <w:rPr>
                <w:rFonts w:hint="eastAsia" w:eastAsia="宋体"/>
                <w:sz w:val="21"/>
                <w:szCs w:val="21"/>
                <w:lang w:eastAsia="zh-CN"/>
              </w:rPr>
              <w:t>生产</w:t>
            </w:r>
            <w:r>
              <w:rPr>
                <w:rFonts w:hint="eastAsia" w:eastAsia="宋体"/>
                <w:sz w:val="21"/>
                <w:szCs w:val="21"/>
                <w:lang w:val="en-US" w:eastAsia="zh-CN"/>
              </w:rPr>
              <w:t>车</w:t>
            </w:r>
            <w:r>
              <w:rPr>
                <w:rFonts w:hint="eastAsia"/>
                <w:sz w:val="21"/>
                <w:szCs w:val="21"/>
              </w:rPr>
              <w:t>间</w:t>
            </w:r>
          </w:p>
        </w:tc>
        <w:tc>
          <w:tcPr>
            <w:tcW w:w="1224" w:type="dxa"/>
            <w:shd w:val="clear" w:color="auto" w:fill="auto"/>
            <w:vAlign w:val="center"/>
          </w:tcPr>
          <w:p>
            <w:pPr>
              <w:pStyle w:val="2"/>
              <w:spacing w:after="0"/>
              <w:ind w:left="0" w:leftChars="0" w:firstLine="0" w:firstLineChars="0"/>
              <w:jc w:val="center"/>
              <w:rPr>
                <w:rFonts w:hint="eastAsia" w:ascii="Times New Roman" w:hAnsi="Times New Roman" w:eastAsia="宋体" w:cs="Times New Roman"/>
                <w:color w:val="000000"/>
                <w:sz w:val="21"/>
                <w:szCs w:val="21"/>
                <w:lang w:val="en-US" w:eastAsia="zh-CN" w:bidi="en-US"/>
              </w:rPr>
            </w:pPr>
            <w:r>
              <w:rPr>
                <w:rFonts w:hint="eastAsia" w:eastAsia="宋体"/>
                <w:sz w:val="21"/>
                <w:szCs w:val="21"/>
                <w:lang w:eastAsia="zh-CN"/>
              </w:rPr>
              <w:t>甲醛</w:t>
            </w:r>
          </w:p>
        </w:tc>
        <w:tc>
          <w:tcPr>
            <w:tcW w:w="1386"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0.05</w:t>
            </w:r>
          </w:p>
        </w:tc>
        <w:tc>
          <w:tcPr>
            <w:tcW w:w="1386"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0.000137</w:t>
            </w:r>
          </w:p>
        </w:tc>
        <w:tc>
          <w:tcPr>
            <w:tcW w:w="1233"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0.27</w:t>
            </w:r>
          </w:p>
        </w:tc>
        <w:tc>
          <w:tcPr>
            <w:tcW w:w="1540" w:type="dxa"/>
            <w:shd w:val="clear" w:color="auto" w:fill="auto"/>
            <w:vAlign w:val="center"/>
          </w:tcPr>
          <w:p>
            <w:pPr>
              <w:contextualSpacing/>
              <w:jc w:val="center"/>
              <w:rPr>
                <w:rFonts w:eastAsiaTheme="minorEastAsia"/>
                <w:sz w:val="21"/>
                <w:szCs w:val="21"/>
              </w:rPr>
            </w:pPr>
            <w:r>
              <w:rPr>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Merge w:val="continue"/>
            <w:shd w:val="clear" w:color="auto" w:fill="auto"/>
            <w:vAlign w:val="center"/>
          </w:tcPr>
          <w:p>
            <w:pPr>
              <w:spacing w:line="280" w:lineRule="exact"/>
              <w:jc w:val="center"/>
              <w:rPr>
                <w:rFonts w:hint="eastAsia" w:eastAsia="宋体"/>
                <w:sz w:val="21"/>
                <w:szCs w:val="21"/>
                <w:lang w:eastAsia="zh-CN"/>
              </w:rPr>
            </w:pPr>
          </w:p>
        </w:tc>
        <w:tc>
          <w:tcPr>
            <w:tcW w:w="1224" w:type="dxa"/>
            <w:shd w:val="clear" w:color="auto" w:fill="auto"/>
            <w:vAlign w:val="center"/>
          </w:tcPr>
          <w:p>
            <w:pPr>
              <w:pStyle w:val="2"/>
              <w:spacing w:after="0"/>
              <w:ind w:left="0" w:leftChars="0" w:firstLine="0" w:firstLineChars="0"/>
              <w:jc w:val="center"/>
              <w:rPr>
                <w:rFonts w:hint="eastAsia" w:eastAsia="宋体"/>
                <w:sz w:val="21"/>
                <w:szCs w:val="21"/>
                <w:lang w:eastAsia="zh-CN"/>
              </w:rPr>
            </w:pPr>
            <w:r>
              <w:rPr>
                <w:rFonts w:hint="eastAsia" w:eastAsia="宋体"/>
                <w:sz w:val="21"/>
                <w:szCs w:val="21"/>
                <w:lang w:eastAsia="zh-CN"/>
              </w:rPr>
              <w:t>酚类</w:t>
            </w:r>
          </w:p>
        </w:tc>
        <w:tc>
          <w:tcPr>
            <w:tcW w:w="1386"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0.02</w:t>
            </w:r>
          </w:p>
        </w:tc>
        <w:tc>
          <w:tcPr>
            <w:tcW w:w="1386"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0.00765</w:t>
            </w:r>
          </w:p>
        </w:tc>
        <w:tc>
          <w:tcPr>
            <w:tcW w:w="1233"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3.83</w:t>
            </w:r>
          </w:p>
        </w:tc>
        <w:tc>
          <w:tcPr>
            <w:tcW w:w="1540" w:type="dxa"/>
            <w:shd w:val="clear" w:color="auto" w:fill="auto"/>
            <w:vAlign w:val="center"/>
          </w:tcPr>
          <w:p>
            <w:pPr>
              <w:contextualSpacing/>
              <w:jc w:val="center"/>
              <w:rPr>
                <w:rFonts w:hint="default" w:eastAsia="宋体"/>
                <w:bCs/>
                <w:sz w:val="21"/>
                <w:szCs w:val="21"/>
                <w:lang w:val="en-US" w:eastAsia="zh-CN"/>
              </w:rPr>
            </w:pPr>
            <w:r>
              <w:rPr>
                <w:rFonts w:hint="eastAsia" w:eastAsia="宋体"/>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18" w:type="dxa"/>
            <w:vMerge w:val="continue"/>
            <w:shd w:val="clear" w:color="auto" w:fill="auto"/>
            <w:vAlign w:val="center"/>
          </w:tcPr>
          <w:p>
            <w:pPr>
              <w:spacing w:line="280" w:lineRule="exact"/>
              <w:jc w:val="center"/>
              <w:rPr>
                <w:rFonts w:hint="eastAsia" w:eastAsia="宋体"/>
                <w:sz w:val="21"/>
                <w:szCs w:val="21"/>
                <w:lang w:eastAsia="zh-CN"/>
              </w:rPr>
            </w:pPr>
          </w:p>
        </w:tc>
        <w:tc>
          <w:tcPr>
            <w:tcW w:w="1224" w:type="dxa"/>
            <w:shd w:val="clear" w:color="auto" w:fill="auto"/>
            <w:vAlign w:val="center"/>
          </w:tcPr>
          <w:p>
            <w:pPr>
              <w:pStyle w:val="2"/>
              <w:spacing w:after="0"/>
              <w:ind w:left="0" w:leftChars="0" w:firstLine="0" w:firstLineChars="0"/>
              <w:jc w:val="center"/>
              <w:rPr>
                <w:rFonts w:hint="eastAsia" w:ascii="Times New Roman" w:hAnsi="Times New Roman" w:eastAsia="宋体" w:cs="Times New Roman"/>
                <w:color w:val="000000"/>
                <w:sz w:val="21"/>
                <w:szCs w:val="21"/>
                <w:lang w:val="en-US" w:eastAsia="zh-CN" w:bidi="en-US"/>
              </w:rPr>
            </w:pPr>
            <w:r>
              <w:rPr>
                <w:rFonts w:hint="eastAsia" w:eastAsia="宋体"/>
                <w:sz w:val="21"/>
                <w:szCs w:val="21"/>
                <w:lang w:val="en-US" w:eastAsia="zh-CN"/>
              </w:rPr>
              <w:t>VOCs</w:t>
            </w:r>
          </w:p>
        </w:tc>
        <w:tc>
          <w:tcPr>
            <w:tcW w:w="1386"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2.0</w:t>
            </w:r>
          </w:p>
        </w:tc>
        <w:tc>
          <w:tcPr>
            <w:tcW w:w="1386"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0.00796</w:t>
            </w:r>
          </w:p>
        </w:tc>
        <w:tc>
          <w:tcPr>
            <w:tcW w:w="1233" w:type="dxa"/>
            <w:shd w:val="clear" w:color="auto" w:fill="auto"/>
            <w:vAlign w:val="center"/>
          </w:tcPr>
          <w:p>
            <w:pPr>
              <w:contextualSpacing/>
              <w:jc w:val="center"/>
              <w:rPr>
                <w:rFonts w:hint="default" w:eastAsiaTheme="minorEastAsia"/>
                <w:sz w:val="21"/>
                <w:szCs w:val="21"/>
                <w:lang w:val="en-US" w:eastAsia="zh-CN"/>
              </w:rPr>
            </w:pPr>
            <w:r>
              <w:rPr>
                <w:rFonts w:hint="eastAsia" w:eastAsiaTheme="minorEastAsia"/>
                <w:sz w:val="21"/>
                <w:szCs w:val="21"/>
                <w:lang w:val="en-US" w:eastAsia="zh-CN"/>
              </w:rPr>
              <w:t>0.4</w:t>
            </w:r>
          </w:p>
        </w:tc>
        <w:tc>
          <w:tcPr>
            <w:tcW w:w="1540" w:type="dxa"/>
            <w:shd w:val="clear" w:color="auto" w:fill="auto"/>
            <w:vAlign w:val="center"/>
          </w:tcPr>
          <w:p>
            <w:pPr>
              <w:contextualSpacing/>
              <w:jc w:val="center"/>
              <w:rPr>
                <w:rFonts w:eastAsiaTheme="minorEastAsia"/>
                <w:sz w:val="21"/>
                <w:szCs w:val="21"/>
              </w:rPr>
            </w:pPr>
            <w:r>
              <w:rPr>
                <w:bCs/>
                <w:sz w:val="21"/>
                <w:szCs w:val="21"/>
              </w:rPr>
              <w:t>--</w:t>
            </w:r>
          </w:p>
        </w:tc>
      </w:tr>
    </w:tbl>
    <w:p>
      <w:pPr>
        <w:pStyle w:val="2"/>
        <w:adjustRightInd w:val="0"/>
        <w:snapToGrid w:val="0"/>
        <w:spacing w:after="0" w:line="360" w:lineRule="auto"/>
        <w:ind w:left="0" w:leftChars="0" w:firstLine="480"/>
        <w:jc w:val="both"/>
        <w:rPr>
          <w:rFonts w:eastAsiaTheme="minorEastAsia"/>
          <w:lang w:eastAsia="zh-CN"/>
        </w:rPr>
      </w:pPr>
      <w:r>
        <w:rPr>
          <w:rFonts w:eastAsiaTheme="minorEastAsia"/>
          <w:bCs/>
          <w:lang w:eastAsia="zh-CN"/>
        </w:rPr>
        <w:t>由上表可知，所有污染源占标率最大值为</w:t>
      </w:r>
      <w:r>
        <w:rPr>
          <w:rFonts w:hint="eastAsia" w:eastAsiaTheme="minorEastAsia"/>
          <w:bCs/>
          <w:lang w:eastAsia="zh-CN"/>
        </w:rPr>
        <w:t>生产车间</w:t>
      </w:r>
      <w:r>
        <w:rPr>
          <w:rFonts w:hint="eastAsia" w:eastAsiaTheme="minorEastAsia"/>
          <w:lang w:eastAsia="zh-CN"/>
        </w:rPr>
        <w:t>苯酚</w:t>
      </w:r>
      <w:r>
        <w:rPr>
          <w:rFonts w:eastAsiaTheme="minorEastAsia"/>
          <w:bCs/>
          <w:lang w:eastAsia="zh-CN"/>
        </w:rPr>
        <w:t>，1%&lt;P</w:t>
      </w:r>
      <w:r>
        <w:rPr>
          <w:rFonts w:eastAsiaTheme="minorEastAsia"/>
          <w:bCs/>
          <w:vertAlign w:val="subscript"/>
          <w:lang w:eastAsia="zh-CN"/>
        </w:rPr>
        <w:t>MAX</w:t>
      </w:r>
      <w:r>
        <w:rPr>
          <w:rFonts w:eastAsiaTheme="minorEastAsia"/>
          <w:bCs/>
          <w:lang w:eastAsia="zh-CN"/>
        </w:rPr>
        <w:t>=</w:t>
      </w:r>
      <w:r>
        <w:rPr>
          <w:rFonts w:hint="eastAsia" w:eastAsiaTheme="minorEastAsia"/>
          <w:bCs/>
          <w:lang w:val="en-US" w:eastAsia="zh-CN"/>
        </w:rPr>
        <w:t>3.83</w:t>
      </w:r>
      <w:r>
        <w:rPr>
          <w:rFonts w:hint="eastAsia" w:eastAsiaTheme="minorEastAsia"/>
          <w:bCs/>
          <w:lang w:eastAsia="zh-CN"/>
        </w:rPr>
        <w:t>%</w:t>
      </w:r>
      <w:r>
        <w:rPr>
          <w:rFonts w:eastAsiaTheme="minorEastAsia"/>
          <w:bCs/>
          <w:lang w:eastAsia="zh-CN"/>
        </w:rPr>
        <w:t>&lt;10%，</w:t>
      </w:r>
      <w:r>
        <w:rPr>
          <w:rFonts w:eastAsiaTheme="minorEastAsia"/>
          <w:lang w:eastAsia="zh-CN"/>
        </w:rPr>
        <w:t>根据《环境影响评价技术导则—大气环境》（HJ2.2-2018）要求，确定本项目环境空气影响评价等级为二级评价。</w:t>
      </w:r>
      <w:r>
        <w:rPr>
          <w:rFonts w:hint="eastAsia" w:eastAsiaTheme="minorEastAsia"/>
          <w:lang w:eastAsia="zh-CN"/>
        </w:rPr>
        <w:t>本项目不属于电力、钢铁、水泥、石化、化工、平板玻璃、有色等高耗能行业，不属于高污染燃料为主的多源项目，评价项目不需要提高一级等级，</w:t>
      </w:r>
      <w:r>
        <w:rPr>
          <w:rFonts w:eastAsiaTheme="minorEastAsia"/>
          <w:lang w:eastAsia="zh-CN"/>
        </w:rPr>
        <w:t>本项目环境空气影响评价等级为二级评价</w:t>
      </w:r>
      <w:r>
        <w:rPr>
          <w:rFonts w:hint="eastAsia" w:eastAsiaTheme="minorEastAsia"/>
          <w:lang w:eastAsia="zh-CN"/>
        </w:rPr>
        <w:t>。</w:t>
      </w:r>
    </w:p>
    <w:p>
      <w:pPr>
        <w:keepNext/>
        <w:keepLines/>
        <w:widowControl/>
        <w:adjustRightInd w:val="0"/>
        <w:snapToGrid w:val="0"/>
        <w:spacing w:line="360" w:lineRule="auto"/>
        <w:outlineLvl w:val="3"/>
        <w:rPr>
          <w:rFonts w:eastAsiaTheme="minorEastAsia"/>
          <w:b/>
          <w:bCs/>
          <w:lang w:eastAsia="zh-CN"/>
        </w:rPr>
      </w:pPr>
      <w:r>
        <w:rPr>
          <w:rFonts w:hint="eastAsia" w:eastAsiaTheme="minorEastAsia"/>
          <w:b/>
          <w:bCs/>
          <w:lang w:eastAsia="zh-CN"/>
        </w:rPr>
        <w:t>3.4</w:t>
      </w:r>
      <w:r>
        <w:rPr>
          <w:rFonts w:eastAsiaTheme="minorEastAsia"/>
          <w:b/>
          <w:bCs/>
          <w:lang w:eastAsia="zh-CN"/>
        </w:rPr>
        <w:t xml:space="preserve"> 大气环境评价范围确定</w:t>
      </w:r>
    </w:p>
    <w:p>
      <w:pPr>
        <w:adjustRightInd w:val="0"/>
        <w:snapToGrid w:val="0"/>
        <w:spacing w:line="360" w:lineRule="auto"/>
        <w:ind w:firstLine="420" w:firstLineChars="200"/>
        <w:rPr>
          <w:rFonts w:eastAsiaTheme="minorEastAsia"/>
          <w:lang w:eastAsia="zh-CN"/>
        </w:rPr>
      </w:pPr>
      <w:r>
        <w:rPr>
          <w:rFonts w:eastAsiaTheme="minorEastAsia"/>
          <w:lang w:eastAsia="zh-CN"/>
        </w:rPr>
        <w:t>根据估算结果，结合《环境影响评价技术导则大气环境》（HJ2.2-2018）中5.4.1确定本次评价范围以项目厂址为中心区域，边长5km的矩形区域。</w:t>
      </w:r>
    </w:p>
    <w:bookmarkEnd w:id="27"/>
    <w:p>
      <w:pPr>
        <w:pStyle w:val="2"/>
        <w:ind w:left="0" w:leftChars="0" w:firstLine="0" w:firstLineChars="0"/>
        <w:rPr>
          <w:rFonts w:hint="eastAsia" w:eastAsiaTheme="minorEastAsia"/>
          <w:b/>
          <w:bCs/>
          <w:lang w:eastAsia="zh-CN"/>
        </w:rPr>
      </w:pPr>
      <w:r>
        <w:rPr>
          <w:rFonts w:hint="eastAsia" w:eastAsiaTheme="minorEastAsia"/>
          <w:b/>
          <w:bCs/>
          <w:lang w:eastAsia="zh-CN"/>
        </w:rPr>
        <w:t>3.5评价基准年筛选</w:t>
      </w:r>
    </w:p>
    <w:p>
      <w:pPr>
        <w:pStyle w:val="2"/>
        <w:spacing w:line="360" w:lineRule="auto"/>
        <w:ind w:left="0" w:leftChars="0" w:firstLine="480" w:firstLineChars="200"/>
        <w:rPr>
          <w:rFonts w:hint="eastAsia" w:eastAsia="宋体"/>
          <w:b/>
          <w:bCs/>
          <w:lang w:val="en-US" w:eastAsia="zh-CN"/>
        </w:rPr>
      </w:pPr>
      <w:r>
        <w:rPr>
          <w:rFonts w:ascii="宋体" w:hAnsi="宋体" w:eastAsia="宋体" w:cs="宋体"/>
          <w:sz w:val="24"/>
          <w:szCs w:val="24"/>
        </w:rPr>
        <w:t>依据</w:t>
      </w:r>
      <w:r>
        <w:rPr>
          <w:rFonts w:hint="eastAsia" w:ascii="宋体" w:hAnsi="宋体" w:eastAsia="宋体" w:cs="宋体"/>
          <w:sz w:val="24"/>
          <w:szCs w:val="24"/>
          <w:lang w:eastAsia="zh-CN"/>
        </w:rPr>
        <w:t>环</w:t>
      </w:r>
      <w:r>
        <w:rPr>
          <w:rFonts w:ascii="宋体" w:hAnsi="宋体" w:eastAsia="宋体" w:cs="宋体"/>
          <w:sz w:val="24"/>
          <w:szCs w:val="24"/>
        </w:rPr>
        <w:t>境空气质量</w:t>
      </w:r>
      <w:r>
        <w:rPr>
          <w:rFonts w:hint="eastAsia" w:ascii="宋体" w:hAnsi="宋体" w:eastAsia="宋体" w:cs="宋体"/>
          <w:sz w:val="24"/>
          <w:szCs w:val="24"/>
          <w:lang w:eastAsia="zh-CN"/>
        </w:rPr>
        <w:t>现</w:t>
      </w:r>
      <w:r>
        <w:rPr>
          <w:rFonts w:ascii="宋体" w:hAnsi="宋体" w:eastAsia="宋体" w:cs="宋体"/>
          <w:sz w:val="24"/>
          <w:szCs w:val="24"/>
        </w:rPr>
        <w:t>状、气象数据情况，本次评价选择 20</w:t>
      </w:r>
      <w:r>
        <w:rPr>
          <w:rFonts w:hint="eastAsia" w:ascii="宋体" w:hAnsi="宋体" w:eastAsia="宋体" w:cs="宋体"/>
          <w:sz w:val="24"/>
          <w:szCs w:val="24"/>
          <w:lang w:val="en-US" w:eastAsia="zh-CN"/>
        </w:rPr>
        <w:t>21</w:t>
      </w:r>
      <w:r>
        <w:rPr>
          <w:rFonts w:ascii="宋体" w:hAnsi="宋体" w:eastAsia="宋体" w:cs="宋体"/>
          <w:sz w:val="24"/>
          <w:szCs w:val="24"/>
        </w:rPr>
        <w:t>年</w:t>
      </w:r>
      <w:r>
        <w:rPr>
          <w:rFonts w:hint="eastAsia" w:ascii="宋体" w:hAnsi="宋体" w:eastAsia="宋体" w:cs="宋体"/>
          <w:sz w:val="24"/>
          <w:szCs w:val="24"/>
          <w:lang w:eastAsia="zh-CN"/>
        </w:rPr>
        <w:t>作为</w:t>
      </w:r>
      <w:r>
        <w:rPr>
          <w:rFonts w:ascii="宋体" w:hAnsi="宋体" w:eastAsia="宋体" w:cs="宋体"/>
          <w:sz w:val="24"/>
          <w:szCs w:val="24"/>
        </w:rPr>
        <w:t>评价基准年</w:t>
      </w:r>
      <w:r>
        <w:rPr>
          <w:rFonts w:hint="eastAsia" w:ascii="宋体" w:hAnsi="宋体" w:eastAsia="宋体" w:cs="宋体"/>
          <w:sz w:val="24"/>
          <w:szCs w:val="24"/>
          <w:lang w:eastAsia="zh-CN"/>
        </w:rPr>
        <w:t>。</w:t>
      </w:r>
    </w:p>
    <w:p>
      <w:pPr>
        <w:pStyle w:val="2"/>
        <w:ind w:left="0" w:leftChars="0" w:firstLine="0" w:firstLineChars="0"/>
        <w:rPr>
          <w:rFonts w:eastAsiaTheme="minorEastAsia"/>
          <w:b/>
          <w:bCs/>
          <w:lang w:eastAsia="zh-CN"/>
        </w:rPr>
      </w:pPr>
      <w:r>
        <w:rPr>
          <w:rFonts w:hint="eastAsia" w:eastAsiaTheme="minorEastAsia"/>
          <w:b/>
          <w:bCs/>
          <w:lang w:val="en-US" w:eastAsia="zh-CN"/>
        </w:rPr>
        <w:t>3.6</w:t>
      </w:r>
      <w:r>
        <w:rPr>
          <w:rFonts w:hint="eastAsia" w:eastAsiaTheme="minorEastAsia"/>
          <w:b/>
          <w:bCs/>
          <w:lang w:eastAsia="zh-CN"/>
        </w:rPr>
        <w:t>环境空气保护目标调查</w:t>
      </w:r>
    </w:p>
    <w:p>
      <w:pPr>
        <w:spacing w:line="360" w:lineRule="auto"/>
        <w:ind w:firstLine="420" w:firstLineChars="200"/>
        <w:rPr>
          <w:rFonts w:eastAsiaTheme="minorEastAsia"/>
          <w:szCs w:val="22"/>
          <w:lang w:eastAsia="zh-CN"/>
        </w:rPr>
      </w:pPr>
      <w:r>
        <w:rPr>
          <w:rFonts w:eastAsiaTheme="minorEastAsia"/>
          <w:szCs w:val="22"/>
          <w:lang w:eastAsia="zh-CN"/>
        </w:rPr>
        <w:t>本项目评价范围及环境保护目标见表</w:t>
      </w:r>
      <w:r>
        <w:rPr>
          <w:rFonts w:hint="eastAsia" w:eastAsiaTheme="minorEastAsia"/>
          <w:szCs w:val="22"/>
          <w:lang w:eastAsia="zh-CN"/>
        </w:rPr>
        <w:t>3</w:t>
      </w:r>
      <w:r>
        <w:rPr>
          <w:rFonts w:eastAsiaTheme="minorEastAsia"/>
          <w:szCs w:val="22"/>
          <w:lang w:eastAsia="zh-CN"/>
        </w:rPr>
        <w:t>.</w:t>
      </w:r>
      <w:r>
        <w:rPr>
          <w:rFonts w:hint="eastAsia" w:eastAsiaTheme="minorEastAsia"/>
          <w:szCs w:val="22"/>
          <w:lang w:val="en-US" w:eastAsia="zh-CN"/>
        </w:rPr>
        <w:t>6</w:t>
      </w:r>
      <w:r>
        <w:rPr>
          <w:rFonts w:eastAsiaTheme="minorEastAsia"/>
          <w:szCs w:val="22"/>
          <w:lang w:eastAsia="zh-CN"/>
        </w:rPr>
        <w:t>-1</w:t>
      </w:r>
      <w:r>
        <w:rPr>
          <w:rFonts w:hint="eastAsia" w:eastAsiaTheme="minorEastAsia"/>
          <w:szCs w:val="22"/>
          <w:lang w:eastAsia="zh-CN"/>
        </w:rPr>
        <w:t>及图3.</w:t>
      </w:r>
      <w:r>
        <w:rPr>
          <w:rFonts w:hint="eastAsia" w:eastAsiaTheme="minorEastAsia"/>
          <w:szCs w:val="22"/>
          <w:lang w:val="en-US" w:eastAsia="zh-CN"/>
        </w:rPr>
        <w:t>6</w:t>
      </w:r>
      <w:r>
        <w:rPr>
          <w:rFonts w:hint="eastAsia" w:eastAsiaTheme="minorEastAsia"/>
          <w:szCs w:val="22"/>
          <w:lang w:eastAsia="zh-CN"/>
        </w:rPr>
        <w:t>-1。</w:t>
      </w:r>
    </w:p>
    <w:p>
      <w:pPr>
        <w:pStyle w:val="46"/>
        <w:spacing w:line="360" w:lineRule="auto"/>
        <w:jc w:val="center"/>
        <w:rPr>
          <w:rFonts w:ascii="Times New Roman" w:hAnsi="Times New Roman" w:eastAsiaTheme="minorEastAsia"/>
          <w:b/>
          <w:szCs w:val="21"/>
          <w:highlight w:val="none"/>
          <w:lang w:eastAsia="zh-CN"/>
        </w:rPr>
      </w:pPr>
      <w:r>
        <w:rPr>
          <w:rFonts w:ascii="Times New Roman" w:hAnsi="Times New Roman" w:eastAsiaTheme="minorEastAsia"/>
          <w:b/>
          <w:szCs w:val="21"/>
          <w:highlight w:val="none"/>
          <w:lang w:eastAsia="zh-CN"/>
        </w:rPr>
        <w:t>表</w:t>
      </w:r>
      <w:r>
        <w:rPr>
          <w:rFonts w:hint="eastAsia" w:ascii="Times New Roman" w:hAnsi="Times New Roman" w:eastAsiaTheme="minorEastAsia"/>
          <w:b/>
          <w:szCs w:val="21"/>
          <w:highlight w:val="none"/>
          <w:lang w:eastAsia="zh-CN"/>
        </w:rPr>
        <w:t>3</w:t>
      </w:r>
      <w:r>
        <w:rPr>
          <w:rFonts w:ascii="Times New Roman" w:hAnsi="Times New Roman" w:eastAsiaTheme="minorEastAsia"/>
          <w:b/>
          <w:szCs w:val="21"/>
          <w:highlight w:val="none"/>
          <w:lang w:eastAsia="zh-CN"/>
        </w:rPr>
        <w:t>.</w:t>
      </w:r>
      <w:r>
        <w:rPr>
          <w:rFonts w:hint="eastAsia" w:ascii="Times New Roman" w:hAnsi="Times New Roman" w:eastAsiaTheme="minorEastAsia"/>
          <w:b/>
          <w:szCs w:val="21"/>
          <w:highlight w:val="none"/>
          <w:lang w:val="en-US" w:eastAsia="zh-CN"/>
        </w:rPr>
        <w:t>6</w:t>
      </w:r>
      <w:r>
        <w:rPr>
          <w:rFonts w:ascii="Times New Roman" w:hAnsi="Times New Roman" w:eastAsiaTheme="minorEastAsia"/>
          <w:b/>
          <w:szCs w:val="21"/>
          <w:highlight w:val="none"/>
          <w:lang w:eastAsia="zh-CN"/>
        </w:rPr>
        <w:t xml:space="preserve">-1  </w:t>
      </w:r>
      <w:r>
        <w:rPr>
          <w:rFonts w:hint="eastAsia" w:ascii="Times New Roman" w:hAnsi="Times New Roman" w:eastAsiaTheme="minorEastAsia"/>
          <w:b/>
          <w:szCs w:val="21"/>
          <w:highlight w:val="none"/>
          <w:lang w:eastAsia="zh-CN"/>
        </w:rPr>
        <w:t>厂址周边2.5km范围内</w:t>
      </w:r>
      <w:r>
        <w:rPr>
          <w:rFonts w:ascii="Times New Roman" w:hAnsi="Times New Roman" w:eastAsiaTheme="minorEastAsia"/>
          <w:b/>
          <w:szCs w:val="21"/>
          <w:highlight w:val="none"/>
          <w:lang w:eastAsia="zh-CN"/>
        </w:rPr>
        <w:t>环境敏感目标一览表</w:t>
      </w:r>
    </w:p>
    <w:tbl>
      <w:tblPr>
        <w:tblStyle w:val="85"/>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7"/>
        <w:gridCol w:w="645"/>
        <w:gridCol w:w="1685"/>
        <w:gridCol w:w="786"/>
        <w:gridCol w:w="749"/>
        <w:gridCol w:w="792"/>
        <w:gridCol w:w="1044"/>
        <w:gridCol w:w="615"/>
        <w:gridCol w:w="738"/>
        <w:gridCol w:w="699"/>
        <w:gridCol w:w="76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5" w:hRule="atLeast"/>
          <w:jc w:val="center"/>
        </w:trPr>
        <w:tc>
          <w:tcPr>
            <w:tcW w:w="767" w:type="dxa"/>
            <w:vMerge w:val="restart"/>
            <w:tcBorders>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环境敏感因素</w:t>
            </w:r>
          </w:p>
        </w:tc>
        <w:tc>
          <w:tcPr>
            <w:tcW w:w="645" w:type="dxa"/>
            <w:vMerge w:val="restart"/>
            <w:shd w:val="clear" w:color="auto" w:fill="auto"/>
            <w:vAlign w:val="center"/>
          </w:tcPr>
          <w:p>
            <w:pPr>
              <w:adjustRightInd w:val="0"/>
              <w:snapToGrid w:val="0"/>
              <w:jc w:val="center"/>
              <w:rPr>
                <w:rFonts w:eastAsia="宋体"/>
                <w:b/>
                <w:sz w:val="21"/>
                <w:szCs w:val="21"/>
                <w:lang w:eastAsia="zh-CN"/>
              </w:rPr>
            </w:pPr>
            <w:r>
              <w:rPr>
                <w:rFonts w:eastAsia="宋体"/>
                <w:b/>
                <w:sz w:val="21"/>
                <w:szCs w:val="21"/>
                <w:lang w:eastAsia="zh-CN"/>
              </w:rPr>
              <w:t>序号</w:t>
            </w:r>
          </w:p>
        </w:tc>
        <w:tc>
          <w:tcPr>
            <w:tcW w:w="1685" w:type="dxa"/>
            <w:vMerge w:val="restart"/>
            <w:tcBorders>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环境保护对象</w:t>
            </w:r>
          </w:p>
        </w:tc>
        <w:tc>
          <w:tcPr>
            <w:tcW w:w="1535" w:type="dxa"/>
            <w:gridSpan w:val="2"/>
            <w:tcBorders>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bCs/>
                <w:caps/>
                <w:sz w:val="21"/>
                <w:szCs w:val="21"/>
              </w:rPr>
              <w:t>坐标/</w:t>
            </w:r>
            <w:r>
              <w:rPr>
                <w:rFonts w:eastAsia="宋体"/>
                <w:b/>
                <w:sz w:val="21"/>
                <w:szCs w:val="21"/>
              </w:rPr>
              <w:t>m</w:t>
            </w:r>
          </w:p>
        </w:tc>
        <w:tc>
          <w:tcPr>
            <w:tcW w:w="1836" w:type="dxa"/>
            <w:gridSpan w:val="2"/>
            <w:tcBorders>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相对厂址</w:t>
            </w:r>
          </w:p>
        </w:tc>
        <w:tc>
          <w:tcPr>
            <w:tcW w:w="615" w:type="dxa"/>
            <w:vMerge w:val="restart"/>
            <w:tcBorders>
              <w:bottom w:val="single" w:color="000000" w:sz="4" w:space="0"/>
            </w:tcBorders>
            <w:shd w:val="clear" w:color="auto" w:fill="auto"/>
            <w:vAlign w:val="center"/>
          </w:tcPr>
          <w:p>
            <w:pPr>
              <w:adjustRightInd w:val="0"/>
              <w:snapToGrid w:val="0"/>
              <w:jc w:val="center"/>
              <w:rPr>
                <w:rFonts w:eastAsia="宋体"/>
                <w:b/>
                <w:bCs/>
                <w:caps/>
                <w:sz w:val="21"/>
                <w:szCs w:val="21"/>
              </w:rPr>
            </w:pPr>
            <w:r>
              <w:rPr>
                <w:rFonts w:eastAsia="宋体"/>
                <w:b/>
                <w:bCs/>
                <w:caps/>
                <w:sz w:val="21"/>
                <w:szCs w:val="21"/>
              </w:rPr>
              <w:t>保护</w:t>
            </w:r>
          </w:p>
          <w:p>
            <w:pPr>
              <w:adjustRightInd w:val="0"/>
              <w:snapToGrid w:val="0"/>
              <w:jc w:val="center"/>
              <w:rPr>
                <w:rFonts w:eastAsia="宋体"/>
                <w:sz w:val="21"/>
                <w:szCs w:val="21"/>
              </w:rPr>
            </w:pPr>
            <w:r>
              <w:rPr>
                <w:rFonts w:eastAsia="宋体"/>
                <w:b/>
                <w:bCs/>
                <w:caps/>
                <w:sz w:val="21"/>
                <w:szCs w:val="21"/>
              </w:rPr>
              <w:t>内容</w:t>
            </w:r>
          </w:p>
          <w:p>
            <w:pPr>
              <w:adjustRightInd w:val="0"/>
              <w:snapToGrid w:val="0"/>
              <w:jc w:val="center"/>
              <w:rPr>
                <w:rFonts w:eastAsia="宋体"/>
                <w:b/>
                <w:sz w:val="21"/>
                <w:szCs w:val="21"/>
              </w:rPr>
            </w:pPr>
          </w:p>
        </w:tc>
        <w:tc>
          <w:tcPr>
            <w:tcW w:w="738" w:type="dxa"/>
            <w:vMerge w:val="restart"/>
            <w:tcBorders>
              <w:bottom w:val="single" w:color="000000" w:sz="4" w:space="0"/>
            </w:tcBorders>
            <w:shd w:val="clear" w:color="auto" w:fill="auto"/>
            <w:vAlign w:val="center"/>
          </w:tcPr>
          <w:p>
            <w:pPr>
              <w:adjustRightInd w:val="0"/>
              <w:snapToGrid w:val="0"/>
              <w:jc w:val="center"/>
              <w:rPr>
                <w:rFonts w:eastAsia="宋体"/>
                <w:b/>
                <w:bCs/>
                <w:caps/>
                <w:sz w:val="21"/>
                <w:szCs w:val="21"/>
              </w:rPr>
            </w:pPr>
            <w:r>
              <w:rPr>
                <w:rFonts w:eastAsia="宋体"/>
                <w:b/>
                <w:bCs/>
                <w:caps/>
                <w:sz w:val="21"/>
                <w:szCs w:val="21"/>
              </w:rPr>
              <w:t>保护</w:t>
            </w:r>
          </w:p>
          <w:p>
            <w:pPr>
              <w:adjustRightInd w:val="0"/>
              <w:snapToGrid w:val="0"/>
              <w:jc w:val="center"/>
              <w:rPr>
                <w:rFonts w:eastAsia="宋体"/>
                <w:b/>
                <w:sz w:val="21"/>
                <w:szCs w:val="21"/>
              </w:rPr>
            </w:pPr>
            <w:r>
              <w:rPr>
                <w:rFonts w:eastAsia="宋体"/>
                <w:b/>
                <w:bCs/>
                <w:caps/>
                <w:sz w:val="21"/>
                <w:szCs w:val="21"/>
              </w:rPr>
              <w:t>对象</w:t>
            </w:r>
          </w:p>
        </w:tc>
        <w:tc>
          <w:tcPr>
            <w:tcW w:w="699" w:type="dxa"/>
            <w:vMerge w:val="restart"/>
            <w:tcBorders>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规模（人）</w:t>
            </w:r>
          </w:p>
        </w:tc>
        <w:tc>
          <w:tcPr>
            <w:tcW w:w="767" w:type="dxa"/>
            <w:vMerge w:val="restart"/>
            <w:tcBorders>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环境功能区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5" w:hRule="atLeast"/>
          <w:jc w:val="center"/>
        </w:trPr>
        <w:tc>
          <w:tcPr>
            <w:tcW w:w="767" w:type="dxa"/>
            <w:vMerge w:val="continue"/>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p>
        </w:tc>
        <w:tc>
          <w:tcPr>
            <w:tcW w:w="645" w:type="dxa"/>
            <w:vMerge w:val="continue"/>
            <w:tcBorders>
              <w:bottom w:val="single" w:color="000000" w:sz="4" w:space="0"/>
            </w:tcBorders>
            <w:shd w:val="clear" w:color="auto" w:fill="auto"/>
            <w:vAlign w:val="center"/>
          </w:tcPr>
          <w:p>
            <w:pPr>
              <w:adjustRightInd w:val="0"/>
              <w:snapToGrid w:val="0"/>
              <w:jc w:val="center"/>
              <w:rPr>
                <w:rFonts w:eastAsia="宋体"/>
                <w:b/>
                <w:sz w:val="21"/>
                <w:szCs w:val="21"/>
              </w:rPr>
            </w:pPr>
          </w:p>
        </w:tc>
        <w:tc>
          <w:tcPr>
            <w:tcW w:w="1685" w:type="dxa"/>
            <w:vMerge w:val="continue"/>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p>
        </w:tc>
        <w:tc>
          <w:tcPr>
            <w:tcW w:w="786" w:type="dxa"/>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bCs/>
                <w:caps/>
                <w:sz w:val="21"/>
                <w:szCs w:val="21"/>
              </w:rPr>
              <w:t>X</w:t>
            </w:r>
          </w:p>
        </w:tc>
        <w:tc>
          <w:tcPr>
            <w:tcW w:w="749" w:type="dxa"/>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bCs/>
                <w:caps/>
                <w:sz w:val="21"/>
                <w:szCs w:val="21"/>
              </w:rPr>
              <w:t>Y</w:t>
            </w:r>
          </w:p>
        </w:tc>
        <w:tc>
          <w:tcPr>
            <w:tcW w:w="792" w:type="dxa"/>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方位</w:t>
            </w:r>
          </w:p>
        </w:tc>
        <w:tc>
          <w:tcPr>
            <w:tcW w:w="1044" w:type="dxa"/>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r>
              <w:rPr>
                <w:rFonts w:eastAsia="宋体"/>
                <w:b/>
                <w:sz w:val="21"/>
                <w:szCs w:val="21"/>
              </w:rPr>
              <w:t>距离（m）</w:t>
            </w:r>
          </w:p>
        </w:tc>
        <w:tc>
          <w:tcPr>
            <w:tcW w:w="615" w:type="dxa"/>
            <w:vMerge w:val="continue"/>
            <w:tcBorders>
              <w:top w:val="single" w:color="000000" w:sz="4" w:space="0"/>
              <w:bottom w:val="single" w:color="000000" w:sz="4" w:space="0"/>
            </w:tcBorders>
            <w:shd w:val="clear" w:color="auto" w:fill="auto"/>
            <w:vAlign w:val="center"/>
          </w:tcPr>
          <w:p>
            <w:pPr>
              <w:adjustRightInd w:val="0"/>
              <w:snapToGrid w:val="0"/>
              <w:jc w:val="center"/>
              <w:rPr>
                <w:rFonts w:eastAsia="宋体"/>
                <w:b/>
                <w:bCs/>
                <w:caps/>
                <w:sz w:val="21"/>
                <w:szCs w:val="21"/>
              </w:rPr>
            </w:pPr>
          </w:p>
        </w:tc>
        <w:tc>
          <w:tcPr>
            <w:tcW w:w="738" w:type="dxa"/>
            <w:vMerge w:val="continue"/>
            <w:tcBorders>
              <w:top w:val="single" w:color="000000" w:sz="4" w:space="0"/>
              <w:bottom w:val="single" w:color="000000" w:sz="4" w:space="0"/>
            </w:tcBorders>
            <w:shd w:val="clear" w:color="auto" w:fill="auto"/>
            <w:vAlign w:val="center"/>
          </w:tcPr>
          <w:p>
            <w:pPr>
              <w:adjustRightInd w:val="0"/>
              <w:snapToGrid w:val="0"/>
              <w:jc w:val="center"/>
              <w:rPr>
                <w:rFonts w:eastAsia="宋体"/>
                <w:b/>
                <w:bCs/>
                <w:caps/>
                <w:sz w:val="21"/>
                <w:szCs w:val="21"/>
              </w:rPr>
            </w:pPr>
          </w:p>
        </w:tc>
        <w:tc>
          <w:tcPr>
            <w:tcW w:w="699" w:type="dxa"/>
            <w:vMerge w:val="continue"/>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p>
        </w:tc>
        <w:tc>
          <w:tcPr>
            <w:tcW w:w="767" w:type="dxa"/>
            <w:vMerge w:val="continue"/>
            <w:tcBorders>
              <w:top w:val="single" w:color="000000" w:sz="4" w:space="0"/>
              <w:bottom w:val="single" w:color="000000" w:sz="4" w:space="0"/>
            </w:tcBorders>
            <w:shd w:val="clear" w:color="auto" w:fill="auto"/>
            <w:vAlign w:val="center"/>
          </w:tcPr>
          <w:p>
            <w:pPr>
              <w:adjustRightInd w:val="0"/>
              <w:snapToGrid w:val="0"/>
              <w:jc w:val="center"/>
              <w:rPr>
                <w:rFonts w:eastAsia="宋体"/>
                <w:b/>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restart"/>
            <w:tcBorders>
              <w:top w:val="single" w:color="000000" w:sz="4" w:space="0"/>
            </w:tcBorders>
            <w:shd w:val="clear" w:color="auto" w:fill="auto"/>
            <w:vAlign w:val="center"/>
          </w:tcPr>
          <w:p>
            <w:pPr>
              <w:adjustRightInd w:val="0"/>
              <w:snapToGrid w:val="0"/>
              <w:jc w:val="center"/>
              <w:rPr>
                <w:rFonts w:eastAsia="宋体"/>
                <w:sz w:val="21"/>
                <w:szCs w:val="21"/>
              </w:rPr>
            </w:pPr>
            <w:r>
              <w:rPr>
                <w:rFonts w:eastAsia="宋体"/>
                <w:sz w:val="21"/>
                <w:szCs w:val="21"/>
              </w:rPr>
              <w:t>环境空气</w:t>
            </w:r>
          </w:p>
          <w:p>
            <w:pPr>
              <w:adjustRightInd w:val="0"/>
              <w:snapToGrid w:val="0"/>
              <w:jc w:val="center"/>
              <w:rPr>
                <w:rFonts w:eastAsia="宋体"/>
                <w:sz w:val="21"/>
                <w:szCs w:val="21"/>
              </w:rPr>
            </w:pPr>
          </w:p>
        </w:tc>
        <w:tc>
          <w:tcPr>
            <w:tcW w:w="645" w:type="dxa"/>
            <w:tcBorders>
              <w:top w:val="single" w:color="000000" w:sz="4" w:space="0"/>
            </w:tcBorders>
            <w:shd w:val="clear" w:color="auto" w:fill="auto"/>
            <w:vAlign w:val="center"/>
          </w:tcPr>
          <w:p>
            <w:pPr>
              <w:widowControl/>
              <w:jc w:val="center"/>
              <w:textAlignment w:val="center"/>
              <w:rPr>
                <w:rFonts w:eastAsia="宋体"/>
                <w:sz w:val="21"/>
                <w:szCs w:val="21"/>
                <w:lang w:eastAsia="zh-CN" w:bidi="ar"/>
              </w:rPr>
            </w:pPr>
            <w:r>
              <w:rPr>
                <w:rFonts w:eastAsia="宋体"/>
                <w:sz w:val="21"/>
                <w:szCs w:val="21"/>
                <w:lang w:eastAsia="zh-CN" w:bidi="ar"/>
              </w:rPr>
              <w:t>1</w:t>
            </w:r>
          </w:p>
        </w:tc>
        <w:tc>
          <w:tcPr>
            <w:tcW w:w="1685" w:type="dxa"/>
            <w:tcBorders>
              <w:top w:val="single" w:color="000000" w:sz="4" w:space="0"/>
            </w:tcBorders>
            <w:shd w:val="clear" w:color="auto" w:fill="auto"/>
            <w:vAlign w:val="center"/>
          </w:tcPr>
          <w:p>
            <w:pPr>
              <w:widowControl/>
              <w:jc w:val="center"/>
              <w:textAlignment w:val="center"/>
              <w:rPr>
                <w:rFonts w:eastAsia="宋体"/>
                <w:sz w:val="21"/>
                <w:szCs w:val="21"/>
              </w:rPr>
            </w:pPr>
            <w:r>
              <w:rPr>
                <w:rFonts w:eastAsia="宋体"/>
                <w:sz w:val="21"/>
                <w:szCs w:val="21"/>
                <w:lang w:eastAsia="zh-CN" w:bidi="ar"/>
              </w:rPr>
              <w:t>高家庄</w:t>
            </w:r>
          </w:p>
        </w:tc>
        <w:tc>
          <w:tcPr>
            <w:tcW w:w="786" w:type="dxa"/>
            <w:tcBorders>
              <w:top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000000"/>
                <w:sz w:val="21"/>
                <w:szCs w:val="21"/>
                <w:lang w:val="en-US" w:eastAsia="zh-CN" w:bidi="en-US"/>
              </w:rPr>
            </w:pPr>
            <w:r>
              <w:rPr>
                <w:rFonts w:hint="eastAsia" w:eastAsia="宋体"/>
                <w:sz w:val="21"/>
                <w:szCs w:val="21"/>
                <w:lang w:val="en-US" w:eastAsia="zh-CN"/>
              </w:rPr>
              <w:t>-117</w:t>
            </w:r>
          </w:p>
        </w:tc>
        <w:tc>
          <w:tcPr>
            <w:tcW w:w="749" w:type="dxa"/>
            <w:tcBorders>
              <w:top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000000"/>
                <w:sz w:val="21"/>
                <w:szCs w:val="21"/>
                <w:lang w:val="en-US" w:eastAsia="zh-CN" w:bidi="en-US"/>
              </w:rPr>
            </w:pPr>
            <w:r>
              <w:rPr>
                <w:rFonts w:hint="eastAsia" w:eastAsia="宋体"/>
                <w:sz w:val="21"/>
                <w:szCs w:val="21"/>
                <w:lang w:val="en-US" w:eastAsia="zh-CN"/>
              </w:rPr>
              <w:t>1090</w:t>
            </w:r>
          </w:p>
        </w:tc>
        <w:tc>
          <w:tcPr>
            <w:tcW w:w="792" w:type="dxa"/>
            <w:tcBorders>
              <w:top w:val="single" w:color="000000" w:sz="4" w:space="0"/>
            </w:tcBorders>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NW</w:t>
            </w:r>
          </w:p>
        </w:tc>
        <w:tc>
          <w:tcPr>
            <w:tcW w:w="1044" w:type="dxa"/>
            <w:tcBorders>
              <w:top w:val="single" w:color="000000" w:sz="4" w:space="0"/>
            </w:tcBorders>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1058</w:t>
            </w:r>
          </w:p>
        </w:tc>
        <w:tc>
          <w:tcPr>
            <w:tcW w:w="615" w:type="dxa"/>
            <w:vMerge w:val="restart"/>
            <w:tcBorders>
              <w:top w:val="single" w:color="000000" w:sz="4" w:space="0"/>
            </w:tcBorders>
            <w:shd w:val="clear" w:color="auto" w:fill="auto"/>
            <w:vAlign w:val="center"/>
          </w:tcPr>
          <w:p>
            <w:pPr>
              <w:adjustRightInd w:val="0"/>
              <w:snapToGrid w:val="0"/>
              <w:jc w:val="center"/>
              <w:rPr>
                <w:rFonts w:eastAsia="宋体"/>
                <w:sz w:val="21"/>
                <w:szCs w:val="21"/>
                <w:lang w:eastAsia="zh-CN"/>
              </w:rPr>
            </w:pPr>
            <w:r>
              <w:rPr>
                <w:rFonts w:eastAsia="宋体"/>
                <w:sz w:val="21"/>
                <w:szCs w:val="21"/>
                <w:lang w:eastAsia="zh-CN"/>
              </w:rPr>
              <w:t>居住区、行政办公区、文化区</w:t>
            </w:r>
          </w:p>
        </w:tc>
        <w:tc>
          <w:tcPr>
            <w:tcW w:w="738" w:type="dxa"/>
            <w:tcBorders>
              <w:top w:val="single" w:color="000000" w:sz="4" w:space="0"/>
            </w:tcBorders>
            <w:shd w:val="clear" w:color="auto" w:fill="auto"/>
            <w:vAlign w:val="center"/>
          </w:tcPr>
          <w:p>
            <w:pPr>
              <w:adjustRightInd w:val="0"/>
              <w:snapToGrid w:val="0"/>
              <w:jc w:val="center"/>
              <w:rPr>
                <w:rFonts w:eastAsia="宋体"/>
                <w:sz w:val="21"/>
                <w:szCs w:val="21"/>
              </w:rPr>
            </w:pPr>
            <w:r>
              <w:rPr>
                <w:rFonts w:eastAsia="宋体"/>
                <w:bCs/>
                <w:caps/>
                <w:sz w:val="21"/>
                <w:szCs w:val="21"/>
              </w:rPr>
              <w:t>人群</w:t>
            </w:r>
          </w:p>
        </w:tc>
        <w:tc>
          <w:tcPr>
            <w:tcW w:w="699" w:type="dxa"/>
            <w:tcBorders>
              <w:top w:val="single" w:color="000000" w:sz="4" w:space="0"/>
            </w:tcBorders>
            <w:shd w:val="clear" w:color="auto" w:fill="auto"/>
            <w:vAlign w:val="center"/>
          </w:tcPr>
          <w:p>
            <w:pPr>
              <w:widowControl/>
              <w:jc w:val="center"/>
              <w:textAlignment w:val="center"/>
              <w:rPr>
                <w:rFonts w:eastAsia="宋体"/>
                <w:sz w:val="21"/>
                <w:szCs w:val="21"/>
              </w:rPr>
            </w:pPr>
            <w:r>
              <w:rPr>
                <w:rFonts w:eastAsia="宋体"/>
                <w:sz w:val="21"/>
                <w:szCs w:val="21"/>
                <w:lang w:eastAsia="zh-CN" w:bidi="ar"/>
              </w:rPr>
              <w:t>405</w:t>
            </w:r>
          </w:p>
        </w:tc>
        <w:tc>
          <w:tcPr>
            <w:tcW w:w="767" w:type="dxa"/>
            <w:vMerge w:val="restart"/>
            <w:tcBorders>
              <w:top w:val="single" w:color="000000" w:sz="4" w:space="0"/>
            </w:tcBorders>
            <w:shd w:val="clear" w:color="auto" w:fill="auto"/>
            <w:vAlign w:val="center"/>
          </w:tcPr>
          <w:p>
            <w:pPr>
              <w:adjustRightInd w:val="0"/>
              <w:snapToGrid w:val="0"/>
              <w:jc w:val="center"/>
              <w:rPr>
                <w:rFonts w:eastAsia="宋体"/>
                <w:sz w:val="21"/>
                <w:szCs w:val="21"/>
                <w:lang w:eastAsia="zh-CN"/>
              </w:rPr>
            </w:pPr>
            <w:r>
              <w:rPr>
                <w:rFonts w:eastAsia="宋体"/>
                <w:sz w:val="21"/>
                <w:szCs w:val="21"/>
                <w:lang w:eastAsia="zh-CN"/>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lang w:eastAsia="zh-CN"/>
              </w:rPr>
            </w:pPr>
          </w:p>
        </w:tc>
        <w:tc>
          <w:tcPr>
            <w:tcW w:w="645" w:type="dxa"/>
            <w:shd w:val="clear" w:color="auto" w:fill="auto"/>
            <w:vAlign w:val="center"/>
          </w:tcPr>
          <w:p>
            <w:pPr>
              <w:widowControl/>
              <w:jc w:val="center"/>
              <w:textAlignment w:val="bottom"/>
              <w:rPr>
                <w:rFonts w:eastAsia="宋体"/>
                <w:sz w:val="21"/>
                <w:szCs w:val="21"/>
                <w:lang w:eastAsia="zh-CN" w:bidi="ar"/>
              </w:rPr>
            </w:pPr>
            <w:r>
              <w:rPr>
                <w:rFonts w:eastAsia="宋体"/>
                <w:sz w:val="21"/>
                <w:szCs w:val="21"/>
                <w:lang w:eastAsia="zh-CN" w:bidi="ar"/>
              </w:rPr>
              <w:t>2</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井家河村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-90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1543</w:t>
            </w:r>
          </w:p>
        </w:tc>
        <w:tc>
          <w:tcPr>
            <w:tcW w:w="792" w:type="dxa"/>
            <w:shd w:val="clear" w:color="auto" w:fill="auto"/>
            <w:vAlign w:val="center"/>
          </w:tcPr>
          <w:p>
            <w:pPr>
              <w:widowControl/>
              <w:jc w:val="center"/>
              <w:textAlignment w:val="bottom"/>
              <w:rPr>
                <w:rFonts w:hint="default" w:eastAsia="宋体"/>
                <w:sz w:val="21"/>
                <w:szCs w:val="21"/>
                <w:lang w:val="en-US"/>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1505</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822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eastAsia="宋体"/>
                <w:sz w:val="21"/>
                <w:szCs w:val="21"/>
                <w:lang w:eastAsia="zh-CN" w:bidi="ar"/>
              </w:rPr>
            </w:pPr>
            <w:r>
              <w:rPr>
                <w:rFonts w:eastAsia="宋体"/>
                <w:sz w:val="21"/>
                <w:szCs w:val="21"/>
                <w:lang w:eastAsia="zh-CN" w:bidi="ar"/>
              </w:rPr>
              <w:t>3</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望娘沟村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412</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1649</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NE</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1801</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378</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4</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西谭村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766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1847</w:t>
            </w:r>
          </w:p>
        </w:tc>
        <w:tc>
          <w:tcPr>
            <w:tcW w:w="792"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val="en-US" w:eastAsia="zh-CN"/>
              </w:rPr>
              <w:t>NE</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2000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bidi="ar"/>
              </w:rPr>
            </w:pPr>
            <w:r>
              <w:rPr>
                <w:rFonts w:hint="eastAsia" w:ascii="Times New Roman" w:hAnsi="Times New Roman" w:eastAsia="宋体" w:cs="Times New Roman"/>
                <w:sz w:val="21"/>
                <w:szCs w:val="21"/>
                <w:highlight w:val="none"/>
                <w:lang w:val="en-US" w:eastAsia="zh-CN" w:bidi="ar"/>
              </w:rPr>
              <w:t>1092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5</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东谭村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1024</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1453</w:t>
            </w:r>
          </w:p>
        </w:tc>
        <w:tc>
          <w:tcPr>
            <w:tcW w:w="792"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val="en-US" w:eastAsia="zh-CN"/>
              </w:rPr>
              <w:t>NE</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1893</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bidi="ar"/>
              </w:rPr>
            </w:pPr>
            <w:r>
              <w:rPr>
                <w:rFonts w:hint="eastAsia" w:ascii="Times New Roman" w:hAnsi="Times New Roman" w:eastAsia="宋体" w:cs="Times New Roman"/>
                <w:sz w:val="21"/>
                <w:szCs w:val="21"/>
                <w:highlight w:val="none"/>
                <w:lang w:val="en-US" w:eastAsia="zh-CN" w:bidi="ar"/>
              </w:rPr>
              <w:t>1360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6</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贾村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2231</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1719</w:t>
            </w:r>
          </w:p>
        </w:tc>
        <w:tc>
          <w:tcPr>
            <w:tcW w:w="792"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val="en-US" w:eastAsia="zh-CN"/>
              </w:rPr>
              <w:t>NE</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2697</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bidi="ar"/>
              </w:rPr>
            </w:pPr>
            <w:r>
              <w:rPr>
                <w:rFonts w:hint="eastAsia" w:ascii="Times New Roman" w:hAnsi="Times New Roman" w:eastAsia="宋体" w:cs="Times New Roman"/>
                <w:sz w:val="21"/>
                <w:szCs w:val="21"/>
                <w:highlight w:val="none"/>
                <w:lang w:val="en-US" w:eastAsia="zh-CN" w:bidi="ar"/>
              </w:rPr>
              <w:t>3360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7</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坡子村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2237</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2499</w:t>
            </w:r>
          </w:p>
        </w:tc>
        <w:tc>
          <w:tcPr>
            <w:tcW w:w="792"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val="en-US" w:eastAsia="zh-CN"/>
              </w:rPr>
              <w:t>NE</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3399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bidi="ar"/>
              </w:rPr>
            </w:pPr>
            <w:r>
              <w:rPr>
                <w:rFonts w:hint="eastAsia" w:ascii="Times New Roman" w:hAnsi="Times New Roman" w:cs="Times New Roman"/>
                <w:sz w:val="21"/>
                <w:szCs w:val="21"/>
                <w:highlight w:val="none"/>
                <w:lang w:val="en-US" w:eastAsia="zh-CN"/>
              </w:rPr>
              <w:t>435</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8</w:t>
            </w:r>
          </w:p>
        </w:tc>
        <w:tc>
          <w:tcPr>
            <w:tcW w:w="1685" w:type="dxa"/>
            <w:shd w:val="clear" w:color="auto" w:fill="auto"/>
            <w:vAlign w:val="center"/>
          </w:tcPr>
          <w:p>
            <w:pPr>
              <w:widowControl/>
              <w:jc w:val="center"/>
              <w:textAlignment w:val="bottom"/>
              <w:rPr>
                <w:rFonts w:hint="eastAsia" w:eastAsia="宋体"/>
                <w:sz w:val="21"/>
                <w:szCs w:val="21"/>
                <w:lang w:eastAsia="zh-CN"/>
              </w:rPr>
            </w:pPr>
            <w:r>
              <w:rPr>
                <w:rFonts w:hint="eastAsia" w:eastAsia="宋体"/>
                <w:sz w:val="21"/>
                <w:szCs w:val="21"/>
                <w:lang w:eastAsia="zh-CN"/>
              </w:rPr>
              <w:t>西山村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-1310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-1599</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2369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689</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9</w:t>
            </w:r>
          </w:p>
        </w:tc>
        <w:tc>
          <w:tcPr>
            <w:tcW w:w="1685"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白庙村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-1103</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-2433</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2477</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560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10</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汇鼎丽城</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-1849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-1788</w:t>
            </w:r>
          </w:p>
        </w:tc>
        <w:tc>
          <w:tcPr>
            <w:tcW w:w="792"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3126</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lang w:eastAsia="zh-CN"/>
              </w:rPr>
            </w:pPr>
            <w:r>
              <w:rPr>
                <w:rFonts w:eastAsia="宋体"/>
                <w:bCs/>
                <w:caps/>
                <w:sz w:val="21"/>
                <w:szCs w:val="21"/>
                <w:lang w:eastAsia="zh-CN"/>
              </w:rPr>
              <w:t>人群</w:t>
            </w:r>
          </w:p>
        </w:tc>
        <w:tc>
          <w:tcPr>
            <w:tcW w:w="699"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486</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11</w:t>
            </w:r>
          </w:p>
        </w:tc>
        <w:tc>
          <w:tcPr>
            <w:tcW w:w="1685" w:type="dxa"/>
            <w:shd w:val="clear" w:color="auto" w:fill="auto"/>
            <w:vAlign w:val="center"/>
          </w:tcPr>
          <w:p>
            <w:pPr>
              <w:widowControl/>
              <w:jc w:val="center"/>
              <w:textAlignment w:val="bottom"/>
              <w:rPr>
                <w:rFonts w:hint="eastAsia" w:eastAsia="宋体"/>
                <w:sz w:val="21"/>
                <w:szCs w:val="21"/>
                <w:lang w:eastAsia="zh-CN"/>
              </w:rPr>
            </w:pPr>
            <w:r>
              <w:rPr>
                <w:rFonts w:hint="eastAsia" w:eastAsia="宋体"/>
                <w:sz w:val="21"/>
                <w:szCs w:val="21"/>
                <w:lang w:eastAsia="zh-CN"/>
              </w:rPr>
              <w:t>芙蓉苑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-1860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-1766</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2918</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810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12</w:t>
            </w:r>
          </w:p>
        </w:tc>
        <w:tc>
          <w:tcPr>
            <w:tcW w:w="1685" w:type="dxa"/>
            <w:shd w:val="clear" w:color="auto" w:fill="auto"/>
            <w:vAlign w:val="center"/>
          </w:tcPr>
          <w:p>
            <w:pPr>
              <w:widowControl/>
              <w:jc w:val="center"/>
              <w:textAlignment w:val="bottom"/>
              <w:rPr>
                <w:rFonts w:hint="eastAsia" w:eastAsia="宋体"/>
                <w:sz w:val="21"/>
                <w:szCs w:val="21"/>
                <w:lang w:eastAsia="zh-CN"/>
              </w:rPr>
            </w:pPr>
            <w:r>
              <w:rPr>
                <w:rFonts w:hint="eastAsia" w:eastAsia="宋体"/>
                <w:sz w:val="21"/>
                <w:szCs w:val="21"/>
                <w:lang w:eastAsia="zh-CN"/>
              </w:rPr>
              <w:t>水务家园</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-1875</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-1749</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2677</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864</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13</w:t>
            </w:r>
          </w:p>
        </w:tc>
        <w:tc>
          <w:tcPr>
            <w:tcW w:w="1685" w:type="dxa"/>
            <w:shd w:val="clear" w:color="auto" w:fill="auto"/>
            <w:vAlign w:val="center"/>
          </w:tcPr>
          <w:p>
            <w:pPr>
              <w:widowControl/>
              <w:jc w:val="center"/>
              <w:textAlignment w:val="bottom"/>
              <w:rPr>
                <w:rFonts w:eastAsia="宋体"/>
                <w:sz w:val="21"/>
                <w:szCs w:val="21"/>
                <w:lang w:eastAsia="zh-CN" w:bidi="ar"/>
              </w:rPr>
            </w:pPr>
            <w:r>
              <w:rPr>
                <w:rFonts w:eastAsia="宋体"/>
                <w:sz w:val="21"/>
                <w:szCs w:val="21"/>
                <w:lang w:eastAsia="zh-CN" w:bidi="ar"/>
              </w:rPr>
              <w:t>金鼎花园</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563</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-1015</w:t>
            </w:r>
          </w:p>
        </w:tc>
        <w:tc>
          <w:tcPr>
            <w:tcW w:w="792"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SE</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1228</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432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14</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南苏村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-1849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-1362</w:t>
            </w:r>
          </w:p>
        </w:tc>
        <w:tc>
          <w:tcPr>
            <w:tcW w:w="792"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2413</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432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15</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淄川开发区第三小学</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-1744</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1195</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2314</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326</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16</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招村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-67</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-776</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S</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677</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rPr>
            </w:pPr>
            <w:r>
              <w:rPr>
                <w:rFonts w:hint="eastAsia" w:eastAsia="宋体"/>
                <w:sz w:val="21"/>
                <w:szCs w:val="21"/>
                <w:lang w:val="en-US" w:eastAsia="zh-CN" w:bidi="ar"/>
              </w:rPr>
              <w:t>2518</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2"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cs="Times New Roman"/>
                <w:color w:val="000000"/>
                <w:sz w:val="21"/>
                <w:szCs w:val="21"/>
                <w:lang w:val="en-US" w:eastAsia="zh-CN" w:bidi="ar"/>
              </w:rPr>
              <w:t>17</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东山村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-1100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-1588</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2194</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hint="eastAsia" w:eastAsia="宋体"/>
                <w:bCs/>
                <w:caps/>
                <w:sz w:val="21"/>
                <w:szCs w:val="21"/>
                <w:lang w:eastAsia="zh-CN"/>
              </w:rPr>
            </w:pPr>
            <w:r>
              <w:rPr>
                <w:rFonts w:hint="eastAsia" w:eastAsia="宋体"/>
                <w:bCs/>
                <w:caps/>
                <w:sz w:val="21"/>
                <w:szCs w:val="21"/>
                <w:lang w:eastAsia="zh-CN"/>
              </w:rPr>
              <w:t>人群</w:t>
            </w:r>
          </w:p>
        </w:tc>
        <w:tc>
          <w:tcPr>
            <w:tcW w:w="699"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380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cs="Times New Roman"/>
                <w:color w:val="000000"/>
                <w:sz w:val="21"/>
                <w:szCs w:val="21"/>
                <w:lang w:val="en-US" w:eastAsia="zh-CN" w:bidi="ar"/>
              </w:rPr>
              <w:t>18</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东山经适房</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-581</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-1280</w:t>
            </w:r>
          </w:p>
        </w:tc>
        <w:tc>
          <w:tcPr>
            <w:tcW w:w="792"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1475</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3060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sz w:val="21"/>
                <w:szCs w:val="21"/>
                <w:lang w:val="en-US" w:eastAsia="zh-CN" w:bidi="ar"/>
              </w:rPr>
              <w:t>19</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金城康桥名郡</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-504</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-676</w:t>
            </w:r>
          </w:p>
        </w:tc>
        <w:tc>
          <w:tcPr>
            <w:tcW w:w="792" w:type="dxa"/>
            <w:shd w:val="clear" w:color="auto" w:fill="auto"/>
            <w:vAlign w:val="center"/>
          </w:tcPr>
          <w:p>
            <w:pPr>
              <w:widowControl/>
              <w:jc w:val="center"/>
              <w:textAlignment w:val="bottom"/>
              <w:rPr>
                <w:rFonts w:eastAsia="宋体"/>
                <w:sz w:val="21"/>
                <w:szCs w:val="21"/>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892</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2322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sz w:val="21"/>
                <w:szCs w:val="21"/>
                <w:lang w:val="en-US" w:eastAsia="zh-CN" w:bidi="ar"/>
              </w:rPr>
              <w:t>20</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裕景山庄</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-1076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-671</w:t>
            </w:r>
          </w:p>
        </w:tc>
        <w:tc>
          <w:tcPr>
            <w:tcW w:w="792" w:type="dxa"/>
            <w:shd w:val="clear" w:color="auto" w:fill="auto"/>
            <w:vAlign w:val="center"/>
          </w:tcPr>
          <w:p>
            <w:pPr>
              <w:widowControl/>
              <w:jc w:val="center"/>
              <w:textAlignment w:val="bottom"/>
              <w:rPr>
                <w:rFonts w:eastAsia="宋体"/>
                <w:sz w:val="21"/>
                <w:szCs w:val="21"/>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1321</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烂尾楼</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sz w:val="21"/>
                <w:szCs w:val="21"/>
                <w:lang w:val="en-US" w:eastAsia="zh-CN" w:bidi="ar"/>
              </w:rPr>
              <w:t>21</w:t>
            </w:r>
          </w:p>
        </w:tc>
        <w:tc>
          <w:tcPr>
            <w:tcW w:w="1685" w:type="dxa"/>
            <w:shd w:val="clear" w:color="auto" w:fill="auto"/>
            <w:vAlign w:val="center"/>
          </w:tcPr>
          <w:p>
            <w:pPr>
              <w:widowControl/>
              <w:jc w:val="center"/>
              <w:textAlignment w:val="bottom"/>
              <w:rPr>
                <w:rFonts w:eastAsia="宋体"/>
                <w:sz w:val="21"/>
                <w:szCs w:val="21"/>
                <w:lang w:eastAsia="zh-CN" w:bidi="ar"/>
              </w:rPr>
            </w:pPr>
            <w:r>
              <w:rPr>
                <w:rFonts w:hint="eastAsia" w:eastAsia="宋体"/>
                <w:sz w:val="21"/>
                <w:szCs w:val="21"/>
                <w:lang w:eastAsia="zh-CN" w:bidi="ar"/>
              </w:rPr>
              <w:t>地中海阳光</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-1076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-699</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1482</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792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sz w:val="21"/>
                <w:szCs w:val="21"/>
                <w:lang w:eastAsia="zh-CN" w:bidi="ar"/>
              </w:rPr>
              <w:t>2</w:t>
            </w:r>
            <w:r>
              <w:rPr>
                <w:rFonts w:hint="eastAsia" w:eastAsia="宋体"/>
                <w:sz w:val="21"/>
                <w:szCs w:val="21"/>
                <w:lang w:val="en-US" w:eastAsia="zh-CN" w:bidi="ar"/>
              </w:rPr>
              <w:t>2</w:t>
            </w:r>
          </w:p>
        </w:tc>
        <w:tc>
          <w:tcPr>
            <w:tcW w:w="1685"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苏相府</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-1759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-686</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1927</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bidi="ar"/>
              </w:rPr>
            </w:pPr>
            <w:r>
              <w:rPr>
                <w:rFonts w:hint="eastAsia" w:eastAsia="宋体"/>
                <w:sz w:val="21"/>
                <w:szCs w:val="21"/>
                <w:lang w:val="en-US" w:eastAsia="zh-CN" w:bidi="ar"/>
              </w:rPr>
              <w:t>2200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ar"/>
              </w:rPr>
            </w:pPr>
            <w:r>
              <w:rPr>
                <w:rFonts w:hint="eastAsia" w:eastAsia="宋体"/>
                <w:sz w:val="21"/>
                <w:szCs w:val="21"/>
                <w:lang w:eastAsia="zh-CN" w:bidi="ar"/>
              </w:rPr>
              <w:t>2</w:t>
            </w:r>
            <w:r>
              <w:rPr>
                <w:rFonts w:hint="eastAsia" w:eastAsia="宋体"/>
                <w:sz w:val="21"/>
                <w:szCs w:val="21"/>
                <w:lang w:val="en-US" w:eastAsia="zh-CN" w:bidi="ar"/>
              </w:rPr>
              <w:t>3</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北苏村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-1810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-1196</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2101</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248</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ar"/>
              </w:rPr>
            </w:pPr>
            <w:r>
              <w:rPr>
                <w:rFonts w:hint="eastAsia" w:eastAsia="宋体"/>
                <w:sz w:val="21"/>
                <w:szCs w:val="21"/>
                <w:lang w:eastAsia="zh-CN" w:bidi="ar"/>
              </w:rPr>
              <w:t>2</w:t>
            </w:r>
            <w:r>
              <w:rPr>
                <w:rFonts w:hint="eastAsia" w:eastAsia="宋体"/>
                <w:sz w:val="21"/>
                <w:szCs w:val="21"/>
                <w:lang w:val="en-US" w:eastAsia="zh-CN" w:bidi="ar"/>
              </w:rPr>
              <w:t>4</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奥都庄园</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-2250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-709</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2394</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hint="eastAsia" w:eastAsia="宋体"/>
                <w:sz w:val="21"/>
                <w:szCs w:val="21"/>
                <w:lang w:eastAsia="zh-CN" w:bidi="ar"/>
              </w:rPr>
              <w:t>1</w:t>
            </w:r>
            <w:r>
              <w:rPr>
                <w:rFonts w:eastAsia="宋体"/>
                <w:sz w:val="21"/>
                <w:szCs w:val="21"/>
                <w:lang w:eastAsia="zh-CN" w:bidi="ar"/>
              </w:rPr>
              <w:t>264</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ar"/>
              </w:rPr>
            </w:pPr>
            <w:r>
              <w:rPr>
                <w:rFonts w:hint="eastAsia" w:eastAsia="宋体"/>
                <w:sz w:val="21"/>
                <w:szCs w:val="21"/>
                <w:lang w:eastAsia="zh-CN" w:bidi="ar"/>
              </w:rPr>
              <w:t>2</w:t>
            </w:r>
            <w:r>
              <w:rPr>
                <w:rFonts w:hint="eastAsia" w:eastAsia="宋体"/>
                <w:sz w:val="21"/>
                <w:szCs w:val="21"/>
                <w:lang w:val="en-US" w:eastAsia="zh-CN" w:bidi="ar"/>
              </w:rPr>
              <w:t>5</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灵沼村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-1727</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671</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2082</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197</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ar"/>
              </w:rPr>
            </w:pPr>
            <w:r>
              <w:rPr>
                <w:rFonts w:hint="eastAsia" w:eastAsia="宋体"/>
                <w:sz w:val="21"/>
                <w:szCs w:val="21"/>
                <w:lang w:val="en-US" w:eastAsia="zh-CN" w:bidi="ar"/>
              </w:rPr>
              <w:t>26</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周家</w:t>
            </w:r>
            <w:r>
              <w:rPr>
                <w:rFonts w:hint="eastAsia" w:eastAsia="宋体"/>
                <w:sz w:val="21"/>
                <w:szCs w:val="21"/>
                <w:lang w:eastAsia="zh-CN" w:bidi="ar"/>
              </w:rPr>
              <w:t>河</w:t>
            </w:r>
            <w:r>
              <w:rPr>
                <w:rFonts w:eastAsia="宋体"/>
                <w:sz w:val="21"/>
                <w:szCs w:val="21"/>
                <w:lang w:eastAsia="zh-CN" w:bidi="ar"/>
              </w:rPr>
              <w:t>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-1511</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862</w:t>
            </w:r>
          </w:p>
        </w:tc>
        <w:tc>
          <w:tcPr>
            <w:tcW w:w="792" w:type="dxa"/>
            <w:shd w:val="clear" w:color="auto" w:fill="auto"/>
            <w:vAlign w:val="center"/>
          </w:tcPr>
          <w:p>
            <w:pPr>
              <w:widowControl/>
              <w:jc w:val="center"/>
              <w:textAlignment w:val="bottom"/>
              <w:rPr>
                <w:rFonts w:hint="eastAsia" w:eastAsia="宋体"/>
                <w:sz w:val="21"/>
                <w:szCs w:val="21"/>
                <w:lang w:val="en-US" w:eastAsia="zh-CN"/>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2070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211</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ar"/>
              </w:rPr>
            </w:pPr>
            <w:r>
              <w:rPr>
                <w:rFonts w:hint="eastAsia" w:eastAsia="宋体"/>
                <w:sz w:val="21"/>
                <w:szCs w:val="21"/>
                <w:lang w:eastAsia="zh-CN" w:bidi="ar"/>
              </w:rPr>
              <w:t>2</w:t>
            </w:r>
            <w:r>
              <w:rPr>
                <w:rFonts w:hint="eastAsia" w:eastAsia="宋体"/>
                <w:sz w:val="21"/>
                <w:szCs w:val="21"/>
                <w:lang w:val="en-US" w:eastAsia="zh-CN" w:bidi="ar"/>
              </w:rPr>
              <w:t>7</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后孟村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-1141</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860</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1600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185</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ar"/>
              </w:rPr>
            </w:pPr>
            <w:r>
              <w:rPr>
                <w:rFonts w:hint="eastAsia" w:eastAsia="宋体"/>
                <w:sz w:val="21"/>
                <w:szCs w:val="21"/>
                <w:lang w:eastAsia="zh-CN" w:bidi="ar"/>
              </w:rPr>
              <w:t>2</w:t>
            </w:r>
            <w:r>
              <w:rPr>
                <w:rFonts w:hint="eastAsia" w:eastAsia="宋体"/>
                <w:sz w:val="21"/>
                <w:szCs w:val="21"/>
                <w:lang w:val="en-US" w:eastAsia="zh-CN" w:bidi="ar"/>
              </w:rPr>
              <w:t>8</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前孟村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-1310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757</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1673</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371</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center"/>
              <w:rPr>
                <w:rFonts w:hint="default" w:ascii="Times New Roman" w:hAnsi="Times New Roman" w:eastAsia="宋体" w:cs="Times New Roman"/>
                <w:color w:val="000000"/>
                <w:sz w:val="21"/>
                <w:szCs w:val="21"/>
                <w:lang w:val="en-US" w:eastAsia="zh-CN" w:bidi="en-US"/>
              </w:rPr>
            </w:pPr>
            <w:r>
              <w:rPr>
                <w:rFonts w:hint="eastAsia" w:eastAsia="宋体"/>
                <w:sz w:val="21"/>
                <w:szCs w:val="21"/>
                <w:lang w:val="en-US" w:eastAsia="zh-CN" w:bidi="ar"/>
              </w:rPr>
              <w:t>29</w:t>
            </w:r>
          </w:p>
        </w:tc>
        <w:tc>
          <w:tcPr>
            <w:tcW w:w="1685" w:type="dxa"/>
            <w:shd w:val="clear" w:color="auto" w:fill="auto"/>
            <w:vAlign w:val="center"/>
          </w:tcPr>
          <w:p>
            <w:pPr>
              <w:widowControl/>
              <w:jc w:val="center"/>
              <w:textAlignment w:val="bottom"/>
              <w:rPr>
                <w:rFonts w:eastAsia="宋体"/>
                <w:sz w:val="21"/>
                <w:szCs w:val="21"/>
              </w:rPr>
            </w:pPr>
            <w:r>
              <w:rPr>
                <w:rFonts w:eastAsia="宋体"/>
                <w:sz w:val="21"/>
                <w:szCs w:val="21"/>
                <w:lang w:eastAsia="zh-CN" w:bidi="ar"/>
              </w:rPr>
              <w:t>下午村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-2309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1595</w:t>
            </w:r>
          </w:p>
        </w:tc>
        <w:tc>
          <w:tcPr>
            <w:tcW w:w="792"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NW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3000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eastAsia="宋体"/>
                <w:sz w:val="21"/>
                <w:szCs w:val="21"/>
              </w:rPr>
            </w:pPr>
            <w:r>
              <w:rPr>
                <w:rFonts w:hint="eastAsia" w:eastAsia="宋体"/>
                <w:sz w:val="21"/>
                <w:szCs w:val="21"/>
                <w:lang w:val="en-US" w:eastAsia="zh-CN" w:bidi="ar"/>
              </w:rPr>
              <w:t>3</w:t>
            </w:r>
            <w:r>
              <w:rPr>
                <w:rFonts w:eastAsia="宋体"/>
                <w:sz w:val="21"/>
                <w:szCs w:val="21"/>
                <w:lang w:eastAsia="zh-CN" w:bidi="ar"/>
              </w:rPr>
              <w:t>96</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en-US"/>
              </w:rPr>
            </w:pPr>
            <w:r>
              <w:rPr>
                <w:rFonts w:hint="eastAsia" w:eastAsia="宋体"/>
                <w:sz w:val="21"/>
                <w:szCs w:val="21"/>
                <w:lang w:eastAsia="zh-CN"/>
              </w:rPr>
              <w:t>3</w:t>
            </w:r>
            <w:r>
              <w:rPr>
                <w:rFonts w:hint="eastAsia" w:eastAsia="宋体"/>
                <w:sz w:val="21"/>
                <w:szCs w:val="21"/>
                <w:lang w:val="en-US" w:eastAsia="zh-CN"/>
              </w:rPr>
              <w:t>0</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淄川经济开发区实验学校</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-849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-1062</w:t>
            </w:r>
          </w:p>
        </w:tc>
        <w:tc>
          <w:tcPr>
            <w:tcW w:w="792"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1401</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widowControl/>
              <w:jc w:val="center"/>
              <w:textAlignment w:val="bottom"/>
              <w:rPr>
                <w:rFonts w:hint="default" w:eastAsia="宋体"/>
                <w:sz w:val="21"/>
                <w:szCs w:val="21"/>
                <w:lang w:val="en-US" w:eastAsia="zh-CN"/>
              </w:rPr>
            </w:pPr>
            <w:r>
              <w:rPr>
                <w:rFonts w:hint="eastAsia" w:eastAsia="宋体"/>
                <w:sz w:val="21"/>
                <w:szCs w:val="21"/>
                <w:lang w:val="en-US" w:eastAsia="zh-CN"/>
              </w:rPr>
              <w:t>3077</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ascii="Times New Roman" w:hAnsi="Times New Roman" w:eastAsia="宋体" w:cs="Times New Roman"/>
                <w:color w:val="000000"/>
                <w:sz w:val="21"/>
                <w:szCs w:val="21"/>
                <w:lang w:val="en-US" w:eastAsia="zh-CN" w:bidi="en-US"/>
              </w:rPr>
            </w:pPr>
            <w:r>
              <w:rPr>
                <w:rFonts w:hint="eastAsia" w:eastAsia="宋体"/>
                <w:sz w:val="21"/>
                <w:szCs w:val="21"/>
                <w:lang w:eastAsia="zh-CN"/>
              </w:rPr>
              <w:t>3</w:t>
            </w:r>
            <w:r>
              <w:rPr>
                <w:rFonts w:hint="eastAsia" w:eastAsia="宋体"/>
                <w:sz w:val="21"/>
                <w:szCs w:val="21"/>
                <w:lang w:val="en-US" w:eastAsia="zh-CN"/>
              </w:rPr>
              <w:t>1</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般阳中学</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-2349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-1162</w:t>
            </w:r>
          </w:p>
        </w:tc>
        <w:tc>
          <w:tcPr>
            <w:tcW w:w="792" w:type="dxa"/>
            <w:shd w:val="clear" w:color="auto" w:fill="auto"/>
            <w:vAlign w:val="center"/>
          </w:tcPr>
          <w:p>
            <w:pPr>
              <w:adjustRightInd w:val="0"/>
              <w:snapToGrid w:val="0"/>
              <w:jc w:val="center"/>
              <w:rPr>
                <w:rFonts w:eastAsia="宋体"/>
                <w:sz w:val="21"/>
                <w:szCs w:val="21"/>
              </w:rPr>
            </w:pPr>
            <w:r>
              <w:rPr>
                <w:rFonts w:hint="eastAsia" w:eastAsia="宋体"/>
                <w:sz w:val="21"/>
                <w:szCs w:val="21"/>
                <w:lang w:val="en-US" w:eastAsia="zh-CN"/>
              </w:rPr>
              <w:t>SW</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2645</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2700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widowControl/>
              <w:jc w:val="center"/>
              <w:textAlignment w:val="bottom"/>
              <w:rPr>
                <w:rFonts w:hint="default" w:ascii="Times New Roman" w:hAnsi="Times New Roman" w:eastAsia="宋体" w:cs="Times New Roman"/>
                <w:color w:val="000000"/>
                <w:sz w:val="21"/>
                <w:szCs w:val="21"/>
                <w:lang w:val="en-US" w:eastAsia="zh-CN" w:bidi="en-US"/>
              </w:rPr>
            </w:pPr>
            <w:r>
              <w:rPr>
                <w:rFonts w:hint="eastAsia" w:eastAsia="宋体"/>
                <w:sz w:val="21"/>
                <w:szCs w:val="21"/>
                <w:lang w:val="en-US" w:eastAsia="zh-CN"/>
              </w:rPr>
              <w:t>32</w:t>
            </w:r>
          </w:p>
        </w:tc>
        <w:tc>
          <w:tcPr>
            <w:tcW w:w="1685" w:type="dxa"/>
            <w:shd w:val="clear" w:color="auto" w:fill="auto"/>
            <w:vAlign w:val="center"/>
          </w:tcPr>
          <w:p>
            <w:pPr>
              <w:widowControl/>
              <w:jc w:val="center"/>
              <w:textAlignment w:val="bottom"/>
              <w:rPr>
                <w:rFonts w:eastAsia="宋体"/>
                <w:sz w:val="21"/>
                <w:szCs w:val="21"/>
                <w:lang w:eastAsia="zh-CN"/>
              </w:rPr>
            </w:pPr>
            <w:r>
              <w:rPr>
                <w:rFonts w:hint="eastAsia" w:eastAsia="宋体"/>
                <w:sz w:val="21"/>
                <w:szCs w:val="21"/>
                <w:lang w:eastAsia="zh-CN"/>
              </w:rPr>
              <w:t>延强医院</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-300</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336</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500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ascii="Times New Roman" w:hAnsi="Times New Roman" w:eastAsia="宋体" w:cs="Times New Roman"/>
                <w:color w:val="000000"/>
                <w:sz w:val="21"/>
                <w:szCs w:val="21"/>
                <w:lang w:val="en-US" w:eastAsia="zh-CN" w:bidi="en-US"/>
              </w:rPr>
            </w:pPr>
            <w:r>
              <w:rPr>
                <w:rFonts w:hint="eastAsia" w:eastAsia="宋体"/>
                <w:sz w:val="21"/>
                <w:szCs w:val="21"/>
                <w:lang w:eastAsia="zh-CN"/>
              </w:rPr>
              <w:t>3</w:t>
            </w:r>
            <w:r>
              <w:rPr>
                <w:rFonts w:hint="eastAsia" w:eastAsia="宋体"/>
                <w:sz w:val="21"/>
                <w:szCs w:val="21"/>
                <w:lang w:val="en-US" w:eastAsia="zh-CN"/>
              </w:rPr>
              <w:t>3</w:t>
            </w:r>
          </w:p>
        </w:tc>
        <w:tc>
          <w:tcPr>
            <w:tcW w:w="1685" w:type="dxa"/>
            <w:shd w:val="clear" w:color="auto" w:fill="auto"/>
            <w:vAlign w:val="center"/>
          </w:tcPr>
          <w:p>
            <w:pPr>
              <w:widowControl/>
              <w:jc w:val="center"/>
              <w:textAlignment w:val="bottom"/>
              <w:rPr>
                <w:rFonts w:hint="eastAsia" w:eastAsia="宋体"/>
                <w:sz w:val="21"/>
                <w:szCs w:val="21"/>
                <w:lang w:eastAsia="zh-CN"/>
              </w:rPr>
            </w:pPr>
            <w:r>
              <w:rPr>
                <w:rFonts w:hint="eastAsia" w:eastAsia="宋体"/>
                <w:sz w:val="21"/>
                <w:szCs w:val="21"/>
                <w:lang w:eastAsia="zh-CN"/>
              </w:rPr>
              <w:t>明圣医院</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410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-248</w:t>
            </w:r>
          </w:p>
        </w:tc>
        <w:tc>
          <w:tcPr>
            <w:tcW w:w="792"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448</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480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ascii="Times New Roman" w:hAnsi="Times New Roman" w:eastAsia="宋体" w:cs="Times New Roman"/>
                <w:color w:val="000000"/>
                <w:sz w:val="21"/>
                <w:szCs w:val="21"/>
                <w:lang w:val="en-US" w:eastAsia="zh-CN" w:bidi="en-US"/>
              </w:rPr>
            </w:pPr>
            <w:r>
              <w:rPr>
                <w:rFonts w:hint="eastAsia" w:eastAsia="宋体"/>
                <w:sz w:val="21"/>
                <w:szCs w:val="21"/>
                <w:lang w:eastAsia="zh-CN"/>
              </w:rPr>
              <w:t>3</w:t>
            </w:r>
            <w:r>
              <w:rPr>
                <w:rFonts w:hint="eastAsia" w:eastAsia="宋体"/>
                <w:sz w:val="21"/>
                <w:szCs w:val="21"/>
                <w:lang w:val="en-US" w:eastAsia="zh-CN"/>
              </w:rPr>
              <w:t>4</w:t>
            </w:r>
          </w:p>
        </w:tc>
        <w:tc>
          <w:tcPr>
            <w:tcW w:w="1685" w:type="dxa"/>
            <w:shd w:val="clear" w:color="auto" w:fill="auto"/>
            <w:vAlign w:val="center"/>
          </w:tcPr>
          <w:p>
            <w:pPr>
              <w:adjustRightInd w:val="0"/>
              <w:snapToGrid w:val="0"/>
              <w:jc w:val="center"/>
              <w:rPr>
                <w:rFonts w:eastAsia="宋体"/>
                <w:sz w:val="21"/>
                <w:szCs w:val="21"/>
                <w:lang w:eastAsia="zh-CN"/>
              </w:rPr>
            </w:pPr>
            <w:r>
              <w:rPr>
                <w:rFonts w:hint="eastAsia" w:eastAsia="宋体"/>
                <w:sz w:val="21"/>
                <w:szCs w:val="21"/>
                <w:lang w:eastAsia="zh-CN"/>
              </w:rPr>
              <w:t>淄川区医院西院</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-2350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-1251</w:t>
            </w:r>
          </w:p>
        </w:tc>
        <w:tc>
          <w:tcPr>
            <w:tcW w:w="792" w:type="dxa"/>
            <w:shd w:val="clear" w:color="auto" w:fill="auto"/>
            <w:vAlign w:val="center"/>
          </w:tcPr>
          <w:p>
            <w:pPr>
              <w:adjustRightInd w:val="0"/>
              <w:snapToGrid w:val="0"/>
              <w:jc w:val="center"/>
              <w:rPr>
                <w:rFonts w:eastAsia="宋体"/>
                <w:sz w:val="21"/>
                <w:szCs w:val="21"/>
                <w:lang w:eastAsia="zh-CN"/>
              </w:rPr>
            </w:pPr>
            <w:r>
              <w:rPr>
                <w:rFonts w:hint="eastAsia" w:eastAsia="宋体"/>
                <w:sz w:val="21"/>
                <w:szCs w:val="21"/>
                <w:lang w:val="en-US" w:eastAsia="zh-CN"/>
              </w:rPr>
              <w:t>SW</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2830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488</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ascii="Times New Roman" w:hAnsi="Times New Roman" w:eastAsia="宋体" w:cs="Times New Roman"/>
                <w:color w:val="000000"/>
                <w:sz w:val="21"/>
                <w:szCs w:val="21"/>
                <w:lang w:val="en-US" w:eastAsia="zh-CN" w:bidi="en-US"/>
              </w:rPr>
            </w:pPr>
            <w:r>
              <w:rPr>
                <w:rFonts w:hint="eastAsia" w:eastAsia="宋体"/>
                <w:sz w:val="21"/>
                <w:szCs w:val="21"/>
                <w:lang w:eastAsia="zh-CN"/>
              </w:rPr>
              <w:t>3</w:t>
            </w:r>
            <w:r>
              <w:rPr>
                <w:rFonts w:hint="eastAsia" w:eastAsia="宋体"/>
                <w:sz w:val="21"/>
                <w:szCs w:val="21"/>
                <w:lang w:val="en-US" w:eastAsia="zh-CN"/>
              </w:rPr>
              <w:t>5</w:t>
            </w:r>
          </w:p>
        </w:tc>
        <w:tc>
          <w:tcPr>
            <w:tcW w:w="1685" w:type="dxa"/>
            <w:shd w:val="clear" w:color="auto" w:fill="auto"/>
            <w:vAlign w:val="center"/>
          </w:tcPr>
          <w:p>
            <w:pPr>
              <w:widowControl/>
              <w:jc w:val="center"/>
              <w:textAlignment w:val="bottom"/>
              <w:rPr>
                <w:rFonts w:eastAsia="宋体"/>
                <w:sz w:val="21"/>
                <w:szCs w:val="21"/>
                <w:highlight w:val="none"/>
              </w:rPr>
            </w:pPr>
            <w:r>
              <w:rPr>
                <w:rFonts w:eastAsia="宋体"/>
                <w:sz w:val="21"/>
                <w:szCs w:val="21"/>
                <w:highlight w:val="none"/>
                <w:lang w:eastAsia="zh-CN" w:bidi="ar"/>
              </w:rPr>
              <w:t>开发区管委会</w:t>
            </w:r>
          </w:p>
        </w:tc>
        <w:tc>
          <w:tcPr>
            <w:tcW w:w="786" w:type="dxa"/>
            <w:shd w:val="clear" w:color="auto" w:fill="auto"/>
            <w:vAlign w:val="center"/>
          </w:tcPr>
          <w:p>
            <w:pPr>
              <w:widowControl/>
              <w:jc w:val="center"/>
              <w:textAlignment w:val="center"/>
              <w:rPr>
                <w:rFonts w:hint="default" w:eastAsia="宋体"/>
                <w:sz w:val="21"/>
                <w:szCs w:val="21"/>
                <w:highlight w:val="none"/>
                <w:lang w:val="en-US" w:eastAsia="zh-CN"/>
              </w:rPr>
            </w:pPr>
            <w:r>
              <w:rPr>
                <w:rFonts w:hint="eastAsia" w:eastAsia="宋体"/>
                <w:sz w:val="21"/>
                <w:szCs w:val="21"/>
                <w:highlight w:val="none"/>
                <w:lang w:val="en-US" w:eastAsia="zh-CN"/>
              </w:rPr>
              <w:t>-1722</w:t>
            </w:r>
          </w:p>
        </w:tc>
        <w:tc>
          <w:tcPr>
            <w:tcW w:w="749" w:type="dxa"/>
            <w:shd w:val="clear" w:color="auto" w:fill="auto"/>
            <w:vAlign w:val="center"/>
          </w:tcPr>
          <w:p>
            <w:pPr>
              <w:widowControl/>
              <w:jc w:val="center"/>
              <w:textAlignment w:val="center"/>
              <w:rPr>
                <w:rFonts w:hint="default" w:eastAsia="宋体"/>
                <w:sz w:val="21"/>
                <w:szCs w:val="21"/>
                <w:highlight w:val="none"/>
                <w:lang w:val="en-US" w:eastAsia="zh-CN"/>
              </w:rPr>
            </w:pPr>
            <w:r>
              <w:rPr>
                <w:rFonts w:hint="eastAsia" w:eastAsia="宋体"/>
                <w:sz w:val="21"/>
                <w:szCs w:val="21"/>
                <w:highlight w:val="none"/>
                <w:lang w:val="en-US" w:eastAsia="zh-CN"/>
              </w:rPr>
              <w:t>-264</w:t>
            </w:r>
          </w:p>
        </w:tc>
        <w:tc>
          <w:tcPr>
            <w:tcW w:w="792" w:type="dxa"/>
            <w:shd w:val="clear" w:color="auto" w:fill="auto"/>
            <w:vAlign w:val="center"/>
          </w:tcPr>
          <w:p>
            <w:pPr>
              <w:widowControl/>
              <w:jc w:val="center"/>
              <w:textAlignment w:val="bottom"/>
              <w:rPr>
                <w:rFonts w:eastAsia="宋体"/>
                <w:sz w:val="21"/>
                <w:szCs w:val="21"/>
                <w:highlight w:val="none"/>
              </w:rPr>
            </w:pPr>
            <w:r>
              <w:rPr>
                <w:rFonts w:hint="eastAsia" w:eastAsia="宋体"/>
                <w:sz w:val="21"/>
                <w:szCs w:val="21"/>
                <w:lang w:val="en-US" w:eastAsia="zh-CN"/>
              </w:rPr>
              <w:t>SW</w:t>
            </w:r>
          </w:p>
        </w:tc>
        <w:tc>
          <w:tcPr>
            <w:tcW w:w="1044" w:type="dxa"/>
            <w:shd w:val="clear" w:color="auto" w:fill="auto"/>
            <w:vAlign w:val="center"/>
          </w:tcPr>
          <w:p>
            <w:pPr>
              <w:widowControl/>
              <w:jc w:val="center"/>
              <w:textAlignment w:val="bottom"/>
              <w:rPr>
                <w:rFonts w:hint="default" w:eastAsia="宋体"/>
                <w:sz w:val="21"/>
                <w:szCs w:val="21"/>
                <w:highlight w:val="none"/>
                <w:lang w:val="en-US" w:eastAsia="zh-CN"/>
              </w:rPr>
            </w:pPr>
            <w:r>
              <w:rPr>
                <w:rFonts w:hint="eastAsia" w:eastAsia="宋体"/>
                <w:sz w:val="21"/>
                <w:szCs w:val="21"/>
                <w:highlight w:val="none"/>
                <w:lang w:val="en-US" w:eastAsia="zh-CN"/>
              </w:rPr>
              <w:t>1700</w:t>
            </w:r>
          </w:p>
        </w:tc>
        <w:tc>
          <w:tcPr>
            <w:tcW w:w="615" w:type="dxa"/>
            <w:vMerge w:val="continue"/>
            <w:shd w:val="clear" w:color="auto" w:fill="auto"/>
            <w:vAlign w:val="center"/>
          </w:tcPr>
          <w:p>
            <w:pPr>
              <w:adjustRightInd w:val="0"/>
              <w:snapToGrid w:val="0"/>
              <w:jc w:val="center"/>
              <w:rPr>
                <w:rFonts w:eastAsia="宋体"/>
                <w:sz w:val="21"/>
                <w:szCs w:val="21"/>
                <w:highlight w:val="none"/>
              </w:rPr>
            </w:pPr>
          </w:p>
        </w:tc>
        <w:tc>
          <w:tcPr>
            <w:tcW w:w="738" w:type="dxa"/>
            <w:shd w:val="clear" w:color="auto" w:fill="auto"/>
            <w:vAlign w:val="center"/>
          </w:tcPr>
          <w:p>
            <w:pPr>
              <w:adjustRightInd w:val="0"/>
              <w:snapToGrid w:val="0"/>
              <w:jc w:val="center"/>
              <w:rPr>
                <w:rFonts w:eastAsia="宋体"/>
                <w:sz w:val="21"/>
                <w:szCs w:val="21"/>
                <w:highlight w:val="none"/>
              </w:rPr>
            </w:pPr>
            <w:r>
              <w:rPr>
                <w:rFonts w:eastAsia="宋体"/>
                <w:bCs/>
                <w:caps/>
                <w:sz w:val="21"/>
                <w:szCs w:val="21"/>
                <w:highlight w:val="none"/>
              </w:rPr>
              <w:t>人群</w:t>
            </w:r>
          </w:p>
        </w:tc>
        <w:tc>
          <w:tcPr>
            <w:tcW w:w="699" w:type="dxa"/>
            <w:shd w:val="clear" w:color="auto" w:fill="auto"/>
            <w:vAlign w:val="center"/>
          </w:tcPr>
          <w:p>
            <w:pPr>
              <w:adjustRightInd w:val="0"/>
              <w:snapToGrid w:val="0"/>
              <w:jc w:val="center"/>
              <w:rPr>
                <w:rFonts w:hint="default" w:eastAsia="宋体"/>
                <w:sz w:val="21"/>
                <w:szCs w:val="21"/>
                <w:highlight w:val="none"/>
                <w:lang w:val="en-US" w:eastAsia="zh-CN"/>
              </w:rPr>
            </w:pPr>
            <w:r>
              <w:rPr>
                <w:rFonts w:hint="eastAsia" w:eastAsia="宋体"/>
                <w:sz w:val="21"/>
                <w:szCs w:val="21"/>
                <w:highlight w:val="none"/>
                <w:lang w:val="en-US" w:eastAsia="zh-CN"/>
              </w:rPr>
              <w:t>240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36</w:t>
            </w:r>
          </w:p>
        </w:tc>
        <w:tc>
          <w:tcPr>
            <w:tcW w:w="1685" w:type="dxa"/>
            <w:shd w:val="clear" w:color="auto" w:fill="auto"/>
            <w:vAlign w:val="center"/>
          </w:tcPr>
          <w:p>
            <w:pPr>
              <w:adjustRightInd w:val="0"/>
              <w:snapToGrid w:val="0"/>
              <w:jc w:val="center"/>
              <w:rPr>
                <w:rFonts w:eastAsia="宋体"/>
                <w:sz w:val="21"/>
                <w:szCs w:val="21"/>
                <w:lang w:eastAsia="zh-CN"/>
              </w:rPr>
            </w:pPr>
            <w:r>
              <w:rPr>
                <w:rFonts w:hint="eastAsia" w:eastAsia="宋体"/>
                <w:sz w:val="21"/>
                <w:szCs w:val="21"/>
                <w:lang w:eastAsia="zh-CN"/>
              </w:rPr>
              <w:t>西关二村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249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-1990</w:t>
            </w:r>
          </w:p>
        </w:tc>
        <w:tc>
          <w:tcPr>
            <w:tcW w:w="792"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2008</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1324</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37</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公义村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686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-1650</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1789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cs="Times New Roman"/>
                <w:sz w:val="21"/>
                <w:szCs w:val="21"/>
                <w:highlight w:val="none"/>
                <w:lang w:val="en-US" w:eastAsia="zh-CN"/>
              </w:rPr>
              <w:t>2245</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38</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店子村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1128</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-538</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1173</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eastAsia="宋体" w:cs="Times New Roman"/>
                <w:sz w:val="21"/>
                <w:szCs w:val="21"/>
                <w:highlight w:val="none"/>
                <w:lang w:val="en-US" w:eastAsia="zh-CN" w:bidi="ar"/>
              </w:rPr>
              <w:t>1</w:t>
            </w:r>
            <w:r>
              <w:rPr>
                <w:rFonts w:hint="default" w:ascii="Times New Roman" w:hAnsi="Times New Roman" w:eastAsia="宋体" w:cs="Times New Roman"/>
                <w:sz w:val="21"/>
                <w:szCs w:val="21"/>
                <w:highlight w:val="none"/>
                <w:lang w:eastAsia="zh-CN" w:bidi="ar"/>
              </w:rPr>
              <w:t>948</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39</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阳光汇景</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966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-454</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1119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eastAsia="宋体" w:cs="Times New Roman"/>
                <w:sz w:val="21"/>
                <w:szCs w:val="21"/>
                <w:highlight w:val="none"/>
                <w:lang w:eastAsia="zh-CN" w:bidi="ar"/>
              </w:rPr>
              <w:t>2140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40</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黄家铺村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1125</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-169</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1060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eastAsia="宋体" w:cs="Times New Roman"/>
                <w:sz w:val="21"/>
                <w:szCs w:val="21"/>
                <w:highlight w:val="none"/>
                <w:lang w:val="en-US" w:eastAsia="zh-CN" w:bidi="ar"/>
              </w:rPr>
              <w:t>2970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41</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钟楼生活区</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1531</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-140</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1459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cs="Times New Roman"/>
                <w:sz w:val="21"/>
                <w:szCs w:val="21"/>
                <w:highlight w:val="none"/>
                <w:lang w:val="en-US" w:eastAsia="zh-CN"/>
              </w:rPr>
              <w:t>1850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42</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淄川经开区中心小学</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1537</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-388</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1555</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eastAsia="宋体" w:cs="Times New Roman"/>
                <w:sz w:val="21"/>
                <w:szCs w:val="21"/>
                <w:highlight w:val="none"/>
                <w:lang w:val="en-US" w:eastAsia="zh-CN"/>
              </w:rPr>
              <w:t>586</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43</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辛庄村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1764</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-207</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1696</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cs="Times New Roman"/>
                <w:kern w:val="2"/>
                <w:sz w:val="21"/>
                <w:szCs w:val="21"/>
                <w:highlight w:val="none"/>
                <w:lang w:val="en-US" w:eastAsia="zh-CN" w:bidi="ar-SA"/>
              </w:rPr>
              <w:t>358</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44</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圣源小区</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1788</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-209</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1839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cs="Times New Roman"/>
                <w:sz w:val="21"/>
                <w:szCs w:val="21"/>
                <w:highlight w:val="none"/>
                <w:lang w:val="en-US" w:eastAsia="zh-CN"/>
              </w:rPr>
              <w:t>386</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45</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东方水岸鑫苑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2010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-189</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2042</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cs="Times New Roman"/>
                <w:sz w:val="21"/>
                <w:szCs w:val="21"/>
                <w:highlight w:val="none"/>
                <w:lang w:val="en-US" w:eastAsia="zh-CN"/>
              </w:rPr>
              <w:t>489</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46</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鑫苑小区</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1358</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421</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NE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1410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eastAsia="宋体" w:cs="Times New Roman"/>
                <w:sz w:val="21"/>
                <w:szCs w:val="21"/>
                <w:highlight w:val="none"/>
                <w:lang w:eastAsia="zh-CN" w:bidi="ar"/>
              </w:rPr>
              <w:t>540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47</w:t>
            </w:r>
          </w:p>
        </w:tc>
        <w:tc>
          <w:tcPr>
            <w:tcW w:w="168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eastAsia="zh-CN"/>
              </w:rPr>
              <w:t>夏庄村</w:t>
            </w:r>
            <w:r>
              <w:rPr>
                <w:rFonts w:hint="eastAsia" w:eastAsia="宋体"/>
                <w:sz w:val="21"/>
                <w:szCs w:val="21"/>
                <w:lang w:val="en-US" w:eastAsia="zh-CN"/>
              </w:rPr>
              <w:t xml:space="preserve"> </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1830</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64</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NE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1783</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eastAsia="宋体" w:cs="Times New Roman"/>
                <w:sz w:val="21"/>
                <w:szCs w:val="21"/>
                <w:highlight w:val="none"/>
                <w:lang w:eastAsia="zh-CN" w:bidi="ar"/>
              </w:rPr>
              <w:t>2150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48</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华夏苑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2148</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116</w:t>
            </w:r>
          </w:p>
        </w:tc>
        <w:tc>
          <w:tcPr>
            <w:tcW w:w="792"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NE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2139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eastAsia="宋体" w:cs="Times New Roman"/>
                <w:sz w:val="21"/>
                <w:szCs w:val="21"/>
                <w:highlight w:val="none"/>
                <w:lang w:eastAsia="zh-CN" w:bidi="ar"/>
              </w:rPr>
              <w:t>512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49</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新都园</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2332</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-446</w:t>
            </w:r>
          </w:p>
        </w:tc>
        <w:tc>
          <w:tcPr>
            <w:tcW w:w="792"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2309</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cs="Times New Roman"/>
                <w:sz w:val="21"/>
                <w:szCs w:val="21"/>
                <w:highlight w:val="none"/>
                <w:lang w:val="en-US" w:eastAsia="zh-CN"/>
              </w:rPr>
              <w:t>395</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50</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朱家花园</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2374</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-626</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2505</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default" w:ascii="Times New Roman" w:hAnsi="Times New Roman" w:cs="Times New Roman"/>
                <w:sz w:val="21"/>
                <w:szCs w:val="21"/>
                <w:highlight w:val="none"/>
                <w:lang w:val="en-US" w:eastAsia="zh-CN"/>
              </w:rPr>
              <w:t>723</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51</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丽都花园</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2083</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-969</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2323</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eastAsia="宋体" w:cs="Times New Roman"/>
                <w:sz w:val="21"/>
                <w:szCs w:val="21"/>
                <w:highlight w:val="none"/>
                <w:lang w:val="en-US" w:eastAsia="zh-CN"/>
              </w:rPr>
              <w:t>624</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52</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菜园村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1576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-1431</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2108</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cs="Times New Roman"/>
                <w:sz w:val="21"/>
                <w:szCs w:val="21"/>
                <w:highlight w:val="none"/>
                <w:lang w:val="en-US" w:eastAsia="zh-CN"/>
              </w:rPr>
              <w:t>526</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53</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淄川区医院</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1933</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-1554</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2442</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cs="Times New Roman"/>
                <w:sz w:val="21"/>
                <w:szCs w:val="21"/>
                <w:highlight w:val="none"/>
                <w:lang w:val="en-US" w:eastAsia="zh-CN"/>
              </w:rPr>
              <w:t>600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54</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北关村</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2064</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-1493</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2654</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eastAsia" w:eastAsia="宋体"/>
                <w:sz w:val="21"/>
                <w:szCs w:val="21"/>
                <w:lang w:val="en-US" w:eastAsia="zh-CN"/>
              </w:rPr>
            </w:pPr>
            <w:r>
              <w:rPr>
                <w:rFonts w:hint="eastAsia" w:ascii="Times New Roman" w:hAnsi="Times New Roman" w:cs="Times New Roman"/>
                <w:sz w:val="21"/>
                <w:szCs w:val="21"/>
                <w:highlight w:val="none"/>
                <w:lang w:val="en-US" w:eastAsia="zh-CN"/>
              </w:rPr>
              <w:t>612</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55</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淄博第四中学</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1699</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-2242</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2750</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5000</w:t>
            </w:r>
          </w:p>
        </w:tc>
        <w:tc>
          <w:tcPr>
            <w:tcW w:w="767" w:type="dxa"/>
            <w:vMerge w:val="continue"/>
            <w:shd w:val="clear" w:color="auto" w:fill="auto"/>
            <w:vAlign w:val="center"/>
          </w:tcPr>
          <w:p>
            <w:pPr>
              <w:adjustRightInd w:val="0"/>
              <w:snapToGrid w:val="0"/>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767" w:type="dxa"/>
            <w:vMerge w:val="continue"/>
            <w:shd w:val="clear" w:color="auto" w:fill="auto"/>
            <w:vAlign w:val="center"/>
          </w:tcPr>
          <w:p>
            <w:pPr>
              <w:adjustRightInd w:val="0"/>
              <w:snapToGrid w:val="0"/>
              <w:jc w:val="center"/>
              <w:rPr>
                <w:rFonts w:eastAsia="宋体"/>
                <w:sz w:val="21"/>
                <w:szCs w:val="21"/>
              </w:rPr>
            </w:pPr>
          </w:p>
        </w:tc>
        <w:tc>
          <w:tcPr>
            <w:tcW w:w="645"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56</w:t>
            </w:r>
          </w:p>
        </w:tc>
        <w:tc>
          <w:tcPr>
            <w:tcW w:w="1685" w:type="dxa"/>
            <w:shd w:val="clear" w:color="auto" w:fill="auto"/>
            <w:vAlign w:val="center"/>
          </w:tcPr>
          <w:p>
            <w:pPr>
              <w:adjustRightInd w:val="0"/>
              <w:snapToGrid w:val="0"/>
              <w:jc w:val="center"/>
              <w:rPr>
                <w:rFonts w:hint="eastAsia" w:eastAsia="宋体"/>
                <w:sz w:val="21"/>
                <w:szCs w:val="21"/>
                <w:lang w:eastAsia="zh-CN"/>
              </w:rPr>
            </w:pPr>
            <w:r>
              <w:rPr>
                <w:rFonts w:hint="eastAsia" w:eastAsia="宋体"/>
                <w:sz w:val="21"/>
                <w:szCs w:val="21"/>
                <w:lang w:eastAsia="zh-CN"/>
              </w:rPr>
              <w:t>部分淄川城区</w:t>
            </w:r>
          </w:p>
        </w:tc>
        <w:tc>
          <w:tcPr>
            <w:tcW w:w="786"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1906</w:t>
            </w:r>
          </w:p>
        </w:tc>
        <w:tc>
          <w:tcPr>
            <w:tcW w:w="749" w:type="dxa"/>
            <w:shd w:val="clear" w:color="auto" w:fill="auto"/>
            <w:vAlign w:val="center"/>
          </w:tcPr>
          <w:p>
            <w:pPr>
              <w:widowControl/>
              <w:jc w:val="center"/>
              <w:textAlignment w:val="center"/>
              <w:rPr>
                <w:rFonts w:hint="default" w:eastAsia="宋体"/>
                <w:sz w:val="21"/>
                <w:szCs w:val="21"/>
                <w:lang w:val="en-US" w:eastAsia="zh-CN"/>
              </w:rPr>
            </w:pPr>
            <w:r>
              <w:rPr>
                <w:rFonts w:hint="eastAsia" w:eastAsia="宋体"/>
                <w:sz w:val="21"/>
                <w:szCs w:val="21"/>
                <w:lang w:val="en-US" w:eastAsia="zh-CN"/>
              </w:rPr>
              <w:t>2250</w:t>
            </w:r>
          </w:p>
        </w:tc>
        <w:tc>
          <w:tcPr>
            <w:tcW w:w="792" w:type="dxa"/>
            <w:shd w:val="clear" w:color="auto" w:fill="auto"/>
            <w:vAlign w:val="center"/>
          </w:tcPr>
          <w:p>
            <w:pPr>
              <w:adjustRightInd w:val="0"/>
              <w:snapToGrid w:val="0"/>
              <w:jc w:val="center"/>
              <w:rPr>
                <w:rFonts w:hint="eastAsia" w:eastAsia="宋体"/>
                <w:sz w:val="21"/>
                <w:szCs w:val="21"/>
                <w:lang w:val="en-US" w:eastAsia="zh-CN"/>
              </w:rPr>
            </w:pPr>
            <w:r>
              <w:rPr>
                <w:rFonts w:hint="eastAsia" w:eastAsia="宋体"/>
                <w:sz w:val="21"/>
                <w:szCs w:val="21"/>
                <w:lang w:val="en-US" w:eastAsia="zh-CN"/>
              </w:rPr>
              <w:t>SE</w:t>
            </w:r>
          </w:p>
        </w:tc>
        <w:tc>
          <w:tcPr>
            <w:tcW w:w="1044"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2856</w:t>
            </w:r>
          </w:p>
        </w:tc>
        <w:tc>
          <w:tcPr>
            <w:tcW w:w="615" w:type="dxa"/>
            <w:vMerge w:val="continue"/>
            <w:shd w:val="clear" w:color="auto" w:fill="auto"/>
            <w:vAlign w:val="center"/>
          </w:tcPr>
          <w:p>
            <w:pPr>
              <w:adjustRightInd w:val="0"/>
              <w:snapToGrid w:val="0"/>
              <w:jc w:val="center"/>
              <w:rPr>
                <w:rFonts w:eastAsia="宋体"/>
                <w:sz w:val="21"/>
                <w:szCs w:val="21"/>
              </w:rPr>
            </w:pPr>
          </w:p>
        </w:tc>
        <w:tc>
          <w:tcPr>
            <w:tcW w:w="738" w:type="dxa"/>
            <w:shd w:val="clear" w:color="auto" w:fill="auto"/>
            <w:vAlign w:val="center"/>
          </w:tcPr>
          <w:p>
            <w:pPr>
              <w:adjustRightInd w:val="0"/>
              <w:snapToGrid w:val="0"/>
              <w:jc w:val="center"/>
              <w:rPr>
                <w:rFonts w:eastAsia="宋体"/>
                <w:bCs/>
                <w:caps/>
                <w:sz w:val="21"/>
                <w:szCs w:val="21"/>
              </w:rPr>
            </w:pPr>
            <w:r>
              <w:rPr>
                <w:rFonts w:eastAsia="宋体"/>
                <w:bCs/>
                <w:caps/>
                <w:sz w:val="21"/>
                <w:szCs w:val="21"/>
              </w:rPr>
              <w:t>人群</w:t>
            </w:r>
          </w:p>
        </w:tc>
        <w:tc>
          <w:tcPr>
            <w:tcW w:w="699" w:type="dxa"/>
            <w:shd w:val="clear" w:color="auto" w:fill="auto"/>
            <w:vAlign w:val="center"/>
          </w:tcPr>
          <w:p>
            <w:pPr>
              <w:adjustRightInd w:val="0"/>
              <w:snapToGrid w:val="0"/>
              <w:jc w:val="center"/>
              <w:rPr>
                <w:rFonts w:hint="default" w:eastAsia="宋体"/>
                <w:sz w:val="21"/>
                <w:szCs w:val="21"/>
                <w:lang w:val="en-US" w:eastAsia="zh-CN"/>
              </w:rPr>
            </w:pPr>
            <w:r>
              <w:rPr>
                <w:rFonts w:hint="eastAsia" w:eastAsia="宋体"/>
                <w:sz w:val="21"/>
                <w:szCs w:val="21"/>
                <w:lang w:val="en-US" w:eastAsia="zh-CN"/>
              </w:rPr>
              <w:t>3000</w:t>
            </w:r>
          </w:p>
        </w:tc>
        <w:tc>
          <w:tcPr>
            <w:tcW w:w="767" w:type="dxa"/>
            <w:vMerge w:val="continue"/>
            <w:shd w:val="clear" w:color="auto" w:fill="auto"/>
            <w:vAlign w:val="center"/>
          </w:tcPr>
          <w:p>
            <w:pPr>
              <w:adjustRightInd w:val="0"/>
              <w:snapToGrid w:val="0"/>
              <w:jc w:val="center"/>
              <w:rPr>
                <w:rFonts w:eastAsia="宋体"/>
                <w:sz w:val="21"/>
                <w:szCs w:val="21"/>
              </w:rPr>
            </w:pPr>
          </w:p>
        </w:tc>
      </w:tr>
    </w:tbl>
    <w:p>
      <w:pPr>
        <w:pStyle w:val="2"/>
        <w:ind w:left="480" w:firstLine="480"/>
        <w:rPr>
          <w:lang w:eastAsia="zh-CN"/>
        </w:rPr>
        <w:sectPr>
          <w:footerReference r:id="rId6" w:type="default"/>
          <w:pgSz w:w="11906" w:h="16838"/>
          <w:pgMar w:top="1418" w:right="1276" w:bottom="1418" w:left="1559" w:header="851" w:footer="992" w:gutter="0"/>
          <w:pgNumType w:start="1"/>
          <w:cols w:space="720" w:num="1"/>
          <w:docGrid w:linePitch="312" w:charSpace="0"/>
        </w:sectPr>
      </w:pPr>
    </w:p>
    <w:p>
      <w:pPr>
        <w:jc w:val="center"/>
        <w:rPr>
          <w:lang w:eastAsia="zh-CN"/>
        </w:rPr>
        <w:sectPr>
          <w:pgSz w:w="16838" w:h="11906" w:orient="landscape"/>
          <w:pgMar w:top="1559" w:right="1418" w:bottom="1276" w:left="1418" w:header="851" w:footer="992" w:gutter="0"/>
          <w:cols w:space="720" w:num="1"/>
          <w:docGrid w:linePitch="312" w:charSpace="0"/>
        </w:sectPr>
      </w:pPr>
      <w:r>
        <w:drawing>
          <wp:inline distT="0" distB="0" distL="114300" distR="114300">
            <wp:extent cx="7712075" cy="5760085"/>
            <wp:effectExtent l="0" t="0" r="3175" b="1206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1"/>
                    <a:stretch>
                      <a:fillRect/>
                    </a:stretch>
                  </pic:blipFill>
                  <pic:spPr>
                    <a:xfrm>
                      <a:off x="0" y="0"/>
                      <a:ext cx="7712075" cy="5760085"/>
                    </a:xfrm>
                    <a:prstGeom prst="rect">
                      <a:avLst/>
                    </a:prstGeom>
                    <a:noFill/>
                    <a:ln>
                      <a:noFill/>
                    </a:ln>
                  </pic:spPr>
                </pic:pic>
              </a:graphicData>
            </a:graphic>
          </wp:inline>
        </w:drawing>
      </w:r>
    </w:p>
    <w:p>
      <w:pPr>
        <w:keepNext/>
        <w:keepLines/>
        <w:widowControl/>
        <w:adjustRightInd w:val="0"/>
        <w:snapToGrid w:val="0"/>
        <w:spacing w:line="360" w:lineRule="auto"/>
        <w:outlineLvl w:val="2"/>
        <w:rPr>
          <w:rFonts w:eastAsiaTheme="minorEastAsia"/>
          <w:b/>
          <w:bCs/>
          <w:lang w:eastAsia="zh-CN"/>
        </w:rPr>
      </w:pPr>
      <w:r>
        <w:rPr>
          <w:rFonts w:hint="eastAsia" w:eastAsiaTheme="minorEastAsia"/>
          <w:b/>
          <w:bCs/>
          <w:lang w:eastAsia="zh-CN"/>
        </w:rPr>
        <w:t>4环境空气质量现状调查与评价</w:t>
      </w:r>
    </w:p>
    <w:p>
      <w:pPr>
        <w:keepNext/>
        <w:keepLines/>
        <w:widowControl/>
        <w:adjustRightInd w:val="0"/>
        <w:snapToGrid w:val="0"/>
        <w:spacing w:line="360" w:lineRule="auto"/>
        <w:outlineLvl w:val="2"/>
        <w:rPr>
          <w:rFonts w:eastAsiaTheme="minorEastAsia"/>
          <w:b/>
          <w:bCs/>
          <w:lang w:eastAsia="zh-CN"/>
        </w:rPr>
      </w:pPr>
      <w:r>
        <w:rPr>
          <w:rFonts w:hint="eastAsia" w:eastAsiaTheme="minorEastAsia"/>
          <w:b/>
          <w:bCs/>
          <w:lang w:eastAsia="zh-CN"/>
        </w:rPr>
        <w:t>4.1</w:t>
      </w:r>
      <w:r>
        <w:rPr>
          <w:rFonts w:eastAsiaTheme="minorEastAsia"/>
          <w:b/>
          <w:bCs/>
          <w:lang w:eastAsia="zh-CN"/>
        </w:rPr>
        <w:t>污染气象分析</w:t>
      </w:r>
    </w:p>
    <w:p>
      <w:pPr>
        <w:spacing w:before="156" w:beforeLines="50" w:line="360" w:lineRule="auto"/>
        <w:ind w:firstLine="420" w:firstLineChars="200"/>
        <w:jc w:val="both"/>
        <w:rPr>
          <w:rFonts w:hint="default" w:ascii="Times New Roman" w:hAnsi="Times New Roman" w:cs="Times New Roman"/>
          <w:color w:val="auto"/>
        </w:rPr>
      </w:pPr>
      <w:bookmarkStart w:id="28" w:name="_Ref515537884"/>
      <w:r>
        <w:rPr>
          <w:rFonts w:hint="default" w:ascii="Times New Roman" w:hAnsi="Times New Roman" w:cs="Times New Roman"/>
          <w:color w:val="auto"/>
        </w:rPr>
        <w:t>项目位于淄博市淄川区，淄川区属暖温带季风大陆性气候。冬季寒冷、雨雪稀少；春季回暖快，多风，雨水较少；夏季雨热同季、降水集中；秋季日照充足、多晴好天气。本次评价统计的基础气象资料为淄川气象局200</w:t>
      </w:r>
      <w:r>
        <w:rPr>
          <w:rFonts w:hint="eastAsia" w:ascii="Times New Roman" w:hAnsi="Times New Roman" w:cs="Times New Roman"/>
          <w:color w:val="auto"/>
          <w:lang w:val="en-US" w:eastAsia="zh-CN"/>
        </w:rPr>
        <w:t>2</w:t>
      </w:r>
      <w:r>
        <w:rPr>
          <w:rFonts w:hint="default" w:ascii="Times New Roman" w:hAnsi="Times New Roman" w:cs="Times New Roman"/>
          <w:color w:val="auto"/>
        </w:rPr>
        <w:t>～20</w:t>
      </w:r>
      <w:r>
        <w:rPr>
          <w:rFonts w:hint="eastAsia" w:ascii="Times New Roman" w:hAnsi="Times New Roman" w:cs="Times New Roman"/>
          <w:color w:val="auto"/>
          <w:lang w:val="en-US" w:eastAsia="zh-CN"/>
        </w:rPr>
        <w:t>21</w:t>
      </w:r>
      <w:r>
        <w:rPr>
          <w:rFonts w:hint="default" w:ascii="Times New Roman" w:hAnsi="Times New Roman" w:cs="Times New Roman"/>
          <w:color w:val="auto"/>
        </w:rPr>
        <w:t>年近20年的气象资料，淄川国家气象观测站二级站位于淄川区淄城城南（经度117°57′，纬度36°38′）。据调查，该气象站周围地理环境与气候条件与本项目周围基本一致，且气象站距离本项目较近，该气象站气象资料具有较好的适用性。淄川区近20年（2002～2021年）年最大风速为27.3m/s，极端最高气温和极端最低气温分别为41.0℃（2005年）和-18.5℃（2016年），年最大降水量和最少降水量分别为992.2mm和380mm，年平均降水量为703.695mm，年平均相对湿度为59.9%，年日照时数为2187.505h；该地区各项气象要素统计见表6-4。淄川近20年各风向频率见表6-5，淄川近20年的风向频率玫瑰图见图6.1-1。</w:t>
      </w:r>
    </w:p>
    <w:p>
      <w:pPr>
        <w:spacing w:line="360" w:lineRule="auto"/>
        <w:ind w:right="420"/>
        <w:jc w:val="center"/>
        <w:rPr>
          <w:rFonts w:hint="default" w:ascii="Times New Roman" w:hAnsi="Times New Roman" w:cs="Times New Roman"/>
          <w:b/>
          <w:bCs/>
          <w:color w:val="auto"/>
        </w:rPr>
      </w:pPr>
      <w:r>
        <w:rPr>
          <w:rFonts w:hint="default" w:ascii="Times New Roman" w:hAnsi="Times New Roman" w:cs="Times New Roman"/>
          <w:b/>
          <w:bCs/>
          <w:color w:val="auto"/>
        </w:rPr>
        <w:t>表5-4   淄川气象站近20年（2002～2021年）主要气候要素统计</w:t>
      </w:r>
    </w:p>
    <w:tbl>
      <w:tblPr>
        <w:tblStyle w:val="85"/>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672"/>
        <w:gridCol w:w="573"/>
        <w:gridCol w:w="672"/>
        <w:gridCol w:w="672"/>
        <w:gridCol w:w="672"/>
        <w:gridCol w:w="664"/>
        <w:gridCol w:w="581"/>
        <w:gridCol w:w="672"/>
        <w:gridCol w:w="672"/>
        <w:gridCol w:w="672"/>
        <w:gridCol w:w="672"/>
        <w:gridCol w:w="672"/>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月份</w:t>
            </w:r>
          </w:p>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1月</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5月</w:t>
            </w:r>
          </w:p>
        </w:tc>
        <w:tc>
          <w:tcPr>
            <w:tcW w:w="350"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6月</w:t>
            </w:r>
          </w:p>
        </w:tc>
        <w:tc>
          <w:tcPr>
            <w:tcW w:w="30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12月</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平均风速（m/s）</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w:t>
            </w:r>
          </w:p>
        </w:tc>
        <w:tc>
          <w:tcPr>
            <w:tcW w:w="350"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w:t>
            </w:r>
          </w:p>
        </w:tc>
        <w:tc>
          <w:tcPr>
            <w:tcW w:w="30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平均气温（℃）</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9.3</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w:t>
            </w:r>
          </w:p>
        </w:tc>
        <w:tc>
          <w:tcPr>
            <w:tcW w:w="350"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26.2</w:t>
            </w:r>
          </w:p>
        </w:tc>
        <w:tc>
          <w:tcPr>
            <w:tcW w:w="30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27.6</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26.1</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15.3</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0.9</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平均相对湿度（%）</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56.9</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45.9</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51.7</w:t>
            </w:r>
          </w:p>
        </w:tc>
        <w:tc>
          <w:tcPr>
            <w:tcW w:w="350"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56.7</w:t>
            </w:r>
          </w:p>
        </w:tc>
        <w:tc>
          <w:tcPr>
            <w:tcW w:w="30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72.1</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76.5</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71</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64.4</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62.5</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降水量（mm）</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6.6</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15.1</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34.4</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64.8</w:t>
            </w:r>
          </w:p>
        </w:tc>
        <w:tc>
          <w:tcPr>
            <w:tcW w:w="350"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83.3</w:t>
            </w:r>
          </w:p>
        </w:tc>
        <w:tc>
          <w:tcPr>
            <w:tcW w:w="30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165.5</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193.1</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75.6</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29.6</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32.2</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10.3</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日照时数（h）</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146.4</w:t>
            </w:r>
          </w:p>
        </w:tc>
        <w:tc>
          <w:tcPr>
            <w:tcW w:w="3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202.7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223.9</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253.7</w:t>
            </w:r>
          </w:p>
        </w:tc>
        <w:tc>
          <w:tcPr>
            <w:tcW w:w="350"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217</w:t>
            </w:r>
          </w:p>
        </w:tc>
        <w:tc>
          <w:tcPr>
            <w:tcW w:w="30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183.7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174.2</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170.8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177.8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150.7</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146.8</w:t>
            </w:r>
          </w:p>
        </w:tc>
        <w:tc>
          <w:tcPr>
            <w:tcW w:w="354"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240" w:lineRule="atLeas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183.0</w:t>
            </w:r>
          </w:p>
        </w:tc>
      </w:tr>
    </w:tbl>
    <w:p>
      <w:pPr>
        <w:spacing w:line="360" w:lineRule="auto"/>
        <w:ind w:right="420"/>
        <w:jc w:val="center"/>
        <w:rPr>
          <w:rFonts w:hint="default" w:ascii="Times New Roman" w:hAnsi="Times New Roman" w:cs="Times New Roman"/>
          <w:b/>
          <w:bCs/>
          <w:color w:val="auto"/>
        </w:rPr>
      </w:pPr>
      <w:r>
        <w:rPr>
          <w:rFonts w:hint="default" w:ascii="Times New Roman" w:hAnsi="Times New Roman" w:cs="Times New Roman"/>
          <w:b/>
          <w:bCs/>
          <w:color w:val="auto"/>
        </w:rPr>
        <w:t>表5-5  淄川气象站近20年（2002～2021年）各风向频率</w:t>
      </w:r>
    </w:p>
    <w:tbl>
      <w:tblPr>
        <w:tblStyle w:val="85"/>
        <w:tblW w:w="50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441"/>
        <w:gridCol w:w="586"/>
        <w:gridCol w:w="456"/>
        <w:gridCol w:w="566"/>
        <w:gridCol w:w="531"/>
        <w:gridCol w:w="537"/>
        <w:gridCol w:w="427"/>
        <w:gridCol w:w="527"/>
        <w:gridCol w:w="621"/>
        <w:gridCol w:w="621"/>
        <w:gridCol w:w="525"/>
        <w:gridCol w:w="656"/>
        <w:gridCol w:w="531"/>
        <w:gridCol w:w="686"/>
        <w:gridCol w:w="531"/>
        <w:gridCol w:w="646"/>
        <w:gridCol w:w="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t>
            </w:r>
          </w:p>
        </w:tc>
        <w:tc>
          <w:tcPr>
            <w:tcW w:w="28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NNE</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NE</w:t>
            </w:r>
          </w:p>
        </w:tc>
        <w:tc>
          <w:tcPr>
            <w:tcW w:w="273"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ENE</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p>
        </w:tc>
        <w:tc>
          <w:tcPr>
            <w:tcW w:w="25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ESE</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SE</w:t>
            </w:r>
          </w:p>
        </w:tc>
        <w:tc>
          <w:tcPr>
            <w:tcW w:w="29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SSE</w:t>
            </w:r>
          </w:p>
        </w:tc>
        <w:tc>
          <w:tcPr>
            <w:tcW w:w="29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w:t>
            </w:r>
          </w:p>
        </w:tc>
        <w:tc>
          <w:tcPr>
            <w:tcW w:w="28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SSW</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SW</w:t>
            </w:r>
          </w:p>
        </w:tc>
        <w:tc>
          <w:tcPr>
            <w:tcW w:w="314"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WSW</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w:t>
            </w:r>
          </w:p>
        </w:tc>
        <w:tc>
          <w:tcPr>
            <w:tcW w:w="32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WNW</w:t>
            </w:r>
          </w:p>
        </w:tc>
        <w:tc>
          <w:tcPr>
            <w:tcW w:w="256"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w:t>
            </w:r>
          </w:p>
        </w:tc>
        <w:tc>
          <w:tcPr>
            <w:tcW w:w="309"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NNW</w:t>
            </w:r>
          </w:p>
        </w:tc>
        <w:tc>
          <w:tcPr>
            <w:tcW w:w="29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平均</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w:t>
            </w:r>
          </w:p>
        </w:tc>
        <w:tc>
          <w:tcPr>
            <w:tcW w:w="58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4.45</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5.3</w:t>
            </w:r>
          </w:p>
        </w:tc>
        <w:tc>
          <w:tcPr>
            <w:tcW w:w="56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2.25</w:t>
            </w:r>
          </w:p>
        </w:tc>
        <w:tc>
          <w:tcPr>
            <w:tcW w:w="53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1.85</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2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4.4</w:t>
            </w:r>
          </w:p>
        </w:tc>
        <w:tc>
          <w:tcPr>
            <w:tcW w:w="62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10.95</w:t>
            </w:r>
          </w:p>
        </w:tc>
        <w:tc>
          <w:tcPr>
            <w:tcW w:w="587"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15.45</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w:t>
            </w:r>
          </w:p>
        </w:tc>
        <w:tc>
          <w:tcPr>
            <w:tcW w:w="65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4.9</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2.95</w:t>
            </w:r>
          </w:p>
        </w:tc>
        <w:tc>
          <w:tcPr>
            <w:tcW w:w="68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3.75</w:t>
            </w:r>
          </w:p>
        </w:tc>
        <w:tc>
          <w:tcPr>
            <w:tcW w:w="53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4.15</w:t>
            </w:r>
          </w:p>
        </w:tc>
        <w:tc>
          <w:tcPr>
            <w:tcW w:w="64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5.85</w:t>
            </w:r>
          </w:p>
        </w:tc>
        <w:tc>
          <w:tcPr>
            <w:tcW w:w="62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r>
    </w:tbl>
    <w:p>
      <w:pPr>
        <w:pStyle w:val="46"/>
        <w:jc w:val="center"/>
        <w:rPr>
          <w:rFonts w:hint="default" w:ascii="Times New Roman" w:hAnsi="Times New Roman" w:eastAsia="宋体" w:cs="Times New Roman"/>
          <w:color w:val="auto"/>
        </w:rPr>
      </w:pPr>
      <w:r>
        <w:rPr>
          <w:rFonts w:hint="default" w:ascii="Times New Roman" w:hAnsi="Times New Roman" w:cs="Times New Roman"/>
          <w:color w:val="auto"/>
        </w:rPr>
        <w:drawing>
          <wp:inline distT="0" distB="0" distL="114300" distR="114300">
            <wp:extent cx="2529840" cy="2406015"/>
            <wp:effectExtent l="0" t="0" r="381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2"/>
                    <a:stretch>
                      <a:fillRect/>
                    </a:stretch>
                  </pic:blipFill>
                  <pic:spPr>
                    <a:xfrm>
                      <a:off x="0" y="0"/>
                      <a:ext cx="2529840" cy="2406015"/>
                    </a:xfrm>
                    <a:prstGeom prst="rect">
                      <a:avLst/>
                    </a:prstGeom>
                    <a:noFill/>
                    <a:ln>
                      <a:noFill/>
                    </a:ln>
                  </pic:spPr>
                </pic:pic>
              </a:graphicData>
            </a:graphic>
          </wp:inline>
        </w:drawing>
      </w:r>
    </w:p>
    <w:p>
      <w:pPr>
        <w:pStyle w:val="46"/>
        <w:jc w:val="center"/>
        <w:rPr>
          <w:rFonts w:eastAsiaTheme="minorEastAsia"/>
          <w:b/>
          <w:bCs/>
          <w:lang w:eastAsia="zh-CN"/>
        </w:rPr>
      </w:pPr>
      <w:r>
        <w:rPr>
          <w:rFonts w:hint="default" w:ascii="Times New Roman" w:hAnsi="Times New Roman" w:eastAsia="宋体" w:cs="Times New Roman"/>
          <w:b/>
          <w:bCs/>
          <w:color w:val="auto"/>
          <w:szCs w:val="21"/>
        </w:rPr>
        <w:t>图</w:t>
      </w:r>
      <w:r>
        <w:rPr>
          <w:rFonts w:hint="eastAsia" w:ascii="Times New Roman" w:hAnsi="Times New Roman" w:eastAsia="宋体" w:cs="Times New Roman"/>
          <w:b/>
          <w:bCs/>
          <w:color w:val="auto"/>
          <w:szCs w:val="21"/>
          <w:lang w:val="en-US" w:eastAsia="zh-CN"/>
        </w:rPr>
        <w:t xml:space="preserve">4.1-1 </w:t>
      </w:r>
      <w:r>
        <w:rPr>
          <w:rFonts w:hint="default" w:ascii="Times New Roman" w:hAnsi="Times New Roman" w:eastAsia="宋体" w:cs="Times New Roman"/>
          <w:b/>
          <w:bCs/>
          <w:color w:val="auto"/>
          <w:szCs w:val="21"/>
        </w:rPr>
        <w:t>淄川区近20年（2002～2021年）风向频率玫瑰图</w:t>
      </w:r>
      <w:bookmarkEnd w:id="28"/>
    </w:p>
    <w:p>
      <w:pPr>
        <w:keepNext/>
        <w:keepLines/>
        <w:adjustRightInd w:val="0"/>
        <w:snapToGrid w:val="0"/>
        <w:spacing w:line="360" w:lineRule="auto"/>
        <w:outlineLvl w:val="3"/>
        <w:rPr>
          <w:rFonts w:eastAsiaTheme="minorEastAsia"/>
          <w:b/>
          <w:bCs/>
          <w:lang w:eastAsia="zh-CN"/>
        </w:rPr>
      </w:pPr>
      <w:r>
        <w:rPr>
          <w:rFonts w:hint="eastAsia" w:eastAsiaTheme="minorEastAsia"/>
          <w:b/>
          <w:bCs/>
          <w:lang w:eastAsia="zh-CN"/>
        </w:rPr>
        <w:t>4.2</w:t>
      </w:r>
      <w:r>
        <w:rPr>
          <w:rFonts w:eastAsiaTheme="minorEastAsia"/>
          <w:b/>
          <w:bCs/>
          <w:lang w:eastAsia="zh-CN"/>
        </w:rPr>
        <w:t xml:space="preserve"> 空气质量达标区判定</w:t>
      </w:r>
    </w:p>
    <w:p>
      <w:pPr>
        <w:adjustRightInd w:val="0"/>
        <w:snapToGrid w:val="0"/>
        <w:spacing w:line="360" w:lineRule="auto"/>
        <w:ind w:firstLine="420" w:firstLineChars="200"/>
        <w:jc w:val="both"/>
        <w:rPr>
          <w:rFonts w:eastAsiaTheme="minorEastAsia"/>
          <w:bCs/>
          <w:szCs w:val="22"/>
          <w:lang w:eastAsia="zh-CN"/>
        </w:rPr>
      </w:pPr>
      <w:r>
        <w:rPr>
          <w:rFonts w:hint="eastAsia" w:eastAsiaTheme="minorEastAsia"/>
          <w:bCs/>
          <w:szCs w:val="22"/>
          <w:lang w:eastAsia="zh-CN"/>
        </w:rPr>
        <w:t>根据《环境影响评价技术导则 大气环境》（HJ2.2-2018）相关规定，本次评价优先采用国家或地方生态环境主管部门公开发布的城市环境空气质量达标情况，判断项目所在区域是否属于达标区。</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hd w:val="clear" w:color="auto" w:fill="FCFCFC"/>
        </w:rPr>
        <w:t>根据“生态淄博建设工作简报”，</w:t>
      </w:r>
      <w:r>
        <w:rPr>
          <w:rFonts w:hint="default" w:ascii="Times New Roman" w:hAnsi="Times New Roman" w:eastAsia="宋体" w:cs="Times New Roman"/>
          <w:sz w:val="24"/>
          <w:szCs w:val="24"/>
        </w:rPr>
        <w:t>202</w:t>
      </w:r>
      <w:r>
        <w:rPr>
          <w:rFonts w:hint="eastAsia" w:eastAsia="宋体" w:cs="Times New Roman"/>
          <w:sz w:val="24"/>
          <w:szCs w:val="24"/>
          <w:lang w:val="en-US" w:eastAsia="zh-CN"/>
        </w:rPr>
        <w:t>1</w:t>
      </w:r>
      <w:r>
        <w:rPr>
          <w:rFonts w:hint="default" w:ascii="Times New Roman" w:hAnsi="Times New Roman" w:eastAsia="宋体" w:cs="Times New Roman"/>
          <w:sz w:val="24"/>
          <w:szCs w:val="24"/>
        </w:rPr>
        <w:t>年度，</w:t>
      </w:r>
      <w:r>
        <w:rPr>
          <w:rFonts w:hint="default" w:ascii="Times New Roman" w:hAnsi="Times New Roman" w:eastAsia="宋体" w:cs="Times New Roman"/>
          <w:sz w:val="24"/>
          <w:szCs w:val="24"/>
          <w:lang w:eastAsia="zh-CN"/>
        </w:rPr>
        <w:t>淄博</w:t>
      </w:r>
      <w:r>
        <w:rPr>
          <w:rFonts w:hint="default" w:ascii="Times New Roman" w:hAnsi="Times New Roman" w:eastAsia="宋体" w:cs="Times New Roman"/>
          <w:sz w:val="24"/>
          <w:szCs w:val="24"/>
        </w:rPr>
        <w:t>市良好天数218天（国控），同比增加38天。重污染天数12天，同比减少6天。6项主要污染物浓度及同比改善分别为：二氧化硫（SO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）17微克/立方米，同比改善15.0%；二氧化氮（NO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）38微克/立方米，同比改善9.5%；可吸入颗粒物（PM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）90微克/立方米，同比改善13.5%；细颗粒物（PM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）52微克/立方米，同比改善7.1%；一氧化碳（CO）1.8毫克/立方米，同比改善5.3%；臭氧（O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）188微克/立方米，同比改善7.8%。全市综合指数为5.64，同比改善9.5%。</w:t>
      </w:r>
    </w:p>
    <w:p>
      <w:pPr>
        <w:keepNext/>
        <w:keepLines/>
        <w:adjustRightInd w:val="0"/>
        <w:snapToGrid w:val="0"/>
        <w:spacing w:line="360" w:lineRule="auto"/>
        <w:outlineLvl w:val="3"/>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《环境空气质量评价技术规范（试行）》（HJ663-2013）规定：“污染物年评价达标是指该污染物年平均浓度（CO和O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除外）和特定的百分位数浓度同时达标”。淄博市2020年的PM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的年均浓度不能满足《环境空气质量标准》（GB3095-2012）二级标准要求，年评价不达标，项目所在区域处于不达标区。</w:t>
      </w:r>
    </w:p>
    <w:p>
      <w:pPr>
        <w:keepNext/>
        <w:keepLines/>
        <w:adjustRightInd w:val="0"/>
        <w:snapToGrid w:val="0"/>
        <w:spacing w:line="360" w:lineRule="auto"/>
        <w:outlineLvl w:val="3"/>
        <w:rPr>
          <w:rFonts w:eastAsiaTheme="minorEastAsia"/>
          <w:b/>
          <w:bCs/>
          <w:sz w:val="28"/>
          <w:szCs w:val="28"/>
          <w:lang w:eastAsia="zh-CN"/>
        </w:rPr>
      </w:pPr>
      <w:r>
        <w:rPr>
          <w:rFonts w:hint="eastAsia" w:eastAsiaTheme="minorEastAsia"/>
          <w:b/>
          <w:bCs/>
          <w:sz w:val="28"/>
          <w:szCs w:val="28"/>
          <w:lang w:eastAsia="zh-CN"/>
        </w:rPr>
        <w:t>4.3</w:t>
      </w:r>
      <w:r>
        <w:rPr>
          <w:rFonts w:eastAsiaTheme="minorEastAsia"/>
          <w:b/>
          <w:bCs/>
          <w:sz w:val="28"/>
          <w:szCs w:val="28"/>
          <w:lang w:eastAsia="zh-CN"/>
        </w:rPr>
        <w:t xml:space="preserve"> 基本污染物环境质量现状调查与评价</w:t>
      </w:r>
    </w:p>
    <w:p>
      <w:pPr>
        <w:adjustRightInd w:val="0"/>
        <w:snapToGrid w:val="0"/>
        <w:spacing w:line="360" w:lineRule="auto"/>
        <w:ind w:firstLine="420" w:firstLineChars="200"/>
        <w:rPr>
          <w:rFonts w:eastAsiaTheme="minorEastAsia"/>
          <w:lang w:eastAsia="zh-CN"/>
        </w:rPr>
      </w:pPr>
      <w:r>
        <w:rPr>
          <w:rFonts w:eastAsiaTheme="minorEastAsia"/>
          <w:lang w:eastAsia="zh-CN"/>
        </w:rPr>
        <w:t>本次评价收集了淄川区气象站环境空气例行监测点评价基准年20</w:t>
      </w:r>
      <w:r>
        <w:rPr>
          <w:rFonts w:hint="eastAsia" w:eastAsiaTheme="minorEastAsia"/>
          <w:lang w:val="en-US" w:eastAsia="zh-CN"/>
        </w:rPr>
        <w:t>21</w:t>
      </w:r>
      <w:r>
        <w:rPr>
          <w:rFonts w:eastAsiaTheme="minorEastAsia"/>
          <w:lang w:eastAsia="zh-CN"/>
        </w:rPr>
        <w:t>年连续1年的监测数据，数据统计及评价情况见表</w:t>
      </w:r>
      <w:r>
        <w:rPr>
          <w:rFonts w:hint="eastAsia" w:eastAsiaTheme="minorEastAsia"/>
          <w:lang w:val="en-US" w:eastAsia="zh-CN"/>
        </w:rPr>
        <w:t>4.3</w:t>
      </w:r>
      <w:r>
        <w:rPr>
          <w:rFonts w:eastAsiaTheme="minorEastAsia"/>
          <w:lang w:eastAsia="zh-CN"/>
        </w:rPr>
        <w:t>-1。</w:t>
      </w:r>
    </w:p>
    <w:p>
      <w:pPr>
        <w:pStyle w:val="2"/>
        <w:adjustRightInd w:val="0"/>
        <w:snapToGrid w:val="0"/>
        <w:spacing w:after="0" w:line="360" w:lineRule="auto"/>
        <w:ind w:left="0" w:leftChars="0" w:firstLine="0" w:firstLineChars="0"/>
        <w:jc w:val="center"/>
        <w:rPr>
          <w:rFonts w:eastAsiaTheme="minorEastAsia"/>
          <w:b/>
          <w:bCs/>
          <w:lang w:eastAsia="zh-CN"/>
        </w:rPr>
      </w:pPr>
      <w:r>
        <w:rPr>
          <w:rFonts w:eastAsiaTheme="minorEastAsia"/>
          <w:b/>
          <w:bCs/>
          <w:lang w:eastAsia="zh-CN"/>
        </w:rPr>
        <w:t>表</w:t>
      </w:r>
      <w:r>
        <w:rPr>
          <w:rFonts w:hint="eastAsia" w:eastAsiaTheme="minorEastAsia"/>
          <w:b/>
          <w:bCs/>
          <w:lang w:val="en-US" w:eastAsia="zh-CN"/>
        </w:rPr>
        <w:t>4.3</w:t>
      </w:r>
      <w:r>
        <w:rPr>
          <w:rFonts w:eastAsiaTheme="minorEastAsia"/>
          <w:b/>
          <w:bCs/>
          <w:lang w:eastAsia="zh-CN"/>
        </w:rPr>
        <w:t>-1淄川区气象站例行监测点基本污染物环境空气质量状况</w:t>
      </w:r>
    </w:p>
    <w:tbl>
      <w:tblPr>
        <w:tblStyle w:val="8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785"/>
        <w:gridCol w:w="786"/>
        <w:gridCol w:w="3194"/>
        <w:gridCol w:w="873"/>
        <w:gridCol w:w="873"/>
        <w:gridCol w:w="873"/>
        <w:gridCol w:w="871"/>
        <w:gridCol w:w="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424" w:hRule="atLeast"/>
        </w:trPr>
        <w:tc>
          <w:tcPr>
            <w:tcW w:w="904"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污染物</w:t>
            </w:r>
          </w:p>
        </w:tc>
        <w:tc>
          <w:tcPr>
            <w:tcW w:w="905"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单位</w:t>
            </w:r>
          </w:p>
        </w:tc>
        <w:tc>
          <w:tcPr>
            <w:tcW w:w="3702"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年评价指标</w:t>
            </w:r>
          </w:p>
        </w:tc>
        <w:tc>
          <w:tcPr>
            <w:tcW w:w="1007"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现状浓度</w:t>
            </w:r>
          </w:p>
        </w:tc>
        <w:tc>
          <w:tcPr>
            <w:tcW w:w="1007"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评价标准</w:t>
            </w:r>
          </w:p>
        </w:tc>
        <w:tc>
          <w:tcPr>
            <w:tcW w:w="1007" w:type="dxa"/>
            <w:shd w:val="clear" w:color="000000" w:fill="FFFFFF"/>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占标率</w:t>
            </w:r>
          </w:p>
        </w:tc>
        <w:tc>
          <w:tcPr>
            <w:tcW w:w="1005"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情况</w:t>
            </w:r>
          </w:p>
        </w:tc>
        <w:tc>
          <w:tcPr>
            <w:tcW w:w="1005" w:type="dxa"/>
            <w:shd w:val="clear" w:color="000000" w:fill="FFFFFF"/>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达标区判定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SO</w:t>
            </w:r>
            <w:r>
              <w:rPr>
                <w:rFonts w:hint="default" w:ascii="Times New Roman" w:hAnsi="Times New Roman" w:eastAsia="宋体" w:cs="Times New Roman"/>
                <w:kern w:val="0"/>
                <w:sz w:val="21"/>
                <w:szCs w:val="21"/>
                <w:vertAlign w:val="subscript"/>
              </w:rPr>
              <w:t>2</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6</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60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26.67</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color w:val="auto"/>
                <w:sz w:val="21"/>
                <w:szCs w:val="21"/>
                <w:highlight w:val="none"/>
                <w:lang w:eastAsia="zh-CN"/>
              </w:rPr>
              <w:t>不达标区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98%保证率日平均浓度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（共36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个有效数据，第35</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39</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150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26.00</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NO</w:t>
            </w:r>
            <w:r>
              <w:rPr>
                <w:rFonts w:hint="default" w:ascii="Times New Roman" w:hAnsi="Times New Roman" w:eastAsia="宋体" w:cs="Times New Roman"/>
                <w:kern w:val="0"/>
                <w:sz w:val="21"/>
                <w:szCs w:val="21"/>
                <w:vertAlign w:val="subscript"/>
              </w:rPr>
              <w:t>2</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lang w:val="en-US" w:eastAsia="zh-CN"/>
              </w:rPr>
              <w:t>3</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40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8</w:t>
            </w:r>
            <w:r>
              <w:rPr>
                <w:rFonts w:hint="default" w:ascii="Times New Roman" w:hAnsi="Times New Roman" w:eastAsia="宋体" w:cs="Times New Roman"/>
                <w:sz w:val="21"/>
                <w:szCs w:val="21"/>
                <w:lang w:val="en-US" w:eastAsia="zh-CN"/>
              </w:rPr>
              <w:t>2.50</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sz w:val="21"/>
                <w:szCs w:val="21"/>
              </w:rPr>
              <w:t>达标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98%保证率日平均浓度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（共</w:t>
            </w:r>
            <w:r>
              <w:rPr>
                <w:rFonts w:hint="default" w:ascii="Times New Roman" w:hAnsi="Times New Roman" w:eastAsia="宋体" w:cs="Times New Roman"/>
                <w:spacing w:val="-53"/>
                <w:sz w:val="21"/>
                <w:szCs w:val="21"/>
                <w:lang w:eastAsia="zh-CN"/>
              </w:rPr>
              <w:t xml:space="preserve"> </w:t>
            </w:r>
            <w:r>
              <w:rPr>
                <w:rFonts w:hint="default" w:ascii="Times New Roman" w:hAnsi="Times New Roman" w:eastAsia="宋体" w:cs="Times New Roman"/>
                <w:sz w:val="21"/>
                <w:szCs w:val="21"/>
                <w:lang w:eastAsia="zh-CN"/>
              </w:rPr>
              <w:t>36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个有效数据，第</w:t>
            </w:r>
            <w:r>
              <w:rPr>
                <w:rFonts w:hint="default" w:ascii="Times New Roman" w:hAnsi="Times New Roman" w:eastAsia="宋体" w:cs="Times New Roman"/>
                <w:spacing w:val="-55"/>
                <w:sz w:val="21"/>
                <w:szCs w:val="21"/>
                <w:lang w:eastAsia="zh-CN"/>
              </w:rPr>
              <w:t xml:space="preserve"> </w:t>
            </w:r>
            <w:r>
              <w:rPr>
                <w:rFonts w:hint="default" w:ascii="Times New Roman" w:hAnsi="Times New Roman" w:eastAsia="宋体" w:cs="Times New Roman"/>
                <w:sz w:val="21"/>
                <w:szCs w:val="21"/>
                <w:lang w:eastAsia="zh-CN"/>
              </w:rPr>
              <w:t>35</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73</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80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91.25</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PM</w:t>
            </w:r>
            <w:r>
              <w:rPr>
                <w:rFonts w:hint="default" w:ascii="Times New Roman" w:hAnsi="Times New Roman" w:eastAsia="宋体" w:cs="Times New Roman"/>
                <w:kern w:val="0"/>
                <w:sz w:val="21"/>
                <w:szCs w:val="21"/>
                <w:vertAlign w:val="subscript"/>
              </w:rPr>
              <w:t>10</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85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70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21.43</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bCs/>
                <w:sz w:val="21"/>
                <w:szCs w:val="21"/>
              </w:rPr>
              <w:t>超标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95%保证率日平均浓度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（共</w:t>
            </w:r>
            <w:r>
              <w:rPr>
                <w:rFonts w:hint="default" w:ascii="Times New Roman" w:hAnsi="Times New Roman" w:eastAsia="宋体" w:cs="Times New Roman"/>
                <w:spacing w:val="-53"/>
                <w:sz w:val="21"/>
                <w:szCs w:val="21"/>
                <w:lang w:eastAsia="zh-CN"/>
              </w:rPr>
              <w:t xml:space="preserve"> </w:t>
            </w:r>
            <w:r>
              <w:rPr>
                <w:rFonts w:hint="default" w:ascii="Times New Roman" w:hAnsi="Times New Roman" w:eastAsia="宋体" w:cs="Times New Roman"/>
                <w:sz w:val="21"/>
                <w:szCs w:val="21"/>
                <w:lang w:eastAsia="zh-CN"/>
              </w:rPr>
              <w:t>36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个有效数据，第</w:t>
            </w:r>
            <w:r>
              <w:rPr>
                <w:rFonts w:hint="default" w:ascii="Times New Roman" w:hAnsi="Times New Roman" w:eastAsia="宋体" w:cs="Times New Roman"/>
                <w:spacing w:val="-55"/>
                <w:sz w:val="21"/>
                <w:szCs w:val="21"/>
                <w:lang w:eastAsia="zh-CN"/>
              </w:rPr>
              <w:t xml:space="preserve"> </w:t>
            </w: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lang w:val="en-US" w:eastAsia="zh-CN"/>
              </w:rPr>
              <w:t>47</w:t>
            </w:r>
            <w:r>
              <w:rPr>
                <w:rFonts w:hint="default" w:ascii="Times New Roman" w:hAnsi="Times New Roman" w:eastAsia="宋体" w:cs="Times New Roman"/>
                <w:sz w:val="21"/>
                <w:szCs w:val="21"/>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2</w:t>
            </w:r>
            <w:r>
              <w:rPr>
                <w:rFonts w:hint="default" w:ascii="Times New Roman" w:hAnsi="Times New Roman" w:eastAsia="宋体" w:cs="Times New Roman"/>
                <w:sz w:val="21"/>
                <w:szCs w:val="21"/>
                <w:lang w:val="en-US" w:eastAsia="zh-CN"/>
              </w:rPr>
              <w:t>17</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150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44.67</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PM</w:t>
            </w:r>
            <w:r>
              <w:rPr>
                <w:rFonts w:hint="default" w:ascii="Times New Roman" w:hAnsi="Times New Roman" w:eastAsia="宋体" w:cs="Times New Roman"/>
                <w:kern w:val="0"/>
                <w:sz w:val="21"/>
                <w:szCs w:val="21"/>
                <w:vertAlign w:val="subscript"/>
              </w:rPr>
              <w:t>2.5</w:t>
            </w:r>
          </w:p>
        </w:tc>
        <w:tc>
          <w:tcPr>
            <w:tcW w:w="905" w:type="dxa"/>
            <w:vMerge w:val="restart"/>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46</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35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31.43</w:t>
            </w:r>
          </w:p>
        </w:tc>
        <w:tc>
          <w:tcPr>
            <w:tcW w:w="1005" w:type="dxa"/>
            <w:vMerge w:val="restart"/>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bCs/>
                <w:sz w:val="21"/>
                <w:szCs w:val="21"/>
              </w:rPr>
              <w:t>超标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9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95%保证率日平均浓度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（共</w:t>
            </w:r>
            <w:r>
              <w:rPr>
                <w:rFonts w:hint="default" w:ascii="Times New Roman" w:hAnsi="Times New Roman" w:eastAsia="宋体" w:cs="Times New Roman"/>
                <w:spacing w:val="-53"/>
                <w:sz w:val="21"/>
                <w:szCs w:val="21"/>
                <w:lang w:eastAsia="zh-CN"/>
              </w:rPr>
              <w:t xml:space="preserve"> </w:t>
            </w: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lang w:val="en-US" w:eastAsia="zh-CN"/>
              </w:rPr>
              <w:t>64</w:t>
            </w:r>
            <w:r>
              <w:rPr>
                <w:rFonts w:hint="default" w:ascii="Times New Roman" w:hAnsi="Times New Roman" w:eastAsia="宋体" w:cs="Times New Roman"/>
                <w:sz w:val="21"/>
                <w:szCs w:val="21"/>
                <w:lang w:eastAsia="zh-CN"/>
              </w:rPr>
              <w:t>个有效数据，第</w:t>
            </w:r>
            <w:r>
              <w:rPr>
                <w:rFonts w:hint="default" w:ascii="Times New Roman" w:hAnsi="Times New Roman" w:eastAsia="宋体" w:cs="Times New Roman"/>
                <w:spacing w:val="-55"/>
                <w:sz w:val="21"/>
                <w:szCs w:val="21"/>
                <w:lang w:eastAsia="zh-CN"/>
              </w:rPr>
              <w:t xml:space="preserve"> </w:t>
            </w: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lang w:val="en-US" w:eastAsia="zh-CN"/>
              </w:rPr>
              <w:t>46</w:t>
            </w:r>
            <w:r>
              <w:rPr>
                <w:rFonts w:hint="default" w:ascii="Times New Roman" w:hAnsi="Times New Roman" w:eastAsia="宋体" w:cs="Times New Roman"/>
                <w:sz w:val="21"/>
                <w:szCs w:val="21"/>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11</w:t>
            </w:r>
            <w:r>
              <w:rPr>
                <w:rFonts w:hint="default" w:ascii="Times New Roman" w:hAnsi="Times New Roman" w:eastAsia="宋体" w:cs="Times New Roman"/>
                <w:sz w:val="21"/>
                <w:szCs w:val="21"/>
                <w:lang w:val="en-US" w:eastAsia="zh-CN"/>
              </w:rPr>
              <w:t>6</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75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54.67</w:t>
            </w: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c>
          <w:tcPr>
            <w:tcW w:w="1005" w:type="dxa"/>
            <w:vMerge w:val="continue"/>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CO</w:t>
            </w:r>
          </w:p>
        </w:tc>
        <w:tc>
          <w:tcPr>
            <w:tcW w:w="90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mg/m</w:t>
            </w:r>
            <w:r>
              <w:rPr>
                <w:rFonts w:hint="default" w:ascii="Times New Roman" w:hAnsi="Times New Roman" w:eastAsia="宋体" w:cs="Times New Roman"/>
                <w:kern w:val="0"/>
                <w:sz w:val="21"/>
                <w:szCs w:val="21"/>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95%保证率日平均浓度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（共</w:t>
            </w:r>
            <w:r>
              <w:rPr>
                <w:rFonts w:hint="default" w:ascii="Times New Roman" w:hAnsi="Times New Roman" w:eastAsia="宋体" w:cs="Times New Roman"/>
                <w:spacing w:val="-53"/>
                <w:sz w:val="21"/>
                <w:szCs w:val="21"/>
                <w:lang w:eastAsia="zh-CN"/>
              </w:rPr>
              <w:t xml:space="preserve"> </w:t>
            </w:r>
            <w:r>
              <w:rPr>
                <w:rFonts w:hint="default" w:ascii="Times New Roman" w:hAnsi="Times New Roman" w:eastAsia="宋体" w:cs="Times New Roman"/>
                <w:sz w:val="21"/>
                <w:szCs w:val="21"/>
                <w:lang w:eastAsia="zh-CN"/>
              </w:rPr>
              <w:t>36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个有效数据，第</w:t>
            </w:r>
            <w:r>
              <w:rPr>
                <w:rFonts w:hint="default" w:ascii="Times New Roman" w:hAnsi="Times New Roman" w:eastAsia="宋体" w:cs="Times New Roman"/>
                <w:spacing w:val="-55"/>
                <w:sz w:val="21"/>
                <w:szCs w:val="21"/>
                <w:lang w:eastAsia="zh-CN"/>
              </w:rPr>
              <w:t xml:space="preserve"> </w:t>
            </w:r>
            <w:r>
              <w:rPr>
                <w:rFonts w:hint="default" w:ascii="Times New Roman" w:hAnsi="Times New Roman" w:eastAsia="宋体" w:cs="Times New Roman"/>
                <w:sz w:val="21"/>
                <w:szCs w:val="21"/>
                <w:lang w:eastAsia="zh-CN"/>
              </w:rPr>
              <w:t>347大值）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4</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37.50</w:t>
            </w:r>
          </w:p>
        </w:tc>
        <w:tc>
          <w:tcPr>
            <w:tcW w:w="1005"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293" w:hRule="atLeast"/>
        </w:trPr>
        <w:tc>
          <w:tcPr>
            <w:tcW w:w="904"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O</w:t>
            </w:r>
            <w:r>
              <w:rPr>
                <w:rFonts w:hint="default" w:ascii="Times New Roman" w:hAnsi="Times New Roman" w:eastAsia="宋体" w:cs="Times New Roman"/>
                <w:kern w:val="0"/>
                <w:sz w:val="21"/>
                <w:szCs w:val="21"/>
                <w:vertAlign w:val="subscript"/>
              </w:rPr>
              <w:t>3</w:t>
            </w:r>
          </w:p>
        </w:tc>
        <w:tc>
          <w:tcPr>
            <w:tcW w:w="905" w:type="dxa"/>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μg/m</w:t>
            </w:r>
            <w:r>
              <w:rPr>
                <w:rFonts w:hint="default" w:ascii="Times New Roman" w:hAnsi="Times New Roman" w:eastAsia="宋体" w:cs="Times New Roman"/>
                <w:kern w:val="0"/>
                <w:sz w:val="21"/>
                <w:szCs w:val="21"/>
                <w:vertAlign w:val="superscript"/>
              </w:rPr>
              <w:t>3</w:t>
            </w:r>
          </w:p>
        </w:tc>
        <w:tc>
          <w:tcPr>
            <w:tcW w:w="3702" w:type="dxa"/>
            <w:noWrap w:val="0"/>
            <w:vAlign w:val="center"/>
          </w:tcPr>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90%保证率日最大</w:t>
            </w:r>
            <w:r>
              <w:rPr>
                <w:rFonts w:hint="default" w:ascii="Times New Roman" w:hAnsi="Times New Roman" w:eastAsia="宋体" w:cs="Times New Roman"/>
                <w:spacing w:val="-51"/>
                <w:sz w:val="21"/>
                <w:szCs w:val="21"/>
                <w:lang w:eastAsia="zh-CN"/>
              </w:rPr>
              <w:t xml:space="preserve"> </w:t>
            </w:r>
            <w:r>
              <w:rPr>
                <w:rFonts w:hint="default" w:ascii="Times New Roman" w:hAnsi="Times New Roman" w:eastAsia="宋体" w:cs="Times New Roman"/>
                <w:sz w:val="21"/>
                <w:szCs w:val="21"/>
                <w:lang w:eastAsia="zh-CN"/>
              </w:rPr>
              <w:t>8h</w:t>
            </w:r>
            <w:r>
              <w:rPr>
                <w:rFonts w:hint="default" w:ascii="Times New Roman" w:hAnsi="Times New Roman" w:eastAsia="宋体" w:cs="Times New Roman"/>
                <w:spacing w:val="-54"/>
                <w:sz w:val="21"/>
                <w:szCs w:val="21"/>
                <w:lang w:eastAsia="zh-CN"/>
              </w:rPr>
              <w:t xml:space="preserve"> </w:t>
            </w:r>
            <w:r>
              <w:rPr>
                <w:rFonts w:hint="default" w:ascii="Times New Roman" w:hAnsi="Times New Roman" w:eastAsia="宋体" w:cs="Times New Roman"/>
                <w:sz w:val="21"/>
                <w:szCs w:val="21"/>
                <w:lang w:eastAsia="zh-CN"/>
              </w:rPr>
              <w:t>滑动平均浓度</w:t>
            </w:r>
          </w:p>
          <w:p>
            <w:pPr>
              <w:pStyle w:val="927"/>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（共</w:t>
            </w:r>
            <w:r>
              <w:rPr>
                <w:rFonts w:hint="default" w:ascii="Times New Roman" w:hAnsi="Times New Roman" w:eastAsia="宋体" w:cs="Times New Roman"/>
                <w:spacing w:val="-53"/>
                <w:sz w:val="21"/>
                <w:szCs w:val="21"/>
                <w:lang w:eastAsia="zh-CN"/>
              </w:rPr>
              <w:t xml:space="preserve"> </w:t>
            </w:r>
            <w:r>
              <w:rPr>
                <w:rFonts w:hint="default" w:ascii="Times New Roman" w:hAnsi="Times New Roman" w:eastAsia="宋体" w:cs="Times New Roman"/>
                <w:sz w:val="21"/>
                <w:szCs w:val="21"/>
                <w:lang w:eastAsia="zh-CN"/>
              </w:rPr>
              <w:t>36</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eastAsia="zh-CN"/>
              </w:rPr>
              <w:t>个有效数据，第</w:t>
            </w:r>
            <w:r>
              <w:rPr>
                <w:rFonts w:hint="default" w:ascii="Times New Roman" w:hAnsi="Times New Roman" w:eastAsia="宋体" w:cs="Times New Roman"/>
                <w:spacing w:val="-55"/>
                <w:sz w:val="21"/>
                <w:szCs w:val="21"/>
                <w:lang w:eastAsia="zh-CN"/>
              </w:rPr>
              <w:t xml:space="preserve"> </w:t>
            </w:r>
            <w:r>
              <w:rPr>
                <w:rFonts w:hint="default" w:ascii="Times New Roman" w:hAnsi="Times New Roman" w:eastAsia="宋体" w:cs="Times New Roman"/>
                <w:sz w:val="21"/>
                <w:szCs w:val="21"/>
                <w:lang w:eastAsia="zh-CN"/>
              </w:rPr>
              <w:t>3</w:t>
            </w:r>
            <w:r>
              <w:rPr>
                <w:rFonts w:hint="default" w:ascii="Times New Roman" w:hAnsi="Times New Roman" w:eastAsia="宋体" w:cs="Times New Roman"/>
                <w:sz w:val="21"/>
                <w:szCs w:val="21"/>
                <w:lang w:val="en-US" w:eastAsia="zh-CN"/>
              </w:rPr>
              <w:t>29</w:t>
            </w:r>
            <w:r>
              <w:rPr>
                <w:rFonts w:hint="default" w:ascii="Times New Roman" w:hAnsi="Times New Roman" w:eastAsia="宋体" w:cs="Times New Roman"/>
                <w:sz w:val="21"/>
                <w:szCs w:val="21"/>
                <w:lang w:eastAsia="zh-CN"/>
              </w:rPr>
              <w:t>大值）</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2</w:t>
            </w:r>
            <w:r>
              <w:rPr>
                <w:rFonts w:hint="default" w:ascii="Times New Roman" w:hAnsi="Times New Roman" w:eastAsia="宋体" w:cs="Times New Roman"/>
                <w:sz w:val="21"/>
                <w:szCs w:val="21"/>
                <w:lang w:val="en-US" w:eastAsia="zh-CN"/>
              </w:rPr>
              <w:t>15</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160</w:t>
            </w:r>
          </w:p>
        </w:tc>
        <w:tc>
          <w:tcPr>
            <w:tcW w:w="1007"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1</w:t>
            </w:r>
            <w:r>
              <w:rPr>
                <w:rFonts w:hint="default" w:ascii="Times New Roman" w:hAnsi="Times New Roman" w:eastAsia="宋体" w:cs="Times New Roman"/>
                <w:sz w:val="21"/>
                <w:szCs w:val="21"/>
                <w:lang w:val="en-US" w:eastAsia="zh-CN"/>
              </w:rPr>
              <w:t>34.38</w:t>
            </w:r>
          </w:p>
        </w:tc>
        <w:tc>
          <w:tcPr>
            <w:tcW w:w="1005" w:type="dxa"/>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超标</w:t>
            </w:r>
          </w:p>
        </w:tc>
        <w:tc>
          <w:tcPr>
            <w:tcW w:w="1005" w:type="dxa"/>
            <w:vMerge w:val="continue"/>
            <w:noWrap w:val="0"/>
            <w:vAlign w:val="center"/>
          </w:tcPr>
          <w:p>
            <w:pPr>
              <w:pStyle w:val="927"/>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b/>
                <w:bCs/>
                <w:sz w:val="21"/>
                <w:szCs w:val="21"/>
              </w:rPr>
            </w:pPr>
          </w:p>
        </w:tc>
      </w:tr>
    </w:tbl>
    <w:p>
      <w:pPr>
        <w:spacing w:before="156" w:beforeLines="50"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由上表可见，20</w:t>
      </w:r>
      <w:r>
        <w:rPr>
          <w:rFonts w:hint="default" w:ascii="Times New Roman" w:hAnsi="Times New Roman" w:eastAsia="宋体" w:cs="Times New Roman"/>
          <w:sz w:val="24"/>
          <w:lang w:val="en-US" w:eastAsia="zh-CN"/>
        </w:rPr>
        <w:t>2</w:t>
      </w:r>
      <w:r>
        <w:rPr>
          <w:rFonts w:hint="eastAsia" w:eastAsia="宋体" w:cs="Times New Roman"/>
          <w:sz w:val="24"/>
          <w:lang w:val="en-US" w:eastAsia="zh-CN"/>
        </w:rPr>
        <w:t>1</w:t>
      </w:r>
      <w:r>
        <w:rPr>
          <w:rFonts w:hint="default" w:ascii="Times New Roman" w:hAnsi="Times New Roman" w:eastAsia="宋体" w:cs="Times New Roman"/>
          <w:sz w:val="24"/>
        </w:rPr>
        <w:t>年淄川区气象站例行监测点环境空气中</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NO</w:t>
      </w:r>
      <w:r>
        <w:rPr>
          <w:rFonts w:hint="default" w:ascii="Times New Roman" w:hAnsi="Times New Roman" w:eastAsia="宋体" w:cs="Times New Roman"/>
          <w:kern w:val="0"/>
          <w:sz w:val="24"/>
          <w:szCs w:val="24"/>
          <w:vertAlign w:val="subscript"/>
        </w:rPr>
        <w:t>2</w:t>
      </w:r>
      <w:r>
        <w:rPr>
          <w:rFonts w:hint="default" w:ascii="Times New Roman" w:hAnsi="Times New Roman" w:eastAsia="宋体" w:cs="Times New Roman"/>
          <w:kern w:val="0"/>
          <w:sz w:val="24"/>
          <w:szCs w:val="24"/>
          <w:vertAlign w:val="baseline"/>
          <w:lang w:eastAsia="zh-CN"/>
        </w:rPr>
        <w:t>、</w:t>
      </w:r>
      <w:r>
        <w:rPr>
          <w:rFonts w:hint="default" w:ascii="Times New Roman" w:hAnsi="Times New Roman" w:eastAsia="宋体" w:cs="Times New Roman"/>
          <w:sz w:val="24"/>
          <w:szCs w:val="24"/>
        </w:rPr>
        <w:t>CO</w:t>
      </w:r>
      <w:r>
        <w:rPr>
          <w:rFonts w:hint="default" w:ascii="Times New Roman" w:hAnsi="Times New Roman" w:eastAsia="宋体" w:cs="Times New Roman"/>
          <w:sz w:val="24"/>
        </w:rPr>
        <w:t>年均浓度或相应百分位数24h或8h平均质量浓度能够满足《环境空气质量标准》（GB3095-2012）二级标准，PM</w:t>
      </w:r>
      <w:r>
        <w:rPr>
          <w:rFonts w:hint="default" w:ascii="Times New Roman" w:hAnsi="Times New Roman" w:eastAsia="宋体" w:cs="Times New Roman"/>
          <w:sz w:val="24"/>
          <w:vertAlign w:val="subscript"/>
        </w:rPr>
        <w:t>10</w:t>
      </w:r>
      <w:r>
        <w:rPr>
          <w:rFonts w:hint="default" w:ascii="Times New Roman" w:hAnsi="Times New Roman" w:eastAsia="宋体" w:cs="Times New Roman"/>
          <w:sz w:val="24"/>
        </w:rPr>
        <w:t>、PM</w:t>
      </w:r>
      <w:r>
        <w:rPr>
          <w:rFonts w:hint="default" w:ascii="Times New Roman" w:hAnsi="Times New Roman" w:eastAsia="宋体" w:cs="Times New Roman"/>
          <w:sz w:val="24"/>
          <w:vertAlign w:val="subscript"/>
        </w:rPr>
        <w:t>2.5</w:t>
      </w:r>
      <w:r>
        <w:rPr>
          <w:rFonts w:hint="default" w:ascii="Times New Roman" w:hAnsi="Times New Roman" w:eastAsia="宋体" w:cs="Times New Roman"/>
          <w:sz w:val="24"/>
        </w:rPr>
        <w:t>、O</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年均浓度或相应百分位数24h平均质量浓度不达标。</w:t>
      </w:r>
    </w:p>
    <w:p>
      <w:pPr>
        <w:adjustRightInd w:val="0"/>
        <w:snapToGrid w:val="0"/>
        <w:spacing w:line="360" w:lineRule="auto"/>
        <w:rPr>
          <w:rFonts w:eastAsiaTheme="minorEastAsia"/>
          <w:b/>
          <w:bCs/>
          <w:lang w:eastAsia="zh-CN"/>
        </w:rPr>
      </w:pPr>
      <w:r>
        <w:rPr>
          <w:rFonts w:eastAsiaTheme="minorEastAsia"/>
          <w:b/>
          <w:bCs/>
          <w:lang w:eastAsia="zh-CN"/>
        </w:rPr>
        <w:t>4.</w:t>
      </w:r>
      <w:r>
        <w:rPr>
          <w:rFonts w:hint="eastAsia" w:eastAsiaTheme="minorEastAsia"/>
          <w:b/>
          <w:bCs/>
          <w:lang w:eastAsia="zh-CN"/>
        </w:rPr>
        <w:t>4</w:t>
      </w:r>
      <w:r>
        <w:rPr>
          <w:rFonts w:eastAsiaTheme="minorEastAsia"/>
          <w:b/>
          <w:bCs/>
          <w:lang w:eastAsia="zh-CN"/>
        </w:rPr>
        <w:t xml:space="preserve"> 其他污染物环境质量现状监测</w:t>
      </w:r>
    </w:p>
    <w:p>
      <w:pPr>
        <w:adjustRightInd w:val="0"/>
        <w:snapToGrid w:val="0"/>
        <w:spacing w:line="360" w:lineRule="auto"/>
        <w:rPr>
          <w:rFonts w:eastAsiaTheme="minorEastAsia"/>
          <w:b/>
          <w:bCs/>
          <w:lang w:eastAsia="zh-CN"/>
        </w:rPr>
      </w:pPr>
      <w:r>
        <w:rPr>
          <w:rFonts w:eastAsiaTheme="minorEastAsia"/>
          <w:b/>
          <w:bCs/>
          <w:lang w:eastAsia="zh-CN"/>
        </w:rPr>
        <w:t>4.</w:t>
      </w:r>
      <w:r>
        <w:rPr>
          <w:rFonts w:hint="eastAsia" w:eastAsiaTheme="minorEastAsia"/>
          <w:b/>
          <w:bCs/>
          <w:lang w:eastAsia="zh-CN"/>
        </w:rPr>
        <w:t>4</w:t>
      </w:r>
      <w:r>
        <w:rPr>
          <w:rFonts w:eastAsiaTheme="minorEastAsia"/>
          <w:b/>
          <w:bCs/>
          <w:lang w:eastAsia="zh-CN"/>
        </w:rPr>
        <w:t>.1 监测时间</w:t>
      </w:r>
    </w:p>
    <w:p>
      <w:pPr>
        <w:pStyle w:val="2"/>
        <w:adjustRightInd w:val="0"/>
        <w:snapToGrid w:val="0"/>
        <w:spacing w:after="0" w:line="360" w:lineRule="auto"/>
        <w:ind w:left="0" w:leftChars="0" w:firstLine="480"/>
        <w:rPr>
          <w:rFonts w:hint="eastAsia" w:eastAsia="宋体"/>
          <w:b/>
          <w:bCs/>
          <w:lang w:eastAsia="zh-CN"/>
        </w:rPr>
      </w:pPr>
      <w:r>
        <w:rPr>
          <w:rFonts w:hint="eastAsia" w:eastAsiaTheme="minorEastAsia"/>
          <w:lang w:eastAsia="zh-CN"/>
        </w:rPr>
        <w:t>山东嘉誉测试科技有限公司</w:t>
      </w:r>
      <w:r>
        <w:rPr>
          <w:rFonts w:eastAsiaTheme="minorEastAsia"/>
          <w:lang w:eastAsia="zh-CN"/>
        </w:rPr>
        <w:t>于202</w:t>
      </w:r>
      <w:r>
        <w:rPr>
          <w:rFonts w:hint="eastAsia" w:eastAsiaTheme="minorEastAsia"/>
          <w:lang w:val="en-US" w:eastAsia="zh-CN"/>
        </w:rPr>
        <w:t>2</w:t>
      </w:r>
      <w:r>
        <w:rPr>
          <w:rFonts w:eastAsiaTheme="minorEastAsia"/>
          <w:lang w:eastAsia="zh-CN"/>
        </w:rPr>
        <w:t>年</w:t>
      </w:r>
      <w:r>
        <w:rPr>
          <w:rFonts w:hint="eastAsia" w:eastAsiaTheme="minorEastAsia"/>
          <w:highlight w:val="none"/>
          <w:lang w:val="en-US" w:eastAsia="zh-CN"/>
        </w:rPr>
        <w:t>1</w:t>
      </w:r>
      <w:r>
        <w:rPr>
          <w:rFonts w:eastAsiaTheme="minorEastAsia"/>
          <w:highlight w:val="none"/>
          <w:lang w:eastAsia="zh-CN"/>
        </w:rPr>
        <w:t>2月0</w:t>
      </w:r>
      <w:r>
        <w:rPr>
          <w:rFonts w:hint="eastAsia" w:eastAsiaTheme="minorEastAsia"/>
          <w:highlight w:val="none"/>
          <w:lang w:val="en-US" w:eastAsia="zh-CN"/>
        </w:rPr>
        <w:t>1</w:t>
      </w:r>
      <w:r>
        <w:rPr>
          <w:rFonts w:eastAsiaTheme="minorEastAsia"/>
          <w:highlight w:val="none"/>
          <w:lang w:eastAsia="zh-CN"/>
        </w:rPr>
        <w:t>日至</w:t>
      </w:r>
      <w:r>
        <w:rPr>
          <w:rFonts w:hint="eastAsia" w:eastAsiaTheme="minorEastAsia"/>
          <w:highlight w:val="none"/>
          <w:lang w:val="en-US" w:eastAsia="zh-CN"/>
        </w:rPr>
        <w:t>2022年1</w:t>
      </w:r>
      <w:r>
        <w:rPr>
          <w:rFonts w:eastAsiaTheme="minorEastAsia"/>
          <w:highlight w:val="none"/>
          <w:lang w:eastAsia="zh-CN"/>
        </w:rPr>
        <w:t>2月0</w:t>
      </w:r>
      <w:r>
        <w:rPr>
          <w:rFonts w:hint="eastAsia" w:eastAsiaTheme="minorEastAsia"/>
          <w:highlight w:val="none"/>
          <w:lang w:val="en-US" w:eastAsia="zh-CN"/>
        </w:rPr>
        <w:t>7</w:t>
      </w:r>
      <w:r>
        <w:rPr>
          <w:rFonts w:eastAsiaTheme="minorEastAsia"/>
          <w:highlight w:val="none"/>
          <w:lang w:eastAsia="zh-CN"/>
        </w:rPr>
        <w:t>日对</w:t>
      </w:r>
      <w:r>
        <w:rPr>
          <w:rFonts w:hint="eastAsia" w:eastAsiaTheme="minorEastAsia"/>
          <w:highlight w:val="none"/>
          <w:lang w:eastAsia="zh-CN"/>
        </w:rPr>
        <w:t>距离</w:t>
      </w:r>
      <w:r>
        <w:rPr>
          <w:rFonts w:hint="eastAsia" w:cs="Times New Roman"/>
          <w:szCs w:val="21"/>
          <w:lang w:eastAsia="zh-CN"/>
        </w:rPr>
        <w:t>淄博龙昊电源科技有限公司</w:t>
      </w:r>
      <w:r>
        <w:rPr>
          <w:rFonts w:eastAsiaTheme="minorEastAsia"/>
          <w:szCs w:val="21"/>
          <w:highlight w:val="none"/>
          <w:lang w:eastAsia="zh-CN"/>
        </w:rPr>
        <w:t>厂址</w:t>
      </w:r>
      <w:r>
        <w:rPr>
          <w:rFonts w:eastAsiaTheme="minorEastAsia"/>
          <w:highlight w:val="none"/>
          <w:lang w:eastAsia="zh-CN"/>
        </w:rPr>
        <w:t>所在</w:t>
      </w:r>
      <w:r>
        <w:rPr>
          <w:rFonts w:hint="eastAsia" w:eastAsiaTheme="minorEastAsia"/>
          <w:highlight w:val="none"/>
          <w:lang w:eastAsia="zh-CN"/>
        </w:rPr>
        <w:t>地西北侧</w:t>
      </w:r>
      <w:r>
        <w:rPr>
          <w:rFonts w:hint="eastAsia" w:eastAsiaTheme="minorEastAsia"/>
          <w:highlight w:val="none"/>
          <w:lang w:val="en-US" w:eastAsia="zh-CN"/>
        </w:rPr>
        <w:t>1637m的</w:t>
      </w:r>
      <w:r>
        <w:rPr>
          <w:rFonts w:hint="eastAsia" w:eastAsiaTheme="minorEastAsia"/>
          <w:highlight w:val="none"/>
          <w:lang w:eastAsia="zh-CN"/>
        </w:rPr>
        <w:t>前孟村</w:t>
      </w:r>
      <w:r>
        <w:rPr>
          <w:rFonts w:eastAsiaTheme="minorEastAsia"/>
          <w:highlight w:val="none"/>
          <w:lang w:eastAsia="zh-CN"/>
        </w:rPr>
        <w:t>的环境空气</w:t>
      </w:r>
      <w:r>
        <w:rPr>
          <w:rFonts w:eastAsiaTheme="minorEastAsia"/>
          <w:lang w:eastAsia="zh-CN"/>
        </w:rPr>
        <w:t>质量</w:t>
      </w:r>
      <w:r>
        <w:rPr>
          <w:rFonts w:hint="eastAsia" w:eastAsiaTheme="minorEastAsia"/>
          <w:lang w:eastAsia="zh-CN"/>
        </w:rPr>
        <w:t>（甲醛）</w:t>
      </w:r>
      <w:r>
        <w:rPr>
          <w:rFonts w:eastAsiaTheme="minorEastAsia"/>
          <w:lang w:eastAsia="zh-CN"/>
        </w:rPr>
        <w:t>进行了监测。</w:t>
      </w:r>
      <w:r>
        <w:rPr>
          <w:rFonts w:hint="default" w:ascii="Times New Roman" w:hAnsi="Times New Roman" w:eastAsia="宋体" w:cs="Times New Roman"/>
          <w:sz w:val="24"/>
          <w:szCs w:val="24"/>
        </w:rPr>
        <w:t>山东</w:t>
      </w:r>
      <w:r>
        <w:rPr>
          <w:rFonts w:hint="default" w:ascii="Times New Roman" w:hAnsi="Times New Roman" w:eastAsia="宋体" w:cs="Times New Roman"/>
          <w:sz w:val="24"/>
          <w:szCs w:val="24"/>
          <w:lang w:eastAsia="zh-CN"/>
        </w:rPr>
        <w:t>方信</w:t>
      </w:r>
      <w:r>
        <w:rPr>
          <w:rFonts w:hint="default" w:ascii="Times New Roman" w:hAnsi="Times New Roman" w:eastAsia="宋体" w:cs="Times New Roman"/>
          <w:sz w:val="24"/>
          <w:szCs w:val="24"/>
        </w:rPr>
        <w:t>环境检测有限公司于20</w:t>
      </w:r>
      <w:r>
        <w:rPr>
          <w:rFonts w:hint="default" w:ascii="Times New Roman" w:hAnsi="Times New Roman" w:eastAsia="宋体" w:cs="Times New Roman"/>
          <w:sz w:val="24"/>
          <w:szCs w:val="24"/>
          <w:lang w:val="en-US" w:eastAsia="zh-CN"/>
        </w:rPr>
        <w:t>22</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月2</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日～</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rPr>
        <w:t>日对</w:t>
      </w:r>
      <w:r>
        <w:rPr>
          <w:rFonts w:hint="eastAsia" w:cs="Times New Roman"/>
          <w:szCs w:val="21"/>
          <w:lang w:eastAsia="zh-CN"/>
        </w:rPr>
        <w:t>淄博龙昊电源科技有限公司</w:t>
      </w:r>
      <w:r>
        <w:rPr>
          <w:rFonts w:eastAsiaTheme="minorEastAsia"/>
          <w:szCs w:val="21"/>
          <w:highlight w:val="none"/>
          <w:lang w:eastAsia="zh-CN"/>
        </w:rPr>
        <w:t>厂址</w:t>
      </w:r>
      <w:r>
        <w:rPr>
          <w:rFonts w:eastAsiaTheme="minorEastAsia"/>
          <w:highlight w:val="none"/>
          <w:lang w:eastAsia="zh-CN"/>
        </w:rPr>
        <w:t>所在地</w:t>
      </w:r>
      <w:r>
        <w:rPr>
          <w:rFonts w:hint="eastAsia" w:eastAsiaTheme="minorEastAsia"/>
          <w:highlight w:val="none"/>
          <w:lang w:eastAsia="zh-CN"/>
        </w:rPr>
        <w:t>下风向</w:t>
      </w:r>
      <w:r>
        <w:rPr>
          <w:rFonts w:hint="eastAsia" w:eastAsiaTheme="minorEastAsia"/>
          <w:highlight w:val="none"/>
          <w:lang w:val="en-US" w:eastAsia="zh-CN"/>
        </w:rPr>
        <w:t>1876m的</w:t>
      </w:r>
      <w:r>
        <w:rPr>
          <w:rFonts w:hint="eastAsia" w:eastAsiaTheme="minorEastAsia"/>
          <w:highlight w:val="none"/>
          <w:lang w:eastAsia="zh-CN"/>
        </w:rPr>
        <w:t>东谭村</w:t>
      </w:r>
      <w:r>
        <w:rPr>
          <w:rFonts w:hint="default" w:ascii="Times New Roman" w:hAnsi="Times New Roman" w:eastAsia="宋体" w:cs="Times New Roman"/>
          <w:sz w:val="24"/>
          <w:szCs w:val="24"/>
        </w:rPr>
        <w:t>的环境空气质量</w:t>
      </w:r>
      <w:r>
        <w:rPr>
          <w:rFonts w:hint="eastAsia"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进行了现状监测</w:t>
      </w:r>
      <w:r>
        <w:rPr>
          <w:rFonts w:hint="eastAsia" w:ascii="Times New Roman" w:hAnsi="Times New Roman" w:eastAsia="宋体" w:cs="Times New Roman"/>
          <w:sz w:val="24"/>
          <w:szCs w:val="24"/>
          <w:lang w:eastAsia="zh-CN"/>
        </w:rPr>
        <w:t>。</w:t>
      </w:r>
    </w:p>
    <w:p>
      <w:pPr>
        <w:adjustRightInd w:val="0"/>
        <w:snapToGrid w:val="0"/>
        <w:spacing w:line="360" w:lineRule="auto"/>
        <w:rPr>
          <w:rFonts w:eastAsiaTheme="minorEastAsia"/>
          <w:b/>
          <w:bCs/>
          <w:sz w:val="24"/>
          <w:szCs w:val="24"/>
          <w:lang w:eastAsia="zh-CN"/>
        </w:rPr>
      </w:pPr>
      <w:r>
        <w:rPr>
          <w:rFonts w:eastAsiaTheme="minorEastAsia"/>
          <w:b/>
          <w:bCs/>
          <w:sz w:val="24"/>
          <w:szCs w:val="24"/>
          <w:lang w:eastAsia="zh-CN"/>
        </w:rPr>
        <w:t>4.</w:t>
      </w:r>
      <w:r>
        <w:rPr>
          <w:rFonts w:hint="eastAsia" w:eastAsiaTheme="minorEastAsia"/>
          <w:b/>
          <w:bCs/>
          <w:sz w:val="24"/>
          <w:szCs w:val="24"/>
          <w:lang w:eastAsia="zh-CN"/>
        </w:rPr>
        <w:t>4</w:t>
      </w:r>
      <w:r>
        <w:rPr>
          <w:rFonts w:eastAsiaTheme="minorEastAsia"/>
          <w:b/>
          <w:bCs/>
          <w:sz w:val="24"/>
          <w:szCs w:val="24"/>
          <w:lang w:eastAsia="zh-CN"/>
        </w:rPr>
        <w:t>.2 监测布点</w:t>
      </w:r>
    </w:p>
    <w:p>
      <w:pPr>
        <w:adjustRightInd w:val="0"/>
        <w:snapToGrid w:val="0"/>
        <w:spacing w:line="360" w:lineRule="auto"/>
        <w:ind w:firstLine="420" w:firstLineChars="200"/>
        <w:rPr>
          <w:rFonts w:eastAsiaTheme="minorEastAsia"/>
          <w:lang w:eastAsia="zh-CN"/>
        </w:rPr>
      </w:pPr>
      <w:r>
        <w:rPr>
          <w:rFonts w:eastAsiaTheme="minorEastAsia"/>
          <w:lang w:eastAsia="zh-CN"/>
        </w:rPr>
        <w:t>本次监测结合厂址周围环境特征及气象特点，共布设</w:t>
      </w:r>
      <w:r>
        <w:rPr>
          <w:rFonts w:hint="eastAsia" w:eastAsiaTheme="minorEastAsia"/>
          <w:lang w:val="en-US" w:eastAsia="zh-CN"/>
        </w:rPr>
        <w:t>2</w:t>
      </w:r>
      <w:r>
        <w:rPr>
          <w:rFonts w:eastAsiaTheme="minorEastAsia"/>
          <w:lang w:eastAsia="zh-CN"/>
        </w:rPr>
        <w:t>个监测点。各点编号、距离、相对位置及布设意义见表4.</w:t>
      </w:r>
      <w:r>
        <w:rPr>
          <w:rFonts w:hint="eastAsia" w:eastAsiaTheme="minorEastAsia"/>
          <w:lang w:eastAsia="zh-CN"/>
        </w:rPr>
        <w:t>4</w:t>
      </w:r>
      <w:r>
        <w:rPr>
          <w:rFonts w:eastAsiaTheme="minorEastAsia"/>
          <w:lang w:eastAsia="zh-CN"/>
        </w:rPr>
        <w:t>-</w:t>
      </w:r>
      <w:r>
        <w:rPr>
          <w:rFonts w:hint="eastAsia" w:eastAsiaTheme="minorEastAsia"/>
          <w:lang w:eastAsia="zh-CN"/>
        </w:rPr>
        <w:t>1</w:t>
      </w:r>
      <w:r>
        <w:rPr>
          <w:rFonts w:eastAsiaTheme="minorEastAsia"/>
          <w:lang w:eastAsia="zh-CN"/>
        </w:rPr>
        <w:t>，监测布点图见图4.</w:t>
      </w:r>
      <w:r>
        <w:rPr>
          <w:rFonts w:hint="eastAsia" w:eastAsiaTheme="minorEastAsia"/>
          <w:lang w:eastAsia="zh-CN"/>
        </w:rPr>
        <w:t>4</w:t>
      </w:r>
      <w:r>
        <w:rPr>
          <w:rFonts w:eastAsiaTheme="minorEastAsia"/>
          <w:lang w:eastAsia="zh-CN"/>
        </w:rPr>
        <w:t>-1。</w:t>
      </w:r>
    </w:p>
    <w:p>
      <w:pPr>
        <w:adjustRightInd w:val="0"/>
        <w:snapToGrid w:val="0"/>
        <w:spacing w:line="360" w:lineRule="auto"/>
        <w:jc w:val="center"/>
        <w:rPr>
          <w:rFonts w:eastAsiaTheme="minorEastAsia"/>
          <w:b/>
          <w:bCs/>
          <w:lang w:eastAsia="zh-CN"/>
        </w:rPr>
      </w:pPr>
      <w:r>
        <w:rPr>
          <w:rFonts w:eastAsiaTheme="minorEastAsia"/>
          <w:b/>
          <w:bCs/>
          <w:lang w:eastAsia="zh-CN"/>
        </w:rPr>
        <w:t>表4.</w:t>
      </w:r>
      <w:r>
        <w:rPr>
          <w:rFonts w:hint="eastAsia" w:eastAsiaTheme="minorEastAsia"/>
          <w:b/>
          <w:bCs/>
          <w:lang w:val="en-US" w:eastAsia="zh-CN"/>
        </w:rPr>
        <w:t>4</w:t>
      </w:r>
      <w:r>
        <w:rPr>
          <w:rFonts w:eastAsiaTheme="minorEastAsia"/>
          <w:b/>
          <w:bCs/>
          <w:lang w:eastAsia="zh-CN"/>
        </w:rPr>
        <w:t>-</w:t>
      </w:r>
      <w:r>
        <w:rPr>
          <w:rFonts w:hint="eastAsia" w:eastAsiaTheme="minorEastAsia"/>
          <w:b/>
          <w:bCs/>
          <w:lang w:val="en-US" w:eastAsia="zh-CN"/>
        </w:rPr>
        <w:t>1</w:t>
      </w:r>
      <w:r>
        <w:rPr>
          <w:rFonts w:eastAsiaTheme="minorEastAsia"/>
          <w:b/>
          <w:bCs/>
          <w:lang w:eastAsia="zh-CN"/>
        </w:rPr>
        <w:t xml:space="preserve">  环境空气质量现状监测点一览表</w:t>
      </w:r>
    </w:p>
    <w:tbl>
      <w:tblPr>
        <w:tblStyle w:val="85"/>
        <w:tblW w:w="918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71"/>
        <w:gridCol w:w="1597"/>
        <w:gridCol w:w="1678"/>
        <w:gridCol w:w="1911"/>
        <w:gridCol w:w="27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97" w:hRule="atLeast"/>
          <w:jc w:val="center"/>
        </w:trPr>
        <w:tc>
          <w:tcPr>
            <w:tcW w:w="1271" w:type="dxa"/>
            <w:shd w:val="clear" w:color="auto" w:fill="auto"/>
            <w:vAlign w:val="center"/>
          </w:tcPr>
          <w:p>
            <w:pPr>
              <w:adjustRightInd w:val="0"/>
              <w:snapToGrid w:val="0"/>
              <w:jc w:val="center"/>
              <w:rPr>
                <w:rFonts w:eastAsiaTheme="minorEastAsia"/>
                <w:b/>
                <w:bCs/>
                <w:sz w:val="21"/>
                <w:szCs w:val="21"/>
              </w:rPr>
            </w:pPr>
            <w:r>
              <w:rPr>
                <w:rFonts w:eastAsiaTheme="minorEastAsia"/>
                <w:b/>
                <w:bCs/>
                <w:sz w:val="21"/>
                <w:szCs w:val="21"/>
              </w:rPr>
              <w:t>编号</w:t>
            </w:r>
          </w:p>
        </w:tc>
        <w:tc>
          <w:tcPr>
            <w:tcW w:w="1597" w:type="dxa"/>
            <w:shd w:val="clear" w:color="auto" w:fill="auto"/>
            <w:vAlign w:val="center"/>
          </w:tcPr>
          <w:p>
            <w:pPr>
              <w:adjustRightInd w:val="0"/>
              <w:snapToGrid w:val="0"/>
              <w:jc w:val="center"/>
              <w:rPr>
                <w:rFonts w:eastAsiaTheme="minorEastAsia"/>
                <w:b/>
                <w:bCs/>
                <w:sz w:val="21"/>
                <w:szCs w:val="21"/>
                <w:lang w:eastAsia="zh-CN"/>
              </w:rPr>
            </w:pPr>
            <w:r>
              <w:rPr>
                <w:rFonts w:eastAsiaTheme="minorEastAsia"/>
                <w:b/>
                <w:bCs/>
                <w:sz w:val="21"/>
                <w:szCs w:val="21"/>
                <w:lang w:eastAsia="zh-CN"/>
              </w:rPr>
              <w:t>方位与距离</w:t>
            </w:r>
          </w:p>
          <w:p>
            <w:pPr>
              <w:adjustRightInd w:val="0"/>
              <w:snapToGrid w:val="0"/>
              <w:jc w:val="center"/>
              <w:rPr>
                <w:rFonts w:eastAsiaTheme="minorEastAsia"/>
                <w:b/>
                <w:bCs/>
                <w:sz w:val="21"/>
                <w:szCs w:val="21"/>
                <w:lang w:eastAsia="zh-CN"/>
              </w:rPr>
            </w:pPr>
            <w:r>
              <w:rPr>
                <w:rFonts w:eastAsiaTheme="minorEastAsia"/>
                <w:b/>
                <w:bCs/>
                <w:sz w:val="21"/>
                <w:szCs w:val="21"/>
                <w:lang w:eastAsia="zh-CN"/>
              </w:rPr>
              <w:t>（相对厂址）</w:t>
            </w:r>
          </w:p>
        </w:tc>
        <w:tc>
          <w:tcPr>
            <w:tcW w:w="1678" w:type="dxa"/>
            <w:shd w:val="clear" w:color="auto" w:fill="auto"/>
            <w:vAlign w:val="center"/>
          </w:tcPr>
          <w:p>
            <w:pPr>
              <w:adjustRightInd w:val="0"/>
              <w:snapToGrid w:val="0"/>
              <w:jc w:val="center"/>
              <w:rPr>
                <w:rFonts w:eastAsiaTheme="minorEastAsia"/>
                <w:b/>
                <w:bCs/>
                <w:sz w:val="21"/>
                <w:szCs w:val="21"/>
              </w:rPr>
            </w:pPr>
            <w:r>
              <w:rPr>
                <w:rFonts w:eastAsiaTheme="minorEastAsia"/>
                <w:b/>
                <w:bCs/>
                <w:sz w:val="21"/>
                <w:szCs w:val="21"/>
              </w:rPr>
              <w:t>监测点位</w:t>
            </w:r>
          </w:p>
        </w:tc>
        <w:tc>
          <w:tcPr>
            <w:tcW w:w="1911" w:type="dxa"/>
            <w:shd w:val="clear" w:color="auto" w:fill="auto"/>
            <w:vAlign w:val="center"/>
          </w:tcPr>
          <w:p>
            <w:pPr>
              <w:adjustRightInd w:val="0"/>
              <w:snapToGrid w:val="0"/>
              <w:jc w:val="center"/>
              <w:rPr>
                <w:rFonts w:eastAsiaTheme="minorEastAsia"/>
                <w:b/>
                <w:bCs/>
                <w:sz w:val="21"/>
                <w:szCs w:val="21"/>
              </w:rPr>
            </w:pPr>
            <w:r>
              <w:rPr>
                <w:rFonts w:eastAsiaTheme="minorEastAsia"/>
                <w:b/>
                <w:bCs/>
                <w:sz w:val="21"/>
                <w:szCs w:val="21"/>
              </w:rPr>
              <w:t>监测因子</w:t>
            </w:r>
          </w:p>
        </w:tc>
        <w:tc>
          <w:tcPr>
            <w:tcW w:w="2731" w:type="dxa"/>
            <w:shd w:val="clear" w:color="auto" w:fill="auto"/>
            <w:vAlign w:val="center"/>
          </w:tcPr>
          <w:p>
            <w:pPr>
              <w:adjustRightInd w:val="0"/>
              <w:snapToGrid w:val="0"/>
              <w:jc w:val="center"/>
              <w:rPr>
                <w:rFonts w:eastAsiaTheme="minorEastAsia"/>
                <w:b/>
                <w:bCs/>
                <w:sz w:val="21"/>
                <w:szCs w:val="21"/>
              </w:rPr>
            </w:pPr>
            <w:r>
              <w:rPr>
                <w:rFonts w:hint="eastAsia" w:eastAsiaTheme="minorEastAsia"/>
                <w:b/>
                <w:bCs/>
                <w:sz w:val="21"/>
                <w:szCs w:val="21"/>
                <w:lang w:eastAsia="zh-CN"/>
              </w:rPr>
              <w:t>布设</w:t>
            </w:r>
            <w:r>
              <w:rPr>
                <w:rFonts w:eastAsiaTheme="minorEastAsia"/>
                <w:b/>
                <w:bCs/>
                <w:sz w:val="21"/>
                <w:szCs w:val="21"/>
              </w:rPr>
              <w:t>意义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1271"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1#</w:t>
            </w:r>
          </w:p>
        </w:tc>
        <w:tc>
          <w:tcPr>
            <w:tcW w:w="1597" w:type="dxa"/>
            <w:shd w:val="clear" w:color="auto" w:fill="auto"/>
            <w:vAlign w:val="center"/>
          </w:tcPr>
          <w:p>
            <w:pPr>
              <w:adjustRightInd w:val="0"/>
              <w:snapToGrid w:val="0"/>
              <w:jc w:val="center"/>
              <w:rPr>
                <w:rFonts w:eastAsiaTheme="minorEastAsia"/>
                <w:sz w:val="21"/>
                <w:szCs w:val="21"/>
              </w:rPr>
            </w:pPr>
            <w:r>
              <w:rPr>
                <w:sz w:val="21"/>
                <w:szCs w:val="21"/>
              </w:rPr>
              <w:t>N</w:t>
            </w:r>
            <w:r>
              <w:rPr>
                <w:rFonts w:hint="eastAsia" w:eastAsia="宋体"/>
                <w:sz w:val="21"/>
                <w:szCs w:val="21"/>
                <w:lang w:val="en-US" w:eastAsia="zh-CN"/>
              </w:rPr>
              <w:t>W</w:t>
            </w:r>
            <w:r>
              <w:rPr>
                <w:sz w:val="21"/>
                <w:szCs w:val="21"/>
              </w:rPr>
              <w:t>，</w:t>
            </w:r>
            <w:r>
              <w:rPr>
                <w:rFonts w:hint="eastAsia" w:eastAsia="宋体"/>
                <w:sz w:val="21"/>
                <w:szCs w:val="21"/>
                <w:lang w:val="en-US" w:eastAsia="zh-CN"/>
              </w:rPr>
              <w:t>1637</w:t>
            </w:r>
            <w:r>
              <w:rPr>
                <w:sz w:val="21"/>
                <w:szCs w:val="21"/>
              </w:rPr>
              <w:t>m</w:t>
            </w:r>
          </w:p>
        </w:tc>
        <w:tc>
          <w:tcPr>
            <w:tcW w:w="1678" w:type="dxa"/>
            <w:shd w:val="clear" w:color="auto" w:fill="auto"/>
            <w:vAlign w:val="center"/>
          </w:tcPr>
          <w:p>
            <w:pPr>
              <w:adjustRightInd w:val="0"/>
              <w:snapToGrid w:val="0"/>
              <w:jc w:val="center"/>
              <w:rPr>
                <w:rFonts w:eastAsiaTheme="minorEastAsia"/>
                <w:sz w:val="21"/>
                <w:szCs w:val="21"/>
                <w:lang w:eastAsia="zh-CN"/>
              </w:rPr>
            </w:pPr>
            <w:r>
              <w:rPr>
                <w:rFonts w:hint="eastAsia" w:eastAsiaTheme="minorEastAsia"/>
                <w:sz w:val="21"/>
                <w:szCs w:val="21"/>
                <w:lang w:eastAsia="zh-CN"/>
              </w:rPr>
              <w:t>前孟村</w:t>
            </w:r>
          </w:p>
        </w:tc>
        <w:tc>
          <w:tcPr>
            <w:tcW w:w="1911" w:type="dxa"/>
            <w:shd w:val="clear" w:color="auto" w:fill="auto"/>
            <w:vAlign w:val="center"/>
          </w:tcPr>
          <w:p>
            <w:pPr>
              <w:adjustRightInd w:val="0"/>
              <w:snapToGrid w:val="0"/>
              <w:jc w:val="center"/>
              <w:rPr>
                <w:rFonts w:eastAsiaTheme="minorEastAsia"/>
                <w:sz w:val="21"/>
                <w:szCs w:val="21"/>
                <w:lang w:eastAsia="zh-CN"/>
              </w:rPr>
            </w:pPr>
            <w:r>
              <w:rPr>
                <w:rFonts w:hint="eastAsia" w:eastAsiaTheme="minorEastAsia"/>
                <w:sz w:val="21"/>
                <w:szCs w:val="21"/>
                <w:lang w:eastAsia="zh-CN"/>
              </w:rPr>
              <w:t>甲醛</w:t>
            </w:r>
          </w:p>
        </w:tc>
        <w:tc>
          <w:tcPr>
            <w:tcW w:w="2731" w:type="dxa"/>
            <w:shd w:val="clear" w:color="auto" w:fill="auto"/>
            <w:vAlign w:val="center"/>
          </w:tcPr>
          <w:p>
            <w:pPr>
              <w:adjustRightInd w:val="0"/>
              <w:snapToGrid w:val="0"/>
              <w:jc w:val="center"/>
              <w:rPr>
                <w:rFonts w:hint="default" w:eastAsiaTheme="minorEastAsia"/>
                <w:sz w:val="21"/>
                <w:szCs w:val="21"/>
                <w:lang w:val="en-US" w:eastAsia="zh-CN"/>
              </w:rPr>
            </w:pPr>
            <w:r>
              <w:rPr>
                <w:rFonts w:hint="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4" w:hRule="atLeast"/>
          <w:jc w:val="center"/>
        </w:trPr>
        <w:tc>
          <w:tcPr>
            <w:tcW w:w="1271" w:type="dxa"/>
            <w:shd w:val="clear" w:color="auto" w:fill="auto"/>
            <w:vAlign w:val="center"/>
          </w:tcPr>
          <w:p>
            <w:pPr>
              <w:adjustRightInd w:val="0"/>
              <w:snapToGrid w:val="0"/>
              <w:jc w:val="center"/>
              <w:rPr>
                <w:rFonts w:hint="default" w:eastAsiaTheme="minorEastAsia"/>
                <w:sz w:val="21"/>
                <w:szCs w:val="21"/>
                <w:lang w:val="en-US" w:eastAsia="zh-CN"/>
              </w:rPr>
            </w:pPr>
            <w:bookmarkStart w:id="29" w:name="_Toc328376384"/>
            <w:bookmarkStart w:id="30" w:name="_Toc330297330"/>
            <w:r>
              <w:rPr>
                <w:rFonts w:hint="eastAsia" w:eastAsiaTheme="minorEastAsia"/>
                <w:sz w:val="21"/>
                <w:szCs w:val="21"/>
                <w:lang w:val="en-US" w:eastAsia="zh-CN"/>
              </w:rPr>
              <w:t>2#</w:t>
            </w:r>
          </w:p>
        </w:tc>
        <w:tc>
          <w:tcPr>
            <w:tcW w:w="1597" w:type="dxa"/>
            <w:shd w:val="clear" w:color="auto" w:fill="auto"/>
            <w:vAlign w:val="center"/>
          </w:tcPr>
          <w:p>
            <w:pPr>
              <w:adjustRightInd w:val="0"/>
              <w:snapToGrid w:val="0"/>
              <w:jc w:val="center"/>
              <w:rPr>
                <w:sz w:val="21"/>
                <w:szCs w:val="21"/>
              </w:rPr>
            </w:pPr>
            <w:r>
              <w:rPr>
                <w:sz w:val="21"/>
                <w:szCs w:val="21"/>
              </w:rPr>
              <w:t>NE，</w:t>
            </w:r>
            <w:r>
              <w:rPr>
                <w:rFonts w:hint="eastAsia" w:eastAsia="宋体"/>
                <w:sz w:val="21"/>
                <w:szCs w:val="21"/>
                <w:lang w:val="en-US" w:eastAsia="zh-CN"/>
              </w:rPr>
              <w:t>1876</w:t>
            </w:r>
            <w:r>
              <w:rPr>
                <w:sz w:val="21"/>
                <w:szCs w:val="21"/>
              </w:rPr>
              <w:t>m</w:t>
            </w:r>
          </w:p>
        </w:tc>
        <w:tc>
          <w:tcPr>
            <w:tcW w:w="1678" w:type="dxa"/>
            <w:shd w:val="clear" w:color="auto" w:fill="auto"/>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lang w:eastAsia="zh-CN"/>
              </w:rPr>
              <w:t>东谭村</w:t>
            </w:r>
          </w:p>
        </w:tc>
        <w:tc>
          <w:tcPr>
            <w:tcW w:w="1911" w:type="dxa"/>
            <w:shd w:val="clear" w:color="auto" w:fill="auto"/>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lang w:eastAsia="zh-CN"/>
              </w:rPr>
              <w:t>非甲烷总烃</w:t>
            </w:r>
          </w:p>
        </w:tc>
        <w:tc>
          <w:tcPr>
            <w:tcW w:w="2731" w:type="dxa"/>
            <w:shd w:val="clear" w:color="auto" w:fill="auto"/>
            <w:vAlign w:val="center"/>
          </w:tcPr>
          <w:p>
            <w:pPr>
              <w:adjustRightInd w:val="0"/>
              <w:snapToGrid w:val="0"/>
              <w:jc w:val="center"/>
              <w:rPr>
                <w:sz w:val="21"/>
                <w:szCs w:val="21"/>
                <w:lang w:eastAsia="zh-CN"/>
              </w:rPr>
            </w:pPr>
            <w:r>
              <w:rPr>
                <w:sz w:val="21"/>
                <w:szCs w:val="21"/>
                <w:lang w:eastAsia="zh-CN"/>
              </w:rPr>
              <w:t>主导风向下风向敏感点</w:t>
            </w:r>
          </w:p>
        </w:tc>
      </w:tr>
    </w:tbl>
    <w:p>
      <w:pPr>
        <w:adjustRightInd w:val="0"/>
        <w:snapToGrid w:val="0"/>
        <w:spacing w:line="360" w:lineRule="auto"/>
        <w:rPr>
          <w:lang w:eastAsia="zh-CN"/>
        </w:rPr>
        <w:sectPr>
          <w:pgSz w:w="11906" w:h="16838"/>
          <w:pgMar w:top="1418" w:right="1276" w:bottom="1418" w:left="1559" w:header="851" w:footer="992" w:gutter="0"/>
          <w:cols w:space="720" w:num="1"/>
          <w:docGrid w:linePitch="312" w:charSpace="0"/>
        </w:sectPr>
      </w:pPr>
    </w:p>
    <w:p>
      <w:pPr>
        <w:pStyle w:val="2"/>
        <w:rPr>
          <w:lang w:eastAsia="zh-CN"/>
        </w:rPr>
      </w:pPr>
    </w:p>
    <w:p>
      <w:pPr>
        <w:adjustRightInd w:val="0"/>
        <w:snapToGrid w:val="0"/>
        <w:spacing w:line="360" w:lineRule="auto"/>
        <w:rPr>
          <w:rFonts w:eastAsiaTheme="minorEastAsia"/>
        </w:rPr>
      </w:pPr>
      <w:r>
        <mc:AlternateContent>
          <mc:Choice Requires="wps">
            <w:drawing>
              <wp:anchor distT="0" distB="0" distL="114300" distR="114300" simplePos="0" relativeHeight="251662336" behindDoc="0" locked="0" layoutInCell="1" allowOverlap="1">
                <wp:simplePos x="0" y="0"/>
                <wp:positionH relativeFrom="column">
                  <wp:posOffset>4774565</wp:posOffset>
                </wp:positionH>
                <wp:positionV relativeFrom="paragraph">
                  <wp:posOffset>3320415</wp:posOffset>
                </wp:positionV>
                <wp:extent cx="595630" cy="245110"/>
                <wp:effectExtent l="12700" t="12700" r="20320" b="389890"/>
                <wp:wrapNone/>
                <wp:docPr id="4" name="矩形标注 4"/>
                <wp:cNvGraphicFramePr/>
                <a:graphic xmlns:a="http://schemas.openxmlformats.org/drawingml/2006/main">
                  <a:graphicData uri="http://schemas.microsoft.com/office/word/2010/wordprocessingShape">
                    <wps:wsp>
                      <wps:cNvSpPr/>
                      <wps:spPr>
                        <a:xfrm>
                          <a:off x="3555365" y="5845175"/>
                          <a:ext cx="595630" cy="245110"/>
                        </a:xfrm>
                        <a:prstGeom prst="wedgeRectCallout">
                          <a:avLst>
                            <a:gd name="adj1" fmla="val 42473"/>
                            <a:gd name="adj2" fmla="val 199481"/>
                          </a:avLst>
                        </a:prstGeom>
                        <a:solidFill>
                          <a:schemeClr val="accent2">
                            <a:lumMod val="60000"/>
                            <a:lumOff val="4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宋体"/>
                                <w:color w:val="FF0000"/>
                                <w:sz w:val="15"/>
                                <w:szCs w:val="15"/>
                                <w:lang w:eastAsia="zh-CN"/>
                              </w:rPr>
                            </w:pPr>
                            <w:r>
                              <w:rPr>
                                <w:rFonts w:hint="eastAsia" w:eastAsia="宋体"/>
                                <w:color w:val="FF0000"/>
                                <w:sz w:val="15"/>
                                <w:szCs w:val="15"/>
                                <w:lang w:eastAsia="zh-CN"/>
                              </w:rPr>
                              <w:t>项目厂址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5.95pt;margin-top:261.45pt;height:19.3pt;width:46.9pt;z-index:251662336;v-text-anchor:middle;mso-width-relative:page;mso-height-relative:page;" fillcolor="#D99694 [1941]" filled="t" stroked="t" coordsize="21600,21600" o:gfxdata="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E1K&#10;rwjbAAAACwEAAA8AAAAAAAAAAQAgAAAAIgAAAGRycy9kb3ducmV2LnhtbFBLAQIUABQAAAAIAIdO&#10;4kAIOyrgywIAAJAFAAAOAAAAAAAAAAEAIAAAACoBAABkcnMvZTJvRG9jLnhtbFBLBQYAAAAABgAG&#10;AFkBAABnBgAAAAA=&#10;" adj="19974,53888">
                <v:fill on="t" focussize="0,0"/>
                <v:stroke weight="2pt" color="#FF0000 [3204]" joinstyle="round"/>
                <v:imagedata o:title=""/>
                <o:lock v:ext="edit" aspectratio="f"/>
                <v:textbox>
                  <w:txbxContent>
                    <w:p>
                      <w:pPr>
                        <w:jc w:val="center"/>
                        <w:rPr>
                          <w:rFonts w:eastAsia="宋体"/>
                          <w:color w:val="FF0000"/>
                          <w:sz w:val="15"/>
                          <w:szCs w:val="15"/>
                          <w:lang w:eastAsia="zh-CN"/>
                        </w:rPr>
                      </w:pPr>
                      <w:r>
                        <w:rPr>
                          <w:rFonts w:hint="eastAsia" w:eastAsia="宋体"/>
                          <w:color w:val="FF0000"/>
                          <w:sz w:val="15"/>
                          <w:szCs w:val="15"/>
                          <w:lang w:eastAsia="zh-CN"/>
                        </w:rPr>
                        <w:t>项目厂址</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5293360</wp:posOffset>
                </wp:positionH>
                <wp:positionV relativeFrom="paragraph">
                  <wp:posOffset>3893820</wp:posOffset>
                </wp:positionV>
                <wp:extent cx="76200" cy="153035"/>
                <wp:effectExtent l="18415" t="2540" r="19685" b="15875"/>
                <wp:wrapNone/>
                <wp:docPr id="6" name="任意多边形 6"/>
                <wp:cNvGraphicFramePr/>
                <a:graphic xmlns:a="http://schemas.openxmlformats.org/drawingml/2006/main">
                  <a:graphicData uri="http://schemas.microsoft.com/office/word/2010/wordprocessingShape">
                    <wps:wsp>
                      <wps:cNvSpPr/>
                      <wps:spPr>
                        <a:xfrm rot="900000">
                          <a:off x="2319020" y="4792345"/>
                          <a:ext cx="76200" cy="153035"/>
                        </a:xfrm>
                        <a:custGeom>
                          <a:avLst/>
                          <a:gdLst>
                            <a:gd name="connisteX0" fmla="*/ 0 w 255905"/>
                            <a:gd name="connsiteY0" fmla="*/ 10160 h 338455"/>
                            <a:gd name="connisteX1" fmla="*/ 0 w 255905"/>
                            <a:gd name="connsiteY1" fmla="*/ 338455 h 338455"/>
                            <a:gd name="connisteX2" fmla="*/ 255905 w 255905"/>
                            <a:gd name="connsiteY2" fmla="*/ 327660 h 338455"/>
                            <a:gd name="connisteX3" fmla="*/ 245745 w 255905"/>
                            <a:gd name="connsiteY3" fmla="*/ 0 h 338455"/>
                            <a:gd name="connisteX4" fmla="*/ 0 w 255905"/>
                            <a:gd name="connsiteY4" fmla="*/ 10160 h 33845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55905" h="338455">
                              <a:moveTo>
                                <a:pt x="0" y="10160"/>
                              </a:moveTo>
                              <a:lnTo>
                                <a:pt x="0" y="338455"/>
                              </a:lnTo>
                              <a:lnTo>
                                <a:pt x="255905" y="327660"/>
                              </a:lnTo>
                              <a:lnTo>
                                <a:pt x="245745" y="0"/>
                              </a:lnTo>
                              <a:lnTo>
                                <a:pt x="0" y="10160"/>
                              </a:lnTo>
                              <a:close/>
                            </a:path>
                          </a:pathLst>
                        </a:custGeom>
                        <a:solidFill>
                          <a:srgbClr val="FF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416.8pt;margin-top:306.6pt;height:12.05pt;width:6pt;rotation:983040f;z-index:251667456;mso-width-relative:page;mso-height-relative:page;" fillcolor="#FF0000" filled="t" stroked="f" coordsize="255905,338455" o:gfxdata="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Sy4+ttsAAAALAQAADwAAAAAAAAABACAAAAAiAAAAZHJzL2Rv&#10;d25yZXYueG1sUEsBAhQAFAAAAAgAh07iQBuVRbobAwAAVAgAAA4AAAAAAAAAAQAgAAAAKgEAAGRy&#10;cy9lMm9Eb2MueG1sUEsFBgAAAAAGAAYAWQEAALcGAAAAAA==&#10;" path="m0,10160l0,338455,255905,327660,245745,0,0,10160xe">
                <v:path o:connectlocs="0,4593;0,153035;76200,148153;73174,0;0,4593" o:connectangles="0,0,0,0,0"/>
                <v:fill on="t" opacity="39321f" focussize="0,0"/>
                <v:stroke on="f" weight="2pt"/>
                <v:imagedata o:title=""/>
                <o:lock v:ext="edit" aspectratio="f"/>
              </v:shape>
            </w:pict>
          </mc:Fallback>
        </mc:AlternateContent>
      </w:r>
      <w:r>
        <w:drawing>
          <wp:anchor distT="0" distB="0" distL="114300" distR="114300" simplePos="0" relativeHeight="251666432" behindDoc="0" locked="0" layoutInCell="1" allowOverlap="1">
            <wp:simplePos x="0" y="0"/>
            <wp:positionH relativeFrom="column">
              <wp:posOffset>64135</wp:posOffset>
            </wp:positionH>
            <wp:positionV relativeFrom="paragraph">
              <wp:posOffset>4613910</wp:posOffset>
            </wp:positionV>
            <wp:extent cx="2184400" cy="336550"/>
            <wp:effectExtent l="0" t="0" r="6350" b="635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2184400" cy="336550"/>
                    </a:xfrm>
                    <a:prstGeom prst="rect">
                      <a:avLst/>
                    </a:prstGeom>
                    <a:noFill/>
                    <a:ln>
                      <a:noFill/>
                    </a:ln>
                  </pic:spPr>
                </pic:pic>
              </a:graphicData>
            </a:graphic>
          </wp:anchor>
        </w:drawing>
      </w:r>
      <w:r>
        <mc:AlternateContent>
          <mc:Choice Requires="wps">
            <w:drawing>
              <wp:anchor distT="0" distB="0" distL="114300" distR="114300" simplePos="0" relativeHeight="251669504" behindDoc="0" locked="0" layoutInCell="1" allowOverlap="1">
                <wp:simplePos x="0" y="0"/>
                <wp:positionH relativeFrom="column">
                  <wp:posOffset>5321935</wp:posOffset>
                </wp:positionH>
                <wp:positionV relativeFrom="paragraph">
                  <wp:posOffset>420370</wp:posOffset>
                </wp:positionV>
                <wp:extent cx="1146175" cy="245110"/>
                <wp:effectExtent l="12700" t="12700" r="1146175" b="580390"/>
                <wp:wrapNone/>
                <wp:docPr id="10" name="矩形标注 10"/>
                <wp:cNvGraphicFramePr/>
                <a:graphic xmlns:a="http://schemas.openxmlformats.org/drawingml/2006/main">
                  <a:graphicData uri="http://schemas.microsoft.com/office/word/2010/wordprocessingShape">
                    <wps:wsp>
                      <wps:cNvSpPr/>
                      <wps:spPr>
                        <a:xfrm>
                          <a:off x="0" y="0"/>
                          <a:ext cx="1146175" cy="245110"/>
                        </a:xfrm>
                        <a:prstGeom prst="wedgeRectCallout">
                          <a:avLst>
                            <a:gd name="adj1" fmla="val 148670"/>
                            <a:gd name="adj2" fmla="val 27564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FF00"/>
                                <w:sz w:val="15"/>
                                <w:szCs w:val="15"/>
                                <w:lang w:val="en-US" w:eastAsia="zh-CN"/>
                              </w:rPr>
                            </w:pPr>
                            <w:r>
                              <w:rPr>
                                <w:rFonts w:hint="eastAsia" w:eastAsia="宋体"/>
                                <w:color w:val="FFFF00"/>
                                <w:sz w:val="15"/>
                                <w:szCs w:val="15"/>
                                <w:lang w:eastAsia="zh-CN"/>
                              </w:rPr>
                              <w:t>监测点</w:t>
                            </w:r>
                            <w:r>
                              <w:rPr>
                                <w:rFonts w:hint="eastAsia" w:eastAsia="宋体"/>
                                <w:color w:val="FFFF00"/>
                                <w:sz w:val="15"/>
                                <w:szCs w:val="15"/>
                                <w:lang w:val="en-US" w:eastAsia="zh-CN"/>
                              </w:rPr>
                              <w:t>2：东谭村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19.05pt;margin-top:33.1pt;height:19.3pt;width:90.25pt;z-index:251669504;v-text-anchor:middle;mso-width-relative:page;mso-height-relative:page;" filled="f" stroked="t" coordsize="21600,21600" o:gfxdata="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rkkAt1gAAAAsBAAAPAAAAAAAAAAEAIAAAACIAAABkcnMvZG93bnJldi54bWxQSwECFAAUAAAA&#10;CACHTuJA9nUUcZsCAAAmBQAADgAAAAAAAAABACAAAAAlAQAAZHJzL2Uyb0RvYy54bWxQSwUGAAAA&#10;AAYABgBZAQAAMgYAAAAA&#10;" adj="42913,70340">
                <v:fill on="f" focussize="0,0"/>
                <v:stroke weight="2pt" color="#FFFF00 [3204]" joinstyle="round"/>
                <v:imagedata o:title=""/>
                <o:lock v:ext="edit" aspectratio="f"/>
                <v:textbox>
                  <w:txbxContent>
                    <w:p>
                      <w:pPr>
                        <w:jc w:val="center"/>
                        <w:rPr>
                          <w:rFonts w:hint="default" w:eastAsia="宋体"/>
                          <w:color w:val="FFFF00"/>
                          <w:sz w:val="15"/>
                          <w:szCs w:val="15"/>
                          <w:lang w:val="en-US" w:eastAsia="zh-CN"/>
                        </w:rPr>
                      </w:pPr>
                      <w:r>
                        <w:rPr>
                          <w:rFonts w:hint="eastAsia" w:eastAsia="宋体"/>
                          <w:color w:val="FFFF00"/>
                          <w:sz w:val="15"/>
                          <w:szCs w:val="15"/>
                          <w:lang w:eastAsia="zh-CN"/>
                        </w:rPr>
                        <w:t>监测点</w:t>
                      </w:r>
                      <w:r>
                        <w:rPr>
                          <w:rFonts w:hint="eastAsia" w:eastAsia="宋体"/>
                          <w:color w:val="FFFF00"/>
                          <w:sz w:val="15"/>
                          <w:szCs w:val="15"/>
                          <w:lang w:val="en-US" w:eastAsia="zh-CN"/>
                        </w:rPr>
                        <w:t>2：东谭村</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7444105</wp:posOffset>
                </wp:positionH>
                <wp:positionV relativeFrom="paragraph">
                  <wp:posOffset>591185</wp:posOffset>
                </wp:positionV>
                <wp:extent cx="859790" cy="1165225"/>
                <wp:effectExtent l="0" t="0" r="16510" b="15875"/>
                <wp:wrapNone/>
                <wp:docPr id="12" name="任意多边形 12"/>
                <wp:cNvGraphicFramePr/>
                <a:graphic xmlns:a="http://schemas.openxmlformats.org/drawingml/2006/main">
                  <a:graphicData uri="http://schemas.microsoft.com/office/word/2010/wordprocessingShape">
                    <wps:wsp>
                      <wps:cNvSpPr/>
                      <wps:spPr>
                        <a:xfrm>
                          <a:off x="8344535" y="1831975"/>
                          <a:ext cx="859790" cy="1165225"/>
                        </a:xfrm>
                        <a:custGeom>
                          <a:avLst/>
                          <a:gdLst>
                            <a:gd name="connisteX0" fmla="*/ 822960 w 859790"/>
                            <a:gd name="connsiteY0" fmla="*/ 0 h 1165225"/>
                            <a:gd name="connisteX1" fmla="*/ 749300 w 859790"/>
                            <a:gd name="connsiteY1" fmla="*/ 45720 h 1165225"/>
                            <a:gd name="connisteX2" fmla="*/ 628650 w 859790"/>
                            <a:gd name="connsiteY2" fmla="*/ 110490 h 1165225"/>
                            <a:gd name="connisteX3" fmla="*/ 471805 w 859790"/>
                            <a:gd name="connsiteY3" fmla="*/ 166370 h 1165225"/>
                            <a:gd name="connisteX4" fmla="*/ 323850 w 859790"/>
                            <a:gd name="connsiteY4" fmla="*/ 166370 h 1165225"/>
                            <a:gd name="connisteX5" fmla="*/ 194310 w 859790"/>
                            <a:gd name="connsiteY5" fmla="*/ 203200 h 1165225"/>
                            <a:gd name="connisteX6" fmla="*/ 111125 w 859790"/>
                            <a:gd name="connsiteY6" fmla="*/ 406400 h 1165225"/>
                            <a:gd name="connisteX7" fmla="*/ 27940 w 859790"/>
                            <a:gd name="connsiteY7" fmla="*/ 517525 h 1165225"/>
                            <a:gd name="connisteX8" fmla="*/ 18415 w 859790"/>
                            <a:gd name="connsiteY8" fmla="*/ 647065 h 1165225"/>
                            <a:gd name="connisteX9" fmla="*/ 0 w 859790"/>
                            <a:gd name="connsiteY9" fmla="*/ 702310 h 1165225"/>
                            <a:gd name="connisteX10" fmla="*/ 175895 w 859790"/>
                            <a:gd name="connsiteY10" fmla="*/ 896620 h 1165225"/>
                            <a:gd name="connisteX11" fmla="*/ 323850 w 859790"/>
                            <a:gd name="connsiteY11" fmla="*/ 1035685 h 1165225"/>
                            <a:gd name="connisteX12" fmla="*/ 490220 w 859790"/>
                            <a:gd name="connsiteY12" fmla="*/ 1146175 h 1165225"/>
                            <a:gd name="connisteX13" fmla="*/ 582295 w 859790"/>
                            <a:gd name="connsiteY13" fmla="*/ 1165225 h 1165225"/>
                            <a:gd name="connisteX14" fmla="*/ 647065 w 859790"/>
                            <a:gd name="connsiteY14" fmla="*/ 1109345 h 1165225"/>
                            <a:gd name="connisteX15" fmla="*/ 665480 w 859790"/>
                            <a:gd name="connsiteY15" fmla="*/ 1026160 h 1165225"/>
                            <a:gd name="connisteX16" fmla="*/ 711835 w 859790"/>
                            <a:gd name="connsiteY16" fmla="*/ 915035 h 1165225"/>
                            <a:gd name="connisteX17" fmla="*/ 758190 w 859790"/>
                            <a:gd name="connsiteY17" fmla="*/ 850265 h 1165225"/>
                            <a:gd name="connisteX18" fmla="*/ 832485 w 859790"/>
                            <a:gd name="connsiteY18" fmla="*/ 739775 h 1165225"/>
                            <a:gd name="connisteX19" fmla="*/ 859790 w 859790"/>
                            <a:gd name="connsiteY19" fmla="*/ 637540 h 1165225"/>
                            <a:gd name="connisteX20" fmla="*/ 795020 w 859790"/>
                            <a:gd name="connsiteY20" fmla="*/ 573405 h 1165225"/>
                            <a:gd name="connisteX21" fmla="*/ 822960 w 859790"/>
                            <a:gd name="connsiteY21" fmla="*/ 462280 h 1165225"/>
                            <a:gd name="connisteX22" fmla="*/ 786130 w 859790"/>
                            <a:gd name="connsiteY22" fmla="*/ 379095 h 1165225"/>
                            <a:gd name="connisteX23" fmla="*/ 813435 w 859790"/>
                            <a:gd name="connsiteY23" fmla="*/ 240030 h 1165225"/>
                            <a:gd name="connisteX24" fmla="*/ 832485 w 859790"/>
                            <a:gd name="connsiteY24" fmla="*/ 128905 h 1165225"/>
                            <a:gd name="connisteX25" fmla="*/ 859790 w 859790"/>
                            <a:gd name="connsiteY25" fmla="*/ 36830 h 1165225"/>
                            <a:gd name="connisteX26" fmla="*/ 822960 w 859790"/>
                            <a:gd name="connsiteY26" fmla="*/ 0 h 11652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Lst>
                          <a:rect l="l" t="t" r="r" b="b"/>
                          <a:pathLst>
                            <a:path w="859790" h="1165225">
                              <a:moveTo>
                                <a:pt x="822960" y="0"/>
                              </a:moveTo>
                              <a:lnTo>
                                <a:pt x="749300" y="45720"/>
                              </a:lnTo>
                              <a:lnTo>
                                <a:pt x="628650" y="110490"/>
                              </a:lnTo>
                              <a:lnTo>
                                <a:pt x="471805" y="166370"/>
                              </a:lnTo>
                              <a:lnTo>
                                <a:pt x="323850" y="166370"/>
                              </a:lnTo>
                              <a:lnTo>
                                <a:pt x="194310" y="203200"/>
                              </a:lnTo>
                              <a:lnTo>
                                <a:pt x="111125" y="406400"/>
                              </a:lnTo>
                              <a:lnTo>
                                <a:pt x="27940" y="517525"/>
                              </a:lnTo>
                              <a:lnTo>
                                <a:pt x="18415" y="647065"/>
                              </a:lnTo>
                              <a:lnTo>
                                <a:pt x="0" y="702310"/>
                              </a:lnTo>
                              <a:lnTo>
                                <a:pt x="175895" y="896620"/>
                              </a:lnTo>
                              <a:lnTo>
                                <a:pt x="323850" y="1035685"/>
                              </a:lnTo>
                              <a:lnTo>
                                <a:pt x="490220" y="1146175"/>
                              </a:lnTo>
                              <a:lnTo>
                                <a:pt x="582295" y="1165225"/>
                              </a:lnTo>
                              <a:lnTo>
                                <a:pt x="647065" y="1109345"/>
                              </a:lnTo>
                              <a:lnTo>
                                <a:pt x="665480" y="1026160"/>
                              </a:lnTo>
                              <a:lnTo>
                                <a:pt x="711835" y="915035"/>
                              </a:lnTo>
                              <a:lnTo>
                                <a:pt x="758190" y="850265"/>
                              </a:lnTo>
                              <a:lnTo>
                                <a:pt x="832485" y="739775"/>
                              </a:lnTo>
                              <a:lnTo>
                                <a:pt x="859790" y="637540"/>
                              </a:lnTo>
                              <a:lnTo>
                                <a:pt x="795020" y="573405"/>
                              </a:lnTo>
                              <a:lnTo>
                                <a:pt x="822960" y="462280"/>
                              </a:lnTo>
                              <a:lnTo>
                                <a:pt x="786130" y="379095"/>
                              </a:lnTo>
                              <a:lnTo>
                                <a:pt x="813435" y="240030"/>
                              </a:lnTo>
                              <a:lnTo>
                                <a:pt x="832485" y="128905"/>
                              </a:lnTo>
                              <a:lnTo>
                                <a:pt x="859790" y="36830"/>
                              </a:lnTo>
                              <a:lnTo>
                                <a:pt x="822960" y="0"/>
                              </a:lnTo>
                              <a:close/>
                            </a:path>
                          </a:pathLst>
                        </a:custGeom>
                        <a:solidFill>
                          <a:schemeClr val="accent4">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586.15pt;margin-top:46.55pt;height:91.75pt;width:67.7pt;z-index:251670528;mso-width-relative:page;mso-height-relative:page;" fillcolor="#8064A2 [3207]" filled="t" stroked="f" coordsize="859790,1165225" o:gfxdata="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Dv&#10;r9P42wAAAAwBAAAPAAAAAAAAAAEAIAAAACIAAABkcnMvZG93bnJldi54bWxQSwECFAAUAAAACACH&#10;TuJAtPihXeoFAACxGgAADgAAAAAAAAABACAAAAAqAQAAZHJzL2Uyb0RvYy54bWxQSwUGAAAAAAYA&#10;BgBZAQAAhgkAAAAA&#10;" path="m822960,0l749300,45720,628650,110490,471805,166370,323850,166370,194310,203200,111125,406400,27940,517525,18415,647065,0,702310,175895,896620,323850,1035685,490220,1146175,582295,1165225,647065,1109345,665480,1026160,711835,915035,758190,850265,832485,739775,859790,637540,795020,573405,822960,462280,786130,379095,813435,240030,832485,128905,859790,36830,822960,0xe">
                <v:path o:connectlocs="822960,0;749300,45720;628650,110490;471805,166370;323850,166370;194310,203200;111125,406400;27940,517525;18415,647065;0,702310;175895,896620;323850,1035685;490220,1146175;582295,1165225;647065,1109345;665480,1026160;711835,915035;758190,850265;832485,739775;859790,637540;795020,573405;822960,462280;786130,379095;813435,240030;832485,128905;859790,36830;822960,0" o:connectangles="0,0,0,0,0,0,0,0,0,0,0,0,0,0,0,0,0,0,0,0,0,0,0,0,0,0,0"/>
                <v:fill on="t" opacity="32768f" focussize="0,0"/>
                <v:stroke on="f" weight="2pt"/>
                <v:imagedata o:title=""/>
                <o:lock v:ext="edit" aspectratio="f"/>
              </v:shape>
            </w:pict>
          </mc:Fallback>
        </mc:AlternateContent>
      </w:r>
      <w:r>
        <w:drawing>
          <wp:anchor distT="0" distB="0" distL="0" distR="0" simplePos="0" relativeHeight="251665408" behindDoc="0" locked="0" layoutInCell="1" allowOverlap="1">
            <wp:simplePos x="0" y="0"/>
            <wp:positionH relativeFrom="column">
              <wp:posOffset>38735</wp:posOffset>
            </wp:positionH>
            <wp:positionV relativeFrom="paragraph">
              <wp:posOffset>15240</wp:posOffset>
            </wp:positionV>
            <wp:extent cx="926465" cy="847090"/>
            <wp:effectExtent l="0" t="0" r="6985" b="1016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26465" cy="847090"/>
                    </a:xfrm>
                    <a:prstGeom prst="rect">
                      <a:avLst/>
                    </a:prstGeom>
                    <a:noFill/>
                    <a:ln>
                      <a:noFill/>
                    </a:ln>
                  </pic:spPr>
                </pic:pic>
              </a:graphicData>
            </a:graphic>
          </wp:anchor>
        </w:drawing>
      </w:r>
      <w:r>
        <w:drawing>
          <wp:inline distT="0" distB="0" distL="114300" distR="114300">
            <wp:extent cx="8890000" cy="4999990"/>
            <wp:effectExtent l="0" t="0" r="635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stretch>
                      <a:fillRect/>
                    </a:stretch>
                  </pic:blipFill>
                  <pic:spPr>
                    <a:xfrm>
                      <a:off x="0" y="0"/>
                      <a:ext cx="8890000" cy="4999990"/>
                    </a:xfrm>
                    <a:prstGeom prst="rect">
                      <a:avLst/>
                    </a:prstGeom>
                    <a:noFill/>
                    <a:ln>
                      <a:noFill/>
                    </a:ln>
                  </pic:spPr>
                </pic:pic>
              </a:graphicData>
            </a:graphic>
          </wp:inline>
        </w:drawing>
      </w:r>
      <w:r>
        <mc:AlternateContent>
          <mc:Choice Requires="wps">
            <w:drawing>
              <wp:anchor distT="0" distB="0" distL="114300" distR="114300" simplePos="0" relativeHeight="251663360" behindDoc="0" locked="0" layoutInCell="1" allowOverlap="1">
                <wp:simplePos x="0" y="0"/>
                <wp:positionH relativeFrom="column">
                  <wp:posOffset>1535430</wp:posOffset>
                </wp:positionH>
                <wp:positionV relativeFrom="paragraph">
                  <wp:posOffset>1489075</wp:posOffset>
                </wp:positionV>
                <wp:extent cx="1146175" cy="245110"/>
                <wp:effectExtent l="12700" t="12700" r="22225" b="770890"/>
                <wp:wrapNone/>
                <wp:docPr id="17" name="矩形标注 17"/>
                <wp:cNvGraphicFramePr/>
                <a:graphic xmlns:a="http://schemas.openxmlformats.org/drawingml/2006/main">
                  <a:graphicData uri="http://schemas.microsoft.com/office/word/2010/wordprocessingShape">
                    <wps:wsp>
                      <wps:cNvSpPr/>
                      <wps:spPr>
                        <a:xfrm>
                          <a:off x="0" y="0"/>
                          <a:ext cx="1146175" cy="245110"/>
                        </a:xfrm>
                        <a:prstGeom prst="wedgeRectCallout">
                          <a:avLst>
                            <a:gd name="adj1" fmla="val 22022"/>
                            <a:gd name="adj2" fmla="val 354922"/>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color w:val="FFFF00"/>
                                <w:sz w:val="15"/>
                                <w:szCs w:val="15"/>
                                <w:lang w:val="en-US" w:eastAsia="zh-CN"/>
                              </w:rPr>
                            </w:pPr>
                            <w:r>
                              <w:rPr>
                                <w:rFonts w:hint="eastAsia" w:eastAsia="宋体"/>
                                <w:color w:val="FFFF00"/>
                                <w:sz w:val="15"/>
                                <w:szCs w:val="15"/>
                                <w:lang w:eastAsia="zh-CN"/>
                              </w:rPr>
                              <w:t>监测点</w:t>
                            </w:r>
                            <w:r>
                              <w:rPr>
                                <w:rFonts w:hint="eastAsia" w:eastAsia="宋体"/>
                                <w:color w:val="FFFF00"/>
                                <w:sz w:val="15"/>
                                <w:szCs w:val="15"/>
                                <w:lang w:val="en-US" w:eastAsia="zh-CN"/>
                              </w:rPr>
                              <w:t>1：前孟村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20.9pt;margin-top:117.25pt;height:19.3pt;width:90.25pt;z-index:251663360;v-text-anchor:middle;mso-width-relative:page;mso-height-relative:page;" filled="f" stroked="t" coordsize="21600,21600" o:gfxdata="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lvcDTYAAAACwEAAA8AAAAAAAAAAQAgAAAAIgAAAGRycy9kb3ducmV2LnhtbFBLAQIUABQA&#10;AAAIAIdO4kAf9IjHmwIAACUFAAAOAAAAAAAAAAEAIAAAACcBAABkcnMvZTJvRG9jLnhtbFBLBQYA&#10;AAAABgAGAFkBAAA0BgAAAAA=&#10;" adj="15557,87463">
                <v:fill on="f" focussize="0,0"/>
                <v:stroke weight="2pt" color="#FFFF00 [3204]" joinstyle="round"/>
                <v:imagedata o:title=""/>
                <o:lock v:ext="edit" aspectratio="f"/>
                <v:textbox>
                  <w:txbxContent>
                    <w:p>
                      <w:pPr>
                        <w:jc w:val="center"/>
                        <w:rPr>
                          <w:rFonts w:hint="default" w:eastAsia="宋体"/>
                          <w:color w:val="FFFF00"/>
                          <w:sz w:val="15"/>
                          <w:szCs w:val="15"/>
                          <w:lang w:val="en-US" w:eastAsia="zh-CN"/>
                        </w:rPr>
                      </w:pPr>
                      <w:r>
                        <w:rPr>
                          <w:rFonts w:hint="eastAsia" w:eastAsia="宋体"/>
                          <w:color w:val="FFFF00"/>
                          <w:sz w:val="15"/>
                          <w:szCs w:val="15"/>
                          <w:lang w:eastAsia="zh-CN"/>
                        </w:rPr>
                        <w:t>监测点</w:t>
                      </w:r>
                      <w:r>
                        <w:rPr>
                          <w:rFonts w:hint="eastAsia" w:eastAsia="宋体"/>
                          <w:color w:val="FFFF00"/>
                          <w:sz w:val="15"/>
                          <w:szCs w:val="15"/>
                          <w:lang w:val="en-US" w:eastAsia="zh-CN"/>
                        </w:rPr>
                        <w:t>1：前孟村</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2217420</wp:posOffset>
                </wp:positionH>
                <wp:positionV relativeFrom="paragraph">
                  <wp:posOffset>2363470</wp:posOffset>
                </wp:positionV>
                <wp:extent cx="337820" cy="317500"/>
                <wp:effectExtent l="0" t="0" r="5080" b="6350"/>
                <wp:wrapNone/>
                <wp:docPr id="19" name="任意多边形 19"/>
                <wp:cNvGraphicFramePr/>
                <a:graphic xmlns:a="http://schemas.openxmlformats.org/drawingml/2006/main">
                  <a:graphicData uri="http://schemas.microsoft.com/office/word/2010/wordprocessingShape">
                    <wps:wsp>
                      <wps:cNvSpPr/>
                      <wps:spPr>
                        <a:xfrm>
                          <a:off x="3117850" y="3604260"/>
                          <a:ext cx="337820" cy="317500"/>
                        </a:xfrm>
                        <a:custGeom>
                          <a:avLst/>
                          <a:gdLst>
                            <a:gd name="connisteX0" fmla="*/ 0 w 337820"/>
                            <a:gd name="connsiteY0" fmla="*/ 0 h 317500"/>
                            <a:gd name="connisteX1" fmla="*/ 337820 w 337820"/>
                            <a:gd name="connsiteY1" fmla="*/ 0 h 317500"/>
                            <a:gd name="connisteX2" fmla="*/ 297180 w 337820"/>
                            <a:gd name="connsiteY2" fmla="*/ 92710 h 317500"/>
                            <a:gd name="connisteX3" fmla="*/ 276860 w 337820"/>
                            <a:gd name="connsiteY3" fmla="*/ 307340 h 317500"/>
                            <a:gd name="connisteX4" fmla="*/ 173990 w 337820"/>
                            <a:gd name="connsiteY4" fmla="*/ 317500 h 317500"/>
                            <a:gd name="connisteX5" fmla="*/ 81915 w 337820"/>
                            <a:gd name="connsiteY5" fmla="*/ 225425 h 317500"/>
                            <a:gd name="connisteX6" fmla="*/ 0 w 337820"/>
                            <a:gd name="connsiteY6" fmla="*/ 102870 h 317500"/>
                            <a:gd name="connisteX7" fmla="*/ 0 w 337820"/>
                            <a:gd name="connsiteY7" fmla="*/ 0 h 317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337820" h="317500">
                              <a:moveTo>
                                <a:pt x="0" y="0"/>
                              </a:moveTo>
                              <a:lnTo>
                                <a:pt x="337820" y="0"/>
                              </a:lnTo>
                              <a:lnTo>
                                <a:pt x="297180" y="92710"/>
                              </a:lnTo>
                              <a:lnTo>
                                <a:pt x="276860" y="307340"/>
                              </a:lnTo>
                              <a:lnTo>
                                <a:pt x="173990" y="317500"/>
                              </a:lnTo>
                              <a:lnTo>
                                <a:pt x="81915" y="225425"/>
                              </a:lnTo>
                              <a:lnTo>
                                <a:pt x="0" y="102870"/>
                              </a:lnTo>
                              <a:lnTo>
                                <a:pt x="0" y="0"/>
                              </a:lnTo>
                              <a:close/>
                            </a:path>
                          </a:pathLst>
                        </a:custGeom>
                        <a:solidFill>
                          <a:schemeClr val="accent4">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74.6pt;margin-top:186.1pt;height:25pt;width:26.6pt;z-index:251668480;mso-width-relative:page;mso-height-relative:page;" fillcolor="#8064A2 [3207]" filled="t" stroked="f" coordsize="337820,317500" o:gfxdata="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joWQy9YAAAALAQAADwAA&#10;AAAAAAABACAAAAAiAAAAZHJzL2Rvd25yZXYueG1sUEsBAhQAFAAAAAgAh07iQAk4kd1uAwAAqQoA&#10;AA4AAAAAAAAAAQAgAAAAJQEAAGRycy9lMm9Eb2MueG1sUEsFBgAAAAAGAAYAWQEAAAUHAAAAAA==&#10;" path="m0,0l337820,0,297180,92710,276860,307340,173990,317500,81915,225425,0,102870,0,0xe">
                <v:path o:connectlocs="0,0;337820,0;297180,92710;276860,307340;173990,317500;81915,225425;0,102870;0,0" o:connectangles="0,0,0,0,0,0,0,0"/>
                <v:fill on="t" opacity="36700f" focussize="0,0"/>
                <v:stroke on="f" weight="2pt"/>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3505200</wp:posOffset>
                </wp:positionH>
                <wp:positionV relativeFrom="paragraph">
                  <wp:posOffset>1343025</wp:posOffset>
                </wp:positionV>
                <wp:extent cx="104775" cy="81915"/>
                <wp:effectExtent l="12700" t="12700" r="15875" b="19685"/>
                <wp:wrapNone/>
                <wp:docPr id="20" name="五角星 20"/>
                <wp:cNvGraphicFramePr/>
                <a:graphic xmlns:a="http://schemas.openxmlformats.org/drawingml/2006/main">
                  <a:graphicData uri="http://schemas.microsoft.com/office/word/2010/wordprocessingShape">
                    <wps:wsp>
                      <wps:cNvSpPr/>
                      <wps:spPr>
                        <a:xfrm>
                          <a:off x="4741545" y="4945380"/>
                          <a:ext cx="104775" cy="8191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6pt;margin-top:105.75pt;height:6.45pt;width:8.25pt;z-index:251664384;v-text-anchor:middle;mso-width-relative:page;mso-height-relative:page;" fillcolor="#4F81BD [3204]" filled="t" stroked="t" coordsize="104775,81915" o:gfxdata="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fNHZbZAAAACwEAAA8A&#10;AAAAAAAAAQAgAAAAIgAAAGRycy9kb3ducmV2LnhtbFBLAQIUABQAAAAIAIdO4kAYmfxSiAIAAA4F&#10;AAAOAAAAAAAAAAEAIAAAACgBAABkcnMvZTJvRG9jLnhtbFBLBQYAAAAABgAGAFkBAAAiBgAAAAA=&#10;" path="m0,31288l40020,31288,52387,0,64754,31288,104774,31288,72397,50626,84764,81914,52387,62577,20010,81914,32377,50626xe">
                <v:path o:connectlocs="52387,0;0,31288;20010,81914;84764,81914;104774,31288" o:connectangles="247,164,82,82,0"/>
                <v:fill on="t" focussize="0,0"/>
                <v:stroke weight="2pt" color="#385D8A [3204]" joinstyle="round"/>
                <v:imagedata o:title=""/>
                <o:lock v:ext="edit" aspectratio="f"/>
              </v:shape>
            </w:pict>
          </mc:Fallback>
        </mc:AlternateContent>
      </w:r>
    </w:p>
    <w:p>
      <w:pPr>
        <w:adjustRightInd w:val="0"/>
        <w:snapToGrid w:val="0"/>
        <w:spacing w:line="360" w:lineRule="auto"/>
        <w:jc w:val="center"/>
        <w:rPr>
          <w:rFonts w:eastAsiaTheme="minorEastAsia"/>
          <w:b/>
          <w:bCs/>
          <w:lang w:eastAsia="zh-CN"/>
        </w:rPr>
      </w:pPr>
      <w:r>
        <w:rPr>
          <w:rFonts w:eastAsiaTheme="minorEastAsia"/>
          <w:b/>
          <w:bCs/>
          <w:lang w:eastAsia="zh-CN"/>
        </w:rPr>
        <w:t>图4.</w:t>
      </w:r>
      <w:r>
        <w:rPr>
          <w:rFonts w:hint="eastAsia" w:eastAsiaTheme="minorEastAsia"/>
          <w:b/>
          <w:bCs/>
          <w:lang w:eastAsia="zh-CN"/>
        </w:rPr>
        <w:t>4</w:t>
      </w:r>
      <w:r>
        <w:rPr>
          <w:rFonts w:eastAsiaTheme="minorEastAsia"/>
          <w:b/>
          <w:bCs/>
          <w:lang w:eastAsia="zh-CN"/>
        </w:rPr>
        <w:t>-1  环境空气质量现状监测布点图</w:t>
      </w:r>
    </w:p>
    <w:p>
      <w:pPr>
        <w:keepNext/>
        <w:keepLines/>
        <w:adjustRightInd w:val="0"/>
        <w:snapToGrid w:val="0"/>
        <w:spacing w:line="360" w:lineRule="auto"/>
        <w:outlineLvl w:val="3"/>
        <w:rPr>
          <w:rFonts w:eastAsiaTheme="minorEastAsia"/>
          <w:b/>
          <w:bCs/>
          <w:sz w:val="28"/>
          <w:szCs w:val="28"/>
          <w:lang w:eastAsia="zh-CN"/>
        </w:rPr>
        <w:sectPr>
          <w:pgSz w:w="16838" w:h="11906" w:orient="landscape"/>
          <w:pgMar w:top="1559" w:right="1418" w:bottom="1276" w:left="1418" w:header="851" w:footer="992" w:gutter="0"/>
          <w:cols w:space="720" w:num="1"/>
          <w:docGrid w:linePitch="312" w:charSpace="0"/>
        </w:sectPr>
      </w:pPr>
    </w:p>
    <w:p>
      <w:pPr>
        <w:keepNext/>
        <w:keepLines/>
        <w:adjustRightInd w:val="0"/>
        <w:snapToGrid w:val="0"/>
        <w:spacing w:line="360" w:lineRule="auto"/>
        <w:outlineLvl w:val="3"/>
        <w:rPr>
          <w:rFonts w:eastAsiaTheme="minorEastAsia"/>
          <w:b/>
          <w:bCs/>
          <w:lang w:eastAsia="zh-CN"/>
        </w:rPr>
      </w:pPr>
      <w:r>
        <w:rPr>
          <w:rFonts w:eastAsiaTheme="minorEastAsia"/>
          <w:b/>
          <w:bCs/>
          <w:sz w:val="28"/>
          <w:szCs w:val="28"/>
          <w:lang w:eastAsia="zh-CN"/>
        </w:rPr>
        <w:t>4.</w:t>
      </w:r>
      <w:r>
        <w:rPr>
          <w:rFonts w:hint="eastAsia" w:eastAsiaTheme="minorEastAsia"/>
          <w:b/>
          <w:bCs/>
          <w:sz w:val="28"/>
          <w:szCs w:val="28"/>
          <w:lang w:eastAsia="zh-CN"/>
        </w:rPr>
        <w:t>4</w:t>
      </w:r>
      <w:r>
        <w:rPr>
          <w:rFonts w:eastAsiaTheme="minorEastAsia"/>
          <w:b/>
          <w:bCs/>
          <w:sz w:val="28"/>
          <w:szCs w:val="28"/>
          <w:lang w:eastAsia="zh-CN"/>
        </w:rPr>
        <w:t>.3</w:t>
      </w:r>
      <w:r>
        <w:rPr>
          <w:rFonts w:eastAsiaTheme="minorEastAsia"/>
          <w:b/>
          <w:bCs/>
          <w:lang w:eastAsia="zh-CN"/>
        </w:rPr>
        <w:t>监测项目</w:t>
      </w:r>
      <w:bookmarkEnd w:id="29"/>
      <w:bookmarkEnd w:id="30"/>
    </w:p>
    <w:p>
      <w:pPr>
        <w:adjustRightInd w:val="0"/>
        <w:snapToGrid w:val="0"/>
        <w:spacing w:line="360" w:lineRule="auto"/>
        <w:ind w:firstLine="420" w:firstLineChars="200"/>
        <w:rPr>
          <w:rFonts w:eastAsiaTheme="minorEastAsia"/>
          <w:lang w:eastAsia="zh-CN"/>
        </w:rPr>
      </w:pPr>
      <w:r>
        <w:rPr>
          <w:rFonts w:eastAsiaTheme="minorEastAsia"/>
          <w:lang w:eastAsia="zh-CN"/>
        </w:rPr>
        <w:t>监测项目</w:t>
      </w:r>
      <w:r>
        <w:rPr>
          <w:rFonts w:hint="eastAsia" w:eastAsiaTheme="minorEastAsia"/>
          <w:lang w:eastAsia="zh-CN"/>
        </w:rPr>
        <w:t>非甲烷总烃、甲醛</w:t>
      </w:r>
      <w:r>
        <w:rPr>
          <w:rFonts w:eastAsiaTheme="minorEastAsia"/>
          <w:lang w:eastAsia="zh-CN"/>
        </w:rPr>
        <w:t>，并同步观测风向、风速、气温、气压、云量等常规气象参数。</w:t>
      </w:r>
    </w:p>
    <w:p>
      <w:pPr>
        <w:keepNext/>
        <w:keepLines/>
        <w:adjustRightInd w:val="0"/>
        <w:snapToGrid w:val="0"/>
        <w:spacing w:line="360" w:lineRule="auto"/>
        <w:outlineLvl w:val="3"/>
        <w:rPr>
          <w:rFonts w:eastAsiaTheme="minorEastAsia"/>
          <w:b/>
          <w:bCs/>
          <w:lang w:eastAsia="zh-CN"/>
        </w:rPr>
      </w:pPr>
      <w:bookmarkStart w:id="31" w:name="_Toc330297331"/>
      <w:bookmarkStart w:id="32" w:name="_Toc328376385"/>
      <w:bookmarkStart w:id="33" w:name="_Toc294970463"/>
      <w:r>
        <w:rPr>
          <w:rFonts w:eastAsiaTheme="minorEastAsia"/>
          <w:b/>
          <w:bCs/>
          <w:sz w:val="28"/>
          <w:szCs w:val="28"/>
          <w:lang w:eastAsia="zh-CN"/>
        </w:rPr>
        <w:t>4.</w:t>
      </w:r>
      <w:r>
        <w:rPr>
          <w:rFonts w:hint="eastAsia" w:eastAsiaTheme="minorEastAsia"/>
          <w:b/>
          <w:bCs/>
          <w:sz w:val="28"/>
          <w:szCs w:val="28"/>
          <w:lang w:eastAsia="zh-CN"/>
        </w:rPr>
        <w:t>4</w:t>
      </w:r>
      <w:r>
        <w:rPr>
          <w:rFonts w:eastAsiaTheme="minorEastAsia"/>
          <w:b/>
          <w:bCs/>
          <w:sz w:val="28"/>
          <w:szCs w:val="28"/>
          <w:lang w:eastAsia="zh-CN"/>
        </w:rPr>
        <w:t>.4</w:t>
      </w:r>
      <w:r>
        <w:rPr>
          <w:rFonts w:eastAsiaTheme="minorEastAsia"/>
          <w:b/>
          <w:bCs/>
          <w:lang w:eastAsia="zh-CN"/>
        </w:rPr>
        <w:t>监测频次</w:t>
      </w:r>
      <w:bookmarkEnd w:id="31"/>
      <w:bookmarkEnd w:id="32"/>
      <w:bookmarkEnd w:id="33"/>
    </w:p>
    <w:p>
      <w:pPr>
        <w:adjustRightInd w:val="0"/>
        <w:snapToGrid w:val="0"/>
        <w:spacing w:line="360" w:lineRule="auto"/>
        <w:ind w:firstLine="420" w:firstLineChars="200"/>
        <w:rPr>
          <w:rFonts w:eastAsiaTheme="minorEastAsia"/>
          <w:lang w:eastAsia="zh-CN"/>
        </w:rPr>
      </w:pPr>
      <w:r>
        <w:rPr>
          <w:rFonts w:eastAsiaTheme="minorEastAsia"/>
          <w:lang w:eastAsia="zh-CN"/>
        </w:rPr>
        <w:t>各点位连续7天采样，小时平均浓度每天监测4次，时间为02时、08时、14时、20时。监测时同步记录采样期间气象参数（包括气温、气压、风向、风速、天气状况）。</w:t>
      </w:r>
    </w:p>
    <w:p>
      <w:pPr>
        <w:keepNext/>
        <w:keepLines/>
        <w:adjustRightInd w:val="0"/>
        <w:snapToGrid w:val="0"/>
        <w:spacing w:line="360" w:lineRule="auto"/>
        <w:outlineLvl w:val="3"/>
        <w:rPr>
          <w:rFonts w:eastAsiaTheme="minorEastAsia"/>
          <w:b/>
          <w:bCs/>
          <w:lang w:eastAsia="zh-CN"/>
        </w:rPr>
      </w:pPr>
      <w:bookmarkStart w:id="34" w:name="_Toc330297332"/>
      <w:bookmarkStart w:id="35" w:name="_Toc328376386"/>
      <w:r>
        <w:rPr>
          <w:rFonts w:eastAsiaTheme="minorEastAsia"/>
          <w:b/>
          <w:bCs/>
          <w:sz w:val="28"/>
          <w:szCs w:val="28"/>
          <w:lang w:eastAsia="zh-CN"/>
        </w:rPr>
        <w:t>4.</w:t>
      </w:r>
      <w:r>
        <w:rPr>
          <w:rFonts w:hint="eastAsia" w:eastAsiaTheme="minorEastAsia"/>
          <w:b/>
          <w:bCs/>
          <w:sz w:val="28"/>
          <w:szCs w:val="28"/>
          <w:lang w:eastAsia="zh-CN"/>
        </w:rPr>
        <w:t>4</w:t>
      </w:r>
      <w:r>
        <w:rPr>
          <w:rFonts w:eastAsiaTheme="minorEastAsia"/>
          <w:b/>
          <w:bCs/>
          <w:sz w:val="28"/>
          <w:szCs w:val="28"/>
          <w:lang w:eastAsia="zh-CN"/>
        </w:rPr>
        <w:t>.5</w:t>
      </w:r>
      <w:r>
        <w:rPr>
          <w:rFonts w:eastAsiaTheme="minorEastAsia"/>
          <w:b/>
          <w:bCs/>
          <w:lang w:eastAsia="zh-CN"/>
        </w:rPr>
        <w:t>分析方法</w:t>
      </w:r>
      <w:bookmarkEnd w:id="34"/>
      <w:bookmarkEnd w:id="35"/>
    </w:p>
    <w:p>
      <w:pPr>
        <w:adjustRightInd w:val="0"/>
        <w:snapToGrid w:val="0"/>
        <w:spacing w:line="360" w:lineRule="auto"/>
        <w:ind w:firstLine="420" w:firstLineChars="200"/>
        <w:rPr>
          <w:rFonts w:eastAsiaTheme="minorEastAsia"/>
          <w:color w:val="auto"/>
          <w:highlight w:val="none"/>
          <w:lang w:eastAsia="zh-CN"/>
        </w:rPr>
      </w:pPr>
      <w:r>
        <w:rPr>
          <w:rFonts w:eastAsiaTheme="minorEastAsia"/>
          <w:lang w:eastAsia="zh-CN"/>
        </w:rPr>
        <w:t>监测分析方法执行《环境空气质量标准》（GB3095-2012）</w:t>
      </w:r>
      <w:r>
        <w:rPr>
          <w:rFonts w:hint="eastAsia" w:eastAsiaTheme="minorEastAsia"/>
          <w:lang w:eastAsia="zh-CN"/>
        </w:rPr>
        <w:t>、</w:t>
      </w:r>
      <w:r>
        <w:rPr>
          <w:rFonts w:hint="eastAsia" w:eastAsiaTheme="minorEastAsia"/>
          <w:bCs/>
          <w:szCs w:val="22"/>
          <w:lang w:eastAsia="zh-CN"/>
        </w:rPr>
        <w:t>《环境影响评价技术导则 大气环境》（HJ2.2-2018）</w:t>
      </w:r>
      <w:r>
        <w:rPr>
          <w:rFonts w:eastAsiaTheme="minorEastAsia"/>
          <w:lang w:eastAsia="zh-CN"/>
        </w:rPr>
        <w:t>中有关环境监测方法标准、《空气与废气监测分析方法》中的有关规定以</w:t>
      </w:r>
      <w:r>
        <w:rPr>
          <w:rFonts w:eastAsiaTheme="minorEastAsia"/>
          <w:color w:val="auto"/>
          <w:highlight w:val="none"/>
          <w:lang w:eastAsia="zh-CN"/>
        </w:rPr>
        <w:t>及《环境监测技术规范》中的有关规定，详见表4.</w:t>
      </w:r>
      <w:r>
        <w:rPr>
          <w:rFonts w:hint="eastAsia" w:eastAsiaTheme="minorEastAsia"/>
          <w:color w:val="auto"/>
          <w:highlight w:val="none"/>
          <w:lang w:eastAsia="zh-CN"/>
        </w:rPr>
        <w:t>4</w:t>
      </w:r>
      <w:r>
        <w:rPr>
          <w:rFonts w:eastAsiaTheme="minorEastAsia"/>
          <w:color w:val="auto"/>
          <w:highlight w:val="none"/>
          <w:lang w:eastAsia="zh-CN"/>
        </w:rPr>
        <w:t>-</w:t>
      </w:r>
      <w:r>
        <w:rPr>
          <w:rFonts w:hint="eastAsia" w:eastAsiaTheme="minorEastAsia"/>
          <w:color w:val="auto"/>
          <w:highlight w:val="none"/>
          <w:lang w:eastAsia="zh-CN"/>
        </w:rPr>
        <w:t>2</w:t>
      </w:r>
      <w:r>
        <w:rPr>
          <w:rFonts w:eastAsiaTheme="minorEastAsia"/>
          <w:color w:val="auto"/>
          <w:highlight w:val="none"/>
          <w:lang w:eastAsia="zh-CN"/>
        </w:rPr>
        <w:t>。</w:t>
      </w:r>
    </w:p>
    <w:p>
      <w:pPr>
        <w:adjustRightInd w:val="0"/>
        <w:snapToGrid w:val="0"/>
        <w:spacing w:line="360" w:lineRule="auto"/>
        <w:jc w:val="center"/>
        <w:rPr>
          <w:rFonts w:eastAsiaTheme="minorEastAsia"/>
          <w:b/>
          <w:color w:val="auto"/>
          <w:sz w:val="28"/>
          <w:szCs w:val="32"/>
          <w:highlight w:val="none"/>
          <w:lang w:eastAsia="zh-CN"/>
        </w:rPr>
      </w:pPr>
      <w:r>
        <w:rPr>
          <w:rFonts w:eastAsiaTheme="minorEastAsia"/>
          <w:b/>
          <w:bCs/>
          <w:color w:val="auto"/>
          <w:highlight w:val="none"/>
          <w:lang w:eastAsia="zh-CN"/>
        </w:rPr>
        <w:t>表4.</w:t>
      </w:r>
      <w:r>
        <w:rPr>
          <w:rFonts w:hint="eastAsia" w:eastAsiaTheme="minorEastAsia"/>
          <w:b/>
          <w:bCs/>
          <w:color w:val="auto"/>
          <w:highlight w:val="none"/>
          <w:lang w:eastAsia="zh-CN"/>
        </w:rPr>
        <w:t>4</w:t>
      </w:r>
      <w:r>
        <w:rPr>
          <w:rFonts w:eastAsiaTheme="minorEastAsia"/>
          <w:b/>
          <w:bCs/>
          <w:color w:val="auto"/>
          <w:highlight w:val="none"/>
          <w:lang w:eastAsia="zh-CN"/>
        </w:rPr>
        <w:t>-</w:t>
      </w:r>
      <w:r>
        <w:rPr>
          <w:rFonts w:hint="eastAsia" w:eastAsiaTheme="minorEastAsia"/>
          <w:b/>
          <w:bCs/>
          <w:color w:val="auto"/>
          <w:highlight w:val="none"/>
          <w:lang w:eastAsia="zh-CN"/>
        </w:rPr>
        <w:t>2</w:t>
      </w:r>
      <w:r>
        <w:rPr>
          <w:rFonts w:eastAsiaTheme="minorEastAsia"/>
          <w:b/>
          <w:bCs/>
          <w:color w:val="auto"/>
          <w:highlight w:val="none"/>
          <w:lang w:eastAsia="zh-CN"/>
        </w:rPr>
        <w:t>项目环境空气现状监测项目及分析方法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837"/>
        <w:gridCol w:w="3068"/>
        <w:gridCol w:w="2526"/>
        <w:gridCol w:w="185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23" w:hRule="atLeast"/>
          <w:jc w:val="center"/>
        </w:trPr>
        <w:tc>
          <w:tcPr>
            <w:tcW w:w="1837" w:type="dxa"/>
            <w:tcBorders>
              <w:bottom w:val="single" w:color="auto" w:sz="2" w:space="0"/>
            </w:tcBorders>
            <w:shd w:val="clear" w:color="auto" w:fill="auto"/>
            <w:vAlign w:val="center"/>
          </w:tcPr>
          <w:p>
            <w:pPr>
              <w:adjustRightInd w:val="0"/>
              <w:snapToGrid w:val="0"/>
              <w:jc w:val="center"/>
              <w:rPr>
                <w:rFonts w:eastAsiaTheme="minorEastAsia"/>
                <w:color w:val="auto"/>
                <w:sz w:val="21"/>
                <w:szCs w:val="21"/>
                <w:highlight w:val="none"/>
              </w:rPr>
            </w:pPr>
            <w:r>
              <w:rPr>
                <w:rFonts w:eastAsiaTheme="minorEastAsia"/>
                <w:color w:val="auto"/>
                <w:sz w:val="21"/>
                <w:szCs w:val="21"/>
                <w:highlight w:val="none"/>
              </w:rPr>
              <w:t>项目名称</w:t>
            </w:r>
          </w:p>
        </w:tc>
        <w:tc>
          <w:tcPr>
            <w:tcW w:w="3068" w:type="dxa"/>
            <w:tcBorders>
              <w:bottom w:val="single" w:color="auto" w:sz="2" w:space="0"/>
            </w:tcBorders>
            <w:shd w:val="clear" w:color="auto" w:fill="auto"/>
            <w:vAlign w:val="center"/>
          </w:tcPr>
          <w:p>
            <w:pPr>
              <w:adjustRightInd w:val="0"/>
              <w:snapToGrid w:val="0"/>
              <w:jc w:val="center"/>
              <w:rPr>
                <w:rFonts w:eastAsiaTheme="minorEastAsia"/>
                <w:color w:val="auto"/>
                <w:sz w:val="21"/>
                <w:szCs w:val="21"/>
                <w:highlight w:val="none"/>
              </w:rPr>
            </w:pPr>
            <w:r>
              <w:rPr>
                <w:rFonts w:eastAsiaTheme="minorEastAsia"/>
                <w:color w:val="auto"/>
                <w:sz w:val="21"/>
                <w:szCs w:val="21"/>
                <w:highlight w:val="none"/>
              </w:rPr>
              <w:t>分析方法及依据</w:t>
            </w:r>
          </w:p>
        </w:tc>
        <w:tc>
          <w:tcPr>
            <w:tcW w:w="2526" w:type="dxa"/>
            <w:tcBorders>
              <w:bottom w:val="single" w:color="auto" w:sz="2" w:space="0"/>
            </w:tcBorders>
            <w:shd w:val="clear" w:color="auto" w:fill="auto"/>
            <w:vAlign w:val="center"/>
          </w:tcPr>
          <w:p>
            <w:pPr>
              <w:adjustRightInd w:val="0"/>
              <w:snapToGrid w:val="0"/>
              <w:jc w:val="center"/>
              <w:rPr>
                <w:rFonts w:eastAsiaTheme="minorEastAsia"/>
                <w:color w:val="auto"/>
                <w:sz w:val="21"/>
                <w:szCs w:val="21"/>
                <w:highlight w:val="none"/>
              </w:rPr>
            </w:pPr>
            <w:r>
              <w:rPr>
                <w:rFonts w:hint="eastAsia" w:eastAsiaTheme="minorEastAsia"/>
                <w:color w:val="auto"/>
                <w:sz w:val="21"/>
                <w:szCs w:val="21"/>
                <w:highlight w:val="none"/>
                <w:lang w:eastAsia="zh-CN"/>
              </w:rPr>
              <w:t>检测仪器</w:t>
            </w:r>
            <w:r>
              <w:rPr>
                <w:rFonts w:eastAsiaTheme="minorEastAsia"/>
                <w:color w:val="auto"/>
                <w:sz w:val="21"/>
                <w:szCs w:val="21"/>
                <w:highlight w:val="none"/>
              </w:rPr>
              <w:t>及型号</w:t>
            </w:r>
          </w:p>
        </w:tc>
        <w:tc>
          <w:tcPr>
            <w:tcW w:w="1856" w:type="dxa"/>
            <w:tcBorders>
              <w:bottom w:val="single" w:color="auto" w:sz="2" w:space="0"/>
            </w:tcBorders>
            <w:shd w:val="clear" w:color="auto" w:fill="auto"/>
            <w:vAlign w:val="center"/>
          </w:tcPr>
          <w:p>
            <w:pPr>
              <w:adjustRightInd w:val="0"/>
              <w:snapToGrid w:val="0"/>
              <w:jc w:val="center"/>
              <w:rPr>
                <w:rFonts w:eastAsiaTheme="minorEastAsia"/>
                <w:color w:val="auto"/>
                <w:sz w:val="21"/>
                <w:szCs w:val="21"/>
                <w:highlight w:val="none"/>
              </w:rPr>
            </w:pPr>
            <w:r>
              <w:rPr>
                <w:rFonts w:eastAsiaTheme="minorEastAsia"/>
                <w:color w:val="auto"/>
                <w:sz w:val="21"/>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021" w:hRule="atLeast"/>
          <w:jc w:val="center"/>
        </w:trPr>
        <w:tc>
          <w:tcPr>
            <w:tcW w:w="1837" w:type="dxa"/>
            <w:vMerge w:val="restart"/>
            <w:tcBorders>
              <w:top w:val="single" w:color="auto" w:sz="2" w:space="0"/>
            </w:tcBorders>
            <w:shd w:val="clear" w:color="auto" w:fill="auto"/>
            <w:vAlign w:val="center"/>
          </w:tcPr>
          <w:p>
            <w:pPr>
              <w:widowControl/>
              <w:tabs>
                <w:tab w:val="left" w:pos="0"/>
              </w:tabs>
              <w:adjustRightInd w:val="0"/>
              <w:snapToGrid w:val="0"/>
              <w:jc w:val="center"/>
              <w:rPr>
                <w:rFonts w:eastAsiaTheme="minorEastAsia"/>
                <w:color w:val="auto"/>
                <w:sz w:val="21"/>
                <w:szCs w:val="21"/>
                <w:highlight w:val="none"/>
                <w:lang w:eastAsia="zh-CN"/>
              </w:rPr>
            </w:pPr>
            <w:r>
              <w:rPr>
                <w:rFonts w:hint="eastAsia" w:eastAsiaTheme="minorEastAsia"/>
                <w:color w:val="auto"/>
                <w:sz w:val="21"/>
                <w:szCs w:val="21"/>
                <w:highlight w:val="none"/>
                <w:lang w:eastAsia="zh-CN"/>
              </w:rPr>
              <w:t>非甲烷总烃</w:t>
            </w:r>
          </w:p>
        </w:tc>
        <w:tc>
          <w:tcPr>
            <w:tcW w:w="3068" w:type="dxa"/>
            <w:vMerge w:val="restart"/>
            <w:tcBorders>
              <w:top w:val="single" w:color="auto" w:sz="2" w:space="0"/>
            </w:tcBorders>
            <w:shd w:val="clear" w:color="auto" w:fill="auto"/>
            <w:vAlign w:val="center"/>
          </w:tcPr>
          <w:p>
            <w:pPr>
              <w:pStyle w:val="700"/>
              <w:widowControl/>
              <w:adjustRightInd w:val="0"/>
              <w:snapToGrid w:val="0"/>
              <w:spacing w:line="240" w:lineRule="auto"/>
              <w:ind w:firstLine="0" w:firstLineChars="0"/>
              <w:jc w:val="center"/>
              <w:rPr>
                <w:rFonts w:eastAsiaTheme="minorEastAsia"/>
                <w:color w:val="auto"/>
                <w:sz w:val="21"/>
                <w:szCs w:val="21"/>
                <w:highlight w:val="none"/>
                <w:lang w:eastAsia="zh-CN"/>
              </w:rPr>
            </w:pPr>
            <w:r>
              <w:rPr>
                <w:rFonts w:hint="eastAsia" w:ascii="Times New Roman" w:hAnsi="Times New Roman" w:cs="Times New Roman"/>
                <w:color w:val="auto"/>
                <w:sz w:val="21"/>
                <w:szCs w:val="21"/>
                <w:highlight w:val="none"/>
              </w:rPr>
              <w:t>HJ 604-2017 环境空气 总烃、甲烷和非甲烷总烃的测定 直接进样-气相色谱法</w:t>
            </w:r>
          </w:p>
        </w:tc>
        <w:tc>
          <w:tcPr>
            <w:tcW w:w="2526" w:type="dxa"/>
            <w:tcBorders>
              <w:top w:val="single" w:color="auto" w:sz="2" w:space="0"/>
            </w:tcBorders>
            <w:shd w:val="clear" w:color="auto" w:fill="auto"/>
            <w:vAlign w:val="center"/>
          </w:tcPr>
          <w:p>
            <w:pPr>
              <w:jc w:val="center"/>
              <w:rPr>
                <w:color w:val="auto"/>
                <w:sz w:val="21"/>
                <w:szCs w:val="21"/>
                <w:highlight w:val="none"/>
              </w:rPr>
            </w:pPr>
            <w:r>
              <w:rPr>
                <w:rFonts w:hint="eastAsia" w:ascii="Times New Roman" w:hAnsi="Times New Roman" w:eastAsia="宋体" w:cs="Times New Roman"/>
                <w:color w:val="000000"/>
                <w:sz w:val="21"/>
                <w:szCs w:val="21"/>
              </w:rPr>
              <w:t>GC-7820气相色谱仪U211</w:t>
            </w:r>
            <w:r>
              <w:rPr>
                <w:rFonts w:hint="eastAsia" w:ascii="Times New Roman" w:hAnsi="Times New Roman" w:eastAsia="宋体" w:cs="Times New Roman"/>
                <w:color w:val="000000"/>
                <w:sz w:val="21"/>
                <w:szCs w:val="21"/>
                <w:lang w:val="en-US" w:eastAsia="zh-CN"/>
              </w:rPr>
              <w:t>04</w:t>
            </w:r>
          </w:p>
        </w:tc>
        <w:tc>
          <w:tcPr>
            <w:tcW w:w="1856" w:type="dxa"/>
            <w:vMerge w:val="restart"/>
            <w:tcBorders>
              <w:top w:val="single" w:color="auto" w:sz="2" w:space="0"/>
            </w:tcBorders>
            <w:shd w:val="clear" w:color="auto" w:fill="auto"/>
            <w:vAlign w:val="center"/>
          </w:tcPr>
          <w:p>
            <w:pPr>
              <w:widowControl/>
              <w:tabs>
                <w:tab w:val="left" w:pos="0"/>
              </w:tabs>
              <w:adjustRightInd w:val="0"/>
              <w:snapToGrid w:val="0"/>
              <w:jc w:val="center"/>
              <w:rPr>
                <w:rFonts w:eastAsiaTheme="minorEastAsia"/>
                <w:color w:val="auto"/>
                <w:sz w:val="21"/>
                <w:szCs w:val="21"/>
                <w:highlight w:val="none"/>
              </w:rPr>
            </w:pPr>
            <w:r>
              <w:rPr>
                <w:rFonts w:hint="eastAsia" w:ascii="Times New Roman" w:hAnsi="Times New Roman" w:eastAsia="宋体" w:cs="Times New Roman"/>
                <w:color w:val="auto"/>
                <w:sz w:val="21"/>
                <w:szCs w:val="21"/>
                <w:highlight w:val="none"/>
              </w:rPr>
              <w:t>0.07mg/m</w:t>
            </w:r>
            <w:r>
              <w:rPr>
                <w:rFonts w:hint="eastAsia" w:ascii="Times New Roman" w:hAnsi="Times New Roman" w:eastAsia="宋体" w:cs="Times New Roman"/>
                <w:color w:val="auto"/>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45" w:hRule="atLeast"/>
          <w:jc w:val="center"/>
        </w:trPr>
        <w:tc>
          <w:tcPr>
            <w:tcW w:w="1837" w:type="dxa"/>
            <w:shd w:val="clear" w:color="auto" w:fill="auto"/>
            <w:vAlign w:val="center"/>
          </w:tcPr>
          <w:p>
            <w:pPr>
              <w:pStyle w:val="700"/>
              <w:widowControl/>
              <w:adjustRightInd w:val="0"/>
              <w:snapToGrid w:val="0"/>
              <w:spacing w:line="240" w:lineRule="auto"/>
              <w:ind w:firstLine="0" w:firstLineChars="0"/>
              <w:jc w:val="center"/>
              <w:rPr>
                <w:rFonts w:eastAsiaTheme="minorEastAsia"/>
                <w:color w:val="auto"/>
                <w:sz w:val="21"/>
                <w:szCs w:val="21"/>
                <w:highlight w:val="none"/>
                <w:lang w:eastAsia="zh-CN"/>
              </w:rPr>
            </w:pPr>
            <w:r>
              <w:rPr>
                <w:rFonts w:hint="eastAsia" w:eastAsiaTheme="minorEastAsia"/>
                <w:color w:val="auto"/>
                <w:sz w:val="21"/>
                <w:szCs w:val="21"/>
                <w:highlight w:val="none"/>
                <w:lang w:eastAsia="zh-CN"/>
              </w:rPr>
              <w:t>甲醛</w:t>
            </w:r>
          </w:p>
        </w:tc>
        <w:tc>
          <w:tcPr>
            <w:tcW w:w="3068" w:type="dxa"/>
            <w:shd w:val="clear" w:color="auto" w:fill="auto"/>
            <w:vAlign w:val="center"/>
          </w:tcPr>
          <w:p>
            <w:pPr>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HJ 683-2014 环境空气 醛、酮</w:t>
            </w:r>
          </w:p>
          <w:p>
            <w:pPr>
              <w:jc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类化合物的测定 高效液相色</w:t>
            </w:r>
          </w:p>
          <w:p>
            <w:pPr>
              <w:jc w:val="center"/>
              <w:rPr>
                <w:rFonts w:eastAsiaTheme="minorEastAsia"/>
                <w:color w:val="auto"/>
                <w:sz w:val="21"/>
                <w:szCs w:val="21"/>
                <w:highlight w:val="none"/>
                <w:lang w:eastAsia="zh-CN"/>
              </w:rPr>
            </w:pPr>
            <w:r>
              <w:rPr>
                <w:rFonts w:hint="eastAsia" w:ascii="Times New Roman" w:hAnsi="Times New Roman" w:cs="Times New Roman"/>
                <w:color w:val="auto"/>
                <w:sz w:val="21"/>
                <w:szCs w:val="21"/>
                <w:highlight w:val="none"/>
              </w:rPr>
              <w:t>谱法</w:t>
            </w:r>
          </w:p>
        </w:tc>
        <w:tc>
          <w:tcPr>
            <w:tcW w:w="2526" w:type="dxa"/>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1260 Infinity 高效液相色</w:t>
            </w:r>
          </w:p>
          <w:p>
            <w:pPr>
              <w:jc w:val="center"/>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谱仪 124</w:t>
            </w:r>
          </w:p>
        </w:tc>
        <w:tc>
          <w:tcPr>
            <w:tcW w:w="1856" w:type="dxa"/>
            <w:shd w:val="clear" w:color="auto" w:fill="auto"/>
            <w:vAlign w:val="center"/>
          </w:tcPr>
          <w:p>
            <w:pPr>
              <w:pStyle w:val="700"/>
              <w:widowControl/>
              <w:adjustRightInd w:val="0"/>
              <w:snapToGrid w:val="0"/>
              <w:spacing w:line="240" w:lineRule="auto"/>
              <w:ind w:firstLine="0" w:firstLineChars="0"/>
              <w:jc w:val="center"/>
              <w:rPr>
                <w:rFonts w:eastAsiaTheme="minorEastAsia"/>
                <w:color w:val="auto"/>
                <w:sz w:val="21"/>
                <w:szCs w:val="21"/>
                <w:highlight w:val="none"/>
              </w:rPr>
            </w:pPr>
            <w:r>
              <w:rPr>
                <w:rFonts w:hint="eastAsia" w:ascii="Times New Roman" w:hAnsi="Times New Roman" w:eastAsia="宋体" w:cs="Times New Roman"/>
                <w:color w:val="auto"/>
                <w:kern w:val="2"/>
                <w:sz w:val="21"/>
                <w:szCs w:val="21"/>
                <w:highlight w:val="none"/>
              </w:rPr>
              <w:t>0.</w:t>
            </w:r>
            <w:r>
              <w:rPr>
                <w:rFonts w:hint="eastAsia" w:ascii="Times New Roman" w:hAnsi="Times New Roman" w:eastAsia="宋体" w:cs="Times New Roman"/>
                <w:color w:val="auto"/>
                <w:kern w:val="2"/>
                <w:sz w:val="21"/>
                <w:szCs w:val="21"/>
                <w:highlight w:val="none"/>
                <w:lang w:val="en-US" w:eastAsia="zh-CN"/>
              </w:rPr>
              <w:t>2</w:t>
            </w:r>
            <w:r>
              <w:rPr>
                <w:rFonts w:hint="eastAsia" w:eastAsia="宋体" w:cs="Times New Roman"/>
                <w:color w:val="auto"/>
                <w:kern w:val="2"/>
                <w:sz w:val="21"/>
                <w:szCs w:val="21"/>
                <w:highlight w:val="none"/>
                <w:lang w:val="en-US" w:eastAsia="zh-CN"/>
              </w:rPr>
              <w:t>8</w:t>
            </w:r>
            <w:r>
              <w:rPr>
                <w:rFonts w:hint="default" w:ascii="Times New Roman" w:hAnsi="Times New Roman" w:cs="Times New Roman"/>
                <w:sz w:val="21"/>
                <w:szCs w:val="21"/>
              </w:rPr>
              <w:t>μg</w:t>
            </w:r>
            <w:r>
              <w:rPr>
                <w:rFonts w:hint="eastAsia" w:ascii="Times New Roman" w:hAnsi="Times New Roman" w:eastAsia="宋体" w:cs="Times New Roman"/>
                <w:color w:val="auto"/>
                <w:kern w:val="2"/>
                <w:sz w:val="21"/>
                <w:szCs w:val="21"/>
                <w:highlight w:val="none"/>
              </w:rPr>
              <w:t>/m</w:t>
            </w:r>
            <w:r>
              <w:rPr>
                <w:rFonts w:hint="eastAsia" w:ascii="Times New Roman" w:hAnsi="Times New Roman" w:eastAsia="宋体" w:cs="Times New Roman"/>
                <w:color w:val="auto"/>
                <w:kern w:val="2"/>
                <w:sz w:val="21"/>
                <w:szCs w:val="21"/>
                <w:highlight w:val="none"/>
                <w:vertAlign w:val="superscript"/>
              </w:rPr>
              <w:t>3</w:t>
            </w:r>
          </w:p>
        </w:tc>
      </w:tr>
    </w:tbl>
    <w:p>
      <w:pPr>
        <w:keepNext/>
        <w:keepLines/>
        <w:adjustRightInd w:val="0"/>
        <w:snapToGrid w:val="0"/>
        <w:spacing w:line="360" w:lineRule="auto"/>
        <w:outlineLvl w:val="3"/>
        <w:rPr>
          <w:rFonts w:eastAsiaTheme="minorEastAsia"/>
          <w:b/>
          <w:bCs/>
          <w:color w:val="auto"/>
          <w:highlight w:val="none"/>
        </w:rPr>
      </w:pPr>
      <w:bookmarkStart w:id="36" w:name="_Toc328376387"/>
      <w:bookmarkStart w:id="37" w:name="_Toc330297333"/>
      <w:r>
        <w:rPr>
          <w:rFonts w:eastAsiaTheme="minorEastAsia"/>
          <w:b/>
          <w:bCs/>
          <w:color w:val="auto"/>
          <w:sz w:val="28"/>
          <w:szCs w:val="28"/>
          <w:highlight w:val="none"/>
        </w:rPr>
        <w:t>4.</w:t>
      </w:r>
      <w:r>
        <w:rPr>
          <w:rFonts w:hint="eastAsia" w:eastAsiaTheme="minorEastAsia"/>
          <w:b/>
          <w:bCs/>
          <w:color w:val="auto"/>
          <w:sz w:val="28"/>
          <w:szCs w:val="28"/>
          <w:highlight w:val="none"/>
          <w:lang w:eastAsia="zh-CN"/>
        </w:rPr>
        <w:t>4</w:t>
      </w:r>
      <w:r>
        <w:rPr>
          <w:rFonts w:eastAsiaTheme="minorEastAsia"/>
          <w:b/>
          <w:bCs/>
          <w:color w:val="auto"/>
          <w:sz w:val="28"/>
          <w:szCs w:val="28"/>
          <w:highlight w:val="none"/>
        </w:rPr>
        <w:t>.6</w:t>
      </w:r>
      <w:r>
        <w:rPr>
          <w:rFonts w:eastAsiaTheme="minorEastAsia"/>
          <w:b/>
          <w:bCs/>
          <w:color w:val="auto"/>
          <w:highlight w:val="none"/>
        </w:rPr>
        <w:t>监测结果</w:t>
      </w:r>
      <w:bookmarkEnd w:id="36"/>
      <w:bookmarkEnd w:id="37"/>
    </w:p>
    <w:p>
      <w:pPr>
        <w:adjustRightInd w:val="0"/>
        <w:snapToGrid w:val="0"/>
        <w:spacing w:line="360" w:lineRule="auto"/>
        <w:ind w:firstLine="420" w:firstLineChars="200"/>
        <w:rPr>
          <w:rFonts w:eastAsiaTheme="minorEastAsia"/>
          <w:color w:val="auto"/>
          <w:highlight w:val="none"/>
          <w:lang w:eastAsia="zh-CN"/>
        </w:rPr>
      </w:pPr>
      <w:r>
        <w:rPr>
          <w:rFonts w:eastAsiaTheme="minorEastAsia"/>
          <w:color w:val="auto"/>
          <w:highlight w:val="none"/>
          <w:lang w:eastAsia="zh-CN"/>
        </w:rPr>
        <w:t>现状监测期间</w:t>
      </w:r>
      <w:r>
        <w:rPr>
          <w:rFonts w:eastAsiaTheme="minorEastAsia"/>
          <w:bCs/>
          <w:color w:val="auto"/>
          <w:highlight w:val="none"/>
          <w:lang w:eastAsia="zh-CN"/>
        </w:rPr>
        <w:t>气象参数数据详见表4.</w:t>
      </w:r>
      <w:r>
        <w:rPr>
          <w:rFonts w:hint="eastAsia" w:eastAsiaTheme="minorEastAsia"/>
          <w:bCs/>
          <w:color w:val="auto"/>
          <w:highlight w:val="none"/>
          <w:lang w:eastAsia="zh-CN"/>
        </w:rPr>
        <w:t>4</w:t>
      </w:r>
      <w:r>
        <w:rPr>
          <w:rFonts w:eastAsiaTheme="minorEastAsia"/>
          <w:bCs/>
          <w:color w:val="auto"/>
          <w:highlight w:val="none"/>
          <w:lang w:eastAsia="zh-CN"/>
        </w:rPr>
        <w:t>-</w:t>
      </w:r>
      <w:r>
        <w:rPr>
          <w:rFonts w:hint="eastAsia" w:eastAsiaTheme="minorEastAsia"/>
          <w:bCs/>
          <w:color w:val="auto"/>
          <w:highlight w:val="none"/>
          <w:lang w:eastAsia="zh-CN"/>
        </w:rPr>
        <w:t>3</w:t>
      </w:r>
      <w:r>
        <w:rPr>
          <w:rFonts w:eastAsiaTheme="minorEastAsia"/>
          <w:bCs/>
          <w:color w:val="auto"/>
          <w:highlight w:val="none"/>
          <w:lang w:eastAsia="zh-CN"/>
        </w:rPr>
        <w:t>；</w:t>
      </w:r>
      <w:r>
        <w:rPr>
          <w:rFonts w:eastAsiaTheme="minorEastAsia"/>
          <w:color w:val="auto"/>
          <w:highlight w:val="none"/>
          <w:lang w:eastAsia="zh-CN"/>
        </w:rPr>
        <w:t>项目环境空气现状监测结果详见表4.</w:t>
      </w:r>
      <w:r>
        <w:rPr>
          <w:rFonts w:hint="eastAsia" w:eastAsiaTheme="minorEastAsia"/>
          <w:color w:val="auto"/>
          <w:highlight w:val="none"/>
          <w:lang w:eastAsia="zh-CN"/>
        </w:rPr>
        <w:t>4</w:t>
      </w:r>
      <w:r>
        <w:rPr>
          <w:rFonts w:eastAsiaTheme="minorEastAsia"/>
          <w:color w:val="auto"/>
          <w:highlight w:val="none"/>
          <w:lang w:eastAsia="zh-CN"/>
        </w:rPr>
        <w:t>-</w:t>
      </w:r>
      <w:r>
        <w:rPr>
          <w:rFonts w:hint="eastAsia" w:eastAsiaTheme="minorEastAsia"/>
          <w:color w:val="auto"/>
          <w:highlight w:val="none"/>
          <w:lang w:eastAsia="zh-CN"/>
        </w:rPr>
        <w:t>4</w:t>
      </w:r>
      <w:r>
        <w:rPr>
          <w:rFonts w:eastAsiaTheme="minorEastAsia"/>
          <w:color w:val="auto"/>
          <w:highlight w:val="none"/>
          <w:lang w:eastAsia="zh-CN"/>
        </w:rPr>
        <w:t>。</w:t>
      </w:r>
    </w:p>
    <w:p>
      <w:pPr>
        <w:adjustRightInd w:val="0"/>
        <w:snapToGrid w:val="0"/>
        <w:spacing w:line="360" w:lineRule="auto"/>
        <w:jc w:val="center"/>
        <w:rPr>
          <w:rFonts w:eastAsiaTheme="minorEastAsia"/>
          <w:b/>
          <w:bCs/>
          <w:color w:val="auto"/>
          <w:highlight w:val="none"/>
          <w:lang w:eastAsia="zh-CN"/>
        </w:rPr>
      </w:pPr>
      <w:r>
        <w:rPr>
          <w:rFonts w:eastAsiaTheme="minorEastAsia"/>
          <w:b/>
          <w:bCs/>
          <w:color w:val="auto"/>
          <w:highlight w:val="none"/>
          <w:lang w:eastAsia="zh-CN"/>
        </w:rPr>
        <w:t>表4.</w:t>
      </w:r>
      <w:r>
        <w:rPr>
          <w:rFonts w:hint="eastAsia" w:eastAsiaTheme="minorEastAsia"/>
          <w:b/>
          <w:bCs/>
          <w:color w:val="auto"/>
          <w:highlight w:val="none"/>
          <w:lang w:eastAsia="zh-CN"/>
        </w:rPr>
        <w:t>4</w:t>
      </w:r>
      <w:r>
        <w:rPr>
          <w:rFonts w:eastAsiaTheme="minorEastAsia"/>
          <w:b/>
          <w:bCs/>
          <w:color w:val="auto"/>
          <w:highlight w:val="none"/>
          <w:lang w:eastAsia="zh-CN"/>
        </w:rPr>
        <w:t>-</w:t>
      </w:r>
      <w:r>
        <w:rPr>
          <w:rFonts w:hint="eastAsia" w:eastAsiaTheme="minorEastAsia"/>
          <w:b/>
          <w:bCs/>
          <w:color w:val="auto"/>
          <w:highlight w:val="none"/>
          <w:lang w:eastAsia="zh-CN"/>
        </w:rPr>
        <w:t>3（</w:t>
      </w:r>
      <w:r>
        <w:rPr>
          <w:rFonts w:hint="eastAsia" w:eastAsiaTheme="minorEastAsia"/>
          <w:b/>
          <w:bCs/>
          <w:color w:val="auto"/>
          <w:highlight w:val="none"/>
          <w:lang w:val="en-US" w:eastAsia="zh-CN"/>
        </w:rPr>
        <w:t>1</w:t>
      </w:r>
      <w:r>
        <w:rPr>
          <w:rFonts w:hint="eastAsia" w:eastAsiaTheme="minorEastAsia"/>
          <w:b/>
          <w:bCs/>
          <w:color w:val="auto"/>
          <w:highlight w:val="none"/>
          <w:lang w:eastAsia="zh-CN"/>
        </w:rPr>
        <w:t>）</w:t>
      </w:r>
      <w:r>
        <w:rPr>
          <w:rFonts w:eastAsiaTheme="minorEastAsia"/>
          <w:b/>
          <w:bCs/>
          <w:color w:val="auto"/>
          <w:highlight w:val="none"/>
          <w:lang w:eastAsia="zh-CN"/>
        </w:rPr>
        <w:t xml:space="preserve">  现状监测期间气象参数一览表</w:t>
      </w:r>
    </w:p>
    <w:tbl>
      <w:tblPr>
        <w:tblStyle w:val="8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0"/>
        <w:gridCol w:w="932"/>
        <w:gridCol w:w="1136"/>
        <w:gridCol w:w="1413"/>
        <w:gridCol w:w="1179"/>
        <w:gridCol w:w="1279"/>
        <w:gridCol w:w="1079"/>
        <w:gridCol w:w="1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190" w:type="dxa"/>
            <w:tcBorders>
              <w:top w:val="single" w:color="000000" w:sz="4" w:space="0"/>
              <w:left w:val="single" w:color="000000" w:sz="4" w:space="0"/>
              <w:bottom w:val="single" w:color="000000" w:sz="4" w:space="0"/>
              <w:right w:val="single" w:color="auto" w:sz="4" w:space="0"/>
            </w:tcBorders>
            <w:vAlign w:val="center"/>
          </w:tcPr>
          <w:p>
            <w:pPr>
              <w:widowControl/>
              <w:spacing w:line="0" w:lineRule="atLeast"/>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检测日期</w:t>
            </w:r>
          </w:p>
        </w:tc>
        <w:tc>
          <w:tcPr>
            <w:tcW w:w="932" w:type="dxa"/>
            <w:tcBorders>
              <w:top w:val="single" w:color="000000" w:sz="4" w:space="0"/>
              <w:left w:val="single" w:color="000000" w:sz="4" w:space="0"/>
              <w:bottom w:val="single" w:color="000000" w:sz="4" w:space="0"/>
              <w:right w:val="single" w:color="auto" w:sz="4" w:space="0"/>
            </w:tcBorders>
            <w:vAlign w:val="center"/>
          </w:tcPr>
          <w:p>
            <w:pPr>
              <w:widowControl/>
              <w:spacing w:line="0" w:lineRule="atLeast"/>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时间</w:t>
            </w:r>
          </w:p>
        </w:tc>
        <w:tc>
          <w:tcPr>
            <w:tcW w:w="1136"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b/>
                <w:bCs/>
                <w:sz w:val="21"/>
                <w:szCs w:val="21"/>
              </w:rPr>
            </w:pPr>
            <w:r>
              <w:rPr>
                <w:rFonts w:hint="eastAsia" w:eastAsia="宋体" w:cs="Times New Roman"/>
                <w:b/>
                <w:bCs/>
                <w:sz w:val="21"/>
                <w:szCs w:val="21"/>
                <w:lang w:eastAsia="zh-CN"/>
              </w:rPr>
              <w:t>气温</w:t>
            </w:r>
            <w:r>
              <w:rPr>
                <w:rFonts w:hint="eastAsia" w:ascii="Times New Roman" w:hAnsi="Times New Roman" w:eastAsia="宋体" w:cs="Times New Roman"/>
                <w:b/>
                <w:bCs/>
                <w:sz w:val="21"/>
                <w:szCs w:val="21"/>
              </w:rPr>
              <w:t>（℃）</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气压</w:t>
            </w:r>
            <w:r>
              <w:rPr>
                <w:rFonts w:hint="eastAsia" w:ascii="Times New Roman" w:hAnsi="Times New Roman" w:eastAsia="宋体" w:cs="Times New Roman"/>
                <w:b/>
                <w:bCs/>
                <w:sz w:val="21"/>
                <w:szCs w:val="21"/>
              </w:rPr>
              <w:t>（</w:t>
            </w:r>
            <w:r>
              <w:rPr>
                <w:rFonts w:hint="eastAsia" w:eastAsia="宋体" w:cs="Times New Roman"/>
                <w:b/>
                <w:bCs/>
                <w:sz w:val="21"/>
                <w:szCs w:val="21"/>
                <w:lang w:val="en-US" w:eastAsia="zh-CN"/>
              </w:rPr>
              <w:t>h</w:t>
            </w:r>
            <w:r>
              <w:rPr>
                <w:rFonts w:hint="eastAsia" w:ascii="Times New Roman" w:hAnsi="Times New Roman" w:eastAsia="宋体" w:cs="Times New Roman"/>
                <w:b/>
                <w:bCs/>
                <w:sz w:val="21"/>
                <w:szCs w:val="21"/>
              </w:rPr>
              <w:t>pa）</w:t>
            </w:r>
          </w:p>
        </w:tc>
        <w:tc>
          <w:tcPr>
            <w:tcW w:w="1179" w:type="dxa"/>
            <w:tcBorders>
              <w:top w:val="single" w:color="000000" w:sz="4" w:space="0"/>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湿度（</w:t>
            </w:r>
            <w:r>
              <w:rPr>
                <w:rFonts w:hint="eastAsia" w:eastAsia="宋体" w:cs="Times New Roman"/>
                <w:b/>
                <w:bCs/>
                <w:sz w:val="21"/>
                <w:szCs w:val="21"/>
                <w:lang w:val="en-US" w:eastAsia="zh-CN"/>
              </w:rPr>
              <w:t>%</w:t>
            </w:r>
            <w:r>
              <w:rPr>
                <w:rFonts w:hint="eastAsia" w:eastAsia="宋体" w:cs="Times New Roman"/>
                <w:b/>
                <w:bCs/>
                <w:sz w:val="21"/>
                <w:szCs w:val="21"/>
                <w:lang w:eastAsia="zh-CN"/>
              </w:rPr>
              <w:t>）</w:t>
            </w:r>
          </w:p>
        </w:tc>
        <w:tc>
          <w:tcPr>
            <w:tcW w:w="127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风向</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风速</w:t>
            </w:r>
            <w:r>
              <w:rPr>
                <w:rFonts w:hint="eastAsia" w:ascii="Times New Roman" w:hAnsi="Times New Roman" w:eastAsia="宋体" w:cs="Times New Roman"/>
                <w:b/>
                <w:bCs/>
                <w:sz w:val="21"/>
                <w:szCs w:val="21"/>
              </w:rPr>
              <w:t>（m/s）</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eastAsia" w:ascii="Times New Roman" w:hAnsi="Times New Roman" w:eastAsia="宋体" w:cs="Times New Roman"/>
                <w:b/>
                <w:bCs/>
                <w:sz w:val="21"/>
                <w:szCs w:val="21"/>
                <w:lang w:eastAsia="zh-CN"/>
              </w:rPr>
            </w:pPr>
            <w:r>
              <w:rPr>
                <w:rFonts w:hint="eastAsia" w:eastAsia="宋体" w:cs="Times New Roman"/>
                <w:b/>
                <w:bCs/>
                <w:sz w:val="21"/>
                <w:szCs w:val="21"/>
                <w:lang w:eastAsia="zh-CN"/>
              </w:rPr>
              <w:t>云量（总</w:t>
            </w:r>
            <w:r>
              <w:rPr>
                <w:rFonts w:hint="eastAsia" w:eastAsia="宋体" w:cs="Times New Roman"/>
                <w:b/>
                <w:bCs/>
                <w:sz w:val="21"/>
                <w:szCs w:val="21"/>
                <w:lang w:val="en-US" w:eastAsia="zh-CN"/>
              </w:rPr>
              <w:t>/低</w:t>
            </w:r>
            <w:r>
              <w:rPr>
                <w:rFonts w:hint="eastAsia" w:eastAsia="宋体" w:cs="Times New Roman"/>
                <w:b/>
                <w:bCs/>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restart"/>
            <w:tcBorders>
              <w:top w:val="single" w:color="000000" w:sz="4" w:space="0"/>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202</w:t>
            </w:r>
            <w:r>
              <w:rPr>
                <w:rFonts w:hint="eastAsia" w:eastAsia="宋体" w:cs="Times New Roman"/>
                <w:sz w:val="21"/>
                <w:szCs w:val="21"/>
                <w:lang w:val="en-US" w:eastAsia="zh-CN"/>
              </w:rPr>
              <w:t>2</w:t>
            </w:r>
            <w:r>
              <w:rPr>
                <w:rFonts w:hint="eastAsia" w:ascii="Times New Roman" w:hAnsi="Times New Roman" w:cs="Times New Roman"/>
                <w:sz w:val="21"/>
                <w:szCs w:val="21"/>
              </w:rPr>
              <w:t>.12.0</w:t>
            </w:r>
            <w:r>
              <w:rPr>
                <w:rFonts w:hint="eastAsia" w:eastAsia="宋体" w:cs="Times New Roman"/>
                <w:sz w:val="21"/>
                <w:szCs w:val="21"/>
                <w:lang w:val="en-US" w:eastAsia="zh-CN"/>
              </w:rPr>
              <w:t>1</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-5.4</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1020.4</w:t>
            </w:r>
          </w:p>
        </w:tc>
        <w:tc>
          <w:tcPr>
            <w:tcW w:w="1179" w:type="dxa"/>
            <w:tcBorders>
              <w:top w:val="single" w:color="000000" w:sz="4" w:space="0"/>
              <w:left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49.5</w:t>
            </w:r>
          </w:p>
        </w:tc>
        <w:tc>
          <w:tcPr>
            <w:tcW w:w="12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lang w:val="en-US" w:eastAsia="zh-CN"/>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1.9</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1010.1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48.5</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1.9</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4.1</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1005.4</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46.1</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-1.1</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1013.4</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49.0</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restart"/>
            <w:tcBorders>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202</w:t>
            </w:r>
            <w:r>
              <w:rPr>
                <w:rFonts w:hint="eastAsia" w:eastAsia="宋体" w:cs="Times New Roman"/>
                <w:sz w:val="21"/>
                <w:szCs w:val="21"/>
                <w:lang w:val="en-US" w:eastAsia="zh-CN"/>
              </w:rPr>
              <w:t>2</w:t>
            </w:r>
            <w:r>
              <w:rPr>
                <w:rFonts w:hint="eastAsia" w:ascii="Times New Roman" w:hAnsi="Times New Roman" w:cs="Times New Roman"/>
                <w:sz w:val="21"/>
                <w:szCs w:val="21"/>
              </w:rPr>
              <w:t>.12.0</w:t>
            </w:r>
            <w:r>
              <w:rPr>
                <w:rFonts w:hint="eastAsia" w:eastAsia="宋体" w:cs="Times New Roman"/>
                <w:sz w:val="21"/>
                <w:szCs w:val="21"/>
                <w:lang w:val="en-US" w:eastAsia="zh-CN"/>
              </w:rPr>
              <w:t>2</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1004.4</w:t>
            </w:r>
          </w:p>
        </w:tc>
        <w:tc>
          <w:tcPr>
            <w:tcW w:w="11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48.4</w:t>
            </w:r>
          </w:p>
        </w:tc>
        <w:tc>
          <w:tcPr>
            <w:tcW w:w="1279" w:type="dxa"/>
            <w:tcBorders>
              <w:top w:val="single" w:color="000000" w:sz="4" w:space="0"/>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0.8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1010.1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48.0</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2.8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1013.1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47.0</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-1.5</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1006.4</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48.2</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restart"/>
            <w:tcBorders>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202</w:t>
            </w:r>
            <w:r>
              <w:rPr>
                <w:rFonts w:hint="eastAsia" w:eastAsia="宋体" w:cs="Times New Roman"/>
                <w:sz w:val="21"/>
                <w:szCs w:val="21"/>
                <w:lang w:val="en-US" w:eastAsia="zh-CN"/>
              </w:rPr>
              <w:t>2</w:t>
            </w:r>
            <w:r>
              <w:rPr>
                <w:rFonts w:hint="eastAsia" w:ascii="Times New Roman" w:hAnsi="Times New Roman" w:eastAsia="宋体" w:cs="Times New Roman"/>
                <w:sz w:val="21"/>
                <w:szCs w:val="21"/>
              </w:rPr>
              <w:t>.12.0</w:t>
            </w:r>
            <w:r>
              <w:rPr>
                <w:rFonts w:hint="eastAsia" w:eastAsia="宋体" w:cs="Times New Roman"/>
                <w:sz w:val="21"/>
                <w:szCs w:val="21"/>
                <w:lang w:val="en-US" w:eastAsia="zh-CN"/>
              </w:rPr>
              <w:t>3</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02:01</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-4.2</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1002.3</w:t>
            </w:r>
          </w:p>
        </w:tc>
        <w:tc>
          <w:tcPr>
            <w:tcW w:w="11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49.1</w:t>
            </w:r>
          </w:p>
        </w:tc>
        <w:tc>
          <w:tcPr>
            <w:tcW w:w="1279" w:type="dxa"/>
            <w:tcBorders>
              <w:top w:val="single" w:color="000000" w:sz="4" w:space="0"/>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1.3</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1003.8</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48.1</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5.8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1008.1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45.7</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1.9</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0.2</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1003.1</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48.6</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restart"/>
            <w:tcBorders>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202</w:t>
            </w:r>
            <w:r>
              <w:rPr>
                <w:rFonts w:hint="eastAsia" w:eastAsia="宋体" w:cs="Times New Roman"/>
                <w:sz w:val="21"/>
                <w:szCs w:val="21"/>
                <w:lang w:val="en-US" w:eastAsia="zh-CN"/>
              </w:rPr>
              <w:t>2</w:t>
            </w:r>
            <w:r>
              <w:rPr>
                <w:rFonts w:hint="eastAsia" w:ascii="Times New Roman" w:hAnsi="Times New Roman" w:eastAsia="宋体" w:cs="Times New Roman"/>
                <w:sz w:val="21"/>
                <w:szCs w:val="21"/>
              </w:rPr>
              <w:t>.12.0</w:t>
            </w:r>
            <w:r>
              <w:rPr>
                <w:rFonts w:hint="eastAsia" w:eastAsia="宋体" w:cs="Times New Roman"/>
                <w:sz w:val="21"/>
                <w:szCs w:val="21"/>
                <w:lang w:val="en-US" w:eastAsia="zh-CN"/>
              </w:rPr>
              <w:t>4</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-3.4</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1003.1</w:t>
            </w:r>
          </w:p>
        </w:tc>
        <w:tc>
          <w:tcPr>
            <w:tcW w:w="11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49.5</w:t>
            </w:r>
          </w:p>
        </w:tc>
        <w:tc>
          <w:tcPr>
            <w:tcW w:w="1279" w:type="dxa"/>
            <w:tcBorders>
              <w:top w:val="single" w:color="000000" w:sz="4" w:space="0"/>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0.4</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1006.1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48.1</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1008.9</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46.7</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-0.6</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1002.4</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48.9</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restart"/>
            <w:tcBorders>
              <w:top w:val="single" w:color="auto" w:sz="4" w:space="0"/>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202</w:t>
            </w:r>
            <w:r>
              <w:rPr>
                <w:rFonts w:hint="eastAsia" w:eastAsia="宋体" w:cs="Times New Roman"/>
                <w:sz w:val="21"/>
                <w:szCs w:val="21"/>
                <w:lang w:val="en-US" w:eastAsia="zh-CN"/>
              </w:rPr>
              <w:t>2</w:t>
            </w:r>
            <w:r>
              <w:rPr>
                <w:rFonts w:hint="eastAsia" w:ascii="Times New Roman" w:hAnsi="Times New Roman" w:eastAsia="宋体" w:cs="Times New Roman"/>
                <w:sz w:val="21"/>
                <w:szCs w:val="21"/>
              </w:rPr>
              <w:t>.12.0</w:t>
            </w:r>
            <w:r>
              <w:rPr>
                <w:rFonts w:hint="eastAsia" w:eastAsia="宋体" w:cs="Times New Roman"/>
                <w:sz w:val="21"/>
                <w:szCs w:val="21"/>
                <w:lang w:val="en-US" w:eastAsia="zh-CN"/>
              </w:rPr>
              <w:t>5</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-2.8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1009.5</w:t>
            </w:r>
          </w:p>
        </w:tc>
        <w:tc>
          <w:tcPr>
            <w:tcW w:w="11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49.1</w:t>
            </w:r>
          </w:p>
        </w:tc>
        <w:tc>
          <w:tcPr>
            <w:tcW w:w="1279" w:type="dxa"/>
            <w:tcBorders>
              <w:top w:val="single" w:color="000000" w:sz="4" w:space="0"/>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1.6</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08:0</w:t>
            </w:r>
            <w:r>
              <w:rPr>
                <w:rFonts w:hint="eastAsia" w:eastAsia="宋体" w:cs="Times New Roman"/>
                <w:sz w:val="21"/>
                <w:szCs w:val="21"/>
                <w:lang w:val="en-US" w:eastAsia="zh-CN"/>
              </w:rPr>
              <w:t>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0.3</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1007.1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48.1</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4.9</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1005.4</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46.8</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1008.9</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48.6</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1190" w:type="dxa"/>
            <w:vMerge w:val="restart"/>
            <w:tcBorders>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rPr>
              <w:t>202</w:t>
            </w:r>
            <w:r>
              <w:rPr>
                <w:rFonts w:hint="eastAsia" w:eastAsia="宋体" w:cs="Times New Roman"/>
                <w:sz w:val="21"/>
                <w:szCs w:val="21"/>
                <w:lang w:val="en-US" w:eastAsia="zh-CN"/>
              </w:rPr>
              <w:t>2</w:t>
            </w:r>
            <w:r>
              <w:rPr>
                <w:rFonts w:hint="eastAsia" w:ascii="Times New Roman" w:hAnsi="Times New Roman" w:cs="Times New Roman"/>
                <w:sz w:val="21"/>
                <w:szCs w:val="21"/>
              </w:rPr>
              <w:t>.12.0</w:t>
            </w:r>
            <w:r>
              <w:rPr>
                <w:rFonts w:hint="eastAsia" w:eastAsia="宋体" w:cs="Times New Roman"/>
                <w:sz w:val="21"/>
                <w:szCs w:val="21"/>
                <w:lang w:val="en-US" w:eastAsia="zh-CN"/>
              </w:rPr>
              <w:t>6</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-1.1</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1010.1</w:t>
            </w:r>
          </w:p>
        </w:tc>
        <w:tc>
          <w:tcPr>
            <w:tcW w:w="11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47.5</w:t>
            </w:r>
          </w:p>
        </w:tc>
        <w:tc>
          <w:tcPr>
            <w:tcW w:w="1279" w:type="dxa"/>
            <w:tcBorders>
              <w:top w:val="single" w:color="000000" w:sz="4" w:space="0"/>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1.6</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3.2</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1008.1</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46.7</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14:00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5.7</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1007.5</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46.2</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1.8</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1009.1</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47.0</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1.6</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restart"/>
            <w:tcBorders>
              <w:left w:val="single" w:color="000000"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202</w:t>
            </w:r>
            <w:r>
              <w:rPr>
                <w:rFonts w:hint="eastAsia" w:eastAsia="宋体" w:cs="Times New Roman"/>
                <w:sz w:val="21"/>
                <w:szCs w:val="21"/>
                <w:lang w:val="en-US" w:eastAsia="zh-CN"/>
              </w:rPr>
              <w:t>2</w:t>
            </w:r>
            <w:r>
              <w:rPr>
                <w:rFonts w:hint="eastAsia" w:ascii="Times New Roman" w:hAnsi="Times New Roman" w:eastAsia="宋体" w:cs="Times New Roman"/>
                <w:sz w:val="21"/>
                <w:szCs w:val="21"/>
              </w:rPr>
              <w:t>.12.0</w:t>
            </w:r>
            <w:r>
              <w:rPr>
                <w:rFonts w:hint="eastAsia" w:eastAsia="宋体" w:cs="Times New Roman"/>
                <w:sz w:val="21"/>
                <w:szCs w:val="21"/>
                <w:lang w:val="en-US" w:eastAsia="zh-CN"/>
              </w:rPr>
              <w:t>7</w:t>
            </w: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0.7</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1010.1</w:t>
            </w:r>
          </w:p>
        </w:tc>
        <w:tc>
          <w:tcPr>
            <w:tcW w:w="1179" w:type="dxa"/>
            <w:tcBorders>
              <w:top w:val="single" w:color="000000" w:sz="4" w:space="0"/>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47.8</w:t>
            </w:r>
          </w:p>
        </w:tc>
        <w:tc>
          <w:tcPr>
            <w:tcW w:w="1279" w:type="dxa"/>
            <w:tcBorders>
              <w:top w:val="single" w:color="000000" w:sz="4" w:space="0"/>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08:00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2.1</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1009.0</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47.5</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1.8</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14:0</w:t>
            </w:r>
            <w:r>
              <w:rPr>
                <w:rFonts w:hint="eastAsia" w:eastAsia="宋体" w:cs="Times New Roman"/>
                <w:sz w:val="21"/>
                <w:szCs w:val="21"/>
                <w:lang w:val="en-US" w:eastAsia="zh-CN"/>
              </w:rPr>
              <w:t>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8.1</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1007.4</w:t>
            </w:r>
          </w:p>
        </w:tc>
        <w:tc>
          <w:tcPr>
            <w:tcW w:w="1179" w:type="dxa"/>
            <w:tcBorders>
              <w:left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46.1</w:t>
            </w:r>
          </w:p>
        </w:tc>
        <w:tc>
          <w:tcPr>
            <w:tcW w:w="1279" w:type="dxa"/>
            <w:tcBorders>
              <w:left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1.7</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90" w:type="dxa"/>
            <w:vMerge w:val="continue"/>
            <w:tcBorders>
              <w:left w:val="single" w:color="000000" w:sz="4" w:space="0"/>
              <w:right w:val="single" w:color="auto" w:sz="4" w:space="0"/>
            </w:tcBorders>
            <w:vAlign w:val="center"/>
          </w:tcPr>
          <w:p>
            <w:pPr>
              <w:spacing w:line="0" w:lineRule="atLeast"/>
              <w:jc w:val="center"/>
              <w:rPr>
                <w:rFonts w:ascii="Times New Roman" w:hAnsi="Times New Roman" w:eastAsia="宋体" w:cs="Times New Roman"/>
                <w:sz w:val="21"/>
                <w:szCs w:val="21"/>
              </w:rPr>
            </w:pPr>
          </w:p>
        </w:tc>
        <w:tc>
          <w:tcPr>
            <w:tcW w:w="932" w:type="dxa"/>
            <w:tcBorders>
              <w:top w:val="single" w:color="000000" w:sz="4" w:space="0"/>
              <w:left w:val="single" w:color="000000"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20:00</w:t>
            </w:r>
          </w:p>
        </w:tc>
        <w:tc>
          <w:tcPr>
            <w:tcW w:w="1136"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2.5</w:t>
            </w:r>
          </w:p>
        </w:tc>
        <w:tc>
          <w:tcPr>
            <w:tcW w:w="1413"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eastAsia="宋体" w:cs="Times New Roman"/>
                <w:sz w:val="21"/>
                <w:szCs w:val="21"/>
              </w:rPr>
            </w:pPr>
            <w:r>
              <w:rPr>
                <w:sz w:val="21"/>
                <w:szCs w:val="21"/>
                <w:u w:val="none" w:color="000000"/>
              </w:rPr>
              <w:t>1008.7</w:t>
            </w:r>
          </w:p>
        </w:tc>
        <w:tc>
          <w:tcPr>
            <w:tcW w:w="1179" w:type="dxa"/>
            <w:tcBorders>
              <w:left w:val="single" w:color="000000" w:sz="4" w:space="0"/>
              <w:bottom w:val="single" w:color="000000" w:sz="4" w:space="0"/>
              <w:right w:val="single" w:color="auto" w:sz="4" w:space="0"/>
            </w:tcBorders>
            <w:vAlign w:val="center"/>
          </w:tcPr>
          <w:p>
            <w:pPr>
              <w:jc w:val="center"/>
              <w:rPr>
                <w:rFonts w:hint="eastAsia" w:ascii="Times New Roman" w:hAnsi="Times New Roman" w:eastAsia="宋体" w:cs="Times New Roman"/>
                <w:sz w:val="21"/>
                <w:szCs w:val="21"/>
              </w:rPr>
            </w:pPr>
            <w:r>
              <w:rPr>
                <w:sz w:val="21"/>
                <w:szCs w:val="21"/>
                <w:u w:val="none" w:color="000000"/>
              </w:rPr>
              <w:t>47.1</w:t>
            </w:r>
          </w:p>
        </w:tc>
        <w:tc>
          <w:tcPr>
            <w:tcW w:w="1279" w:type="dxa"/>
            <w:tcBorders>
              <w:left w:val="single" w:color="000000"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N</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hint="default" w:ascii="Times New Roman" w:hAnsi="Times New Roman" w:eastAsia="宋体" w:cs="Times New Roman"/>
                <w:sz w:val="21"/>
                <w:szCs w:val="21"/>
                <w:lang w:val="en-US" w:eastAsia="zh-CN"/>
              </w:rPr>
            </w:pPr>
            <w:r>
              <w:rPr>
                <w:sz w:val="21"/>
                <w:szCs w:val="21"/>
                <w:u w:val="none" w:color="000000"/>
              </w:rPr>
              <w:t>1.6</w:t>
            </w:r>
          </w:p>
        </w:tc>
        <w:tc>
          <w:tcPr>
            <w:tcW w:w="1079"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eastAsia="宋体" w:cs="Times New Roman"/>
                <w:sz w:val="21"/>
                <w:szCs w:val="21"/>
              </w:rPr>
            </w:pPr>
            <w:r>
              <w:rPr>
                <w:sz w:val="21"/>
                <w:szCs w:val="21"/>
                <w:u w:val="none" w:color="000000"/>
              </w:rPr>
              <w:t>2/1</w:t>
            </w:r>
          </w:p>
        </w:tc>
      </w:tr>
    </w:tbl>
    <w:p>
      <w:pPr>
        <w:adjustRightInd w:val="0"/>
        <w:snapToGrid w:val="0"/>
        <w:spacing w:line="360" w:lineRule="auto"/>
        <w:jc w:val="center"/>
        <w:rPr>
          <w:rFonts w:eastAsiaTheme="minorEastAsia"/>
          <w:b/>
          <w:bCs/>
          <w:color w:val="auto"/>
          <w:highlight w:val="none"/>
          <w:lang w:eastAsia="zh-CN"/>
        </w:rPr>
      </w:pPr>
      <w:r>
        <w:rPr>
          <w:rFonts w:eastAsiaTheme="minorEastAsia"/>
          <w:b/>
          <w:bCs/>
          <w:color w:val="auto"/>
          <w:highlight w:val="none"/>
          <w:lang w:eastAsia="zh-CN"/>
        </w:rPr>
        <w:t>表4.</w:t>
      </w:r>
      <w:r>
        <w:rPr>
          <w:rFonts w:hint="eastAsia" w:eastAsiaTheme="minorEastAsia"/>
          <w:b/>
          <w:bCs/>
          <w:color w:val="auto"/>
          <w:highlight w:val="none"/>
          <w:lang w:eastAsia="zh-CN"/>
        </w:rPr>
        <w:t>4</w:t>
      </w:r>
      <w:r>
        <w:rPr>
          <w:rFonts w:eastAsiaTheme="minorEastAsia"/>
          <w:b/>
          <w:bCs/>
          <w:color w:val="auto"/>
          <w:highlight w:val="none"/>
          <w:lang w:eastAsia="zh-CN"/>
        </w:rPr>
        <w:t>-</w:t>
      </w:r>
      <w:r>
        <w:rPr>
          <w:rFonts w:hint="eastAsia" w:eastAsiaTheme="minorEastAsia"/>
          <w:b/>
          <w:bCs/>
          <w:color w:val="auto"/>
          <w:highlight w:val="none"/>
          <w:lang w:eastAsia="zh-CN"/>
        </w:rPr>
        <w:t>3（</w:t>
      </w:r>
      <w:r>
        <w:rPr>
          <w:rFonts w:hint="eastAsia" w:eastAsiaTheme="minorEastAsia"/>
          <w:b/>
          <w:bCs/>
          <w:color w:val="auto"/>
          <w:highlight w:val="none"/>
          <w:lang w:val="en-US" w:eastAsia="zh-CN"/>
        </w:rPr>
        <w:t>2</w:t>
      </w:r>
      <w:r>
        <w:rPr>
          <w:rFonts w:hint="eastAsia" w:eastAsiaTheme="minorEastAsia"/>
          <w:b/>
          <w:bCs/>
          <w:color w:val="auto"/>
          <w:highlight w:val="none"/>
          <w:lang w:eastAsia="zh-CN"/>
        </w:rPr>
        <w:t>）</w:t>
      </w:r>
      <w:r>
        <w:rPr>
          <w:rFonts w:eastAsiaTheme="minorEastAsia"/>
          <w:b/>
          <w:bCs/>
          <w:color w:val="auto"/>
          <w:highlight w:val="none"/>
          <w:lang w:eastAsia="zh-CN"/>
        </w:rPr>
        <w:t xml:space="preserve">  现状监测期间气象参数一览表</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016"/>
        <w:gridCol w:w="950"/>
        <w:gridCol w:w="1155"/>
        <w:gridCol w:w="921"/>
        <w:gridCol w:w="1009"/>
        <w:gridCol w:w="1009"/>
        <w:gridCol w:w="918"/>
        <w:gridCol w:w="9"/>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477"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bookmarkStart w:id="38" w:name="OLE_LINK5"/>
            <w:bookmarkStart w:id="39" w:name="OLE_LINK6" w:colFirst="0" w:colLast="0"/>
            <w:r>
              <w:rPr>
                <w:rFonts w:hint="default" w:ascii="Times New Roman" w:hAnsi="Times New Roman" w:eastAsia="宋体" w:cs="Times New Roman"/>
                <w:color w:val="auto"/>
                <w:sz w:val="21"/>
                <w:szCs w:val="21"/>
              </w:rPr>
              <mc:AlternateContent>
                <mc:Choice Requires="wps">
                  <w:drawing>
                    <wp:anchor distT="0" distB="0" distL="114300" distR="114300" simplePos="0" relativeHeight="251671552" behindDoc="0" locked="0" layoutInCell="1" allowOverlap="1">
                      <wp:simplePos x="0" y="0"/>
                      <wp:positionH relativeFrom="column">
                        <wp:posOffset>-50165</wp:posOffset>
                      </wp:positionH>
                      <wp:positionV relativeFrom="paragraph">
                        <wp:posOffset>8255</wp:posOffset>
                      </wp:positionV>
                      <wp:extent cx="1498600" cy="350520"/>
                      <wp:effectExtent l="1270" t="4445" r="5080" b="6985"/>
                      <wp:wrapNone/>
                      <wp:docPr id="21" name="直接箭头连接符 21"/>
                      <wp:cNvGraphicFramePr/>
                      <a:graphic xmlns:a="http://schemas.openxmlformats.org/drawingml/2006/main">
                        <a:graphicData uri="http://schemas.microsoft.com/office/word/2010/wordprocessingShape">
                          <wps:wsp>
                            <wps:cNvCnPr/>
                            <wps:spPr>
                              <a:xfrm>
                                <a:off x="0" y="0"/>
                                <a:ext cx="1498600" cy="35052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95pt;margin-top:0.65pt;height:27.6pt;width:118pt;z-index:251671552;mso-width-relative:page;mso-height-relative:page;" filled="f" stroked="t" coordsize="21600,21600" o:gfxdata="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v4KdfWAAAABwEAAA8AAAAAAAAAAQAgAAAAIgAA&#10;AGRycy9kb3ducmV2LnhtbFBLAQIUABQAAAAIAIdO4kC3q+T3CgIAAP0DAAAOAAAAAAAAAAEAIAAA&#10;ACUBAABkcnMvZTJvRG9jLnhtbFBLBQYAAAAABgAGAFkBAAChBQAAAAA=&#10;">
                      <v:fill on="f" focussize="0,0"/>
                      <v:stroke color="#000000" joinstyle="round"/>
                      <v:imagedata o:title=""/>
                      <o:lock v:ext="edit" aspectratio="f"/>
                    </v:shape>
                  </w:pict>
                </mc:Fallback>
              </mc:AlternateContent>
            </w:r>
            <w:r>
              <w:rPr>
                <w:rFonts w:hint="default" w:ascii="Times New Roman" w:hAnsi="Times New Roman" w:eastAsia="宋体" w:cs="Times New Roman"/>
                <w:color w:val="auto"/>
                <w:sz w:val="21"/>
                <w:szCs w:val="21"/>
              </w:rPr>
              <w:t xml:space="preserve">          气象条件</w:t>
            </w:r>
          </w:p>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日期时间</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气温</w:t>
            </w:r>
          </w:p>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相对湿度(%)</w:t>
            </w:r>
          </w:p>
        </w:tc>
        <w:tc>
          <w:tcPr>
            <w:tcW w:w="95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风向</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风速</w:t>
            </w:r>
          </w:p>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气压</w:t>
            </w:r>
          </w:p>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(kpa)</w:t>
            </w:r>
          </w:p>
        </w:tc>
        <w:tc>
          <w:tcPr>
            <w:tcW w:w="952"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总云量</w:t>
            </w:r>
          </w:p>
        </w:tc>
        <w:tc>
          <w:tcPr>
            <w:tcW w:w="970"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2022年05月24日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23.1</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61.3</w:t>
            </w:r>
          </w:p>
        </w:tc>
        <w:tc>
          <w:tcPr>
            <w:tcW w:w="95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100.04</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27.4</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56.4</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100.02</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31.3</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53.1</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58.7</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100.04</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2022年05月25日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23.2</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62.4</w:t>
            </w:r>
          </w:p>
        </w:tc>
        <w:tc>
          <w:tcPr>
            <w:tcW w:w="95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25.7</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50.6</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100.03</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28.6</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44.2</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24.5</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48.7</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100.03</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2022年05月26日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60.3</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100.08</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23.8</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59.7</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100.08</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53.2</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100.04</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22.9</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60.1</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100.08</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2022年05月27日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02:01</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20.9</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62.1</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100.09</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26.1</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57.3</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29.5</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44.6</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27.3</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56.4</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2022年05月28日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21.3</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61.4</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100.09</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26.7</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57.1</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29.9</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41.3</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25.2</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55.3</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100.06</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2022年05月29日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02:01</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60.5</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SE</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100.09</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25.4</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58.1</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29.7</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42.2</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24.7</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56.2</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100.05</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restart"/>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2022年05月30日</w:t>
            </w: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21.7</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61.4</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100.10</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27.1</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56.3</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100.02</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29.9</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50.2</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961" w:type="dxa"/>
            <w:gridSpan w:val="2"/>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961"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24" w:type="dxa"/>
            <w:vMerge w:val="continue"/>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rPr>
            </w:pPr>
          </w:p>
        </w:tc>
        <w:tc>
          <w:tcPr>
            <w:tcW w:w="1053"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20:00</w:t>
            </w:r>
          </w:p>
        </w:tc>
        <w:tc>
          <w:tcPr>
            <w:tcW w:w="985"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23.8</w:t>
            </w:r>
          </w:p>
        </w:tc>
        <w:tc>
          <w:tcPr>
            <w:tcW w:w="1197"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59.7</w:t>
            </w:r>
          </w:p>
        </w:tc>
        <w:tc>
          <w:tcPr>
            <w:tcW w:w="955" w:type="dxa"/>
            <w:noWrap w:val="0"/>
            <w:vAlign w:val="center"/>
          </w:tcPr>
          <w:p>
            <w:pPr>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S</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1046" w:type="dxa"/>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100.01</w:t>
            </w:r>
          </w:p>
        </w:tc>
        <w:tc>
          <w:tcPr>
            <w:tcW w:w="1922" w:type="dxa"/>
            <w:gridSpan w:val="3"/>
            <w:noWrap w:val="0"/>
            <w:vAlign w:val="center"/>
          </w:tcPr>
          <w:p>
            <w:pPr>
              <w:pStyle w:val="700"/>
              <w:keepNext w:val="0"/>
              <w:keepLines w:val="0"/>
              <w:pageBreakBefore w:val="0"/>
              <w:widowControl w:val="0"/>
              <w:shd w:val="clear" w:color="auto" w:fill="FFFFFF"/>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晴</w:t>
            </w:r>
          </w:p>
        </w:tc>
      </w:tr>
      <w:bookmarkEnd w:id="38"/>
      <w:bookmarkEnd w:id="39"/>
    </w:tbl>
    <w:p>
      <w:pPr>
        <w:adjustRightInd w:val="0"/>
        <w:snapToGrid w:val="0"/>
        <w:spacing w:line="360" w:lineRule="auto"/>
        <w:jc w:val="center"/>
        <w:rPr>
          <w:rFonts w:eastAsiaTheme="minorEastAsia"/>
          <w:b/>
          <w:bCs/>
          <w:szCs w:val="32"/>
          <w:highlight w:val="yellow"/>
          <w:lang w:eastAsia="zh-CN"/>
        </w:rPr>
      </w:pPr>
      <w:r>
        <w:rPr>
          <w:rFonts w:eastAsiaTheme="minorEastAsia"/>
          <w:b/>
          <w:bCs/>
          <w:lang w:eastAsia="zh-CN"/>
        </w:rPr>
        <w:br w:type="page"/>
      </w:r>
      <w:r>
        <w:rPr>
          <w:rFonts w:eastAsiaTheme="minorEastAsia"/>
          <w:b/>
          <w:bCs/>
          <w:szCs w:val="32"/>
          <w:highlight w:val="none"/>
          <w:lang w:eastAsia="zh-CN"/>
        </w:rPr>
        <w:t>表4.</w:t>
      </w:r>
      <w:r>
        <w:rPr>
          <w:rFonts w:hint="eastAsia" w:eastAsiaTheme="minorEastAsia"/>
          <w:b/>
          <w:bCs/>
          <w:szCs w:val="32"/>
          <w:highlight w:val="none"/>
          <w:lang w:eastAsia="zh-CN"/>
        </w:rPr>
        <w:t>4</w:t>
      </w:r>
      <w:r>
        <w:rPr>
          <w:rFonts w:eastAsiaTheme="minorEastAsia"/>
          <w:b/>
          <w:bCs/>
          <w:szCs w:val="32"/>
          <w:highlight w:val="none"/>
          <w:lang w:eastAsia="zh-CN"/>
        </w:rPr>
        <w:t>-</w:t>
      </w:r>
      <w:r>
        <w:rPr>
          <w:rFonts w:hint="eastAsia" w:eastAsiaTheme="minorEastAsia"/>
          <w:b/>
          <w:bCs/>
          <w:szCs w:val="32"/>
          <w:highlight w:val="none"/>
          <w:lang w:eastAsia="zh-CN"/>
        </w:rPr>
        <w:t>4</w:t>
      </w:r>
      <w:r>
        <w:rPr>
          <w:rFonts w:eastAsiaTheme="minorEastAsia"/>
          <w:b/>
          <w:bCs/>
          <w:szCs w:val="32"/>
          <w:highlight w:val="none"/>
          <w:lang w:eastAsia="zh-CN"/>
        </w:rPr>
        <w:t xml:space="preserve"> </w:t>
      </w:r>
      <w:r>
        <w:rPr>
          <w:rFonts w:hint="eastAsia" w:eastAsiaTheme="minorEastAsia"/>
          <w:b/>
          <w:bCs/>
          <w:szCs w:val="32"/>
          <w:highlight w:val="none"/>
          <w:lang w:eastAsia="zh-CN"/>
        </w:rPr>
        <w:t>（</w:t>
      </w:r>
      <w:r>
        <w:rPr>
          <w:rFonts w:hint="eastAsia" w:eastAsiaTheme="minorEastAsia"/>
          <w:b/>
          <w:bCs/>
          <w:szCs w:val="32"/>
          <w:highlight w:val="none"/>
          <w:lang w:val="en-US" w:eastAsia="zh-CN"/>
        </w:rPr>
        <w:t>1</w:t>
      </w:r>
      <w:r>
        <w:rPr>
          <w:rFonts w:hint="eastAsia" w:eastAsiaTheme="minorEastAsia"/>
          <w:b/>
          <w:bCs/>
          <w:szCs w:val="32"/>
          <w:highlight w:val="none"/>
          <w:lang w:eastAsia="zh-CN"/>
        </w:rPr>
        <w:t>）</w:t>
      </w:r>
      <w:r>
        <w:rPr>
          <w:rFonts w:eastAsiaTheme="minorEastAsia"/>
          <w:b/>
          <w:bCs/>
          <w:szCs w:val="32"/>
          <w:highlight w:val="none"/>
          <w:lang w:eastAsia="zh-CN"/>
        </w:rPr>
        <w:t xml:space="preserve"> </w:t>
      </w:r>
      <w:r>
        <w:rPr>
          <w:rFonts w:hint="eastAsia" w:eastAsiaTheme="minorEastAsia"/>
          <w:b/>
          <w:bCs/>
          <w:szCs w:val="32"/>
          <w:highlight w:val="none"/>
          <w:lang w:eastAsia="zh-CN"/>
        </w:rPr>
        <w:t>环境空气质量甲醛</w:t>
      </w:r>
      <w:r>
        <w:rPr>
          <w:rFonts w:eastAsiaTheme="minorEastAsia"/>
          <w:b/>
          <w:bCs/>
          <w:szCs w:val="32"/>
          <w:highlight w:val="none"/>
          <w:lang w:eastAsia="zh-CN"/>
        </w:rPr>
        <w:t>检测结果</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3212"/>
        <w:gridCol w:w="4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033" w:type="dxa"/>
            <w:vMerge w:val="restart"/>
            <w:noWrap w:val="0"/>
            <w:vAlign w:val="center"/>
          </w:tcPr>
          <w:p>
            <w:pPr>
              <w:pStyle w:val="198"/>
              <w:spacing w:before="24" w:after="24"/>
              <w:rPr>
                <w:rFonts w:ascii="Times New Roman"/>
                <w:b/>
                <w:bCs/>
                <w:color w:val="auto"/>
                <w:sz w:val="21"/>
                <w:szCs w:val="21"/>
              </w:rPr>
            </w:pPr>
            <w:bookmarkStart w:id="40" w:name="_Toc330297335"/>
            <w:bookmarkStart w:id="41" w:name="_Toc328376389"/>
            <w:r>
              <w:rPr>
                <w:rFonts w:ascii="Times New Roman"/>
                <w:b/>
                <w:bCs/>
                <w:color w:val="auto"/>
                <w:sz w:val="21"/>
                <w:szCs w:val="21"/>
              </w:rPr>
              <w:t>采样日期</w:t>
            </w:r>
          </w:p>
        </w:tc>
        <w:tc>
          <w:tcPr>
            <w:tcW w:w="3212" w:type="dxa"/>
            <w:vMerge w:val="restart"/>
            <w:noWrap w:val="0"/>
            <w:vAlign w:val="center"/>
          </w:tcPr>
          <w:p>
            <w:pPr>
              <w:pStyle w:val="198"/>
              <w:spacing w:before="24" w:after="24"/>
              <w:rPr>
                <w:rFonts w:ascii="Times New Roman"/>
                <w:b/>
                <w:bCs/>
                <w:color w:val="auto"/>
                <w:sz w:val="21"/>
                <w:szCs w:val="21"/>
              </w:rPr>
            </w:pPr>
            <w:r>
              <w:rPr>
                <w:rFonts w:ascii="Times New Roman"/>
                <w:b/>
                <w:bCs/>
                <w:color w:val="auto"/>
                <w:sz w:val="21"/>
                <w:szCs w:val="21"/>
              </w:rPr>
              <w:t>采样时间</w:t>
            </w:r>
          </w:p>
        </w:tc>
        <w:tc>
          <w:tcPr>
            <w:tcW w:w="4042" w:type="dxa"/>
            <w:vMerge w:val="restart"/>
            <w:tcBorders>
              <w:right w:val="single" w:color="000000" w:sz="8" w:space="0"/>
            </w:tcBorders>
            <w:noWrap w:val="0"/>
            <w:vAlign w:val="center"/>
          </w:tcPr>
          <w:p>
            <w:pPr>
              <w:pStyle w:val="198"/>
              <w:spacing w:before="24" w:after="24"/>
              <w:jc w:val="center"/>
              <w:rPr>
                <w:rFonts w:hint="eastAsia" w:eastAsia="宋体"/>
                <w:sz w:val="21"/>
                <w:szCs w:val="21"/>
                <w:lang w:eastAsia="zh-CN"/>
              </w:rPr>
            </w:pPr>
            <w:r>
              <w:rPr>
                <w:rFonts w:hint="eastAsia"/>
                <w:b/>
                <w:bCs/>
                <w:sz w:val="21"/>
                <w:szCs w:val="21"/>
                <w:lang w:eastAsia="zh-CN"/>
              </w:rPr>
              <w:t>甲醛</w:t>
            </w:r>
            <w:r>
              <w:rPr>
                <w:b/>
                <w:bCs/>
                <w:sz w:val="21"/>
                <w:szCs w:val="21"/>
              </w:rPr>
              <w:t>（</w:t>
            </w:r>
            <w:r>
              <w:rPr>
                <w:rFonts w:hint="default"/>
                <w:b/>
                <w:bCs/>
                <w:sz w:val="21"/>
                <w:szCs w:val="21"/>
              </w:rPr>
              <w:t>μg</w:t>
            </w:r>
            <w:r>
              <w:rPr>
                <w:rFonts w:hint="eastAsia"/>
                <w:b/>
                <w:bCs/>
                <w:sz w:val="21"/>
                <w:szCs w:val="21"/>
              </w:rPr>
              <w:t>/</w:t>
            </w:r>
            <w:r>
              <w:rPr>
                <w:rFonts w:ascii="Times New Roman"/>
                <w:b/>
                <w:bCs/>
                <w:color w:val="auto"/>
                <w:sz w:val="21"/>
                <w:szCs w:val="21"/>
              </w:rPr>
              <w:t>m</w:t>
            </w:r>
            <w:r>
              <w:rPr>
                <w:rFonts w:ascii="Times New Roman"/>
                <w:b/>
                <w:bCs/>
                <w:color w:val="auto"/>
                <w:sz w:val="21"/>
                <w:szCs w:val="21"/>
                <w:vertAlign w:val="superscript"/>
              </w:rPr>
              <w:t>3</w:t>
            </w:r>
            <w:r>
              <w:rPr>
                <w:b/>
                <w:bCs/>
                <w:sz w:val="21"/>
                <w:szCs w:val="21"/>
              </w:rPr>
              <w:t>）</w:t>
            </w:r>
            <w:r>
              <w:rPr>
                <w:rFonts w:hint="eastAsia" w:eastAsia="宋体"/>
                <w:b/>
                <w:bCs/>
                <w:color w:val="auto"/>
                <w:sz w:val="21"/>
                <w:szCs w:val="21"/>
                <w:lang w:eastAsia="zh-CN"/>
              </w:rPr>
              <w:t>（</w:t>
            </w:r>
            <w:r>
              <w:rPr>
                <w:rFonts w:hint="eastAsia" w:eastAsia="宋体"/>
                <w:b/>
                <w:bCs/>
                <w:color w:val="auto"/>
                <w:sz w:val="21"/>
                <w:szCs w:val="21"/>
                <w:lang w:val="en-US" w:eastAsia="zh-CN"/>
              </w:rPr>
              <w:t>1#前孟村</w:t>
            </w:r>
            <w:r>
              <w:rPr>
                <w:rFonts w:hint="eastAsia" w:eastAsia="宋体"/>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vMerge w:val="continue"/>
            <w:noWrap w:val="0"/>
            <w:vAlign w:val="center"/>
          </w:tcPr>
          <w:p>
            <w:pPr>
              <w:pStyle w:val="198"/>
              <w:spacing w:before="24" w:after="24"/>
              <w:rPr>
                <w:rFonts w:ascii="Times New Roman"/>
                <w:color w:val="auto"/>
                <w:sz w:val="21"/>
                <w:szCs w:val="21"/>
              </w:rPr>
            </w:pPr>
          </w:p>
        </w:tc>
        <w:tc>
          <w:tcPr>
            <w:tcW w:w="4042" w:type="dxa"/>
            <w:vMerge w:val="continue"/>
            <w:tcBorders>
              <w:right w:val="single" w:color="000000" w:sz="8" w:space="0"/>
            </w:tcBorders>
            <w:noWrap w:val="0"/>
            <w:vAlign w:val="center"/>
          </w:tcPr>
          <w:p>
            <w:pPr>
              <w:pStyle w:val="198"/>
              <w:spacing w:before="24" w:after="24"/>
              <w:rPr>
                <w:rFonts w:asci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12.01</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12.02</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12.03</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eastAsia" w:ascii="Times New Roman" w:eastAsia="宋体"/>
                <w:color w:val="auto"/>
                <w:sz w:val="21"/>
                <w:szCs w:val="21"/>
                <w:lang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12.04</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12.05</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eastAsia" w:ascii="Times New Roman" w:eastAsia="宋体"/>
                <w:color w:val="auto"/>
                <w:sz w:val="21"/>
                <w:szCs w:val="21"/>
                <w:lang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12.06</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ascii="Times New Roman"/>
                <w:color w:val="auto"/>
                <w:sz w:val="21"/>
                <w:szCs w:val="21"/>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restart"/>
            <w:noWrap w:val="0"/>
            <w:vAlign w:val="center"/>
          </w:tcPr>
          <w:p>
            <w:pPr>
              <w:pStyle w:val="198"/>
              <w:spacing w:before="24" w:after="24"/>
              <w:rPr>
                <w:rFonts w:hint="default" w:ascii="Times New Roman" w:eastAsia="宋体"/>
                <w:color w:val="auto"/>
                <w:sz w:val="21"/>
                <w:szCs w:val="21"/>
                <w:lang w:val="en-US" w:eastAsia="zh-CN"/>
              </w:rPr>
            </w:pPr>
            <w:r>
              <w:rPr>
                <w:rFonts w:hint="eastAsia" w:ascii="Times New Roman" w:hAnsi="Times New Roman" w:cs="Times New Roman"/>
                <w:sz w:val="21"/>
                <w:szCs w:val="21"/>
              </w:rPr>
              <w:t>202</w:t>
            </w:r>
            <w:r>
              <w:rPr>
                <w:rFonts w:hint="eastAsia" w:ascii="Times New Roman" w:eastAsia="宋体" w:cs="Times New Roman"/>
                <w:sz w:val="21"/>
                <w:szCs w:val="21"/>
                <w:lang w:val="en-US" w:eastAsia="zh-CN"/>
              </w:rPr>
              <w:t>2</w:t>
            </w:r>
            <w:r>
              <w:rPr>
                <w:rFonts w:hint="eastAsia" w:ascii="Times New Roman" w:hAnsi="Times New Roman" w:cs="Times New Roman"/>
                <w:sz w:val="21"/>
                <w:szCs w:val="21"/>
              </w:rPr>
              <w:t>.</w:t>
            </w:r>
            <w:r>
              <w:rPr>
                <w:rFonts w:hint="eastAsia" w:ascii="Times New Roman"/>
                <w:color w:val="auto"/>
                <w:sz w:val="21"/>
                <w:szCs w:val="21"/>
                <w:lang w:val="en-US" w:eastAsia="zh-CN" w:bidi="ar"/>
              </w:rPr>
              <w:t>12.07</w:t>
            </w: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02:00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08:00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14:00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33" w:type="dxa"/>
            <w:vMerge w:val="continue"/>
            <w:noWrap w:val="0"/>
            <w:vAlign w:val="center"/>
          </w:tcPr>
          <w:p>
            <w:pPr>
              <w:pStyle w:val="198"/>
              <w:spacing w:before="24" w:after="24"/>
              <w:rPr>
                <w:rFonts w:ascii="Times New Roman"/>
                <w:color w:val="auto"/>
                <w:sz w:val="21"/>
                <w:szCs w:val="21"/>
              </w:rPr>
            </w:pPr>
          </w:p>
        </w:tc>
        <w:tc>
          <w:tcPr>
            <w:tcW w:w="3212" w:type="dxa"/>
            <w:noWrap w:val="0"/>
            <w:vAlign w:val="center"/>
          </w:tcPr>
          <w:p>
            <w:pPr>
              <w:pStyle w:val="198"/>
              <w:spacing w:before="24" w:after="24"/>
              <w:rPr>
                <w:rFonts w:ascii="Times New Roman"/>
                <w:color w:val="auto"/>
                <w:sz w:val="21"/>
                <w:szCs w:val="21"/>
              </w:rPr>
            </w:pPr>
            <w:r>
              <w:rPr>
                <w:rFonts w:ascii="Times New Roman"/>
                <w:color w:val="auto"/>
                <w:sz w:val="21"/>
                <w:szCs w:val="21"/>
              </w:rPr>
              <w:t>20:00</w:t>
            </w:r>
          </w:p>
        </w:tc>
        <w:tc>
          <w:tcPr>
            <w:tcW w:w="4042" w:type="dxa"/>
            <w:tcBorders>
              <w:right w:val="single" w:color="000000" w:sz="8" w:space="0"/>
            </w:tcBorders>
            <w:noWrap w:val="0"/>
            <w:vAlign w:val="center"/>
          </w:tcPr>
          <w:p>
            <w:pPr>
              <w:spacing w:before="24" w:after="24"/>
              <w:jc w:val="center"/>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87" w:type="dxa"/>
            <w:gridSpan w:val="3"/>
            <w:tcBorders>
              <w:right w:val="single" w:color="000000" w:sz="8" w:space="0"/>
            </w:tcBorders>
            <w:noWrap w:val="0"/>
            <w:vAlign w:val="center"/>
          </w:tcPr>
          <w:p>
            <w:pPr>
              <w:spacing w:before="24" w:after="24"/>
              <w:jc w:val="both"/>
              <w:rPr>
                <w:rFonts w:hint="default" w:ascii="Times New Roman" w:eastAsia="宋体"/>
                <w:color w:val="auto"/>
                <w:sz w:val="21"/>
                <w:szCs w:val="21"/>
                <w:lang w:val="en-US" w:eastAsia="zh-CN"/>
              </w:rPr>
            </w:pPr>
            <w:r>
              <w:rPr>
                <w:rFonts w:hint="eastAsia" w:ascii="Times New Roman" w:eastAsia="宋体"/>
                <w:color w:val="auto"/>
                <w:sz w:val="21"/>
                <w:szCs w:val="21"/>
                <w:lang w:val="en-US" w:eastAsia="zh-CN"/>
              </w:rPr>
              <w:t>注：“ND”表示未检出</w:t>
            </w:r>
          </w:p>
        </w:tc>
      </w:tr>
    </w:tbl>
    <w:p>
      <w:pPr>
        <w:adjustRightInd w:val="0"/>
        <w:snapToGrid w:val="0"/>
        <w:spacing w:line="360" w:lineRule="auto"/>
        <w:jc w:val="center"/>
        <w:rPr>
          <w:rFonts w:eastAsiaTheme="minorEastAsia"/>
          <w:b/>
          <w:bCs/>
          <w:highlight w:val="none"/>
          <w:lang w:eastAsia="zh-CN"/>
        </w:rPr>
      </w:pPr>
      <w:r>
        <w:rPr>
          <w:rFonts w:eastAsiaTheme="minorEastAsia"/>
          <w:b/>
          <w:bCs/>
          <w:szCs w:val="32"/>
          <w:highlight w:val="none"/>
          <w:lang w:eastAsia="zh-CN"/>
        </w:rPr>
        <w:t>表4.</w:t>
      </w:r>
      <w:r>
        <w:rPr>
          <w:rFonts w:hint="eastAsia" w:eastAsiaTheme="minorEastAsia"/>
          <w:b/>
          <w:bCs/>
          <w:szCs w:val="32"/>
          <w:highlight w:val="none"/>
          <w:lang w:eastAsia="zh-CN"/>
        </w:rPr>
        <w:t>4</w:t>
      </w:r>
      <w:r>
        <w:rPr>
          <w:rFonts w:eastAsiaTheme="minorEastAsia"/>
          <w:b/>
          <w:bCs/>
          <w:szCs w:val="32"/>
          <w:highlight w:val="none"/>
          <w:lang w:eastAsia="zh-CN"/>
        </w:rPr>
        <w:t>-</w:t>
      </w:r>
      <w:r>
        <w:rPr>
          <w:rFonts w:hint="eastAsia" w:eastAsiaTheme="minorEastAsia"/>
          <w:b/>
          <w:bCs/>
          <w:szCs w:val="32"/>
          <w:highlight w:val="none"/>
          <w:lang w:eastAsia="zh-CN"/>
        </w:rPr>
        <w:t>4（</w:t>
      </w:r>
      <w:r>
        <w:rPr>
          <w:rFonts w:hint="eastAsia" w:eastAsiaTheme="minorEastAsia"/>
          <w:b/>
          <w:bCs/>
          <w:szCs w:val="32"/>
          <w:highlight w:val="none"/>
          <w:lang w:val="en-US" w:eastAsia="zh-CN"/>
        </w:rPr>
        <w:t>2</w:t>
      </w:r>
      <w:r>
        <w:rPr>
          <w:rFonts w:hint="eastAsia" w:eastAsiaTheme="minorEastAsia"/>
          <w:b/>
          <w:bCs/>
          <w:szCs w:val="32"/>
          <w:highlight w:val="none"/>
          <w:lang w:eastAsia="zh-CN"/>
        </w:rPr>
        <w:t>）环境空气质量非甲烷总烃</w:t>
      </w:r>
      <w:r>
        <w:rPr>
          <w:rFonts w:eastAsiaTheme="minorEastAsia"/>
          <w:b/>
          <w:bCs/>
          <w:szCs w:val="32"/>
          <w:highlight w:val="none"/>
          <w:lang w:eastAsia="zh-CN"/>
        </w:rPr>
        <w:t>检测结果</w:t>
      </w:r>
    </w:p>
    <w:tbl>
      <w:tblPr>
        <w:tblStyle w:val="8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1"/>
        <w:gridCol w:w="2906"/>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100" w:type="dxa"/>
            <w:gridSpan w:val="2"/>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检测日期</w:t>
            </w:r>
          </w:p>
        </w:tc>
        <w:tc>
          <w:tcPr>
            <w:tcW w:w="2128" w:type="dxa"/>
            <w:noWrap w:val="0"/>
            <w:vAlign w:val="center"/>
          </w:tcPr>
          <w:p>
            <w:pPr>
              <w:pStyle w:val="30"/>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非甲烷总烃</w:t>
            </w:r>
            <w:r>
              <w:rPr>
                <w:rFonts w:ascii="Times New Roman"/>
                <w:b/>
                <w:bCs/>
                <w:color w:val="auto"/>
                <w:sz w:val="21"/>
                <w:szCs w:val="21"/>
              </w:rPr>
              <w:t>（mg/m</w:t>
            </w:r>
            <w:r>
              <w:rPr>
                <w:rFonts w:ascii="Times New Roman"/>
                <w:b/>
                <w:bCs/>
                <w:color w:val="auto"/>
                <w:sz w:val="21"/>
                <w:szCs w:val="21"/>
                <w:vertAlign w:val="superscript"/>
              </w:rPr>
              <w:t>3</w:t>
            </w:r>
            <w:r>
              <w:rPr>
                <w:rFonts w:ascii="Times New Roman"/>
                <w:b/>
                <w:bCs/>
                <w:color w:val="auto"/>
                <w:sz w:val="21"/>
                <w:szCs w:val="21"/>
              </w:rPr>
              <w:t>）</w:t>
            </w:r>
          </w:p>
          <w:p>
            <w:pPr>
              <w:pStyle w:val="30"/>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lang w:val="en-US" w:eastAsia="zh-CN"/>
              </w:rPr>
              <w:t>#东谭村</w:t>
            </w:r>
            <w:r>
              <w:rPr>
                <w:rFonts w:hint="eastAsia" w:ascii="Times New Roman" w:hAnsi="Times New Roman" w:eastAsia="宋体" w:cs="Times New Roman"/>
                <w:b/>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shd w:val="clear" w:color="auto" w:fill="FFFFFF"/>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2022年05月24日</w:t>
            </w: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02:03</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08:07</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14:13</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shd w:val="clear" w:color="auto" w:fill="auto"/>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20:13</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shd w:val="clear" w:color="auto" w:fill="auto"/>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lang w:val="en-US" w:eastAsia="zh-CN"/>
              </w:rPr>
              <w:t>2022年05月25日</w:t>
            </w:r>
          </w:p>
        </w:tc>
        <w:tc>
          <w:tcPr>
            <w:tcW w:w="1636" w:type="dxa"/>
            <w:shd w:val="clear" w:color="auto" w:fill="auto"/>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02:14</w:t>
            </w:r>
          </w:p>
        </w:tc>
        <w:tc>
          <w:tcPr>
            <w:tcW w:w="2128" w:type="dxa"/>
            <w:shd w:val="clear" w:color="auto" w:fill="FFFFFF"/>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2022年05月26日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02:15</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2022年05月27日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02:17</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2022年05月28日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02:15</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lang w:val="en-US" w:eastAsia="zh-CN"/>
              </w:rPr>
              <w:t>2022年05月29日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restart"/>
            <w:noWrap w:val="0"/>
            <w:vAlign w:val="center"/>
          </w:tcPr>
          <w:p>
            <w:pPr>
              <w:shd w:val="clear" w:color="auto" w:fill="FFFFFF"/>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2022年05月30日</w:t>
            </w: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02:13</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08:12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14:12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464" w:type="dxa"/>
            <w:vMerge w:val="continue"/>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rPr>
            </w:pPr>
          </w:p>
        </w:tc>
        <w:tc>
          <w:tcPr>
            <w:tcW w:w="1636" w:type="dxa"/>
            <w:noWrap w:val="0"/>
            <w:vAlign w:val="center"/>
          </w:tcPr>
          <w:p>
            <w:pPr>
              <w:spacing w:after="0" w:line="220" w:lineRule="atLeast"/>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rPr>
              <w:t>20:12</w:t>
            </w:r>
          </w:p>
        </w:tc>
        <w:tc>
          <w:tcPr>
            <w:tcW w:w="2128" w:type="dxa"/>
            <w:noWrap w:val="0"/>
            <w:vAlign w:val="center"/>
          </w:tcPr>
          <w:p>
            <w:pPr>
              <w:pStyle w:val="700"/>
              <w:shd w:val="clear" w:color="auto" w:fill="FFFFFF"/>
              <w:spacing w:after="0" w:line="220" w:lineRule="atLeast"/>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0.80</w:t>
            </w:r>
          </w:p>
        </w:tc>
      </w:tr>
    </w:tbl>
    <w:p>
      <w:pPr>
        <w:adjustRightInd w:val="0"/>
        <w:snapToGrid w:val="0"/>
        <w:spacing w:line="360" w:lineRule="auto"/>
        <w:jc w:val="center"/>
        <w:rPr>
          <w:rFonts w:eastAsiaTheme="minorEastAsia"/>
          <w:b/>
          <w:bCs/>
          <w:highlight w:val="none"/>
          <w:lang w:eastAsia="zh-CN"/>
        </w:rPr>
      </w:pPr>
      <w:r>
        <w:rPr>
          <w:rFonts w:eastAsiaTheme="minorEastAsia"/>
          <w:b/>
          <w:bCs/>
          <w:highlight w:val="none"/>
          <w:lang w:eastAsia="zh-CN"/>
        </w:rPr>
        <w:t>表4.</w:t>
      </w:r>
      <w:r>
        <w:rPr>
          <w:rFonts w:hint="eastAsia" w:eastAsiaTheme="minorEastAsia"/>
          <w:b/>
          <w:bCs/>
          <w:highlight w:val="none"/>
          <w:lang w:eastAsia="zh-CN"/>
        </w:rPr>
        <w:t>4</w:t>
      </w:r>
      <w:r>
        <w:rPr>
          <w:rFonts w:eastAsiaTheme="minorEastAsia"/>
          <w:b/>
          <w:bCs/>
          <w:highlight w:val="none"/>
          <w:lang w:eastAsia="zh-CN"/>
        </w:rPr>
        <w:t>-</w:t>
      </w:r>
      <w:r>
        <w:rPr>
          <w:rFonts w:hint="eastAsia" w:eastAsiaTheme="minorEastAsia"/>
          <w:b/>
          <w:bCs/>
          <w:highlight w:val="none"/>
          <w:lang w:eastAsia="zh-CN"/>
        </w:rPr>
        <w:t>5</w:t>
      </w:r>
      <w:r>
        <w:rPr>
          <w:rFonts w:eastAsiaTheme="minorEastAsia"/>
          <w:b/>
          <w:bCs/>
          <w:highlight w:val="none"/>
          <w:lang w:eastAsia="zh-CN"/>
        </w:rPr>
        <w:t xml:space="preserve">  各测点污染物监测结果统计一览表</w:t>
      </w:r>
    </w:p>
    <w:tbl>
      <w:tblPr>
        <w:tblStyle w:val="8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61"/>
        <w:gridCol w:w="1381"/>
        <w:gridCol w:w="1295"/>
        <w:gridCol w:w="1291"/>
        <w:gridCol w:w="1433"/>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561" w:type="dxa"/>
            <w:vMerge w:val="restart"/>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监测点位</w:t>
            </w:r>
          </w:p>
        </w:tc>
        <w:tc>
          <w:tcPr>
            <w:tcW w:w="1381" w:type="dxa"/>
            <w:vMerge w:val="restart"/>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项目</w:t>
            </w:r>
          </w:p>
        </w:tc>
        <w:tc>
          <w:tcPr>
            <w:tcW w:w="2586" w:type="dxa"/>
            <w:gridSpan w:val="2"/>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样品数</w:t>
            </w:r>
          </w:p>
        </w:tc>
        <w:tc>
          <w:tcPr>
            <w:tcW w:w="1433" w:type="dxa"/>
            <w:vMerge w:val="restart"/>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小时浓度范围mg/m</w:t>
            </w:r>
            <w:r>
              <w:rPr>
                <w:rFonts w:eastAsiaTheme="minorEastAsia"/>
                <w:sz w:val="21"/>
                <w:szCs w:val="21"/>
                <w:highlight w:val="none"/>
                <w:vertAlign w:val="superscript"/>
              </w:rPr>
              <w:t>3</w:t>
            </w:r>
          </w:p>
        </w:tc>
        <w:tc>
          <w:tcPr>
            <w:tcW w:w="2324" w:type="dxa"/>
            <w:vMerge w:val="restart"/>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日均浓度范围mg/m</w:t>
            </w:r>
            <w:r>
              <w:rPr>
                <w:rFonts w:eastAsiaTheme="minorEastAsia"/>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1" w:type="dxa"/>
            <w:vMerge w:val="continue"/>
            <w:shd w:val="clear" w:color="auto" w:fill="auto"/>
            <w:vAlign w:val="center"/>
          </w:tcPr>
          <w:p>
            <w:pPr>
              <w:adjustRightInd w:val="0"/>
              <w:snapToGrid w:val="0"/>
              <w:jc w:val="center"/>
              <w:rPr>
                <w:rFonts w:eastAsiaTheme="minorEastAsia"/>
                <w:sz w:val="21"/>
                <w:szCs w:val="21"/>
                <w:highlight w:val="none"/>
              </w:rPr>
            </w:pPr>
          </w:p>
        </w:tc>
        <w:tc>
          <w:tcPr>
            <w:tcW w:w="1381" w:type="dxa"/>
            <w:vMerge w:val="continue"/>
            <w:shd w:val="clear" w:color="auto" w:fill="auto"/>
            <w:vAlign w:val="center"/>
          </w:tcPr>
          <w:p>
            <w:pPr>
              <w:adjustRightInd w:val="0"/>
              <w:snapToGrid w:val="0"/>
              <w:jc w:val="center"/>
              <w:rPr>
                <w:rFonts w:eastAsiaTheme="minorEastAsia"/>
                <w:sz w:val="21"/>
                <w:szCs w:val="21"/>
                <w:highlight w:val="none"/>
              </w:rPr>
            </w:pPr>
          </w:p>
        </w:tc>
        <w:tc>
          <w:tcPr>
            <w:tcW w:w="1295"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小时</w:t>
            </w:r>
          </w:p>
        </w:tc>
        <w:tc>
          <w:tcPr>
            <w:tcW w:w="1291"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日均</w:t>
            </w:r>
          </w:p>
        </w:tc>
        <w:tc>
          <w:tcPr>
            <w:tcW w:w="1433" w:type="dxa"/>
            <w:vMerge w:val="continue"/>
            <w:shd w:val="clear" w:color="auto" w:fill="auto"/>
            <w:vAlign w:val="center"/>
          </w:tcPr>
          <w:p>
            <w:pPr>
              <w:adjustRightInd w:val="0"/>
              <w:snapToGrid w:val="0"/>
              <w:jc w:val="center"/>
              <w:rPr>
                <w:rFonts w:eastAsiaTheme="minorEastAsia"/>
                <w:sz w:val="21"/>
                <w:szCs w:val="21"/>
                <w:highlight w:val="none"/>
              </w:rPr>
            </w:pPr>
          </w:p>
        </w:tc>
        <w:tc>
          <w:tcPr>
            <w:tcW w:w="2324" w:type="dxa"/>
            <w:vMerge w:val="continue"/>
            <w:shd w:val="clear" w:color="auto" w:fill="auto"/>
            <w:vAlign w:val="center"/>
          </w:tcPr>
          <w:p>
            <w:pPr>
              <w:adjustRightInd w:val="0"/>
              <w:snapToGrid w:val="0"/>
              <w:jc w:val="center"/>
              <w:rPr>
                <w:rFonts w:eastAsiaTheme="minorEastAsia"/>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1" w:type="dxa"/>
            <w:shd w:val="clear" w:color="auto" w:fill="auto"/>
            <w:vAlign w:val="center"/>
          </w:tcPr>
          <w:p>
            <w:pPr>
              <w:adjustRightInd w:val="0"/>
              <w:snapToGrid w:val="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1#前孟村</w:t>
            </w:r>
          </w:p>
        </w:tc>
        <w:tc>
          <w:tcPr>
            <w:tcW w:w="1381" w:type="dxa"/>
            <w:shd w:val="clear" w:color="auto" w:fill="auto"/>
            <w:vAlign w:val="center"/>
          </w:tcPr>
          <w:p>
            <w:pPr>
              <w:adjustRightInd w:val="0"/>
              <w:snapToGrid w:val="0"/>
              <w:jc w:val="center"/>
              <w:rPr>
                <w:rFonts w:hint="default" w:eastAsiaTheme="minorEastAsia"/>
                <w:sz w:val="21"/>
                <w:szCs w:val="21"/>
                <w:highlight w:val="none"/>
                <w:lang w:val="en-US" w:eastAsia="zh-CN"/>
              </w:rPr>
            </w:pPr>
            <w:r>
              <w:rPr>
                <w:rFonts w:hint="eastAsia" w:eastAsiaTheme="minorEastAsia"/>
                <w:sz w:val="21"/>
                <w:szCs w:val="21"/>
                <w:lang w:eastAsia="zh-CN"/>
              </w:rPr>
              <w:t>甲醛</w:t>
            </w:r>
          </w:p>
        </w:tc>
        <w:tc>
          <w:tcPr>
            <w:tcW w:w="1295"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28</w:t>
            </w:r>
          </w:p>
        </w:tc>
        <w:tc>
          <w:tcPr>
            <w:tcW w:w="1291"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w:t>
            </w:r>
          </w:p>
        </w:tc>
        <w:tc>
          <w:tcPr>
            <w:tcW w:w="1433" w:type="dxa"/>
            <w:shd w:val="clear" w:color="auto" w:fill="auto"/>
            <w:vAlign w:val="center"/>
          </w:tcPr>
          <w:p>
            <w:pPr>
              <w:adjustRightInd w:val="0"/>
              <w:snapToGrid w:val="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w:t>
            </w:r>
          </w:p>
        </w:tc>
        <w:tc>
          <w:tcPr>
            <w:tcW w:w="2324"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1" w:type="dxa"/>
            <w:shd w:val="clear" w:color="auto" w:fill="auto"/>
            <w:vAlign w:val="center"/>
          </w:tcPr>
          <w:p>
            <w:pPr>
              <w:adjustRightInd w:val="0"/>
              <w:snapToGrid w:val="0"/>
              <w:jc w:val="center"/>
              <w:rPr>
                <w:rFonts w:hint="default" w:eastAsiaTheme="minorEastAsia"/>
                <w:sz w:val="21"/>
                <w:szCs w:val="21"/>
                <w:lang w:val="en-US" w:eastAsia="zh-CN"/>
              </w:rPr>
            </w:pPr>
            <w:r>
              <w:rPr>
                <w:rFonts w:hint="eastAsia" w:eastAsiaTheme="minorEastAsia"/>
                <w:sz w:val="21"/>
                <w:szCs w:val="21"/>
                <w:lang w:val="en-US" w:eastAsia="zh-CN"/>
              </w:rPr>
              <w:t>2#东谭村</w:t>
            </w:r>
          </w:p>
        </w:tc>
        <w:tc>
          <w:tcPr>
            <w:tcW w:w="1381" w:type="dxa"/>
            <w:shd w:val="clear" w:color="auto" w:fill="auto"/>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highlight w:val="none"/>
                <w:lang w:val="en-US" w:eastAsia="zh-CN"/>
              </w:rPr>
              <w:t>非甲烷总烃</w:t>
            </w:r>
          </w:p>
        </w:tc>
        <w:tc>
          <w:tcPr>
            <w:tcW w:w="1295"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28</w:t>
            </w:r>
          </w:p>
        </w:tc>
        <w:tc>
          <w:tcPr>
            <w:tcW w:w="1291"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w:t>
            </w:r>
          </w:p>
        </w:tc>
        <w:tc>
          <w:tcPr>
            <w:tcW w:w="1433" w:type="dxa"/>
            <w:shd w:val="clear" w:color="auto" w:fill="auto"/>
            <w:vAlign w:val="center"/>
          </w:tcPr>
          <w:p>
            <w:pPr>
              <w:adjustRightInd w:val="0"/>
              <w:snapToGrid w:val="0"/>
              <w:jc w:val="center"/>
              <w:rPr>
                <w:rFonts w:hint="default" w:eastAsiaTheme="minorEastAsia"/>
                <w:sz w:val="21"/>
                <w:szCs w:val="21"/>
                <w:highlight w:val="yellow"/>
                <w:lang w:val="en-US" w:eastAsia="zh-CN"/>
              </w:rPr>
            </w:pPr>
            <w:r>
              <w:rPr>
                <w:rFonts w:hint="eastAsia" w:eastAsiaTheme="minorEastAsia"/>
                <w:sz w:val="21"/>
                <w:szCs w:val="21"/>
                <w:highlight w:val="none"/>
                <w:lang w:val="en-US" w:eastAsia="zh-CN"/>
              </w:rPr>
              <w:t>0.70~0.96</w:t>
            </w:r>
          </w:p>
        </w:tc>
        <w:tc>
          <w:tcPr>
            <w:tcW w:w="2324"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w:t>
            </w:r>
          </w:p>
        </w:tc>
      </w:tr>
    </w:tbl>
    <w:p>
      <w:pPr>
        <w:keepNext/>
        <w:keepLines/>
        <w:widowControl/>
        <w:adjustRightInd w:val="0"/>
        <w:snapToGrid w:val="0"/>
        <w:spacing w:line="360" w:lineRule="auto"/>
        <w:outlineLvl w:val="2"/>
        <w:rPr>
          <w:rFonts w:eastAsiaTheme="minorEastAsia"/>
          <w:b/>
          <w:bCs/>
          <w:sz w:val="28"/>
          <w:szCs w:val="28"/>
          <w:lang w:eastAsia="zh-CN"/>
        </w:rPr>
      </w:pPr>
      <w:r>
        <w:rPr>
          <w:rFonts w:eastAsiaTheme="minorEastAsia"/>
          <w:b/>
          <w:bCs/>
          <w:sz w:val="28"/>
          <w:szCs w:val="28"/>
          <w:lang w:eastAsia="zh-CN"/>
        </w:rPr>
        <w:t>4.</w:t>
      </w:r>
      <w:r>
        <w:rPr>
          <w:rFonts w:hint="eastAsia" w:eastAsiaTheme="minorEastAsia"/>
          <w:b/>
          <w:bCs/>
          <w:sz w:val="28"/>
          <w:szCs w:val="28"/>
          <w:lang w:eastAsia="zh-CN"/>
        </w:rPr>
        <w:t>5</w:t>
      </w:r>
      <w:r>
        <w:rPr>
          <w:rFonts w:eastAsiaTheme="minorEastAsia"/>
          <w:b/>
          <w:bCs/>
          <w:sz w:val="28"/>
          <w:szCs w:val="28"/>
          <w:lang w:eastAsia="zh-CN"/>
        </w:rPr>
        <w:t>其他污染物环境质量现状评价</w:t>
      </w:r>
    </w:p>
    <w:p>
      <w:pPr>
        <w:keepNext/>
        <w:keepLines/>
        <w:adjustRightInd w:val="0"/>
        <w:snapToGrid w:val="0"/>
        <w:spacing w:line="360" w:lineRule="auto"/>
        <w:outlineLvl w:val="3"/>
        <w:rPr>
          <w:rFonts w:eastAsiaTheme="minorEastAsia"/>
          <w:b/>
          <w:bCs/>
          <w:lang w:eastAsia="zh-CN"/>
        </w:rPr>
      </w:pPr>
      <w:r>
        <w:rPr>
          <w:rFonts w:eastAsiaTheme="minorEastAsia"/>
          <w:b/>
          <w:bCs/>
          <w:lang w:eastAsia="zh-CN"/>
        </w:rPr>
        <w:t>4.</w:t>
      </w:r>
      <w:r>
        <w:rPr>
          <w:rFonts w:hint="eastAsia" w:eastAsiaTheme="minorEastAsia"/>
          <w:b/>
          <w:bCs/>
          <w:lang w:eastAsia="zh-CN"/>
        </w:rPr>
        <w:t>5</w:t>
      </w:r>
      <w:r>
        <w:rPr>
          <w:rFonts w:eastAsiaTheme="minorEastAsia"/>
          <w:b/>
          <w:bCs/>
          <w:lang w:eastAsia="zh-CN"/>
        </w:rPr>
        <w:t>.1评价因子、评价标准</w:t>
      </w:r>
      <w:bookmarkEnd w:id="40"/>
      <w:bookmarkEnd w:id="41"/>
    </w:p>
    <w:p>
      <w:pPr>
        <w:adjustRightInd w:val="0"/>
        <w:snapToGrid w:val="0"/>
        <w:spacing w:line="360" w:lineRule="auto"/>
        <w:ind w:firstLine="420" w:firstLineChars="200"/>
        <w:rPr>
          <w:rFonts w:eastAsiaTheme="minorEastAsia"/>
          <w:lang w:eastAsia="zh-CN"/>
        </w:rPr>
      </w:pPr>
      <w:r>
        <w:rPr>
          <w:rFonts w:eastAsiaTheme="minorEastAsia"/>
          <w:lang w:eastAsia="zh-CN"/>
        </w:rPr>
        <w:t>其它污染物评价标准如表4.</w:t>
      </w:r>
      <w:r>
        <w:rPr>
          <w:rFonts w:hint="eastAsia" w:eastAsiaTheme="minorEastAsia"/>
          <w:lang w:eastAsia="zh-CN"/>
        </w:rPr>
        <w:t>5</w:t>
      </w:r>
      <w:r>
        <w:rPr>
          <w:rFonts w:eastAsiaTheme="minorEastAsia"/>
          <w:lang w:eastAsia="zh-CN"/>
        </w:rPr>
        <w:t>-</w:t>
      </w:r>
      <w:r>
        <w:rPr>
          <w:rFonts w:hint="eastAsia" w:eastAsiaTheme="minorEastAsia"/>
          <w:lang w:eastAsia="zh-CN"/>
        </w:rPr>
        <w:t>1</w:t>
      </w:r>
      <w:r>
        <w:rPr>
          <w:rFonts w:eastAsiaTheme="minorEastAsia"/>
          <w:lang w:eastAsia="zh-CN"/>
        </w:rPr>
        <w:t>所示。</w:t>
      </w:r>
    </w:p>
    <w:p>
      <w:pPr>
        <w:adjustRightInd w:val="0"/>
        <w:snapToGrid w:val="0"/>
        <w:spacing w:line="360" w:lineRule="auto"/>
        <w:jc w:val="center"/>
        <w:rPr>
          <w:rFonts w:eastAsiaTheme="minorEastAsia"/>
          <w:b/>
          <w:lang w:eastAsia="zh-CN"/>
        </w:rPr>
      </w:pPr>
    </w:p>
    <w:p>
      <w:pPr>
        <w:adjustRightInd w:val="0"/>
        <w:snapToGrid w:val="0"/>
        <w:spacing w:line="360" w:lineRule="auto"/>
        <w:jc w:val="center"/>
        <w:rPr>
          <w:rFonts w:eastAsiaTheme="minorEastAsia"/>
          <w:b/>
          <w:lang w:eastAsia="zh-CN"/>
        </w:rPr>
      </w:pPr>
    </w:p>
    <w:p>
      <w:pPr>
        <w:adjustRightInd w:val="0"/>
        <w:snapToGrid w:val="0"/>
        <w:spacing w:line="360" w:lineRule="auto"/>
        <w:jc w:val="center"/>
        <w:rPr>
          <w:rFonts w:eastAsiaTheme="minorEastAsia"/>
          <w:b/>
          <w:lang w:eastAsia="zh-CN"/>
        </w:rPr>
      </w:pPr>
      <w:r>
        <w:rPr>
          <w:rFonts w:eastAsiaTheme="minorEastAsia"/>
          <w:b/>
          <w:lang w:eastAsia="zh-CN"/>
        </w:rPr>
        <w:t>表4.</w:t>
      </w:r>
      <w:r>
        <w:rPr>
          <w:rFonts w:hint="eastAsia" w:eastAsiaTheme="minorEastAsia"/>
          <w:b/>
          <w:lang w:eastAsia="zh-CN"/>
        </w:rPr>
        <w:t>5</w:t>
      </w:r>
      <w:r>
        <w:rPr>
          <w:rFonts w:eastAsiaTheme="minorEastAsia"/>
          <w:b/>
          <w:lang w:eastAsia="zh-CN"/>
        </w:rPr>
        <w:t>-</w:t>
      </w:r>
      <w:r>
        <w:rPr>
          <w:rFonts w:hint="eastAsia" w:eastAsiaTheme="minorEastAsia"/>
          <w:b/>
          <w:lang w:eastAsia="zh-CN"/>
        </w:rPr>
        <w:t>1</w:t>
      </w:r>
      <w:r>
        <w:rPr>
          <w:rFonts w:eastAsiaTheme="minorEastAsia"/>
          <w:b/>
          <w:lang w:eastAsia="zh-CN"/>
        </w:rPr>
        <w:t xml:space="preserve">  环境空气质量现状评价标准</w:t>
      </w:r>
    </w:p>
    <w:tbl>
      <w:tblPr>
        <w:tblStyle w:val="85"/>
        <w:tblW w:w="928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20"/>
        <w:gridCol w:w="1045"/>
        <w:gridCol w:w="1436"/>
        <w:gridCol w:w="1364"/>
        <w:gridCol w:w="843"/>
        <w:gridCol w:w="38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83" w:hRule="atLeast"/>
        </w:trPr>
        <w:tc>
          <w:tcPr>
            <w:tcW w:w="720" w:type="dxa"/>
            <w:vMerge w:val="restart"/>
            <w:tcBorders>
              <w:bottom w:val="single" w:color="auto" w:sz="6" w:space="0"/>
            </w:tcBorders>
            <w:shd w:val="clear" w:color="auto" w:fill="auto"/>
            <w:vAlign w:val="center"/>
          </w:tcPr>
          <w:p>
            <w:pPr>
              <w:adjustRightInd w:val="0"/>
              <w:snapToGrid w:val="0"/>
              <w:jc w:val="center"/>
              <w:rPr>
                <w:rFonts w:eastAsiaTheme="minorEastAsia"/>
                <w:b/>
                <w:bCs/>
                <w:sz w:val="21"/>
                <w:szCs w:val="21"/>
              </w:rPr>
            </w:pPr>
            <w:bookmarkStart w:id="42" w:name="_Toc328376390"/>
            <w:bookmarkStart w:id="43" w:name="_Toc330297336"/>
            <w:r>
              <w:rPr>
                <w:rFonts w:eastAsiaTheme="minorEastAsia"/>
                <w:b/>
                <w:bCs/>
                <w:spacing w:val="3"/>
                <w:sz w:val="21"/>
                <w:szCs w:val="21"/>
              </w:rPr>
              <w:t>序号</w:t>
            </w:r>
          </w:p>
        </w:tc>
        <w:tc>
          <w:tcPr>
            <w:tcW w:w="1045" w:type="dxa"/>
            <w:vMerge w:val="restart"/>
            <w:tcBorders>
              <w:bottom w:val="single" w:color="auto" w:sz="6" w:space="0"/>
            </w:tcBorders>
            <w:shd w:val="clear" w:color="auto" w:fill="auto"/>
            <w:vAlign w:val="center"/>
          </w:tcPr>
          <w:p>
            <w:pPr>
              <w:adjustRightInd w:val="0"/>
              <w:snapToGrid w:val="0"/>
              <w:jc w:val="center"/>
              <w:rPr>
                <w:rFonts w:eastAsiaTheme="minorEastAsia"/>
                <w:b/>
                <w:bCs/>
                <w:sz w:val="21"/>
                <w:szCs w:val="21"/>
              </w:rPr>
            </w:pPr>
            <w:r>
              <w:rPr>
                <w:rFonts w:eastAsiaTheme="minorEastAsia"/>
                <w:b/>
                <w:bCs/>
                <w:spacing w:val="3"/>
                <w:sz w:val="21"/>
                <w:szCs w:val="21"/>
              </w:rPr>
              <w:t>评价因子</w:t>
            </w:r>
          </w:p>
        </w:tc>
        <w:tc>
          <w:tcPr>
            <w:tcW w:w="3643" w:type="dxa"/>
            <w:gridSpan w:val="3"/>
            <w:tcBorders>
              <w:bottom w:val="single" w:color="auto" w:sz="6" w:space="0"/>
            </w:tcBorders>
            <w:shd w:val="clear" w:color="auto" w:fill="auto"/>
          </w:tcPr>
          <w:p>
            <w:pPr>
              <w:adjustRightInd w:val="0"/>
              <w:snapToGrid w:val="0"/>
              <w:jc w:val="center"/>
              <w:rPr>
                <w:rFonts w:eastAsiaTheme="minorEastAsia"/>
                <w:b/>
                <w:bCs/>
                <w:sz w:val="21"/>
                <w:szCs w:val="21"/>
              </w:rPr>
            </w:pPr>
            <w:r>
              <w:rPr>
                <w:rFonts w:eastAsiaTheme="minorEastAsia"/>
                <w:b/>
                <w:bCs/>
                <w:spacing w:val="3"/>
                <w:sz w:val="21"/>
                <w:szCs w:val="21"/>
              </w:rPr>
              <w:t>浓度限值（</w:t>
            </w:r>
            <w:r>
              <w:rPr>
                <w:rFonts w:ascii="Times New Roman" w:hAnsi="Times New Roman"/>
                <w:b/>
                <w:bCs/>
                <w:sz w:val="18"/>
                <w:szCs w:val="18"/>
              </w:rPr>
              <w:t>μg</w:t>
            </w:r>
            <w:r>
              <w:rPr>
                <w:rFonts w:eastAsiaTheme="minorEastAsia"/>
                <w:b/>
                <w:bCs/>
                <w:spacing w:val="3"/>
                <w:sz w:val="21"/>
                <w:szCs w:val="21"/>
              </w:rPr>
              <w:t>/m</w:t>
            </w:r>
            <w:r>
              <w:rPr>
                <w:rFonts w:eastAsiaTheme="minorEastAsia"/>
                <w:b/>
                <w:bCs/>
                <w:spacing w:val="3"/>
                <w:sz w:val="21"/>
                <w:szCs w:val="21"/>
                <w:vertAlign w:val="superscript"/>
              </w:rPr>
              <w:t>3</w:t>
            </w:r>
            <w:r>
              <w:rPr>
                <w:rFonts w:eastAsiaTheme="minorEastAsia"/>
                <w:b/>
                <w:bCs/>
                <w:spacing w:val="3"/>
                <w:sz w:val="21"/>
                <w:szCs w:val="21"/>
              </w:rPr>
              <w:t>）</w:t>
            </w:r>
          </w:p>
        </w:tc>
        <w:tc>
          <w:tcPr>
            <w:tcW w:w="3878" w:type="dxa"/>
            <w:vMerge w:val="restart"/>
            <w:tcBorders>
              <w:bottom w:val="single" w:color="auto" w:sz="6" w:space="0"/>
            </w:tcBorders>
            <w:shd w:val="clear" w:color="auto" w:fill="auto"/>
            <w:vAlign w:val="center"/>
          </w:tcPr>
          <w:p>
            <w:pPr>
              <w:adjustRightInd w:val="0"/>
              <w:snapToGrid w:val="0"/>
              <w:jc w:val="center"/>
              <w:rPr>
                <w:rFonts w:eastAsiaTheme="minorEastAsia"/>
                <w:b/>
                <w:bCs/>
                <w:sz w:val="21"/>
                <w:szCs w:val="21"/>
              </w:rPr>
            </w:pPr>
            <w:r>
              <w:rPr>
                <w:rFonts w:eastAsiaTheme="minorEastAsia"/>
                <w:b/>
                <w:bCs/>
                <w:spacing w:val="3"/>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720" w:type="dxa"/>
            <w:vMerge w:val="continue"/>
            <w:tcBorders>
              <w:top w:val="single" w:color="auto" w:sz="6" w:space="0"/>
              <w:bottom w:val="single" w:color="auto" w:sz="6" w:space="0"/>
            </w:tcBorders>
            <w:shd w:val="clear" w:color="auto" w:fill="auto"/>
            <w:vAlign w:val="center"/>
          </w:tcPr>
          <w:p>
            <w:pPr>
              <w:adjustRightInd w:val="0"/>
              <w:snapToGrid w:val="0"/>
              <w:jc w:val="center"/>
              <w:rPr>
                <w:rFonts w:eastAsiaTheme="minorEastAsia"/>
                <w:b/>
                <w:bCs/>
                <w:sz w:val="21"/>
                <w:szCs w:val="21"/>
              </w:rPr>
            </w:pPr>
          </w:p>
        </w:tc>
        <w:tc>
          <w:tcPr>
            <w:tcW w:w="1045" w:type="dxa"/>
            <w:vMerge w:val="continue"/>
            <w:tcBorders>
              <w:top w:val="single" w:color="auto" w:sz="6" w:space="0"/>
              <w:bottom w:val="single" w:color="auto" w:sz="6" w:space="0"/>
            </w:tcBorders>
            <w:shd w:val="clear" w:color="auto" w:fill="auto"/>
            <w:vAlign w:val="center"/>
          </w:tcPr>
          <w:p>
            <w:pPr>
              <w:adjustRightInd w:val="0"/>
              <w:snapToGrid w:val="0"/>
              <w:jc w:val="center"/>
              <w:rPr>
                <w:rFonts w:eastAsiaTheme="minorEastAsia"/>
                <w:b/>
                <w:bCs/>
                <w:sz w:val="21"/>
                <w:szCs w:val="21"/>
              </w:rPr>
            </w:pPr>
          </w:p>
        </w:tc>
        <w:tc>
          <w:tcPr>
            <w:tcW w:w="1436" w:type="dxa"/>
            <w:tcBorders>
              <w:top w:val="single" w:color="auto" w:sz="6" w:space="0"/>
              <w:bottom w:val="single" w:color="auto" w:sz="6" w:space="0"/>
            </w:tcBorders>
            <w:shd w:val="clear" w:color="auto" w:fill="auto"/>
            <w:vAlign w:val="center"/>
          </w:tcPr>
          <w:p>
            <w:pPr>
              <w:adjustRightInd w:val="0"/>
              <w:snapToGrid w:val="0"/>
              <w:jc w:val="center"/>
              <w:rPr>
                <w:rFonts w:eastAsiaTheme="minorEastAsia"/>
                <w:b/>
                <w:bCs/>
                <w:spacing w:val="3"/>
                <w:sz w:val="21"/>
                <w:szCs w:val="21"/>
              </w:rPr>
            </w:pPr>
            <w:r>
              <w:rPr>
                <w:rFonts w:eastAsiaTheme="minorEastAsia"/>
                <w:b/>
                <w:bCs/>
                <w:spacing w:val="3"/>
                <w:sz w:val="21"/>
                <w:szCs w:val="21"/>
              </w:rPr>
              <w:t>1小时平均</w:t>
            </w:r>
          </w:p>
          <w:p>
            <w:pPr>
              <w:adjustRightInd w:val="0"/>
              <w:snapToGrid w:val="0"/>
              <w:jc w:val="center"/>
              <w:rPr>
                <w:rFonts w:eastAsiaTheme="minorEastAsia"/>
                <w:b/>
                <w:bCs/>
                <w:spacing w:val="3"/>
                <w:sz w:val="21"/>
                <w:szCs w:val="21"/>
              </w:rPr>
            </w:pPr>
            <w:r>
              <w:rPr>
                <w:rFonts w:eastAsiaTheme="minorEastAsia"/>
                <w:b/>
                <w:bCs/>
                <w:spacing w:val="3"/>
                <w:sz w:val="21"/>
                <w:szCs w:val="21"/>
              </w:rPr>
              <w:t>（一次值）</w:t>
            </w:r>
          </w:p>
        </w:tc>
        <w:tc>
          <w:tcPr>
            <w:tcW w:w="1364" w:type="dxa"/>
            <w:tcBorders>
              <w:top w:val="single" w:color="auto" w:sz="6" w:space="0"/>
              <w:bottom w:val="single" w:color="auto" w:sz="6" w:space="0"/>
            </w:tcBorders>
            <w:shd w:val="clear" w:color="auto" w:fill="auto"/>
            <w:vAlign w:val="center"/>
          </w:tcPr>
          <w:p>
            <w:pPr>
              <w:adjustRightInd w:val="0"/>
              <w:snapToGrid w:val="0"/>
              <w:jc w:val="center"/>
              <w:rPr>
                <w:rFonts w:eastAsiaTheme="minorEastAsia"/>
                <w:b/>
                <w:bCs/>
                <w:spacing w:val="3"/>
                <w:sz w:val="21"/>
                <w:szCs w:val="21"/>
              </w:rPr>
            </w:pPr>
            <w:r>
              <w:rPr>
                <w:rFonts w:eastAsiaTheme="minorEastAsia"/>
                <w:b/>
                <w:bCs/>
                <w:spacing w:val="3"/>
                <w:sz w:val="21"/>
                <w:szCs w:val="21"/>
              </w:rPr>
              <w:t>24小时平均</w:t>
            </w:r>
          </w:p>
        </w:tc>
        <w:tc>
          <w:tcPr>
            <w:tcW w:w="843" w:type="dxa"/>
            <w:tcBorders>
              <w:top w:val="single" w:color="auto" w:sz="6" w:space="0"/>
              <w:bottom w:val="single" w:color="auto" w:sz="6" w:space="0"/>
            </w:tcBorders>
            <w:shd w:val="clear" w:color="auto" w:fill="auto"/>
            <w:vAlign w:val="center"/>
          </w:tcPr>
          <w:p>
            <w:pPr>
              <w:adjustRightInd w:val="0"/>
              <w:snapToGrid w:val="0"/>
              <w:jc w:val="center"/>
              <w:rPr>
                <w:rFonts w:eastAsiaTheme="minorEastAsia"/>
                <w:b/>
                <w:bCs/>
                <w:spacing w:val="3"/>
                <w:sz w:val="21"/>
                <w:szCs w:val="21"/>
              </w:rPr>
            </w:pPr>
            <w:r>
              <w:rPr>
                <w:rFonts w:eastAsiaTheme="minorEastAsia"/>
                <w:b/>
                <w:bCs/>
                <w:spacing w:val="3"/>
                <w:sz w:val="21"/>
                <w:szCs w:val="21"/>
              </w:rPr>
              <w:t>年平均</w:t>
            </w:r>
          </w:p>
        </w:tc>
        <w:tc>
          <w:tcPr>
            <w:tcW w:w="3878" w:type="dxa"/>
            <w:vMerge w:val="continue"/>
            <w:tcBorders>
              <w:top w:val="single" w:color="auto" w:sz="6" w:space="0"/>
              <w:bottom w:val="single" w:color="auto" w:sz="6" w:space="0"/>
            </w:tcBorders>
            <w:shd w:val="clear" w:color="auto" w:fill="auto"/>
            <w:vAlign w:val="center"/>
          </w:tcPr>
          <w:p>
            <w:pPr>
              <w:adjustRightInd w:val="0"/>
              <w:snapToGrid w:val="0"/>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2" w:hRule="exact"/>
        </w:trPr>
        <w:tc>
          <w:tcPr>
            <w:tcW w:w="720" w:type="dxa"/>
            <w:shd w:val="clear" w:color="auto" w:fill="auto"/>
            <w:vAlign w:val="center"/>
          </w:tcPr>
          <w:p>
            <w:pPr>
              <w:adjustRightInd w:val="0"/>
              <w:snapToGrid w:val="0"/>
              <w:jc w:val="center"/>
              <w:rPr>
                <w:rFonts w:eastAsiaTheme="minorEastAsia"/>
                <w:spacing w:val="3"/>
                <w:sz w:val="21"/>
                <w:szCs w:val="21"/>
              </w:rPr>
            </w:pPr>
            <w:r>
              <w:rPr>
                <w:rFonts w:eastAsiaTheme="minorEastAsia"/>
                <w:spacing w:val="3"/>
                <w:sz w:val="21"/>
                <w:szCs w:val="21"/>
              </w:rPr>
              <w:t>1</w:t>
            </w:r>
          </w:p>
        </w:tc>
        <w:tc>
          <w:tcPr>
            <w:tcW w:w="1045" w:type="dxa"/>
            <w:shd w:val="clear" w:color="auto" w:fill="auto"/>
            <w:vAlign w:val="center"/>
          </w:tcPr>
          <w:p>
            <w:pPr>
              <w:adjustRightInd w:val="0"/>
              <w:snapToGrid w:val="0"/>
              <w:jc w:val="center"/>
              <w:rPr>
                <w:rFonts w:eastAsiaTheme="minorEastAsia"/>
                <w:spacing w:val="3"/>
                <w:sz w:val="21"/>
                <w:szCs w:val="21"/>
                <w:lang w:eastAsia="zh-CN"/>
              </w:rPr>
            </w:pPr>
            <w:r>
              <w:rPr>
                <w:rFonts w:hint="eastAsia" w:eastAsiaTheme="minorEastAsia"/>
                <w:spacing w:val="3"/>
                <w:sz w:val="21"/>
                <w:szCs w:val="21"/>
                <w:lang w:eastAsia="zh-CN"/>
              </w:rPr>
              <w:t>甲醛</w:t>
            </w:r>
          </w:p>
        </w:tc>
        <w:tc>
          <w:tcPr>
            <w:tcW w:w="1436" w:type="dxa"/>
            <w:shd w:val="clear" w:color="auto" w:fill="auto"/>
            <w:vAlign w:val="center"/>
          </w:tcPr>
          <w:p>
            <w:pPr>
              <w:adjustRightInd w:val="0"/>
              <w:snapToGrid w:val="0"/>
              <w:jc w:val="center"/>
              <w:rPr>
                <w:rFonts w:hint="default" w:eastAsiaTheme="minorEastAsia"/>
                <w:spacing w:val="3"/>
                <w:sz w:val="21"/>
                <w:szCs w:val="21"/>
                <w:lang w:val="en-US" w:eastAsia="zh-CN"/>
              </w:rPr>
            </w:pPr>
            <w:r>
              <w:rPr>
                <w:rFonts w:hint="eastAsia" w:eastAsiaTheme="minorEastAsia"/>
                <w:spacing w:val="3"/>
                <w:sz w:val="21"/>
                <w:szCs w:val="21"/>
                <w:lang w:val="en-US" w:eastAsia="zh-CN"/>
              </w:rPr>
              <w:t>50</w:t>
            </w:r>
          </w:p>
        </w:tc>
        <w:tc>
          <w:tcPr>
            <w:tcW w:w="1364" w:type="dxa"/>
            <w:shd w:val="clear" w:color="auto" w:fill="auto"/>
            <w:vAlign w:val="center"/>
          </w:tcPr>
          <w:p>
            <w:pPr>
              <w:adjustRightInd w:val="0"/>
              <w:snapToGrid w:val="0"/>
              <w:jc w:val="center"/>
              <w:rPr>
                <w:rFonts w:eastAsiaTheme="minorEastAsia"/>
                <w:spacing w:val="3"/>
                <w:sz w:val="21"/>
                <w:szCs w:val="21"/>
              </w:rPr>
            </w:pPr>
            <w:r>
              <w:rPr>
                <w:rFonts w:eastAsiaTheme="minorEastAsia"/>
                <w:spacing w:val="3"/>
                <w:sz w:val="21"/>
                <w:szCs w:val="21"/>
              </w:rPr>
              <w:t>--</w:t>
            </w:r>
          </w:p>
        </w:tc>
        <w:tc>
          <w:tcPr>
            <w:tcW w:w="843" w:type="dxa"/>
            <w:shd w:val="clear" w:color="auto" w:fill="auto"/>
            <w:vAlign w:val="center"/>
          </w:tcPr>
          <w:p>
            <w:pPr>
              <w:adjustRightInd w:val="0"/>
              <w:snapToGrid w:val="0"/>
              <w:jc w:val="center"/>
              <w:rPr>
                <w:rFonts w:eastAsiaTheme="minorEastAsia"/>
                <w:spacing w:val="3"/>
                <w:sz w:val="21"/>
                <w:szCs w:val="21"/>
              </w:rPr>
            </w:pPr>
            <w:r>
              <w:rPr>
                <w:rFonts w:eastAsiaTheme="minorEastAsia"/>
                <w:spacing w:val="3"/>
                <w:sz w:val="21"/>
                <w:szCs w:val="21"/>
              </w:rPr>
              <w:t>--</w:t>
            </w:r>
          </w:p>
        </w:tc>
        <w:tc>
          <w:tcPr>
            <w:tcW w:w="3878" w:type="dxa"/>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4" w:hRule="exact"/>
        </w:trPr>
        <w:tc>
          <w:tcPr>
            <w:tcW w:w="720" w:type="dxa"/>
            <w:shd w:val="clear" w:color="auto" w:fill="auto"/>
            <w:vAlign w:val="center"/>
          </w:tcPr>
          <w:p>
            <w:pPr>
              <w:adjustRightInd w:val="0"/>
              <w:snapToGrid w:val="0"/>
              <w:jc w:val="center"/>
              <w:rPr>
                <w:rFonts w:eastAsiaTheme="minorEastAsia"/>
                <w:spacing w:val="3"/>
                <w:sz w:val="21"/>
                <w:szCs w:val="21"/>
                <w:lang w:eastAsia="zh-CN"/>
              </w:rPr>
            </w:pPr>
            <w:r>
              <w:rPr>
                <w:rFonts w:hint="eastAsia" w:eastAsiaTheme="minorEastAsia"/>
                <w:spacing w:val="3"/>
                <w:sz w:val="21"/>
                <w:szCs w:val="21"/>
                <w:lang w:eastAsia="zh-CN"/>
              </w:rPr>
              <w:t>2</w:t>
            </w:r>
          </w:p>
        </w:tc>
        <w:tc>
          <w:tcPr>
            <w:tcW w:w="1045" w:type="dxa"/>
            <w:shd w:val="clear" w:color="auto" w:fill="auto"/>
            <w:vAlign w:val="center"/>
          </w:tcPr>
          <w:p>
            <w:pPr>
              <w:adjustRightInd w:val="0"/>
              <w:snapToGrid w:val="0"/>
              <w:jc w:val="center"/>
              <w:rPr>
                <w:rFonts w:eastAsiaTheme="minorEastAsia"/>
                <w:spacing w:val="3"/>
                <w:sz w:val="21"/>
                <w:szCs w:val="21"/>
                <w:lang w:eastAsia="zh-CN"/>
              </w:rPr>
            </w:pPr>
            <w:r>
              <w:rPr>
                <w:rFonts w:hint="eastAsia" w:eastAsiaTheme="minorEastAsia"/>
                <w:spacing w:val="3"/>
                <w:sz w:val="21"/>
                <w:szCs w:val="21"/>
                <w:lang w:eastAsia="zh-CN"/>
              </w:rPr>
              <w:t>VOCs（非甲烷总烃）</w:t>
            </w:r>
          </w:p>
        </w:tc>
        <w:tc>
          <w:tcPr>
            <w:tcW w:w="1436" w:type="dxa"/>
            <w:shd w:val="clear" w:color="auto" w:fill="auto"/>
            <w:vAlign w:val="center"/>
          </w:tcPr>
          <w:p>
            <w:pPr>
              <w:adjustRightInd w:val="0"/>
              <w:snapToGrid w:val="0"/>
              <w:jc w:val="center"/>
              <w:rPr>
                <w:rFonts w:hint="default" w:eastAsiaTheme="minorEastAsia"/>
                <w:spacing w:val="3"/>
                <w:sz w:val="21"/>
                <w:szCs w:val="21"/>
                <w:lang w:val="en-US" w:eastAsia="zh-CN"/>
              </w:rPr>
            </w:pPr>
            <w:r>
              <w:rPr>
                <w:rFonts w:hint="eastAsia" w:eastAsiaTheme="minorEastAsia"/>
                <w:spacing w:val="3"/>
                <w:sz w:val="21"/>
                <w:szCs w:val="21"/>
                <w:lang w:val="en-US" w:eastAsia="zh-CN"/>
              </w:rPr>
              <w:t>2000</w:t>
            </w:r>
          </w:p>
        </w:tc>
        <w:tc>
          <w:tcPr>
            <w:tcW w:w="1364" w:type="dxa"/>
            <w:shd w:val="clear" w:color="auto" w:fill="auto"/>
            <w:vAlign w:val="center"/>
          </w:tcPr>
          <w:p>
            <w:pPr>
              <w:adjustRightInd w:val="0"/>
              <w:snapToGrid w:val="0"/>
              <w:jc w:val="center"/>
              <w:rPr>
                <w:rFonts w:eastAsiaTheme="minorEastAsia"/>
                <w:spacing w:val="3"/>
                <w:sz w:val="21"/>
                <w:szCs w:val="21"/>
                <w:lang w:eastAsia="zh-CN"/>
              </w:rPr>
            </w:pPr>
            <w:r>
              <w:rPr>
                <w:rFonts w:hint="eastAsia" w:eastAsiaTheme="minorEastAsia"/>
                <w:spacing w:val="3"/>
                <w:sz w:val="21"/>
                <w:szCs w:val="21"/>
                <w:lang w:eastAsia="zh-CN"/>
              </w:rPr>
              <w:t>--</w:t>
            </w:r>
          </w:p>
        </w:tc>
        <w:tc>
          <w:tcPr>
            <w:tcW w:w="843" w:type="dxa"/>
            <w:shd w:val="clear" w:color="auto" w:fill="auto"/>
            <w:vAlign w:val="center"/>
          </w:tcPr>
          <w:p>
            <w:pPr>
              <w:adjustRightInd w:val="0"/>
              <w:snapToGrid w:val="0"/>
              <w:jc w:val="center"/>
              <w:rPr>
                <w:rFonts w:eastAsiaTheme="minorEastAsia"/>
                <w:spacing w:val="3"/>
                <w:sz w:val="21"/>
                <w:szCs w:val="21"/>
                <w:lang w:eastAsia="zh-CN"/>
              </w:rPr>
            </w:pPr>
            <w:r>
              <w:rPr>
                <w:rFonts w:hint="eastAsia" w:eastAsiaTheme="minorEastAsia"/>
                <w:spacing w:val="3"/>
                <w:sz w:val="21"/>
                <w:szCs w:val="21"/>
                <w:lang w:eastAsia="zh-CN"/>
              </w:rPr>
              <w:t>--</w:t>
            </w:r>
          </w:p>
        </w:tc>
        <w:tc>
          <w:tcPr>
            <w:tcW w:w="3878" w:type="dxa"/>
            <w:shd w:val="clear" w:color="auto" w:fill="auto"/>
            <w:vAlign w:val="center"/>
          </w:tcPr>
          <w:p>
            <w:pPr>
              <w:adjustRightInd w:val="0"/>
              <w:snapToGrid w:val="0"/>
              <w:jc w:val="center"/>
              <w:rPr>
                <w:rFonts w:eastAsiaTheme="minorEastAsia"/>
                <w:sz w:val="21"/>
                <w:szCs w:val="21"/>
                <w:lang w:eastAsia="zh-CN"/>
              </w:rPr>
            </w:pPr>
            <w:r>
              <w:rPr>
                <w:rFonts w:hint="eastAsia"/>
                <w:sz w:val="21"/>
                <w:lang w:eastAsia="zh-CN"/>
              </w:rPr>
              <w:t>《大气污染综合排放标准详解》中非甲烷总烃标准</w:t>
            </w:r>
          </w:p>
        </w:tc>
      </w:tr>
    </w:tbl>
    <w:p>
      <w:pPr>
        <w:keepNext/>
        <w:keepLines/>
        <w:adjustRightInd w:val="0"/>
        <w:snapToGrid w:val="0"/>
        <w:spacing w:line="360" w:lineRule="auto"/>
        <w:outlineLvl w:val="3"/>
        <w:rPr>
          <w:rFonts w:eastAsiaTheme="minorEastAsia"/>
          <w:b/>
          <w:bCs/>
        </w:rPr>
      </w:pPr>
      <w:r>
        <w:rPr>
          <w:rFonts w:eastAsiaTheme="minorEastAsia"/>
          <w:b/>
          <w:bCs/>
        </w:rPr>
        <w:t>4.</w:t>
      </w:r>
      <w:r>
        <w:rPr>
          <w:rFonts w:hint="eastAsia" w:eastAsiaTheme="minorEastAsia"/>
          <w:b/>
          <w:bCs/>
          <w:lang w:eastAsia="zh-CN"/>
        </w:rPr>
        <w:t>5</w:t>
      </w:r>
      <w:r>
        <w:rPr>
          <w:rFonts w:eastAsiaTheme="minorEastAsia"/>
          <w:b/>
          <w:bCs/>
        </w:rPr>
        <w:t>.2评价方法</w:t>
      </w:r>
      <w:bookmarkEnd w:id="42"/>
      <w:bookmarkEnd w:id="43"/>
    </w:p>
    <w:p>
      <w:pPr>
        <w:adjustRightInd w:val="0"/>
        <w:snapToGrid w:val="0"/>
        <w:spacing w:line="360" w:lineRule="auto"/>
        <w:ind w:firstLine="420" w:firstLineChars="200"/>
        <w:jc w:val="center"/>
        <w:rPr>
          <w:rFonts w:eastAsiaTheme="minorEastAsia"/>
        </w:rPr>
      </w:pPr>
      <w:r>
        <w:rPr>
          <w:rFonts w:eastAsiaTheme="minorEastAsia"/>
          <w:position w:val="-30"/>
        </w:rPr>
        <w:drawing>
          <wp:inline distT="0" distB="0" distL="114300" distR="114300">
            <wp:extent cx="932815" cy="495300"/>
            <wp:effectExtent l="0" t="0" r="0" b="0"/>
            <wp:docPr id="6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1"/>
                    <pic:cNvPicPr>
                      <a:picLocks noChangeAspect="1"/>
                    </pic:cNvPicPr>
                  </pic:nvPicPr>
                  <pic:blipFill>
                    <a:blip r:embed="rId26"/>
                    <a:stretch>
                      <a:fillRect/>
                    </a:stretch>
                  </pic:blipFill>
                  <pic:spPr>
                    <a:xfrm>
                      <a:off x="0" y="0"/>
                      <a:ext cx="932815" cy="495300"/>
                    </a:xfrm>
                    <a:prstGeom prst="rect">
                      <a:avLst/>
                    </a:prstGeom>
                    <a:noFill/>
                    <a:ln w="9525">
                      <a:noFill/>
                    </a:ln>
                  </pic:spPr>
                </pic:pic>
              </a:graphicData>
            </a:graphic>
          </wp:inline>
        </w:drawing>
      </w:r>
    </w:p>
    <w:p>
      <w:pPr>
        <w:adjustRightInd w:val="0"/>
        <w:snapToGrid w:val="0"/>
        <w:spacing w:line="360" w:lineRule="auto"/>
        <w:ind w:firstLine="420" w:firstLineChars="200"/>
        <w:rPr>
          <w:rFonts w:eastAsiaTheme="minorEastAsia"/>
          <w:lang w:eastAsia="zh-CN"/>
        </w:rPr>
      </w:pPr>
      <w:r>
        <w:rPr>
          <w:rFonts w:eastAsiaTheme="minorEastAsia"/>
          <w:lang w:eastAsia="zh-CN"/>
        </w:rPr>
        <w:t>采用单因子指数法进行评价，计算公式为：</w:t>
      </w:r>
    </w:p>
    <w:p>
      <w:pPr>
        <w:adjustRightInd w:val="0"/>
        <w:snapToGrid w:val="0"/>
        <w:spacing w:line="360" w:lineRule="auto"/>
        <w:ind w:firstLine="420" w:firstLineChars="200"/>
        <w:rPr>
          <w:rFonts w:eastAsiaTheme="minorEastAsia"/>
          <w:bCs/>
          <w:lang w:eastAsia="zh-CN"/>
        </w:rPr>
      </w:pPr>
      <w:r>
        <w:rPr>
          <w:rFonts w:eastAsiaTheme="minorEastAsia"/>
          <w:bCs/>
          <w:lang w:eastAsia="zh-CN"/>
        </w:rPr>
        <w:t>式中： Pi——某污染物i的单因子评价指数；</w:t>
      </w:r>
    </w:p>
    <w:p>
      <w:pPr>
        <w:adjustRightInd w:val="0"/>
        <w:snapToGrid w:val="0"/>
        <w:spacing w:line="360" w:lineRule="auto"/>
        <w:ind w:firstLine="1155" w:firstLineChars="550"/>
        <w:rPr>
          <w:rFonts w:eastAsiaTheme="minorEastAsia"/>
          <w:bCs/>
          <w:lang w:eastAsia="zh-CN"/>
        </w:rPr>
      </w:pPr>
      <w:r>
        <w:rPr>
          <w:rFonts w:eastAsiaTheme="minorEastAsia"/>
          <w:bCs/>
          <w:lang w:eastAsia="zh-CN"/>
        </w:rPr>
        <w:t>Ci——某污染物i的监测浓度值，mg/m</w:t>
      </w:r>
      <w:r>
        <w:rPr>
          <w:rFonts w:eastAsiaTheme="minorEastAsia"/>
          <w:bCs/>
          <w:vertAlign w:val="superscript"/>
          <w:lang w:eastAsia="zh-CN"/>
        </w:rPr>
        <w:t>3</w:t>
      </w:r>
      <w:r>
        <w:rPr>
          <w:rFonts w:eastAsiaTheme="minorEastAsia"/>
          <w:bCs/>
          <w:lang w:eastAsia="zh-CN"/>
        </w:rPr>
        <w:t>；</w:t>
      </w:r>
    </w:p>
    <w:p>
      <w:pPr>
        <w:adjustRightInd w:val="0"/>
        <w:snapToGrid w:val="0"/>
        <w:spacing w:line="360" w:lineRule="auto"/>
        <w:ind w:firstLine="1155" w:firstLineChars="550"/>
        <w:rPr>
          <w:rFonts w:eastAsiaTheme="minorEastAsia"/>
          <w:bCs/>
          <w:lang w:eastAsia="zh-CN"/>
        </w:rPr>
      </w:pPr>
      <w:r>
        <w:rPr>
          <w:rFonts w:eastAsiaTheme="minorEastAsia"/>
          <w:bCs/>
          <w:lang w:eastAsia="zh-CN"/>
        </w:rPr>
        <w:t>Si——某污染物i的环境质量标准，mg/m</w:t>
      </w:r>
      <w:r>
        <w:rPr>
          <w:rFonts w:eastAsiaTheme="minorEastAsia"/>
          <w:bCs/>
          <w:vertAlign w:val="superscript"/>
          <w:lang w:eastAsia="zh-CN"/>
        </w:rPr>
        <w:t>3</w:t>
      </w:r>
      <w:r>
        <w:rPr>
          <w:rFonts w:eastAsiaTheme="minorEastAsia"/>
          <w:bCs/>
          <w:lang w:eastAsia="zh-CN"/>
        </w:rPr>
        <w:t>；</w:t>
      </w:r>
    </w:p>
    <w:p>
      <w:pPr>
        <w:adjustRightInd w:val="0"/>
        <w:snapToGrid w:val="0"/>
        <w:spacing w:line="360" w:lineRule="auto"/>
        <w:ind w:firstLine="420" w:firstLineChars="200"/>
        <w:rPr>
          <w:rFonts w:eastAsiaTheme="minorEastAsia"/>
          <w:bCs/>
          <w:lang w:eastAsia="zh-CN"/>
        </w:rPr>
      </w:pPr>
      <w:r>
        <w:rPr>
          <w:rFonts w:eastAsiaTheme="minorEastAsia"/>
          <w:bCs/>
          <w:lang w:eastAsia="zh-CN"/>
        </w:rPr>
        <w:t>当Pi＜1时，表示环境空气中该污染物不超标；Pi≥1时，表示该污染物超过评价标准。</w:t>
      </w:r>
    </w:p>
    <w:p>
      <w:pPr>
        <w:pStyle w:val="2"/>
        <w:adjustRightInd w:val="0"/>
        <w:snapToGrid w:val="0"/>
        <w:spacing w:after="0" w:line="360" w:lineRule="auto"/>
        <w:ind w:left="0" w:leftChars="0" w:firstLine="480"/>
        <w:rPr>
          <w:rFonts w:eastAsiaTheme="minorEastAsia"/>
          <w:lang w:eastAsia="zh-CN"/>
        </w:rPr>
      </w:pPr>
      <w:r>
        <w:rPr>
          <w:rFonts w:eastAsiaTheme="minorEastAsia"/>
          <w:lang w:eastAsia="zh-CN"/>
        </w:rPr>
        <w:t>选择监测因子作为评价因子，未检出按检出限一半计算、无环境质量标准的监测因子不予评价</w:t>
      </w:r>
      <w:bookmarkStart w:id="44" w:name="_Toc328376391"/>
      <w:bookmarkStart w:id="45" w:name="_Toc330297337"/>
      <w:r>
        <w:rPr>
          <w:rFonts w:eastAsiaTheme="minorEastAsia"/>
          <w:lang w:eastAsia="zh-CN"/>
        </w:rPr>
        <w:t>。</w:t>
      </w:r>
    </w:p>
    <w:p>
      <w:pPr>
        <w:keepNext/>
        <w:keepLines/>
        <w:adjustRightInd w:val="0"/>
        <w:snapToGrid w:val="0"/>
        <w:spacing w:line="360" w:lineRule="auto"/>
        <w:outlineLvl w:val="3"/>
        <w:rPr>
          <w:rFonts w:eastAsiaTheme="minorEastAsia"/>
          <w:b/>
          <w:bCs/>
          <w:lang w:eastAsia="zh-CN"/>
        </w:rPr>
      </w:pPr>
      <w:r>
        <w:rPr>
          <w:rFonts w:eastAsiaTheme="minorEastAsia"/>
          <w:b/>
          <w:bCs/>
          <w:lang w:eastAsia="zh-CN"/>
        </w:rPr>
        <w:t>4.</w:t>
      </w:r>
      <w:r>
        <w:rPr>
          <w:rFonts w:hint="eastAsia" w:eastAsiaTheme="minorEastAsia"/>
          <w:b/>
          <w:bCs/>
          <w:lang w:eastAsia="zh-CN"/>
        </w:rPr>
        <w:t>5</w:t>
      </w:r>
      <w:r>
        <w:rPr>
          <w:rFonts w:eastAsiaTheme="minorEastAsia"/>
          <w:b/>
          <w:bCs/>
          <w:lang w:eastAsia="zh-CN"/>
        </w:rPr>
        <w:t>.3现状监测结果统计及评价</w:t>
      </w:r>
      <w:bookmarkEnd w:id="44"/>
      <w:bookmarkEnd w:id="45"/>
    </w:p>
    <w:p>
      <w:pPr>
        <w:adjustRightInd w:val="0"/>
        <w:snapToGrid w:val="0"/>
        <w:spacing w:line="360" w:lineRule="auto"/>
        <w:ind w:firstLine="420" w:firstLineChars="200"/>
        <w:rPr>
          <w:rFonts w:eastAsiaTheme="minorEastAsia"/>
          <w:lang w:eastAsia="zh-CN"/>
        </w:rPr>
      </w:pPr>
      <w:r>
        <w:rPr>
          <w:rFonts w:eastAsiaTheme="minorEastAsia"/>
          <w:lang w:eastAsia="zh-CN"/>
        </w:rPr>
        <w:t>各评价点评价因子的单因子指数统计结果见表4.</w:t>
      </w:r>
      <w:r>
        <w:rPr>
          <w:rFonts w:hint="eastAsia" w:eastAsiaTheme="minorEastAsia"/>
          <w:lang w:val="en-US" w:eastAsia="zh-CN"/>
        </w:rPr>
        <w:t>5</w:t>
      </w:r>
      <w:r>
        <w:rPr>
          <w:rFonts w:eastAsiaTheme="minorEastAsia"/>
          <w:lang w:eastAsia="zh-CN"/>
        </w:rPr>
        <w:t>-</w:t>
      </w:r>
      <w:r>
        <w:rPr>
          <w:rFonts w:hint="eastAsia" w:eastAsiaTheme="minorEastAsia"/>
          <w:lang w:val="en-US" w:eastAsia="zh-CN"/>
        </w:rPr>
        <w:t>2</w:t>
      </w:r>
      <w:r>
        <w:rPr>
          <w:rFonts w:eastAsiaTheme="minorEastAsia"/>
          <w:lang w:eastAsia="zh-CN"/>
        </w:rPr>
        <w:t>。</w:t>
      </w:r>
    </w:p>
    <w:p>
      <w:pPr>
        <w:adjustRightInd w:val="0"/>
        <w:snapToGrid w:val="0"/>
        <w:spacing w:line="360" w:lineRule="auto"/>
        <w:jc w:val="center"/>
        <w:rPr>
          <w:rFonts w:eastAsiaTheme="minorEastAsia"/>
          <w:b/>
          <w:lang w:eastAsia="zh-CN"/>
        </w:rPr>
      </w:pPr>
      <w:r>
        <w:rPr>
          <w:rFonts w:eastAsiaTheme="minorEastAsia"/>
          <w:b/>
          <w:lang w:eastAsia="zh-CN"/>
        </w:rPr>
        <w:t>表4.</w:t>
      </w:r>
      <w:r>
        <w:rPr>
          <w:rFonts w:hint="eastAsia" w:eastAsiaTheme="minorEastAsia"/>
          <w:b/>
          <w:lang w:eastAsia="zh-CN"/>
        </w:rPr>
        <w:t>5</w:t>
      </w:r>
      <w:r>
        <w:rPr>
          <w:rFonts w:eastAsiaTheme="minorEastAsia"/>
          <w:b/>
          <w:lang w:eastAsia="zh-CN"/>
        </w:rPr>
        <w:t>-</w:t>
      </w:r>
      <w:r>
        <w:rPr>
          <w:rFonts w:hint="eastAsia" w:eastAsiaTheme="minorEastAsia"/>
          <w:b/>
          <w:lang w:eastAsia="zh-CN"/>
        </w:rPr>
        <w:t>2</w:t>
      </w:r>
      <w:r>
        <w:rPr>
          <w:rFonts w:eastAsiaTheme="minorEastAsia"/>
          <w:b/>
          <w:lang w:eastAsia="zh-CN"/>
        </w:rPr>
        <w:t xml:space="preserve">  项目空气质量</w:t>
      </w:r>
      <w:r>
        <w:rPr>
          <w:rFonts w:hint="eastAsia" w:eastAsiaTheme="minorEastAsia"/>
          <w:b/>
          <w:lang w:eastAsia="zh-CN"/>
        </w:rPr>
        <w:t>现状</w:t>
      </w:r>
      <w:r>
        <w:rPr>
          <w:rFonts w:eastAsiaTheme="minorEastAsia"/>
          <w:b/>
          <w:lang w:eastAsia="zh-CN"/>
        </w:rPr>
        <w:t>评价结果</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93"/>
        <w:gridCol w:w="1281"/>
        <w:gridCol w:w="2462"/>
        <w:gridCol w:w="2060"/>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8" w:hRule="atLeast"/>
          <w:jc w:val="center"/>
        </w:trPr>
        <w:tc>
          <w:tcPr>
            <w:tcW w:w="5636" w:type="dxa"/>
            <w:gridSpan w:val="3"/>
            <w:shd w:val="clear" w:color="auto" w:fill="auto"/>
            <w:vAlign w:val="center"/>
          </w:tcPr>
          <w:p>
            <w:pPr>
              <w:adjustRightInd w:val="0"/>
              <w:snapToGrid w:val="0"/>
              <w:spacing w:line="360" w:lineRule="auto"/>
              <w:jc w:val="center"/>
              <w:rPr>
                <w:rFonts w:eastAsiaTheme="minorEastAsia"/>
                <w:b/>
                <w:bCs/>
                <w:sz w:val="21"/>
                <w:szCs w:val="21"/>
                <w:highlight w:val="none"/>
              </w:rPr>
            </w:pPr>
            <w:r>
              <w:rPr>
                <w:rFonts w:eastAsiaTheme="minorEastAsia"/>
                <w:b/>
                <w:bCs/>
                <w:sz w:val="21"/>
                <w:szCs w:val="21"/>
                <w:highlight w:val="none"/>
              </w:rPr>
              <w:t>项目</w:t>
            </w:r>
          </w:p>
        </w:tc>
        <w:tc>
          <w:tcPr>
            <w:tcW w:w="2060" w:type="dxa"/>
            <w:shd w:val="clear" w:color="auto" w:fill="auto"/>
            <w:vAlign w:val="center"/>
          </w:tcPr>
          <w:p>
            <w:pPr>
              <w:adjustRightInd w:val="0"/>
              <w:snapToGrid w:val="0"/>
              <w:spacing w:line="360" w:lineRule="auto"/>
              <w:jc w:val="center"/>
              <w:rPr>
                <w:rFonts w:hint="default" w:eastAsiaTheme="minorEastAsia"/>
                <w:b/>
                <w:bCs/>
                <w:sz w:val="21"/>
                <w:szCs w:val="21"/>
                <w:highlight w:val="none"/>
                <w:lang w:val="en-US" w:eastAsia="zh-CN"/>
              </w:rPr>
            </w:pPr>
            <w:r>
              <w:rPr>
                <w:rFonts w:hint="eastAsia" w:eastAsiaTheme="minorEastAsia"/>
                <w:b/>
                <w:bCs/>
                <w:sz w:val="21"/>
                <w:szCs w:val="21"/>
                <w:highlight w:val="none"/>
                <w:lang w:val="en-US" w:eastAsia="zh-CN"/>
              </w:rPr>
              <w:t>1#前孟村</w:t>
            </w:r>
          </w:p>
        </w:tc>
        <w:tc>
          <w:tcPr>
            <w:tcW w:w="1591" w:type="dxa"/>
            <w:shd w:val="clear" w:color="auto" w:fill="auto"/>
            <w:vAlign w:val="center"/>
          </w:tcPr>
          <w:p>
            <w:pPr>
              <w:adjustRightInd w:val="0"/>
              <w:snapToGrid w:val="0"/>
              <w:spacing w:line="360" w:lineRule="auto"/>
              <w:jc w:val="center"/>
              <w:rPr>
                <w:rFonts w:hint="eastAsia" w:eastAsiaTheme="minorEastAsia"/>
                <w:b/>
                <w:bCs/>
                <w:sz w:val="21"/>
                <w:szCs w:val="21"/>
                <w:highlight w:val="none"/>
                <w:lang w:eastAsia="zh-CN"/>
              </w:rPr>
            </w:pPr>
            <w:r>
              <w:rPr>
                <w:rFonts w:hint="eastAsia" w:eastAsiaTheme="minorEastAsia"/>
                <w:b/>
                <w:bCs/>
                <w:sz w:val="21"/>
                <w:szCs w:val="21"/>
                <w:highlight w:val="none"/>
                <w:lang w:val="en-US" w:eastAsia="zh-CN"/>
              </w:rPr>
              <w:t>2</w:t>
            </w:r>
            <w:r>
              <w:rPr>
                <w:rFonts w:eastAsiaTheme="minorEastAsia"/>
                <w:b/>
                <w:bCs/>
                <w:sz w:val="21"/>
                <w:szCs w:val="21"/>
                <w:highlight w:val="none"/>
              </w:rPr>
              <w:t>#</w:t>
            </w:r>
            <w:r>
              <w:rPr>
                <w:rFonts w:hint="eastAsia" w:eastAsiaTheme="minorEastAsia"/>
                <w:b/>
                <w:bCs/>
                <w:sz w:val="21"/>
                <w:szCs w:val="21"/>
                <w:highlight w:val="none"/>
                <w:lang w:eastAsia="zh-CN"/>
              </w:rPr>
              <w:t>东谭村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 w:hRule="atLeast"/>
          <w:jc w:val="center"/>
        </w:trPr>
        <w:tc>
          <w:tcPr>
            <w:tcW w:w="1893" w:type="dxa"/>
            <w:vMerge w:val="restart"/>
            <w:shd w:val="clear" w:color="auto" w:fill="auto"/>
            <w:vAlign w:val="center"/>
          </w:tcPr>
          <w:p>
            <w:pPr>
              <w:adjustRightInd w:val="0"/>
              <w:snapToGrid w:val="0"/>
              <w:jc w:val="center"/>
              <w:rPr>
                <w:rFonts w:eastAsiaTheme="minorEastAsia"/>
                <w:sz w:val="21"/>
                <w:szCs w:val="21"/>
                <w:highlight w:val="none"/>
                <w:lang w:eastAsia="zh-CN"/>
              </w:rPr>
            </w:pPr>
            <w:bookmarkStart w:id="46" w:name="_Hlk24621840"/>
            <w:r>
              <w:rPr>
                <w:rFonts w:hint="eastAsia" w:eastAsiaTheme="minorEastAsia"/>
                <w:sz w:val="21"/>
                <w:szCs w:val="21"/>
                <w:highlight w:val="none"/>
                <w:lang w:eastAsia="zh-CN"/>
              </w:rPr>
              <w:t>非甲烷总烃</w:t>
            </w:r>
          </w:p>
        </w:tc>
        <w:tc>
          <w:tcPr>
            <w:tcW w:w="1281" w:type="dxa"/>
            <w:vMerge w:val="restart"/>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小时浓度</w:t>
            </w:r>
          </w:p>
        </w:tc>
        <w:tc>
          <w:tcPr>
            <w:tcW w:w="2462"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超标率%</w:t>
            </w:r>
          </w:p>
        </w:tc>
        <w:tc>
          <w:tcPr>
            <w:tcW w:w="2060" w:type="dxa"/>
            <w:shd w:val="clear" w:color="auto" w:fill="auto"/>
            <w:vAlign w:val="center"/>
          </w:tcPr>
          <w:p>
            <w:pPr>
              <w:adjustRightInd w:val="0"/>
              <w:snapToGrid w:val="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w:t>
            </w:r>
          </w:p>
        </w:tc>
        <w:tc>
          <w:tcPr>
            <w:tcW w:w="1591" w:type="dxa"/>
            <w:shd w:val="clear" w:color="auto" w:fill="auto"/>
            <w:vAlign w:val="center"/>
          </w:tcPr>
          <w:p>
            <w:pPr>
              <w:adjustRightInd w:val="0"/>
              <w:snapToGrid w:val="0"/>
              <w:jc w:val="center"/>
              <w:rPr>
                <w:rFonts w:eastAsiaTheme="minorEastAsia"/>
                <w:sz w:val="21"/>
                <w:szCs w:val="21"/>
                <w:highlight w:val="none"/>
              </w:rPr>
            </w:pPr>
            <w:r>
              <w:rPr>
                <w:rFonts w:hint="eastAsia" w:eastAsiaTheme="minorEastAsia"/>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 w:hRule="atLeast"/>
          <w:jc w:val="center"/>
        </w:trPr>
        <w:tc>
          <w:tcPr>
            <w:tcW w:w="1893" w:type="dxa"/>
            <w:vMerge w:val="continue"/>
            <w:shd w:val="clear" w:color="auto" w:fill="auto"/>
            <w:vAlign w:val="center"/>
          </w:tcPr>
          <w:p>
            <w:pPr>
              <w:widowControl/>
              <w:adjustRightInd w:val="0"/>
              <w:snapToGrid w:val="0"/>
              <w:jc w:val="center"/>
              <w:rPr>
                <w:rFonts w:eastAsiaTheme="minorEastAsia"/>
                <w:sz w:val="21"/>
                <w:szCs w:val="21"/>
                <w:highlight w:val="none"/>
              </w:rPr>
            </w:pPr>
          </w:p>
        </w:tc>
        <w:tc>
          <w:tcPr>
            <w:tcW w:w="1281" w:type="dxa"/>
            <w:vMerge w:val="continue"/>
            <w:shd w:val="clear" w:color="auto" w:fill="auto"/>
            <w:vAlign w:val="center"/>
          </w:tcPr>
          <w:p>
            <w:pPr>
              <w:widowControl/>
              <w:adjustRightInd w:val="0"/>
              <w:snapToGrid w:val="0"/>
              <w:jc w:val="center"/>
              <w:rPr>
                <w:rFonts w:eastAsiaTheme="minorEastAsia"/>
                <w:sz w:val="21"/>
                <w:szCs w:val="21"/>
                <w:highlight w:val="none"/>
              </w:rPr>
            </w:pPr>
          </w:p>
        </w:tc>
        <w:tc>
          <w:tcPr>
            <w:tcW w:w="2462"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最大单因子指数</w:t>
            </w:r>
          </w:p>
        </w:tc>
        <w:tc>
          <w:tcPr>
            <w:tcW w:w="2060" w:type="dxa"/>
            <w:shd w:val="clear" w:color="auto" w:fill="auto"/>
            <w:vAlign w:val="center"/>
          </w:tcPr>
          <w:p>
            <w:pPr>
              <w:widowControl/>
              <w:adjustRightInd w:val="0"/>
              <w:snapToGrid w:val="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w:t>
            </w:r>
          </w:p>
        </w:tc>
        <w:tc>
          <w:tcPr>
            <w:tcW w:w="1591" w:type="dxa"/>
            <w:shd w:val="clear" w:color="auto" w:fill="auto"/>
            <w:vAlign w:val="center"/>
          </w:tcPr>
          <w:p>
            <w:pPr>
              <w:widowControl/>
              <w:adjustRightInd w:val="0"/>
              <w:snapToGrid w:val="0"/>
              <w:jc w:val="center"/>
              <w:rPr>
                <w:rFonts w:eastAsiaTheme="minorEastAsia"/>
                <w:sz w:val="21"/>
                <w:szCs w:val="21"/>
                <w:highlight w:val="none"/>
              </w:rPr>
            </w:pPr>
            <w:r>
              <w:rPr>
                <w:rFonts w:hint="eastAsia" w:eastAsia="宋体"/>
                <w:sz w:val="21"/>
                <w:highlight w:val="none"/>
                <w:lang w:val="en-US" w:eastAsia="zh-CN"/>
              </w:rPr>
              <w:t>0.96</w:t>
            </w:r>
            <w:r>
              <w:rPr>
                <w:sz w:val="21"/>
                <w:highlight w:val="none"/>
              </w:rPr>
              <w:t>mg/m</w:t>
            </w:r>
            <w:r>
              <w:rPr>
                <w:sz w:val="21"/>
                <w:highlight w:val="none"/>
                <w:vertAlign w:val="superscript"/>
              </w:rPr>
              <w:t>3</w:t>
            </w:r>
          </w:p>
        </w:tc>
      </w:tr>
      <w:bookmarkEnd w:id="4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 w:hRule="atLeast"/>
          <w:jc w:val="center"/>
        </w:trPr>
        <w:tc>
          <w:tcPr>
            <w:tcW w:w="1893" w:type="dxa"/>
            <w:vMerge w:val="restart"/>
            <w:shd w:val="clear" w:color="auto" w:fill="auto"/>
            <w:vAlign w:val="center"/>
          </w:tcPr>
          <w:p>
            <w:pPr>
              <w:adjustRightInd w:val="0"/>
              <w:snapToGrid w:val="0"/>
              <w:jc w:val="center"/>
              <w:rPr>
                <w:rFonts w:eastAsiaTheme="minorEastAsia"/>
                <w:sz w:val="21"/>
                <w:szCs w:val="21"/>
                <w:highlight w:val="none"/>
                <w:lang w:eastAsia="zh-CN"/>
              </w:rPr>
            </w:pPr>
            <w:r>
              <w:rPr>
                <w:rFonts w:hint="eastAsia" w:eastAsiaTheme="minorEastAsia"/>
                <w:sz w:val="21"/>
                <w:szCs w:val="21"/>
                <w:highlight w:val="none"/>
                <w:lang w:eastAsia="zh-CN"/>
              </w:rPr>
              <w:t>甲醛</w:t>
            </w:r>
          </w:p>
        </w:tc>
        <w:tc>
          <w:tcPr>
            <w:tcW w:w="1281" w:type="dxa"/>
            <w:vMerge w:val="restart"/>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小时浓度</w:t>
            </w:r>
          </w:p>
        </w:tc>
        <w:tc>
          <w:tcPr>
            <w:tcW w:w="2462"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超标率%</w:t>
            </w:r>
          </w:p>
        </w:tc>
        <w:tc>
          <w:tcPr>
            <w:tcW w:w="2060" w:type="dxa"/>
            <w:shd w:val="clear" w:color="auto" w:fill="auto"/>
            <w:vAlign w:val="center"/>
          </w:tcPr>
          <w:p>
            <w:pPr>
              <w:adjustRightInd w:val="0"/>
              <w:snapToGrid w:val="0"/>
              <w:jc w:val="center"/>
              <w:rPr>
                <w:rFonts w:hint="eastAsia" w:eastAsiaTheme="minorEastAsia"/>
                <w:sz w:val="21"/>
                <w:szCs w:val="21"/>
                <w:highlight w:val="none"/>
                <w:lang w:val="en-US" w:eastAsia="zh-CN"/>
              </w:rPr>
            </w:pPr>
            <w:r>
              <w:rPr>
                <w:rFonts w:hint="eastAsia" w:eastAsiaTheme="minorEastAsia"/>
                <w:sz w:val="21"/>
                <w:szCs w:val="21"/>
                <w:highlight w:val="none"/>
                <w:lang w:val="en-US" w:eastAsia="zh-CN"/>
              </w:rPr>
              <w:t>0</w:t>
            </w:r>
          </w:p>
        </w:tc>
        <w:tc>
          <w:tcPr>
            <w:tcW w:w="1591" w:type="dxa"/>
            <w:shd w:val="clear" w:color="auto" w:fill="auto"/>
            <w:vAlign w:val="center"/>
          </w:tcPr>
          <w:p>
            <w:pPr>
              <w:adjustRightInd w:val="0"/>
              <w:snapToGrid w:val="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93" w:type="dxa"/>
            <w:vMerge w:val="continue"/>
            <w:shd w:val="clear" w:color="auto" w:fill="auto"/>
            <w:vAlign w:val="center"/>
          </w:tcPr>
          <w:p>
            <w:pPr>
              <w:widowControl/>
              <w:adjustRightInd w:val="0"/>
              <w:snapToGrid w:val="0"/>
              <w:jc w:val="center"/>
              <w:rPr>
                <w:rFonts w:eastAsiaTheme="minorEastAsia"/>
                <w:sz w:val="21"/>
                <w:szCs w:val="21"/>
                <w:highlight w:val="none"/>
              </w:rPr>
            </w:pPr>
          </w:p>
        </w:tc>
        <w:tc>
          <w:tcPr>
            <w:tcW w:w="1281" w:type="dxa"/>
            <w:vMerge w:val="continue"/>
            <w:shd w:val="clear" w:color="auto" w:fill="auto"/>
            <w:vAlign w:val="center"/>
          </w:tcPr>
          <w:p>
            <w:pPr>
              <w:widowControl/>
              <w:adjustRightInd w:val="0"/>
              <w:snapToGrid w:val="0"/>
              <w:jc w:val="center"/>
              <w:rPr>
                <w:rFonts w:eastAsiaTheme="minorEastAsia"/>
                <w:sz w:val="21"/>
                <w:szCs w:val="21"/>
                <w:highlight w:val="none"/>
              </w:rPr>
            </w:pPr>
          </w:p>
        </w:tc>
        <w:tc>
          <w:tcPr>
            <w:tcW w:w="2462" w:type="dxa"/>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最大单因子指数</w:t>
            </w:r>
          </w:p>
        </w:tc>
        <w:tc>
          <w:tcPr>
            <w:tcW w:w="2060" w:type="dxa"/>
            <w:shd w:val="clear" w:color="auto" w:fill="auto"/>
            <w:vAlign w:val="center"/>
          </w:tcPr>
          <w:p>
            <w:pPr>
              <w:widowControl/>
              <w:adjustRightInd w:val="0"/>
              <w:snapToGrid w:val="0"/>
              <w:jc w:val="center"/>
              <w:rPr>
                <w:rFonts w:hint="default" w:ascii="Times New Roman" w:hAnsi="Times New Roman" w:eastAsia="宋体" w:cs="Times New Roman"/>
                <w:spacing w:val="-20"/>
                <w:sz w:val="18"/>
                <w:szCs w:val="18"/>
                <w:highlight w:val="none"/>
                <w:vertAlign w:val="superscript"/>
                <w:lang w:val="en-US" w:eastAsia="zh-CN"/>
              </w:rPr>
            </w:pPr>
            <w:r>
              <w:rPr>
                <w:rFonts w:hint="eastAsia" w:eastAsia="宋体" w:cs="Times New Roman"/>
                <w:spacing w:val="-20"/>
                <w:sz w:val="18"/>
                <w:szCs w:val="18"/>
                <w:highlight w:val="none"/>
                <w:lang w:eastAsia="zh-CN"/>
              </w:rPr>
              <w:t>＜</w:t>
            </w:r>
            <w:r>
              <w:rPr>
                <w:rFonts w:hint="eastAsia" w:eastAsia="宋体" w:cs="Times New Roman"/>
                <w:spacing w:val="-20"/>
                <w:sz w:val="21"/>
                <w:szCs w:val="21"/>
                <w:highlight w:val="none"/>
                <w:lang w:val="en-US" w:eastAsia="zh-CN"/>
              </w:rPr>
              <w:t>0.28µg/m</w:t>
            </w:r>
            <w:r>
              <w:rPr>
                <w:rFonts w:hint="eastAsia" w:eastAsia="宋体" w:cs="Times New Roman"/>
                <w:spacing w:val="-20"/>
                <w:sz w:val="21"/>
                <w:szCs w:val="21"/>
                <w:highlight w:val="none"/>
                <w:vertAlign w:val="superscript"/>
                <w:lang w:val="en-US" w:eastAsia="zh-CN"/>
              </w:rPr>
              <w:t>3</w:t>
            </w:r>
          </w:p>
        </w:tc>
        <w:tc>
          <w:tcPr>
            <w:tcW w:w="1591" w:type="dxa"/>
            <w:shd w:val="clear" w:color="auto" w:fill="auto"/>
            <w:vAlign w:val="center"/>
          </w:tcPr>
          <w:p>
            <w:pPr>
              <w:widowControl/>
              <w:adjustRightInd w:val="0"/>
              <w:snapToGrid w:val="0"/>
              <w:jc w:val="center"/>
              <w:rPr>
                <w:rFonts w:eastAsiaTheme="minorEastAsia"/>
                <w:sz w:val="21"/>
                <w:szCs w:val="21"/>
                <w:highlight w:val="none"/>
              </w:rPr>
            </w:pPr>
            <w:r>
              <w:rPr>
                <w:rFonts w:hint="eastAsia" w:eastAsia="宋体" w:cs="Times New Roman"/>
                <w:spacing w:val="-20"/>
                <w:sz w:val="18"/>
                <w:szCs w:val="18"/>
                <w:highlight w:val="none"/>
                <w:lang w:val="en-US" w:eastAsia="zh-CN"/>
              </w:rPr>
              <w:t>/</w:t>
            </w:r>
          </w:p>
        </w:tc>
      </w:tr>
    </w:tbl>
    <w:p>
      <w:pPr>
        <w:adjustRightInd w:val="0"/>
        <w:snapToGrid w:val="0"/>
        <w:spacing w:line="360" w:lineRule="auto"/>
        <w:ind w:firstLine="420" w:firstLineChars="200"/>
        <w:rPr>
          <w:lang w:eastAsia="zh-CN"/>
        </w:rPr>
      </w:pPr>
      <w:r>
        <w:rPr>
          <w:rFonts w:eastAsiaTheme="minorEastAsia"/>
          <w:lang w:eastAsia="zh-CN"/>
        </w:rPr>
        <w:t>由表4.</w:t>
      </w:r>
      <w:r>
        <w:rPr>
          <w:rFonts w:hint="eastAsia" w:eastAsiaTheme="minorEastAsia"/>
          <w:lang w:val="en-US" w:eastAsia="zh-CN"/>
        </w:rPr>
        <w:t>5-2</w:t>
      </w:r>
      <w:r>
        <w:rPr>
          <w:rFonts w:eastAsiaTheme="minorEastAsia"/>
          <w:lang w:eastAsia="zh-CN"/>
        </w:rPr>
        <w:t>评价结果看出，</w:t>
      </w:r>
      <w:bookmarkStart w:id="47" w:name="_Hlk532030086"/>
      <w:r>
        <w:rPr>
          <w:rFonts w:eastAsiaTheme="minorEastAsia"/>
          <w:lang w:eastAsia="zh-CN"/>
        </w:rPr>
        <w:t>现状监测期间，各监测点位各监测因子能够满足《环境影响评价技术导则大气环境》（HJ2.2-2018）附录</w:t>
      </w:r>
      <w:r>
        <w:rPr>
          <w:rFonts w:hint="eastAsia" w:eastAsiaTheme="minorEastAsia"/>
          <w:lang w:val="en-US" w:eastAsia="zh-CN"/>
        </w:rPr>
        <w:t>D</w:t>
      </w:r>
      <w:r>
        <w:rPr>
          <w:rFonts w:eastAsiaTheme="minorEastAsia"/>
          <w:lang w:eastAsia="zh-CN"/>
        </w:rPr>
        <w:t>其它污染物空气质量浓度参考限值要求</w:t>
      </w:r>
      <w:r>
        <w:rPr>
          <w:rFonts w:hint="eastAsia" w:eastAsiaTheme="minorEastAsia"/>
          <w:lang w:eastAsia="zh-CN"/>
        </w:rPr>
        <w:t>（甲醛：</w:t>
      </w:r>
      <w:r>
        <w:rPr>
          <w:rFonts w:hint="eastAsia" w:eastAsiaTheme="minorEastAsia"/>
          <w:lang w:val="en-US" w:eastAsia="zh-CN"/>
        </w:rPr>
        <w:t>50</w:t>
      </w:r>
      <w:r>
        <w:rPr>
          <w:rFonts w:ascii="Times New Roman" w:hAnsi="Times New Roman"/>
          <w:b w:val="0"/>
          <w:bCs w:val="0"/>
          <w:sz w:val="18"/>
          <w:szCs w:val="18"/>
        </w:rPr>
        <w:t>μg</w:t>
      </w:r>
      <w:r>
        <w:rPr>
          <w:rFonts w:eastAsiaTheme="minorEastAsia"/>
          <w:b w:val="0"/>
          <w:bCs w:val="0"/>
          <w:spacing w:val="3"/>
          <w:sz w:val="21"/>
          <w:szCs w:val="21"/>
        </w:rPr>
        <w:t>/m</w:t>
      </w:r>
      <w:r>
        <w:rPr>
          <w:rFonts w:eastAsiaTheme="minorEastAsia"/>
          <w:b w:val="0"/>
          <w:bCs w:val="0"/>
          <w:spacing w:val="3"/>
          <w:sz w:val="21"/>
          <w:szCs w:val="21"/>
          <w:vertAlign w:val="superscript"/>
        </w:rPr>
        <w:t>3</w:t>
      </w:r>
      <w:r>
        <w:rPr>
          <w:rFonts w:hint="eastAsia" w:eastAsiaTheme="minorEastAsia"/>
          <w:lang w:eastAsia="zh-CN"/>
        </w:rPr>
        <w:t>）及</w:t>
      </w:r>
      <w:r>
        <w:rPr>
          <w:rFonts w:hint="eastAsia"/>
          <w:sz w:val="24"/>
          <w:szCs w:val="24"/>
          <w:lang w:eastAsia="zh-CN"/>
        </w:rPr>
        <w:t>《大气污染综合排放标准详解》中非甲烷总烃标准限值要求（</w:t>
      </w:r>
      <w:r>
        <w:rPr>
          <w:rFonts w:hint="eastAsia"/>
          <w:sz w:val="24"/>
          <w:szCs w:val="24"/>
          <w:lang w:val="en-US" w:eastAsia="zh-CN"/>
        </w:rPr>
        <w:t>2000</w:t>
      </w:r>
      <w:r>
        <w:rPr>
          <w:rFonts w:ascii="Times New Roman" w:hAnsi="Times New Roman"/>
          <w:b w:val="0"/>
          <w:bCs w:val="0"/>
          <w:sz w:val="18"/>
          <w:szCs w:val="18"/>
        </w:rPr>
        <w:t>μg</w:t>
      </w:r>
      <w:r>
        <w:rPr>
          <w:rFonts w:eastAsiaTheme="minorEastAsia"/>
          <w:b w:val="0"/>
          <w:bCs w:val="0"/>
          <w:spacing w:val="3"/>
          <w:sz w:val="21"/>
          <w:szCs w:val="21"/>
        </w:rPr>
        <w:t>/m</w:t>
      </w:r>
      <w:r>
        <w:rPr>
          <w:rFonts w:eastAsiaTheme="minorEastAsia"/>
          <w:b w:val="0"/>
          <w:bCs w:val="0"/>
          <w:spacing w:val="3"/>
          <w:sz w:val="21"/>
          <w:szCs w:val="21"/>
          <w:vertAlign w:val="superscript"/>
        </w:rPr>
        <w:t>3</w:t>
      </w:r>
      <w:r>
        <w:rPr>
          <w:rFonts w:hint="eastAsia"/>
          <w:sz w:val="24"/>
          <w:szCs w:val="24"/>
          <w:lang w:eastAsia="zh-CN"/>
        </w:rPr>
        <w:t>）</w:t>
      </w:r>
      <w:r>
        <w:rPr>
          <w:rFonts w:eastAsiaTheme="minorEastAsia"/>
          <w:lang w:eastAsia="zh-CN"/>
        </w:rPr>
        <w:t>。</w:t>
      </w:r>
      <w:bookmarkEnd w:id="47"/>
    </w:p>
    <w:p>
      <w:pPr>
        <w:pStyle w:val="2"/>
        <w:ind w:left="480" w:firstLine="480"/>
        <w:rPr>
          <w:lang w:eastAsia="zh-CN"/>
        </w:rPr>
        <w:sectPr>
          <w:pgSz w:w="11906" w:h="16838"/>
          <w:pgMar w:top="1418" w:right="1276" w:bottom="1418" w:left="1559" w:header="851" w:footer="992" w:gutter="0"/>
          <w:cols w:space="720" w:num="1"/>
          <w:docGrid w:linePitch="312" w:charSpace="0"/>
        </w:sectPr>
      </w:pPr>
    </w:p>
    <w:p>
      <w:pPr>
        <w:keepNext/>
        <w:keepLines/>
        <w:widowControl/>
        <w:adjustRightInd w:val="0"/>
        <w:snapToGrid w:val="0"/>
        <w:spacing w:line="360" w:lineRule="auto"/>
        <w:outlineLvl w:val="3"/>
        <w:rPr>
          <w:rFonts w:eastAsiaTheme="minorEastAsia"/>
          <w:b/>
          <w:bCs/>
          <w:lang w:eastAsia="zh-CN"/>
        </w:rPr>
      </w:pPr>
      <w:r>
        <w:rPr>
          <w:rFonts w:hint="eastAsia" w:eastAsiaTheme="minorEastAsia"/>
          <w:b/>
          <w:bCs/>
          <w:lang w:val="en-US" w:eastAsia="zh-CN"/>
        </w:rPr>
        <w:t>4.5</w:t>
      </w:r>
      <w:r>
        <w:rPr>
          <w:rFonts w:eastAsiaTheme="minorEastAsia"/>
          <w:b/>
          <w:bCs/>
          <w:lang w:eastAsia="zh-CN"/>
        </w:rPr>
        <w:t>.4 环境空气预测</w:t>
      </w:r>
      <w:r>
        <w:rPr>
          <w:rFonts w:hint="eastAsia" w:eastAsiaTheme="minorEastAsia"/>
          <w:b/>
          <w:bCs/>
          <w:lang w:eastAsia="zh-CN"/>
        </w:rPr>
        <w:t>情况</w:t>
      </w:r>
    </w:p>
    <w:p>
      <w:pPr>
        <w:pStyle w:val="2"/>
        <w:adjustRightInd w:val="0"/>
        <w:snapToGrid w:val="0"/>
        <w:spacing w:after="0" w:line="360" w:lineRule="auto"/>
        <w:ind w:left="0" w:leftChars="0" w:firstLine="480"/>
        <w:rPr>
          <w:rFonts w:eastAsiaTheme="minorEastAsia"/>
          <w:lang w:eastAsia="zh-CN"/>
        </w:rPr>
      </w:pPr>
      <w:r>
        <w:rPr>
          <w:rFonts w:eastAsiaTheme="minorEastAsia"/>
          <w:lang w:eastAsia="zh-CN"/>
        </w:rPr>
        <w:t>根据《环境影响评价技术导则大气环境》（HJ2.2-2018）8.1.2规定，二级评价不进行进一步预测与评价，只对污染物排放量进行核算，</w:t>
      </w:r>
      <w:r>
        <w:rPr>
          <w:rFonts w:hint="eastAsia" w:eastAsiaTheme="minorEastAsia"/>
          <w:lang w:eastAsia="zh-CN"/>
        </w:rPr>
        <w:t>二级评价项目可直接引用估算模型预测结果进行评价，大气环境影响评价范围边长取5 km</w:t>
      </w:r>
      <w:r>
        <w:rPr>
          <w:rFonts w:eastAsiaTheme="minorEastAsia"/>
          <w:lang w:eastAsia="zh-CN"/>
        </w:rPr>
        <w:t>。</w:t>
      </w:r>
    </w:p>
    <w:p>
      <w:pPr>
        <w:adjustRightInd w:val="0"/>
        <w:snapToGrid w:val="0"/>
        <w:spacing w:line="360" w:lineRule="auto"/>
        <w:rPr>
          <w:rFonts w:eastAsiaTheme="minorEastAsia"/>
          <w:b/>
          <w:bCs/>
          <w:highlight w:val="none"/>
          <w:lang w:eastAsia="zh-CN"/>
        </w:rPr>
      </w:pPr>
      <w:r>
        <w:rPr>
          <w:rFonts w:hint="eastAsia" w:eastAsiaTheme="minorEastAsia"/>
          <w:b/>
          <w:bCs/>
          <w:highlight w:val="none"/>
          <w:lang w:val="en-US" w:eastAsia="zh-CN"/>
        </w:rPr>
        <w:t>5</w:t>
      </w:r>
      <w:r>
        <w:rPr>
          <w:rFonts w:hint="eastAsia" w:eastAsiaTheme="minorEastAsia"/>
          <w:b/>
          <w:bCs/>
          <w:highlight w:val="none"/>
          <w:lang w:eastAsia="zh-CN"/>
        </w:rPr>
        <w:t>污染源调查</w:t>
      </w:r>
    </w:p>
    <w:p>
      <w:pPr>
        <w:spacing w:line="360" w:lineRule="auto"/>
        <w:ind w:firstLine="420" w:firstLineChars="200"/>
        <w:jc w:val="both"/>
      </w:pPr>
      <w:r>
        <w:rPr>
          <w:rFonts w:hint="eastAsia"/>
        </w:rPr>
        <w:t>本项目为</w:t>
      </w:r>
      <w:r>
        <w:rPr>
          <w:rFonts w:hint="eastAsia"/>
          <w:lang w:eastAsia="zh-CN"/>
        </w:rPr>
        <w:t>搬迁</w:t>
      </w:r>
      <w:r>
        <w:rPr>
          <w:rFonts w:hint="eastAsia"/>
        </w:rPr>
        <w:t>项目，环境空气评价等级为二级评价。根据《环境影响评价技术导则 大气环境》（H</w:t>
      </w:r>
      <w:r>
        <w:t>J2.2</w:t>
      </w:r>
      <w:r>
        <w:rPr>
          <w:rFonts w:hint="eastAsia"/>
        </w:rPr>
        <w:t>-</w:t>
      </w:r>
      <w:r>
        <w:t>2018</w:t>
      </w:r>
      <w:r>
        <w:rPr>
          <w:rFonts w:hint="eastAsia"/>
        </w:rPr>
        <w:t>）要求，二级评价项目参照导则7</w:t>
      </w:r>
      <w:r>
        <w:t>.1.1.1</w:t>
      </w:r>
      <w:r>
        <w:rPr>
          <w:rFonts w:hint="eastAsia"/>
        </w:rPr>
        <w:t>和7</w:t>
      </w:r>
      <w:r>
        <w:t>.1.1.2</w:t>
      </w:r>
      <w:r>
        <w:rPr>
          <w:rFonts w:hint="eastAsia"/>
        </w:rPr>
        <w:t>调查本项目新增污染源、现有污染源</w:t>
      </w:r>
      <w:r>
        <w:rPr>
          <w:rFonts w:hint="eastAsia"/>
          <w:lang w:eastAsia="zh-CN"/>
        </w:rPr>
        <w:t>、</w:t>
      </w:r>
      <w:r>
        <w:rPr>
          <w:rFonts w:hint="eastAsia"/>
        </w:rPr>
        <w:t>拟被替代的污染源。</w:t>
      </w:r>
    </w:p>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sectPr>
          <w:pgSz w:w="11906" w:h="16838"/>
          <w:pgMar w:top="1440" w:right="1800" w:bottom="1440" w:left="1800" w:header="851" w:footer="992" w:gutter="0"/>
          <w:cols w:space="425" w:num="1"/>
          <w:docGrid w:type="lines" w:linePitch="312" w:charSpace="0"/>
        </w:sectPr>
      </w:pPr>
    </w:p>
    <w:p>
      <w:pPr>
        <w:jc w:val="center"/>
        <w:rPr>
          <w:rFonts w:hint="eastAsia" w:ascii="黑体" w:hAnsi="黑体" w:eastAsia="黑体"/>
          <w:lang w:eastAsia="zh-CN"/>
        </w:rPr>
      </w:pPr>
      <w:r>
        <w:rPr>
          <w:rFonts w:hint="eastAsia" w:ascii="黑体" w:hAnsi="黑体" w:eastAsia="黑体"/>
        </w:rPr>
        <w:t>表</w:t>
      </w:r>
      <w:r>
        <w:rPr>
          <w:rFonts w:hint="eastAsia" w:ascii="黑体" w:hAnsi="黑体" w:eastAsia="黑体"/>
          <w:lang w:val="en-US" w:eastAsia="zh-CN"/>
        </w:rPr>
        <w:t>5</w:t>
      </w:r>
      <w:r>
        <w:rPr>
          <w:rFonts w:ascii="黑体" w:hAnsi="黑体" w:eastAsia="黑体"/>
        </w:rPr>
        <w:t>.2</w:t>
      </w:r>
      <w:r>
        <w:rPr>
          <w:rFonts w:hint="eastAsia" w:ascii="黑体" w:hAnsi="黑体" w:eastAsia="黑体"/>
        </w:rPr>
        <w:t>-</w:t>
      </w:r>
      <w:r>
        <w:rPr>
          <w:rFonts w:ascii="黑体" w:eastAsia="黑体"/>
          <w:bCs/>
        </w:rPr>
        <w:t>4</w:t>
      </w:r>
      <w:r>
        <w:rPr>
          <w:rFonts w:ascii="黑体" w:hAnsi="黑体" w:eastAsia="黑体"/>
        </w:rPr>
        <w:t xml:space="preserve">  拟建工程</w:t>
      </w:r>
      <w:r>
        <w:rPr>
          <w:rFonts w:hint="eastAsia" w:ascii="黑体" w:hAnsi="黑体" w:eastAsia="黑体"/>
          <w:lang w:eastAsia="zh-CN"/>
        </w:rPr>
        <w:t>新增污染源</w:t>
      </w:r>
      <w:r>
        <w:rPr>
          <w:rFonts w:hint="eastAsia" w:ascii="黑体" w:hAnsi="黑体" w:eastAsia="黑体"/>
        </w:rPr>
        <w:t>正常工况</w:t>
      </w:r>
      <w:r>
        <w:rPr>
          <w:rFonts w:ascii="黑体" w:hAnsi="黑体" w:eastAsia="黑体"/>
        </w:rPr>
        <w:t>点源参数调查清单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298"/>
        <w:gridCol w:w="948"/>
        <w:gridCol w:w="857"/>
        <w:gridCol w:w="1302"/>
        <w:gridCol w:w="817"/>
        <w:gridCol w:w="1005"/>
        <w:gridCol w:w="965"/>
        <w:gridCol w:w="1302"/>
        <w:gridCol w:w="857"/>
        <w:gridCol w:w="1016"/>
        <w:gridCol w:w="979"/>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83" w:type="pct"/>
            <w:vMerge w:val="restart"/>
            <w:shd w:val="clear" w:color="000000" w:fill="FFFFFF"/>
            <w:noWrap w:val="0"/>
            <w:vAlign w:val="center"/>
          </w:tcPr>
          <w:p>
            <w:pPr>
              <w:spacing w:line="300" w:lineRule="exact"/>
              <w:jc w:val="center"/>
              <w:rPr>
                <w:sz w:val="21"/>
                <w:szCs w:val="21"/>
              </w:rPr>
            </w:pPr>
            <w:r>
              <w:rPr>
                <w:rFonts w:hint="eastAsia"/>
                <w:sz w:val="21"/>
                <w:szCs w:val="21"/>
              </w:rPr>
              <w:t>编号</w:t>
            </w:r>
          </w:p>
        </w:tc>
        <w:tc>
          <w:tcPr>
            <w:tcW w:w="810" w:type="pct"/>
            <w:vMerge w:val="restart"/>
            <w:shd w:val="clear" w:color="000000" w:fill="FFFFFF"/>
            <w:noWrap w:val="0"/>
            <w:vAlign w:val="center"/>
          </w:tcPr>
          <w:p>
            <w:pPr>
              <w:spacing w:line="300" w:lineRule="exact"/>
              <w:jc w:val="center"/>
              <w:rPr>
                <w:sz w:val="21"/>
                <w:szCs w:val="21"/>
              </w:rPr>
            </w:pPr>
            <w:r>
              <w:rPr>
                <w:rFonts w:hint="eastAsia"/>
                <w:sz w:val="21"/>
                <w:szCs w:val="21"/>
              </w:rPr>
              <w:t>名称</w:t>
            </w:r>
          </w:p>
        </w:tc>
        <w:tc>
          <w:tcPr>
            <w:tcW w:w="636" w:type="pct"/>
            <w:gridSpan w:val="2"/>
            <w:shd w:val="clear" w:color="000000" w:fill="FFFFFF"/>
            <w:noWrap w:val="0"/>
            <w:vAlign w:val="center"/>
          </w:tcPr>
          <w:p>
            <w:pPr>
              <w:spacing w:line="300" w:lineRule="exact"/>
              <w:jc w:val="center"/>
              <w:rPr>
                <w:sz w:val="21"/>
                <w:szCs w:val="21"/>
              </w:rPr>
            </w:pPr>
            <w:r>
              <w:rPr>
                <w:rFonts w:hint="eastAsia"/>
                <w:sz w:val="21"/>
                <w:szCs w:val="21"/>
              </w:rPr>
              <w:t>排气筒底部中心坐标（</w:t>
            </w:r>
            <w:r>
              <w:rPr>
                <w:rFonts w:cs="Times New Roman"/>
                <w:sz w:val="21"/>
                <w:szCs w:val="21"/>
              </w:rPr>
              <w:t>m</w:t>
            </w:r>
            <w:r>
              <w:rPr>
                <w:rFonts w:hint="eastAsia"/>
                <w:sz w:val="21"/>
                <w:szCs w:val="21"/>
              </w:rPr>
              <w:t>）</w:t>
            </w:r>
          </w:p>
        </w:tc>
        <w:tc>
          <w:tcPr>
            <w:tcW w:w="459" w:type="pct"/>
            <w:vMerge w:val="restart"/>
            <w:shd w:val="clear" w:color="000000" w:fill="FFFFFF"/>
            <w:noWrap w:val="0"/>
            <w:vAlign w:val="center"/>
          </w:tcPr>
          <w:p>
            <w:pPr>
              <w:spacing w:line="300" w:lineRule="exact"/>
              <w:jc w:val="center"/>
              <w:rPr>
                <w:sz w:val="21"/>
                <w:szCs w:val="21"/>
              </w:rPr>
            </w:pPr>
            <w:r>
              <w:rPr>
                <w:rFonts w:hint="eastAsia"/>
                <w:sz w:val="21"/>
                <w:szCs w:val="21"/>
              </w:rPr>
              <w:t>排气筒底部海拔高度</w:t>
            </w:r>
            <w:r>
              <w:rPr>
                <w:rFonts w:cs="Times New Roman"/>
                <w:sz w:val="21"/>
                <w:szCs w:val="21"/>
              </w:rPr>
              <w:t>/m</w:t>
            </w:r>
          </w:p>
        </w:tc>
        <w:tc>
          <w:tcPr>
            <w:tcW w:w="288" w:type="pct"/>
            <w:vMerge w:val="restart"/>
            <w:shd w:val="clear" w:color="000000" w:fill="FFFFFF"/>
            <w:noWrap w:val="0"/>
            <w:vAlign w:val="center"/>
          </w:tcPr>
          <w:p>
            <w:pPr>
              <w:spacing w:line="300" w:lineRule="exact"/>
              <w:jc w:val="center"/>
              <w:rPr>
                <w:sz w:val="21"/>
                <w:szCs w:val="21"/>
              </w:rPr>
            </w:pPr>
            <w:r>
              <w:rPr>
                <w:rFonts w:hint="eastAsia"/>
                <w:sz w:val="21"/>
                <w:szCs w:val="21"/>
              </w:rPr>
              <w:t>排气筒高度</w:t>
            </w:r>
            <w:r>
              <w:rPr>
                <w:rFonts w:cs="Times New Roman"/>
                <w:sz w:val="21"/>
                <w:szCs w:val="21"/>
              </w:rPr>
              <w:t>/m</w:t>
            </w:r>
          </w:p>
        </w:tc>
        <w:tc>
          <w:tcPr>
            <w:tcW w:w="354" w:type="pct"/>
            <w:vMerge w:val="restart"/>
            <w:shd w:val="clear" w:color="000000" w:fill="FFFFFF"/>
            <w:noWrap w:val="0"/>
            <w:vAlign w:val="center"/>
          </w:tcPr>
          <w:p>
            <w:pPr>
              <w:spacing w:line="300" w:lineRule="exact"/>
              <w:jc w:val="center"/>
              <w:rPr>
                <w:sz w:val="21"/>
                <w:szCs w:val="21"/>
              </w:rPr>
            </w:pPr>
            <w:r>
              <w:rPr>
                <w:rFonts w:hint="eastAsia"/>
                <w:sz w:val="21"/>
                <w:szCs w:val="21"/>
              </w:rPr>
              <w:t>排气筒出口内径</w:t>
            </w:r>
            <w:r>
              <w:rPr>
                <w:rFonts w:cs="Times New Roman"/>
                <w:sz w:val="21"/>
                <w:szCs w:val="21"/>
              </w:rPr>
              <w:t>/m</w:t>
            </w:r>
          </w:p>
        </w:tc>
        <w:tc>
          <w:tcPr>
            <w:tcW w:w="340" w:type="pct"/>
            <w:vMerge w:val="restart"/>
            <w:shd w:val="clear" w:color="000000" w:fill="FFFFFF"/>
            <w:noWrap w:val="0"/>
            <w:vAlign w:val="center"/>
          </w:tcPr>
          <w:p>
            <w:pPr>
              <w:spacing w:line="300" w:lineRule="exact"/>
              <w:jc w:val="center"/>
              <w:rPr>
                <w:sz w:val="21"/>
                <w:szCs w:val="21"/>
              </w:rPr>
            </w:pPr>
            <w:r>
              <w:rPr>
                <w:rFonts w:hint="eastAsia"/>
                <w:sz w:val="21"/>
                <w:szCs w:val="21"/>
              </w:rPr>
              <w:t>烟气温度</w:t>
            </w:r>
            <w:r>
              <w:rPr>
                <w:rFonts w:cs="Times New Roman"/>
                <w:sz w:val="21"/>
                <w:szCs w:val="21"/>
              </w:rPr>
              <w:t>/</w:t>
            </w:r>
            <w:r>
              <w:rPr>
                <w:rFonts w:hint="eastAsia"/>
                <w:sz w:val="21"/>
                <w:szCs w:val="21"/>
              </w:rPr>
              <w:t>℃</w:t>
            </w:r>
          </w:p>
        </w:tc>
        <w:tc>
          <w:tcPr>
            <w:tcW w:w="459" w:type="pct"/>
            <w:vMerge w:val="restart"/>
            <w:shd w:val="clear" w:color="000000" w:fill="FFFFFF"/>
            <w:noWrap w:val="0"/>
            <w:vAlign w:val="center"/>
          </w:tcPr>
          <w:p>
            <w:pPr>
              <w:spacing w:line="300" w:lineRule="exact"/>
              <w:jc w:val="center"/>
              <w:rPr>
                <w:sz w:val="21"/>
                <w:szCs w:val="21"/>
              </w:rPr>
            </w:pPr>
            <w:r>
              <w:rPr>
                <w:rFonts w:hint="eastAsia"/>
                <w:sz w:val="21"/>
                <w:szCs w:val="21"/>
              </w:rPr>
              <w:t>年排放小时数</w:t>
            </w:r>
            <w:r>
              <w:rPr>
                <w:rFonts w:cs="Times New Roman"/>
                <w:sz w:val="21"/>
                <w:szCs w:val="21"/>
              </w:rPr>
              <w:t>/h</w:t>
            </w:r>
          </w:p>
        </w:tc>
        <w:tc>
          <w:tcPr>
            <w:tcW w:w="302" w:type="pct"/>
            <w:vMerge w:val="restart"/>
            <w:shd w:val="clear" w:color="000000" w:fill="FFFFFF"/>
            <w:noWrap w:val="0"/>
            <w:vAlign w:val="center"/>
          </w:tcPr>
          <w:p>
            <w:pPr>
              <w:spacing w:line="300" w:lineRule="exact"/>
              <w:jc w:val="center"/>
              <w:rPr>
                <w:rFonts w:hint="eastAsia"/>
                <w:sz w:val="21"/>
                <w:szCs w:val="21"/>
              </w:rPr>
            </w:pPr>
            <w:r>
              <w:rPr>
                <w:rFonts w:hint="eastAsia"/>
                <w:sz w:val="21"/>
                <w:szCs w:val="21"/>
              </w:rPr>
              <w:t>排放工况</w:t>
            </w:r>
          </w:p>
        </w:tc>
        <w:tc>
          <w:tcPr>
            <w:tcW w:w="1064" w:type="pct"/>
            <w:gridSpan w:val="3"/>
            <w:shd w:val="clear" w:color="000000" w:fill="FFFFFF"/>
            <w:noWrap w:val="0"/>
            <w:vAlign w:val="center"/>
          </w:tcPr>
          <w:p>
            <w:pPr>
              <w:spacing w:line="300" w:lineRule="exact"/>
              <w:jc w:val="center"/>
              <w:rPr>
                <w:rFonts w:hint="eastAsia" w:eastAsia="宋体"/>
                <w:sz w:val="21"/>
                <w:szCs w:val="21"/>
                <w:lang w:eastAsia="zh-CN"/>
              </w:rPr>
            </w:pPr>
            <w:r>
              <w:rPr>
                <w:rFonts w:hint="eastAsia"/>
                <w:sz w:val="21"/>
                <w:szCs w:val="21"/>
              </w:rPr>
              <w:t>污染物排放</w:t>
            </w:r>
            <w:r>
              <w:rPr>
                <w:rFonts w:hint="eastAsia"/>
                <w:sz w:val="21"/>
                <w:szCs w:val="21"/>
                <w:lang w:eastAsia="zh-CN"/>
              </w:rPr>
              <w:t>速率</w:t>
            </w:r>
          </w:p>
          <w:p>
            <w:pPr>
              <w:spacing w:line="300" w:lineRule="exact"/>
              <w:jc w:val="center"/>
              <w:rPr>
                <w:rFonts w:hint="eastAsia" w:cs="Times New Roman"/>
                <w:sz w:val="21"/>
                <w:szCs w:val="21"/>
              </w:rPr>
            </w:pPr>
            <w:r>
              <w:rPr>
                <w:rFonts w:hint="eastAsia" w:cs="Times New Roman"/>
                <w:sz w:val="21"/>
                <w:szCs w:val="21"/>
              </w:rPr>
              <w:t>kg</w:t>
            </w:r>
            <w:r>
              <w:rPr>
                <w:rFonts w:cs="Times New Roman"/>
                <w:sz w:val="21"/>
                <w:szCs w:val="21"/>
              </w:rPr>
              <w:t>/</w:t>
            </w:r>
            <w:r>
              <w:rPr>
                <w:rFonts w:hint="eastAsia" w:cs="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83" w:type="pct"/>
            <w:vMerge w:val="continue"/>
            <w:shd w:val="clear" w:color="auto" w:fill="auto"/>
            <w:noWrap w:val="0"/>
            <w:vAlign w:val="center"/>
          </w:tcPr>
          <w:p>
            <w:pPr>
              <w:spacing w:line="300" w:lineRule="exact"/>
              <w:jc w:val="center"/>
              <w:rPr>
                <w:sz w:val="21"/>
                <w:szCs w:val="21"/>
              </w:rPr>
            </w:pPr>
          </w:p>
        </w:tc>
        <w:tc>
          <w:tcPr>
            <w:tcW w:w="810" w:type="pct"/>
            <w:vMerge w:val="continue"/>
            <w:shd w:val="clear" w:color="auto" w:fill="auto"/>
            <w:noWrap w:val="0"/>
            <w:vAlign w:val="center"/>
          </w:tcPr>
          <w:p>
            <w:pPr>
              <w:spacing w:line="300" w:lineRule="exact"/>
              <w:jc w:val="center"/>
              <w:rPr>
                <w:sz w:val="21"/>
                <w:szCs w:val="21"/>
              </w:rPr>
            </w:pPr>
          </w:p>
        </w:tc>
        <w:tc>
          <w:tcPr>
            <w:tcW w:w="334" w:type="pct"/>
            <w:shd w:val="clear" w:color="000000" w:fill="FFFFFF"/>
            <w:noWrap w:val="0"/>
            <w:vAlign w:val="center"/>
          </w:tcPr>
          <w:p>
            <w:pPr>
              <w:spacing w:line="300" w:lineRule="exact"/>
              <w:jc w:val="center"/>
              <w:rPr>
                <w:rFonts w:cs="Times New Roman"/>
                <w:sz w:val="21"/>
                <w:szCs w:val="21"/>
              </w:rPr>
            </w:pPr>
            <w:r>
              <w:rPr>
                <w:rFonts w:cs="Times New Roman"/>
                <w:sz w:val="21"/>
                <w:szCs w:val="21"/>
              </w:rPr>
              <w:t>X</w:t>
            </w:r>
          </w:p>
        </w:tc>
        <w:tc>
          <w:tcPr>
            <w:tcW w:w="302" w:type="pct"/>
            <w:shd w:val="clear" w:color="000000" w:fill="FFFFFF"/>
            <w:noWrap w:val="0"/>
            <w:vAlign w:val="center"/>
          </w:tcPr>
          <w:p>
            <w:pPr>
              <w:spacing w:line="300" w:lineRule="exact"/>
              <w:jc w:val="center"/>
              <w:rPr>
                <w:rFonts w:cs="Times New Roman"/>
                <w:sz w:val="21"/>
                <w:szCs w:val="21"/>
              </w:rPr>
            </w:pPr>
            <w:r>
              <w:rPr>
                <w:rFonts w:cs="Times New Roman"/>
                <w:sz w:val="21"/>
                <w:szCs w:val="21"/>
              </w:rPr>
              <w:t>Y</w:t>
            </w:r>
          </w:p>
        </w:tc>
        <w:tc>
          <w:tcPr>
            <w:tcW w:w="459" w:type="pct"/>
            <w:vMerge w:val="continue"/>
            <w:shd w:val="clear" w:color="auto" w:fill="auto"/>
            <w:noWrap w:val="0"/>
            <w:vAlign w:val="center"/>
          </w:tcPr>
          <w:p>
            <w:pPr>
              <w:spacing w:line="300" w:lineRule="exact"/>
              <w:jc w:val="center"/>
              <w:rPr>
                <w:sz w:val="21"/>
                <w:szCs w:val="21"/>
              </w:rPr>
            </w:pPr>
          </w:p>
        </w:tc>
        <w:tc>
          <w:tcPr>
            <w:tcW w:w="288" w:type="pct"/>
            <w:vMerge w:val="continue"/>
            <w:shd w:val="clear" w:color="auto" w:fill="auto"/>
            <w:noWrap w:val="0"/>
            <w:vAlign w:val="center"/>
          </w:tcPr>
          <w:p>
            <w:pPr>
              <w:spacing w:line="300" w:lineRule="exact"/>
              <w:jc w:val="center"/>
              <w:rPr>
                <w:sz w:val="21"/>
                <w:szCs w:val="21"/>
              </w:rPr>
            </w:pPr>
          </w:p>
        </w:tc>
        <w:tc>
          <w:tcPr>
            <w:tcW w:w="354" w:type="pct"/>
            <w:vMerge w:val="continue"/>
            <w:shd w:val="clear" w:color="auto" w:fill="auto"/>
            <w:noWrap w:val="0"/>
            <w:vAlign w:val="center"/>
          </w:tcPr>
          <w:p>
            <w:pPr>
              <w:spacing w:line="300" w:lineRule="exact"/>
              <w:jc w:val="center"/>
              <w:rPr>
                <w:sz w:val="21"/>
                <w:szCs w:val="21"/>
              </w:rPr>
            </w:pPr>
          </w:p>
        </w:tc>
        <w:tc>
          <w:tcPr>
            <w:tcW w:w="340" w:type="pct"/>
            <w:vMerge w:val="continue"/>
            <w:shd w:val="clear" w:color="auto" w:fill="auto"/>
            <w:noWrap w:val="0"/>
            <w:vAlign w:val="center"/>
          </w:tcPr>
          <w:p>
            <w:pPr>
              <w:spacing w:line="300" w:lineRule="exact"/>
              <w:jc w:val="center"/>
              <w:rPr>
                <w:sz w:val="21"/>
                <w:szCs w:val="21"/>
              </w:rPr>
            </w:pPr>
          </w:p>
        </w:tc>
        <w:tc>
          <w:tcPr>
            <w:tcW w:w="459" w:type="pct"/>
            <w:vMerge w:val="continue"/>
            <w:shd w:val="clear" w:color="auto" w:fill="auto"/>
            <w:noWrap w:val="0"/>
            <w:vAlign w:val="center"/>
          </w:tcPr>
          <w:p>
            <w:pPr>
              <w:spacing w:line="300" w:lineRule="exact"/>
              <w:jc w:val="center"/>
              <w:rPr>
                <w:sz w:val="21"/>
                <w:szCs w:val="21"/>
              </w:rPr>
            </w:pPr>
          </w:p>
        </w:tc>
        <w:tc>
          <w:tcPr>
            <w:tcW w:w="302" w:type="pct"/>
            <w:vMerge w:val="continue"/>
            <w:shd w:val="clear" w:color="auto" w:fill="auto"/>
            <w:noWrap w:val="0"/>
            <w:vAlign w:val="center"/>
          </w:tcPr>
          <w:p>
            <w:pPr>
              <w:spacing w:line="300" w:lineRule="exact"/>
              <w:jc w:val="center"/>
              <w:rPr>
                <w:sz w:val="21"/>
                <w:szCs w:val="21"/>
              </w:rPr>
            </w:pPr>
          </w:p>
        </w:tc>
        <w:tc>
          <w:tcPr>
            <w:tcW w:w="358" w:type="pct"/>
            <w:shd w:val="clear" w:color="auto" w:fill="auto"/>
            <w:noWrap w:val="0"/>
            <w:vAlign w:val="center"/>
          </w:tcPr>
          <w:p>
            <w:pPr>
              <w:spacing w:line="300" w:lineRule="exact"/>
              <w:jc w:val="center"/>
              <w:rPr>
                <w:sz w:val="21"/>
                <w:szCs w:val="21"/>
              </w:rPr>
            </w:pPr>
            <w:r>
              <w:rPr>
                <w:sz w:val="21"/>
                <w:szCs w:val="21"/>
              </w:rPr>
              <w:t>VOCs</w:t>
            </w:r>
          </w:p>
        </w:tc>
        <w:tc>
          <w:tcPr>
            <w:tcW w:w="345" w:type="pct"/>
            <w:shd w:val="clear" w:color="000000" w:fill="FFFFFF"/>
            <w:noWrap w:val="0"/>
            <w:vAlign w:val="center"/>
          </w:tcPr>
          <w:p>
            <w:pPr>
              <w:spacing w:line="300" w:lineRule="exact"/>
              <w:jc w:val="center"/>
              <w:rPr>
                <w:sz w:val="21"/>
                <w:szCs w:val="21"/>
              </w:rPr>
            </w:pPr>
            <w:r>
              <w:rPr>
                <w:rFonts w:hint="eastAsia"/>
                <w:sz w:val="21"/>
                <w:szCs w:val="21"/>
                <w:lang w:eastAsia="zh-CN"/>
              </w:rPr>
              <w:t>苯酚</w:t>
            </w:r>
          </w:p>
        </w:tc>
        <w:tc>
          <w:tcPr>
            <w:tcW w:w="360" w:type="pct"/>
            <w:shd w:val="clear" w:color="000000" w:fill="FFFFFF"/>
            <w:noWrap w:val="0"/>
            <w:vAlign w:val="center"/>
          </w:tcPr>
          <w:p>
            <w:pPr>
              <w:spacing w:line="300" w:lineRule="exact"/>
              <w:jc w:val="center"/>
              <w:rPr>
                <w:rFonts w:hint="eastAsia" w:eastAsia="宋体"/>
                <w:sz w:val="21"/>
                <w:szCs w:val="21"/>
                <w:lang w:eastAsia="zh-CN"/>
              </w:rPr>
            </w:pPr>
            <w:r>
              <w:rPr>
                <w:rFonts w:hint="eastAsia" w:eastAsia="宋体"/>
                <w:sz w:val="21"/>
                <w:szCs w:val="21"/>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83" w:type="pct"/>
            <w:noWrap/>
            <w:vAlign w:val="center"/>
          </w:tcPr>
          <w:p>
            <w:pPr>
              <w:spacing w:line="300" w:lineRule="exact"/>
              <w:jc w:val="center"/>
              <w:rPr>
                <w:rFonts w:hint="eastAsia" w:eastAsia="宋体"/>
                <w:sz w:val="21"/>
                <w:szCs w:val="21"/>
                <w:lang w:val="en-US" w:eastAsia="zh-CN"/>
              </w:rPr>
            </w:pPr>
            <w:r>
              <w:rPr>
                <w:rFonts w:hint="eastAsia" w:eastAsia="宋体"/>
                <w:sz w:val="21"/>
                <w:szCs w:val="21"/>
                <w:lang w:val="en-US" w:eastAsia="zh-CN"/>
              </w:rPr>
              <w:t>1#</w:t>
            </w:r>
          </w:p>
        </w:tc>
        <w:tc>
          <w:tcPr>
            <w:tcW w:w="810" w:type="pct"/>
            <w:noWrap/>
            <w:vAlign w:val="center"/>
          </w:tcPr>
          <w:p>
            <w:pPr>
              <w:spacing w:line="300" w:lineRule="exact"/>
              <w:jc w:val="center"/>
              <w:rPr>
                <w:rFonts w:hint="eastAsia"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排气筒</w:t>
            </w:r>
          </w:p>
        </w:tc>
        <w:tc>
          <w:tcPr>
            <w:tcW w:w="334"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5</w:t>
            </w:r>
          </w:p>
        </w:tc>
        <w:tc>
          <w:tcPr>
            <w:tcW w:w="302"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63</w:t>
            </w:r>
          </w:p>
        </w:tc>
        <w:tc>
          <w:tcPr>
            <w:tcW w:w="459"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89</w:t>
            </w:r>
          </w:p>
        </w:tc>
        <w:tc>
          <w:tcPr>
            <w:tcW w:w="288" w:type="pct"/>
            <w:noWrap/>
            <w:vAlign w:val="center"/>
          </w:tcPr>
          <w:p>
            <w:pPr>
              <w:spacing w:line="300" w:lineRule="exact"/>
              <w:jc w:val="center"/>
              <w:rPr>
                <w:rFonts w:hint="eastAsia" w:eastAsia="宋体"/>
                <w:sz w:val="21"/>
                <w:szCs w:val="21"/>
                <w:lang w:val="en-US" w:eastAsia="zh-CN"/>
              </w:rPr>
            </w:pPr>
            <w:r>
              <w:rPr>
                <w:rFonts w:hint="eastAsia" w:eastAsia="宋体"/>
                <w:sz w:val="21"/>
                <w:szCs w:val="21"/>
                <w:lang w:val="en-US" w:eastAsia="zh-CN"/>
              </w:rPr>
              <w:t>15</w:t>
            </w:r>
          </w:p>
        </w:tc>
        <w:tc>
          <w:tcPr>
            <w:tcW w:w="354" w:type="pct"/>
            <w:noWrap/>
            <w:vAlign w:val="center"/>
          </w:tcPr>
          <w:p>
            <w:pPr>
              <w:spacing w:line="300" w:lineRule="exact"/>
              <w:jc w:val="center"/>
              <w:rPr>
                <w:rFonts w:hint="eastAsia" w:eastAsia="宋体"/>
                <w:sz w:val="21"/>
                <w:szCs w:val="21"/>
                <w:lang w:val="en-US" w:eastAsia="zh-CN"/>
              </w:rPr>
            </w:pPr>
            <w:r>
              <w:rPr>
                <w:rFonts w:hint="eastAsia" w:eastAsia="宋体"/>
                <w:sz w:val="21"/>
                <w:szCs w:val="21"/>
                <w:lang w:val="en-US" w:eastAsia="zh-CN"/>
              </w:rPr>
              <w:t>0.4</w:t>
            </w:r>
          </w:p>
        </w:tc>
        <w:tc>
          <w:tcPr>
            <w:tcW w:w="340" w:type="pct"/>
            <w:noWrap/>
            <w:vAlign w:val="center"/>
          </w:tcPr>
          <w:p>
            <w:pPr>
              <w:spacing w:line="300" w:lineRule="exact"/>
              <w:jc w:val="center"/>
              <w:rPr>
                <w:rFonts w:hint="eastAsia" w:eastAsia="宋体"/>
                <w:sz w:val="21"/>
                <w:szCs w:val="21"/>
                <w:lang w:val="en-US" w:eastAsia="zh-CN"/>
              </w:rPr>
            </w:pPr>
            <w:r>
              <w:rPr>
                <w:rFonts w:hint="eastAsia"/>
                <w:sz w:val="21"/>
                <w:szCs w:val="21"/>
              </w:rPr>
              <w:t>常温</w:t>
            </w:r>
          </w:p>
        </w:tc>
        <w:tc>
          <w:tcPr>
            <w:tcW w:w="459"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7200</w:t>
            </w:r>
          </w:p>
        </w:tc>
        <w:tc>
          <w:tcPr>
            <w:tcW w:w="302" w:type="pct"/>
            <w:noWrap/>
            <w:vAlign w:val="center"/>
          </w:tcPr>
          <w:p>
            <w:pPr>
              <w:spacing w:line="300" w:lineRule="exact"/>
              <w:jc w:val="center"/>
              <w:rPr>
                <w:rFonts w:hint="eastAsia" w:eastAsia="宋体"/>
                <w:sz w:val="21"/>
                <w:szCs w:val="21"/>
                <w:lang w:eastAsia="zh-CN"/>
              </w:rPr>
            </w:pPr>
            <w:r>
              <w:rPr>
                <w:rFonts w:hint="eastAsia"/>
                <w:sz w:val="21"/>
                <w:szCs w:val="21"/>
              </w:rPr>
              <w:t>间断</w:t>
            </w:r>
          </w:p>
        </w:tc>
        <w:tc>
          <w:tcPr>
            <w:tcW w:w="358"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0.0764</w:t>
            </w:r>
          </w:p>
        </w:tc>
        <w:tc>
          <w:tcPr>
            <w:tcW w:w="345"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0.0725</w:t>
            </w:r>
          </w:p>
        </w:tc>
        <w:tc>
          <w:tcPr>
            <w:tcW w:w="360"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0.0018</w:t>
            </w:r>
          </w:p>
        </w:tc>
      </w:tr>
    </w:tbl>
    <w:p>
      <w:pPr>
        <w:jc w:val="center"/>
        <w:rPr>
          <w:rFonts w:hint="eastAsia" w:ascii="黑体" w:hAnsi="黑体" w:eastAsia="黑体"/>
        </w:rPr>
      </w:pPr>
      <w:r>
        <w:rPr>
          <w:rFonts w:hint="eastAsia" w:ascii="黑体" w:hAnsi="黑体" w:eastAsia="黑体"/>
        </w:rPr>
        <w:t>表</w:t>
      </w:r>
      <w:r>
        <w:rPr>
          <w:rFonts w:hint="eastAsia" w:ascii="黑体" w:hAnsi="黑体" w:eastAsia="黑体"/>
          <w:lang w:val="en-US" w:eastAsia="zh-CN"/>
        </w:rPr>
        <w:t>5</w:t>
      </w:r>
      <w:r>
        <w:rPr>
          <w:rFonts w:ascii="黑体" w:hAnsi="黑体" w:eastAsia="黑体"/>
        </w:rPr>
        <w:t>.2</w:t>
      </w:r>
      <w:r>
        <w:rPr>
          <w:rFonts w:hint="eastAsia" w:ascii="黑体" w:hAnsi="黑体" w:eastAsia="黑体"/>
        </w:rPr>
        <w:t>-</w:t>
      </w:r>
      <w:r>
        <w:rPr>
          <w:rFonts w:ascii="黑体" w:eastAsia="黑体"/>
          <w:bCs/>
        </w:rPr>
        <w:t>5</w:t>
      </w:r>
      <w:r>
        <w:rPr>
          <w:rFonts w:ascii="黑体" w:hAnsi="黑体" w:eastAsia="黑体"/>
        </w:rPr>
        <w:t xml:space="preserve">  拟建工程</w:t>
      </w:r>
      <w:r>
        <w:rPr>
          <w:rFonts w:hint="eastAsia" w:ascii="黑体" w:hAnsi="黑体" w:eastAsia="黑体"/>
        </w:rPr>
        <w:t>正常工况面</w:t>
      </w:r>
      <w:r>
        <w:rPr>
          <w:rFonts w:ascii="黑体" w:hAnsi="黑体" w:eastAsia="黑体"/>
        </w:rPr>
        <w:t>源参数调查清单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833"/>
        <w:gridCol w:w="675"/>
        <w:gridCol w:w="695"/>
        <w:gridCol w:w="894"/>
        <w:gridCol w:w="760"/>
        <w:gridCol w:w="837"/>
        <w:gridCol w:w="956"/>
        <w:gridCol w:w="1396"/>
        <w:gridCol w:w="1257"/>
        <w:gridCol w:w="891"/>
        <w:gridCol w:w="985"/>
        <w:gridCol w:w="123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7" w:type="pct"/>
            <w:vMerge w:val="restart"/>
            <w:shd w:val="clear" w:color="000000" w:fill="FFFFFF"/>
            <w:noWrap w:val="0"/>
            <w:vAlign w:val="center"/>
          </w:tcPr>
          <w:p>
            <w:pPr>
              <w:spacing w:line="280" w:lineRule="exact"/>
              <w:jc w:val="center"/>
              <w:rPr>
                <w:sz w:val="21"/>
                <w:szCs w:val="21"/>
              </w:rPr>
            </w:pPr>
            <w:r>
              <w:rPr>
                <w:rFonts w:hint="eastAsia"/>
                <w:sz w:val="21"/>
                <w:szCs w:val="21"/>
              </w:rPr>
              <w:t>编号</w:t>
            </w:r>
          </w:p>
        </w:tc>
        <w:tc>
          <w:tcPr>
            <w:tcW w:w="646" w:type="pct"/>
            <w:vMerge w:val="restart"/>
            <w:shd w:val="clear" w:color="000000" w:fill="FFFFFF"/>
            <w:noWrap w:val="0"/>
            <w:vAlign w:val="center"/>
          </w:tcPr>
          <w:p>
            <w:pPr>
              <w:spacing w:line="280" w:lineRule="exact"/>
              <w:jc w:val="center"/>
              <w:rPr>
                <w:sz w:val="21"/>
                <w:szCs w:val="21"/>
              </w:rPr>
            </w:pPr>
            <w:r>
              <w:rPr>
                <w:rFonts w:hint="eastAsia"/>
                <w:sz w:val="21"/>
                <w:szCs w:val="21"/>
              </w:rPr>
              <w:t>名称</w:t>
            </w:r>
          </w:p>
        </w:tc>
        <w:tc>
          <w:tcPr>
            <w:tcW w:w="483" w:type="pct"/>
            <w:gridSpan w:val="2"/>
            <w:shd w:val="clear" w:color="000000" w:fill="FFFFFF"/>
            <w:noWrap w:val="0"/>
            <w:vAlign w:val="center"/>
          </w:tcPr>
          <w:p>
            <w:pPr>
              <w:spacing w:line="280" w:lineRule="exact"/>
              <w:jc w:val="center"/>
              <w:rPr>
                <w:rFonts w:hint="eastAsia"/>
                <w:sz w:val="21"/>
                <w:szCs w:val="21"/>
              </w:rPr>
            </w:pPr>
            <w:r>
              <w:rPr>
                <w:rFonts w:hint="eastAsia"/>
                <w:sz w:val="21"/>
                <w:szCs w:val="21"/>
              </w:rPr>
              <w:t>面源起点坐标</w:t>
            </w:r>
            <w:r>
              <w:rPr>
                <w:rFonts w:cs="Times New Roman"/>
                <w:sz w:val="21"/>
                <w:szCs w:val="21"/>
              </w:rPr>
              <w:t>/m</w:t>
            </w:r>
          </w:p>
        </w:tc>
        <w:tc>
          <w:tcPr>
            <w:tcW w:w="315" w:type="pct"/>
            <w:vMerge w:val="restart"/>
            <w:shd w:val="clear" w:color="000000" w:fill="FFFFFF"/>
            <w:noWrap w:val="0"/>
            <w:vAlign w:val="center"/>
          </w:tcPr>
          <w:p>
            <w:pPr>
              <w:spacing w:line="280" w:lineRule="exact"/>
              <w:jc w:val="center"/>
              <w:rPr>
                <w:sz w:val="21"/>
                <w:szCs w:val="21"/>
              </w:rPr>
            </w:pPr>
            <w:r>
              <w:rPr>
                <w:rFonts w:hint="eastAsia"/>
                <w:sz w:val="21"/>
                <w:szCs w:val="21"/>
              </w:rPr>
              <w:t>面源海拔高度</w:t>
            </w:r>
            <w:r>
              <w:rPr>
                <w:rFonts w:cs="Times New Roman"/>
                <w:sz w:val="21"/>
                <w:szCs w:val="21"/>
              </w:rPr>
              <w:t>/m</w:t>
            </w:r>
          </w:p>
        </w:tc>
        <w:tc>
          <w:tcPr>
            <w:tcW w:w="268" w:type="pct"/>
            <w:vMerge w:val="restart"/>
            <w:shd w:val="clear" w:color="000000" w:fill="FFFFFF"/>
            <w:noWrap w:val="0"/>
            <w:vAlign w:val="center"/>
          </w:tcPr>
          <w:p>
            <w:pPr>
              <w:spacing w:line="280" w:lineRule="exact"/>
              <w:jc w:val="center"/>
              <w:rPr>
                <w:sz w:val="21"/>
                <w:szCs w:val="21"/>
              </w:rPr>
            </w:pPr>
            <w:r>
              <w:rPr>
                <w:rFonts w:hint="eastAsia"/>
                <w:sz w:val="21"/>
                <w:szCs w:val="21"/>
              </w:rPr>
              <w:t>面源长度</w:t>
            </w:r>
            <w:r>
              <w:rPr>
                <w:rFonts w:cs="Times New Roman"/>
                <w:sz w:val="21"/>
                <w:szCs w:val="21"/>
              </w:rPr>
              <w:t>/m</w:t>
            </w:r>
          </w:p>
        </w:tc>
        <w:tc>
          <w:tcPr>
            <w:tcW w:w="295" w:type="pct"/>
            <w:vMerge w:val="restart"/>
            <w:shd w:val="clear" w:color="000000" w:fill="FFFFFF"/>
            <w:noWrap w:val="0"/>
            <w:vAlign w:val="center"/>
          </w:tcPr>
          <w:p>
            <w:pPr>
              <w:spacing w:line="280" w:lineRule="exact"/>
              <w:jc w:val="center"/>
              <w:rPr>
                <w:sz w:val="21"/>
                <w:szCs w:val="21"/>
              </w:rPr>
            </w:pPr>
            <w:r>
              <w:rPr>
                <w:rFonts w:hint="eastAsia"/>
                <w:sz w:val="21"/>
                <w:szCs w:val="21"/>
              </w:rPr>
              <w:t>面源宽度</w:t>
            </w:r>
            <w:r>
              <w:rPr>
                <w:rFonts w:cs="Times New Roman"/>
                <w:sz w:val="21"/>
                <w:szCs w:val="21"/>
              </w:rPr>
              <w:t>/m</w:t>
            </w:r>
          </w:p>
        </w:tc>
        <w:tc>
          <w:tcPr>
            <w:tcW w:w="337" w:type="pct"/>
            <w:vMerge w:val="restart"/>
            <w:shd w:val="clear" w:color="000000" w:fill="FFFFFF"/>
            <w:noWrap w:val="0"/>
            <w:vAlign w:val="center"/>
          </w:tcPr>
          <w:p>
            <w:pPr>
              <w:spacing w:line="280" w:lineRule="exact"/>
              <w:jc w:val="center"/>
              <w:rPr>
                <w:sz w:val="21"/>
                <w:szCs w:val="21"/>
              </w:rPr>
            </w:pPr>
            <w:r>
              <w:rPr>
                <w:rFonts w:hint="eastAsia"/>
                <w:sz w:val="21"/>
                <w:szCs w:val="21"/>
              </w:rPr>
              <w:t>与正北向夹角</w:t>
            </w:r>
            <w:r>
              <w:rPr>
                <w:rFonts w:cs="Times New Roman"/>
                <w:sz w:val="21"/>
                <w:szCs w:val="21"/>
              </w:rPr>
              <w:t>/°</w:t>
            </w:r>
          </w:p>
        </w:tc>
        <w:tc>
          <w:tcPr>
            <w:tcW w:w="492" w:type="pct"/>
            <w:vMerge w:val="restart"/>
            <w:shd w:val="clear" w:color="000000" w:fill="FFFFFF"/>
            <w:noWrap w:val="0"/>
            <w:vAlign w:val="center"/>
          </w:tcPr>
          <w:p>
            <w:pPr>
              <w:spacing w:line="280" w:lineRule="exact"/>
              <w:jc w:val="center"/>
              <w:rPr>
                <w:sz w:val="21"/>
                <w:szCs w:val="21"/>
              </w:rPr>
            </w:pPr>
            <w:r>
              <w:rPr>
                <w:rFonts w:hint="eastAsia"/>
                <w:sz w:val="21"/>
                <w:szCs w:val="21"/>
              </w:rPr>
              <w:t>面源有效排放高度</w:t>
            </w:r>
            <w:r>
              <w:rPr>
                <w:rFonts w:cs="Times New Roman"/>
                <w:sz w:val="21"/>
                <w:szCs w:val="21"/>
              </w:rPr>
              <w:t>/m</w:t>
            </w:r>
          </w:p>
        </w:tc>
        <w:tc>
          <w:tcPr>
            <w:tcW w:w="443" w:type="pct"/>
            <w:vMerge w:val="restart"/>
            <w:shd w:val="clear" w:color="000000" w:fill="FFFFFF"/>
            <w:noWrap w:val="0"/>
            <w:vAlign w:val="center"/>
          </w:tcPr>
          <w:p>
            <w:pPr>
              <w:spacing w:line="280" w:lineRule="exact"/>
              <w:jc w:val="center"/>
              <w:rPr>
                <w:sz w:val="21"/>
                <w:szCs w:val="21"/>
              </w:rPr>
            </w:pPr>
            <w:r>
              <w:rPr>
                <w:rFonts w:hint="eastAsia"/>
                <w:sz w:val="21"/>
                <w:szCs w:val="21"/>
              </w:rPr>
              <w:t>年排放小时数</w:t>
            </w:r>
            <w:r>
              <w:rPr>
                <w:rFonts w:cs="Times New Roman"/>
                <w:sz w:val="21"/>
                <w:szCs w:val="21"/>
              </w:rPr>
              <w:t>/h</w:t>
            </w:r>
          </w:p>
        </w:tc>
        <w:tc>
          <w:tcPr>
            <w:tcW w:w="314" w:type="pct"/>
            <w:vMerge w:val="restart"/>
            <w:shd w:val="clear" w:color="000000" w:fill="FFFFFF"/>
            <w:noWrap w:val="0"/>
            <w:vAlign w:val="center"/>
          </w:tcPr>
          <w:p>
            <w:pPr>
              <w:spacing w:line="280" w:lineRule="exact"/>
              <w:jc w:val="center"/>
              <w:rPr>
                <w:rFonts w:ascii="Times New Roman" w:hAnsi="Times New Roman" w:eastAsia="Times New Roman" w:cs="Times New Roman"/>
                <w:color w:val="000000"/>
                <w:sz w:val="21"/>
                <w:szCs w:val="21"/>
                <w:lang w:val="en-US" w:eastAsia="en-US" w:bidi="en-US"/>
              </w:rPr>
            </w:pPr>
            <w:r>
              <w:rPr>
                <w:rFonts w:hint="eastAsia"/>
                <w:sz w:val="21"/>
                <w:szCs w:val="21"/>
              </w:rPr>
              <w:t>排放工况</w:t>
            </w:r>
          </w:p>
          <w:p>
            <w:pPr>
              <w:spacing w:line="280" w:lineRule="exact"/>
              <w:jc w:val="center"/>
              <w:rPr>
                <w:rFonts w:hint="eastAsia"/>
                <w:sz w:val="21"/>
                <w:szCs w:val="21"/>
              </w:rPr>
            </w:pPr>
          </w:p>
        </w:tc>
        <w:tc>
          <w:tcPr>
            <w:tcW w:w="1195" w:type="pct"/>
            <w:gridSpan w:val="3"/>
            <w:shd w:val="clear" w:color="000000" w:fill="FFFFFF"/>
            <w:noWrap w:val="0"/>
            <w:vAlign w:val="center"/>
          </w:tcPr>
          <w:p>
            <w:pPr>
              <w:spacing w:line="280" w:lineRule="exact"/>
              <w:jc w:val="center"/>
              <w:rPr>
                <w:rFonts w:hint="eastAsia"/>
                <w:sz w:val="21"/>
                <w:szCs w:val="21"/>
              </w:rPr>
            </w:pPr>
            <w:r>
              <w:rPr>
                <w:rFonts w:hint="eastAsia"/>
                <w:sz w:val="21"/>
                <w:szCs w:val="21"/>
              </w:rPr>
              <w:t>污染物排放</w:t>
            </w:r>
            <w:r>
              <w:rPr>
                <w:rFonts w:hint="eastAsia"/>
                <w:sz w:val="21"/>
                <w:szCs w:val="21"/>
                <w:lang w:eastAsia="zh-CN"/>
              </w:rPr>
              <w:t>速率</w:t>
            </w:r>
            <w:r>
              <w:rPr>
                <w:rFonts w:hint="eastAsia" w:cs="Times New Roman"/>
                <w:sz w:val="21"/>
                <w:szCs w:val="21"/>
              </w:rPr>
              <w:t>kg</w:t>
            </w:r>
            <w:r>
              <w:rPr>
                <w:rFonts w:cs="Times New Roman"/>
                <w:sz w:val="21"/>
                <w:szCs w:val="21"/>
              </w:rPr>
              <w:t>/</w:t>
            </w:r>
            <w:r>
              <w:rPr>
                <w:rFonts w:hint="eastAsia" w:cs="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7" w:type="pct"/>
            <w:vMerge w:val="continue"/>
            <w:tcBorders>
              <w:bottom w:val="single" w:color="auto" w:sz="4" w:space="0"/>
            </w:tcBorders>
            <w:noWrap w:val="0"/>
            <w:vAlign w:val="center"/>
          </w:tcPr>
          <w:p>
            <w:pPr>
              <w:spacing w:line="280" w:lineRule="exact"/>
              <w:jc w:val="center"/>
              <w:rPr>
                <w:sz w:val="21"/>
                <w:szCs w:val="21"/>
              </w:rPr>
            </w:pPr>
          </w:p>
        </w:tc>
        <w:tc>
          <w:tcPr>
            <w:tcW w:w="646" w:type="pct"/>
            <w:vMerge w:val="continue"/>
            <w:tcBorders>
              <w:bottom w:val="single" w:color="auto" w:sz="4" w:space="0"/>
            </w:tcBorders>
            <w:noWrap w:val="0"/>
            <w:vAlign w:val="center"/>
          </w:tcPr>
          <w:p>
            <w:pPr>
              <w:spacing w:line="280" w:lineRule="exact"/>
              <w:jc w:val="center"/>
              <w:rPr>
                <w:sz w:val="21"/>
                <w:szCs w:val="21"/>
              </w:rPr>
            </w:pPr>
          </w:p>
        </w:tc>
        <w:tc>
          <w:tcPr>
            <w:tcW w:w="238" w:type="pct"/>
            <w:tcBorders>
              <w:bottom w:val="single" w:color="auto" w:sz="4" w:space="0"/>
            </w:tcBorders>
            <w:noWrap w:val="0"/>
            <w:vAlign w:val="center"/>
          </w:tcPr>
          <w:p>
            <w:pPr>
              <w:spacing w:line="280" w:lineRule="exact"/>
              <w:jc w:val="center"/>
              <w:rPr>
                <w:sz w:val="21"/>
                <w:szCs w:val="21"/>
              </w:rPr>
            </w:pPr>
            <w:r>
              <w:rPr>
                <w:rFonts w:cs="Times New Roman"/>
                <w:sz w:val="21"/>
                <w:szCs w:val="21"/>
              </w:rPr>
              <w:t>X</w:t>
            </w:r>
          </w:p>
        </w:tc>
        <w:tc>
          <w:tcPr>
            <w:tcW w:w="245" w:type="pct"/>
            <w:tcBorders>
              <w:bottom w:val="single" w:color="auto" w:sz="4" w:space="0"/>
            </w:tcBorders>
            <w:noWrap w:val="0"/>
            <w:vAlign w:val="center"/>
          </w:tcPr>
          <w:p>
            <w:pPr>
              <w:spacing w:line="280" w:lineRule="exact"/>
              <w:jc w:val="center"/>
              <w:rPr>
                <w:sz w:val="21"/>
                <w:szCs w:val="21"/>
              </w:rPr>
            </w:pPr>
            <w:r>
              <w:rPr>
                <w:rFonts w:cs="Times New Roman"/>
                <w:sz w:val="21"/>
                <w:szCs w:val="21"/>
              </w:rPr>
              <w:t>Y</w:t>
            </w:r>
          </w:p>
        </w:tc>
        <w:tc>
          <w:tcPr>
            <w:tcW w:w="315" w:type="pct"/>
            <w:vMerge w:val="continue"/>
            <w:tcBorders>
              <w:bottom w:val="single" w:color="auto" w:sz="4" w:space="0"/>
            </w:tcBorders>
            <w:noWrap w:val="0"/>
            <w:vAlign w:val="center"/>
          </w:tcPr>
          <w:p>
            <w:pPr>
              <w:spacing w:line="280" w:lineRule="exact"/>
              <w:jc w:val="center"/>
              <w:rPr>
                <w:sz w:val="21"/>
                <w:szCs w:val="21"/>
              </w:rPr>
            </w:pPr>
          </w:p>
        </w:tc>
        <w:tc>
          <w:tcPr>
            <w:tcW w:w="268" w:type="pct"/>
            <w:vMerge w:val="continue"/>
            <w:tcBorders>
              <w:bottom w:val="single" w:color="auto" w:sz="4" w:space="0"/>
            </w:tcBorders>
            <w:noWrap w:val="0"/>
            <w:vAlign w:val="center"/>
          </w:tcPr>
          <w:p>
            <w:pPr>
              <w:spacing w:line="280" w:lineRule="exact"/>
              <w:jc w:val="center"/>
              <w:rPr>
                <w:sz w:val="21"/>
                <w:szCs w:val="21"/>
              </w:rPr>
            </w:pPr>
          </w:p>
        </w:tc>
        <w:tc>
          <w:tcPr>
            <w:tcW w:w="295" w:type="pct"/>
            <w:vMerge w:val="continue"/>
            <w:tcBorders>
              <w:bottom w:val="single" w:color="auto" w:sz="4" w:space="0"/>
            </w:tcBorders>
            <w:noWrap w:val="0"/>
            <w:vAlign w:val="center"/>
          </w:tcPr>
          <w:p>
            <w:pPr>
              <w:spacing w:line="280" w:lineRule="exact"/>
              <w:jc w:val="center"/>
              <w:rPr>
                <w:sz w:val="21"/>
                <w:szCs w:val="21"/>
              </w:rPr>
            </w:pPr>
          </w:p>
        </w:tc>
        <w:tc>
          <w:tcPr>
            <w:tcW w:w="337" w:type="pct"/>
            <w:vMerge w:val="continue"/>
            <w:tcBorders>
              <w:bottom w:val="single" w:color="auto" w:sz="4" w:space="0"/>
            </w:tcBorders>
            <w:noWrap w:val="0"/>
            <w:vAlign w:val="center"/>
          </w:tcPr>
          <w:p>
            <w:pPr>
              <w:spacing w:line="280" w:lineRule="exact"/>
              <w:jc w:val="center"/>
              <w:rPr>
                <w:sz w:val="21"/>
                <w:szCs w:val="21"/>
              </w:rPr>
            </w:pPr>
          </w:p>
        </w:tc>
        <w:tc>
          <w:tcPr>
            <w:tcW w:w="492" w:type="pct"/>
            <w:vMerge w:val="continue"/>
            <w:tcBorders>
              <w:bottom w:val="single" w:color="auto" w:sz="4" w:space="0"/>
            </w:tcBorders>
            <w:noWrap w:val="0"/>
            <w:vAlign w:val="center"/>
          </w:tcPr>
          <w:p>
            <w:pPr>
              <w:spacing w:line="280" w:lineRule="exact"/>
              <w:jc w:val="center"/>
              <w:rPr>
                <w:sz w:val="21"/>
                <w:szCs w:val="21"/>
              </w:rPr>
            </w:pPr>
          </w:p>
        </w:tc>
        <w:tc>
          <w:tcPr>
            <w:tcW w:w="443" w:type="pct"/>
            <w:vMerge w:val="continue"/>
            <w:tcBorders>
              <w:bottom w:val="single" w:color="auto" w:sz="4" w:space="0"/>
            </w:tcBorders>
            <w:noWrap w:val="0"/>
            <w:vAlign w:val="center"/>
          </w:tcPr>
          <w:p>
            <w:pPr>
              <w:spacing w:line="280" w:lineRule="exact"/>
              <w:jc w:val="center"/>
              <w:rPr>
                <w:sz w:val="21"/>
                <w:szCs w:val="21"/>
              </w:rPr>
            </w:pPr>
          </w:p>
        </w:tc>
        <w:tc>
          <w:tcPr>
            <w:tcW w:w="314" w:type="pct"/>
            <w:vMerge w:val="continue"/>
            <w:tcBorders>
              <w:bottom w:val="single" w:color="auto" w:sz="4" w:space="0"/>
            </w:tcBorders>
            <w:noWrap w:val="0"/>
            <w:vAlign w:val="center"/>
          </w:tcPr>
          <w:p>
            <w:pPr>
              <w:spacing w:line="280" w:lineRule="exact"/>
              <w:jc w:val="center"/>
              <w:rPr>
                <w:sz w:val="21"/>
                <w:szCs w:val="21"/>
              </w:rPr>
            </w:pPr>
          </w:p>
        </w:tc>
        <w:tc>
          <w:tcPr>
            <w:tcW w:w="347" w:type="pct"/>
            <w:tcBorders>
              <w:bottom w:val="single" w:color="auto" w:sz="4" w:space="0"/>
            </w:tcBorders>
            <w:noWrap w:val="0"/>
            <w:vAlign w:val="center"/>
          </w:tcPr>
          <w:p>
            <w:pPr>
              <w:spacing w:line="280" w:lineRule="exact"/>
              <w:jc w:val="center"/>
              <w:rPr>
                <w:sz w:val="21"/>
                <w:szCs w:val="21"/>
              </w:rPr>
            </w:pPr>
            <w:r>
              <w:rPr>
                <w:sz w:val="21"/>
                <w:szCs w:val="21"/>
              </w:rPr>
              <w:t>VOCs</w:t>
            </w:r>
          </w:p>
        </w:tc>
        <w:tc>
          <w:tcPr>
            <w:tcW w:w="435" w:type="pct"/>
            <w:tcBorders>
              <w:bottom w:val="single" w:color="auto" w:sz="4" w:space="0"/>
            </w:tcBorders>
            <w:noWrap w:val="0"/>
            <w:vAlign w:val="center"/>
          </w:tcPr>
          <w:p>
            <w:pPr>
              <w:spacing w:line="300" w:lineRule="exact"/>
              <w:jc w:val="center"/>
              <w:rPr>
                <w:rFonts w:hint="eastAsia" w:eastAsia="宋体" w:cs="Times New Roman"/>
                <w:sz w:val="21"/>
                <w:szCs w:val="21"/>
                <w:lang w:eastAsia="zh-CN"/>
              </w:rPr>
            </w:pPr>
            <w:r>
              <w:rPr>
                <w:rFonts w:hint="eastAsia" w:eastAsia="宋体" w:cs="Times New Roman"/>
                <w:sz w:val="21"/>
                <w:szCs w:val="21"/>
                <w:lang w:eastAsia="zh-CN"/>
              </w:rPr>
              <w:t>苯酚</w:t>
            </w:r>
          </w:p>
        </w:tc>
        <w:tc>
          <w:tcPr>
            <w:tcW w:w="412" w:type="pct"/>
            <w:tcBorders>
              <w:bottom w:val="single" w:color="auto" w:sz="4" w:space="0"/>
            </w:tcBorders>
            <w:noWrap/>
            <w:vAlign w:val="center"/>
          </w:tcPr>
          <w:p>
            <w:pPr>
              <w:spacing w:line="300" w:lineRule="exact"/>
              <w:jc w:val="center"/>
              <w:rPr>
                <w:sz w:val="21"/>
                <w:szCs w:val="21"/>
              </w:rPr>
            </w:pPr>
            <w:r>
              <w:rPr>
                <w:rFonts w:hint="eastAsia"/>
                <w:sz w:val="21"/>
                <w:szCs w:val="21"/>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07" w:type="pct"/>
            <w:noWrap/>
            <w:vAlign w:val="center"/>
          </w:tcPr>
          <w:p>
            <w:pPr>
              <w:spacing w:line="280" w:lineRule="exact"/>
              <w:jc w:val="center"/>
              <w:rPr>
                <w:sz w:val="21"/>
                <w:szCs w:val="21"/>
              </w:rPr>
            </w:pPr>
            <w:r>
              <w:rPr>
                <w:rFonts w:hint="eastAsia"/>
                <w:sz w:val="21"/>
                <w:szCs w:val="21"/>
              </w:rPr>
              <w:t>A1</w:t>
            </w:r>
          </w:p>
        </w:tc>
        <w:tc>
          <w:tcPr>
            <w:tcW w:w="646" w:type="pct"/>
            <w:noWrap/>
            <w:vAlign w:val="center"/>
          </w:tcPr>
          <w:p>
            <w:pPr>
              <w:spacing w:line="280" w:lineRule="exact"/>
              <w:jc w:val="center"/>
              <w:rPr>
                <w:sz w:val="21"/>
                <w:szCs w:val="21"/>
              </w:rPr>
            </w:pPr>
            <w:r>
              <w:rPr>
                <w:rFonts w:hint="eastAsia" w:eastAsia="宋体"/>
                <w:sz w:val="21"/>
                <w:szCs w:val="21"/>
                <w:lang w:eastAsia="zh-CN"/>
              </w:rPr>
              <w:t>生产</w:t>
            </w:r>
            <w:r>
              <w:rPr>
                <w:rFonts w:hint="eastAsia" w:eastAsia="宋体"/>
                <w:sz w:val="21"/>
                <w:szCs w:val="21"/>
                <w:lang w:val="en-US" w:eastAsia="zh-CN"/>
              </w:rPr>
              <w:t>车</w:t>
            </w:r>
            <w:r>
              <w:rPr>
                <w:rFonts w:hint="eastAsia"/>
                <w:sz w:val="21"/>
                <w:szCs w:val="21"/>
              </w:rPr>
              <w:t>间</w:t>
            </w:r>
          </w:p>
        </w:tc>
        <w:tc>
          <w:tcPr>
            <w:tcW w:w="238"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18</w:t>
            </w:r>
          </w:p>
        </w:tc>
        <w:tc>
          <w:tcPr>
            <w:tcW w:w="245" w:type="pct"/>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lang w:val="en-US" w:eastAsia="zh-CN"/>
              </w:rPr>
              <w:t>77</w:t>
            </w:r>
          </w:p>
        </w:tc>
        <w:tc>
          <w:tcPr>
            <w:tcW w:w="315"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89</w:t>
            </w:r>
          </w:p>
        </w:tc>
        <w:tc>
          <w:tcPr>
            <w:tcW w:w="268"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68</w:t>
            </w:r>
          </w:p>
        </w:tc>
        <w:tc>
          <w:tcPr>
            <w:tcW w:w="295"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27</w:t>
            </w:r>
          </w:p>
        </w:tc>
        <w:tc>
          <w:tcPr>
            <w:tcW w:w="337"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w:t>
            </w:r>
          </w:p>
        </w:tc>
        <w:tc>
          <w:tcPr>
            <w:tcW w:w="492"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15</w:t>
            </w:r>
          </w:p>
        </w:tc>
        <w:tc>
          <w:tcPr>
            <w:tcW w:w="443" w:type="pct"/>
            <w:noWrap/>
            <w:vAlign w:val="center"/>
          </w:tcPr>
          <w:p>
            <w:pPr>
              <w:spacing w:line="280" w:lineRule="exact"/>
              <w:jc w:val="center"/>
              <w:rPr>
                <w:rFonts w:hint="default" w:ascii="Times New Roman" w:hAnsi="Times New Roman" w:eastAsia="宋体" w:cs="Times New Roman"/>
                <w:color w:val="000000"/>
                <w:sz w:val="21"/>
                <w:szCs w:val="21"/>
                <w:lang w:val="en-US" w:eastAsia="zh-CN" w:bidi="en-US"/>
              </w:rPr>
            </w:pPr>
            <w:r>
              <w:rPr>
                <w:rFonts w:hint="eastAsia" w:eastAsia="宋体" w:cs="Times New Roman"/>
                <w:color w:val="000000"/>
                <w:sz w:val="21"/>
                <w:szCs w:val="21"/>
                <w:lang w:val="en-US" w:eastAsia="zh-CN" w:bidi="en-US"/>
              </w:rPr>
              <w:t>7200</w:t>
            </w:r>
          </w:p>
        </w:tc>
        <w:tc>
          <w:tcPr>
            <w:tcW w:w="314" w:type="pct"/>
            <w:noWrap/>
            <w:vAlign w:val="center"/>
          </w:tcPr>
          <w:p>
            <w:pPr>
              <w:spacing w:line="280" w:lineRule="exact"/>
              <w:jc w:val="center"/>
              <w:rPr>
                <w:rFonts w:hint="eastAsia" w:eastAsia="宋体"/>
                <w:sz w:val="21"/>
                <w:szCs w:val="21"/>
                <w:lang w:eastAsia="zh-CN"/>
              </w:rPr>
            </w:pPr>
            <w:r>
              <w:rPr>
                <w:rFonts w:hint="eastAsia" w:eastAsia="宋体"/>
                <w:sz w:val="21"/>
                <w:szCs w:val="21"/>
                <w:lang w:eastAsia="zh-CN"/>
              </w:rPr>
              <w:t>间断</w:t>
            </w:r>
          </w:p>
        </w:tc>
        <w:tc>
          <w:tcPr>
            <w:tcW w:w="347"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0.0233</w:t>
            </w:r>
          </w:p>
        </w:tc>
        <w:tc>
          <w:tcPr>
            <w:tcW w:w="435" w:type="pct"/>
            <w:noWrap w:val="0"/>
            <w:vAlign w:val="center"/>
          </w:tcPr>
          <w:p>
            <w:pPr>
              <w:spacing w:line="280" w:lineRule="exact"/>
              <w:jc w:val="center"/>
              <w:rPr>
                <w:rFonts w:hint="default" w:eastAsia="宋体" w:cs="Times New Roman"/>
                <w:sz w:val="21"/>
                <w:szCs w:val="21"/>
                <w:lang w:val="en-US" w:eastAsia="zh-CN"/>
              </w:rPr>
            </w:pPr>
            <w:r>
              <w:rPr>
                <w:rFonts w:hint="eastAsia" w:eastAsia="宋体" w:cs="Times New Roman"/>
                <w:sz w:val="21"/>
                <w:szCs w:val="21"/>
                <w:lang w:val="en-US" w:eastAsia="zh-CN"/>
              </w:rPr>
              <w:t>0.0224</w:t>
            </w:r>
          </w:p>
        </w:tc>
        <w:tc>
          <w:tcPr>
            <w:tcW w:w="412"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0.0004</w:t>
            </w:r>
          </w:p>
        </w:tc>
      </w:tr>
    </w:tbl>
    <w:p>
      <w:pPr>
        <w:rPr>
          <w:rFonts w:hint="eastAsia" w:ascii="黑体" w:hAnsi="黑体" w:eastAsia="黑体"/>
        </w:rPr>
      </w:pPr>
      <w:r>
        <w:rPr>
          <w:rFonts w:hint="eastAsia" w:ascii="黑体" w:hAnsi="黑体" w:eastAsia="黑体"/>
        </w:rPr>
        <w:t>注：污染物排放速率按照产污工序工作时间计算</w:t>
      </w:r>
    </w:p>
    <w:p>
      <w:pPr>
        <w:jc w:val="center"/>
        <w:rPr>
          <w:rFonts w:hint="eastAsia" w:ascii="黑体" w:hAnsi="黑体" w:eastAsia="黑体"/>
        </w:rPr>
      </w:pPr>
      <w:r>
        <w:rPr>
          <w:rFonts w:hint="eastAsia" w:ascii="黑体" w:hAnsi="黑体" w:eastAsia="黑体"/>
        </w:rPr>
        <w:t>表</w:t>
      </w:r>
      <w:r>
        <w:rPr>
          <w:rFonts w:hint="eastAsia" w:ascii="黑体" w:hAnsi="黑体" w:eastAsia="黑体"/>
          <w:lang w:val="en-US" w:eastAsia="zh-CN"/>
        </w:rPr>
        <w:t>5</w:t>
      </w:r>
      <w:r>
        <w:rPr>
          <w:rFonts w:ascii="黑体" w:hAnsi="黑体" w:eastAsia="黑体"/>
        </w:rPr>
        <w:t>.2</w:t>
      </w:r>
      <w:r>
        <w:rPr>
          <w:rFonts w:hint="eastAsia" w:ascii="黑体" w:hAnsi="黑体" w:eastAsia="黑体"/>
        </w:rPr>
        <w:t>-</w:t>
      </w:r>
      <w:r>
        <w:rPr>
          <w:rFonts w:hint="eastAsia" w:ascii="黑体" w:eastAsia="黑体"/>
          <w:bCs/>
          <w:lang w:val="en-US" w:eastAsia="zh-CN"/>
        </w:rPr>
        <w:t>6</w:t>
      </w:r>
      <w:r>
        <w:rPr>
          <w:rFonts w:ascii="黑体" w:hAnsi="黑体" w:eastAsia="黑体"/>
        </w:rPr>
        <w:t xml:space="preserve">  </w:t>
      </w:r>
      <w:r>
        <w:rPr>
          <w:rFonts w:hint="eastAsia" w:ascii="黑体" w:hAnsi="黑体" w:eastAsia="黑体"/>
          <w:lang w:eastAsia="zh-CN"/>
        </w:rPr>
        <w:t>现有项目</w:t>
      </w:r>
      <w:r>
        <w:rPr>
          <w:rFonts w:ascii="黑体" w:hAnsi="黑体" w:eastAsia="黑体"/>
        </w:rPr>
        <w:t>点源参数调查清单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910"/>
        <w:gridCol w:w="880"/>
        <w:gridCol w:w="795"/>
        <w:gridCol w:w="1206"/>
        <w:gridCol w:w="758"/>
        <w:gridCol w:w="931"/>
        <w:gridCol w:w="897"/>
        <w:gridCol w:w="1206"/>
        <w:gridCol w:w="931"/>
        <w:gridCol w:w="1223"/>
        <w:gridCol w:w="1232"/>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41" w:type="pct"/>
            <w:vMerge w:val="restart"/>
            <w:shd w:val="clear" w:color="000000" w:fill="FFFFFF"/>
            <w:noWrap w:val="0"/>
            <w:vAlign w:val="center"/>
          </w:tcPr>
          <w:p>
            <w:pPr>
              <w:spacing w:line="300" w:lineRule="exact"/>
              <w:jc w:val="center"/>
              <w:rPr>
                <w:sz w:val="21"/>
                <w:szCs w:val="21"/>
              </w:rPr>
            </w:pPr>
            <w:r>
              <w:rPr>
                <w:rFonts w:hint="eastAsia"/>
                <w:sz w:val="21"/>
                <w:szCs w:val="21"/>
              </w:rPr>
              <w:t>编号</w:t>
            </w:r>
          </w:p>
        </w:tc>
        <w:tc>
          <w:tcPr>
            <w:tcW w:w="673" w:type="pct"/>
            <w:vMerge w:val="restart"/>
            <w:shd w:val="clear" w:color="000000" w:fill="FFFFFF"/>
            <w:noWrap w:val="0"/>
            <w:vAlign w:val="center"/>
          </w:tcPr>
          <w:p>
            <w:pPr>
              <w:spacing w:line="300" w:lineRule="exact"/>
              <w:jc w:val="center"/>
              <w:rPr>
                <w:sz w:val="21"/>
                <w:szCs w:val="21"/>
              </w:rPr>
            </w:pPr>
            <w:r>
              <w:rPr>
                <w:rFonts w:hint="eastAsia"/>
                <w:sz w:val="21"/>
                <w:szCs w:val="21"/>
              </w:rPr>
              <w:t>名称</w:t>
            </w:r>
          </w:p>
        </w:tc>
        <w:tc>
          <w:tcPr>
            <w:tcW w:w="590" w:type="pct"/>
            <w:gridSpan w:val="2"/>
            <w:shd w:val="clear" w:color="000000" w:fill="FFFFFF"/>
            <w:noWrap w:val="0"/>
            <w:vAlign w:val="center"/>
          </w:tcPr>
          <w:p>
            <w:pPr>
              <w:spacing w:line="300" w:lineRule="exact"/>
              <w:jc w:val="center"/>
              <w:rPr>
                <w:sz w:val="21"/>
                <w:szCs w:val="21"/>
              </w:rPr>
            </w:pPr>
            <w:r>
              <w:rPr>
                <w:rFonts w:hint="eastAsia"/>
                <w:sz w:val="21"/>
                <w:szCs w:val="21"/>
              </w:rPr>
              <w:t>排气筒底部中心坐标（</w:t>
            </w:r>
            <w:r>
              <w:rPr>
                <w:rFonts w:cs="Times New Roman"/>
                <w:sz w:val="21"/>
                <w:szCs w:val="21"/>
              </w:rPr>
              <w:t>m</w:t>
            </w:r>
            <w:r>
              <w:rPr>
                <w:rFonts w:hint="eastAsia"/>
                <w:sz w:val="21"/>
                <w:szCs w:val="21"/>
              </w:rPr>
              <w:t>）</w:t>
            </w:r>
          </w:p>
        </w:tc>
        <w:tc>
          <w:tcPr>
            <w:tcW w:w="425" w:type="pct"/>
            <w:vMerge w:val="restart"/>
            <w:shd w:val="clear" w:color="000000" w:fill="FFFFFF"/>
            <w:noWrap w:val="0"/>
            <w:vAlign w:val="center"/>
          </w:tcPr>
          <w:p>
            <w:pPr>
              <w:spacing w:line="300" w:lineRule="exact"/>
              <w:jc w:val="center"/>
              <w:rPr>
                <w:sz w:val="21"/>
                <w:szCs w:val="21"/>
              </w:rPr>
            </w:pPr>
            <w:r>
              <w:rPr>
                <w:rFonts w:hint="eastAsia"/>
                <w:sz w:val="21"/>
                <w:szCs w:val="21"/>
              </w:rPr>
              <w:t>排气筒底部海拔高度</w:t>
            </w:r>
            <w:r>
              <w:rPr>
                <w:rFonts w:cs="Times New Roman"/>
                <w:sz w:val="21"/>
                <w:szCs w:val="21"/>
              </w:rPr>
              <w:t>/m</w:t>
            </w:r>
          </w:p>
        </w:tc>
        <w:tc>
          <w:tcPr>
            <w:tcW w:w="267" w:type="pct"/>
            <w:vMerge w:val="restart"/>
            <w:shd w:val="clear" w:color="000000" w:fill="FFFFFF"/>
            <w:noWrap w:val="0"/>
            <w:vAlign w:val="center"/>
          </w:tcPr>
          <w:p>
            <w:pPr>
              <w:spacing w:line="300" w:lineRule="exact"/>
              <w:jc w:val="center"/>
              <w:rPr>
                <w:sz w:val="21"/>
                <w:szCs w:val="21"/>
              </w:rPr>
            </w:pPr>
            <w:r>
              <w:rPr>
                <w:rFonts w:hint="eastAsia"/>
                <w:sz w:val="21"/>
                <w:szCs w:val="21"/>
              </w:rPr>
              <w:t>排气筒高度</w:t>
            </w:r>
            <w:r>
              <w:rPr>
                <w:rFonts w:cs="Times New Roman"/>
                <w:sz w:val="21"/>
                <w:szCs w:val="21"/>
              </w:rPr>
              <w:t>/m</w:t>
            </w:r>
          </w:p>
        </w:tc>
        <w:tc>
          <w:tcPr>
            <w:tcW w:w="328" w:type="pct"/>
            <w:vMerge w:val="restart"/>
            <w:shd w:val="clear" w:color="000000" w:fill="FFFFFF"/>
            <w:noWrap w:val="0"/>
            <w:vAlign w:val="center"/>
          </w:tcPr>
          <w:p>
            <w:pPr>
              <w:spacing w:line="300" w:lineRule="exact"/>
              <w:jc w:val="center"/>
              <w:rPr>
                <w:sz w:val="21"/>
                <w:szCs w:val="21"/>
              </w:rPr>
            </w:pPr>
            <w:r>
              <w:rPr>
                <w:rFonts w:hint="eastAsia"/>
                <w:sz w:val="21"/>
                <w:szCs w:val="21"/>
              </w:rPr>
              <w:t>排气筒出口内径</w:t>
            </w:r>
            <w:r>
              <w:rPr>
                <w:rFonts w:cs="Times New Roman"/>
                <w:sz w:val="21"/>
                <w:szCs w:val="21"/>
              </w:rPr>
              <w:t>/m</w:t>
            </w:r>
          </w:p>
        </w:tc>
        <w:tc>
          <w:tcPr>
            <w:tcW w:w="316" w:type="pct"/>
            <w:vMerge w:val="restart"/>
            <w:shd w:val="clear" w:color="000000" w:fill="FFFFFF"/>
            <w:noWrap w:val="0"/>
            <w:vAlign w:val="center"/>
          </w:tcPr>
          <w:p>
            <w:pPr>
              <w:spacing w:line="300" w:lineRule="exact"/>
              <w:jc w:val="center"/>
              <w:rPr>
                <w:sz w:val="21"/>
                <w:szCs w:val="21"/>
              </w:rPr>
            </w:pPr>
            <w:r>
              <w:rPr>
                <w:rFonts w:hint="eastAsia"/>
                <w:sz w:val="21"/>
                <w:szCs w:val="21"/>
              </w:rPr>
              <w:t>烟气温度</w:t>
            </w:r>
            <w:r>
              <w:rPr>
                <w:rFonts w:cs="Times New Roman"/>
                <w:sz w:val="21"/>
                <w:szCs w:val="21"/>
              </w:rPr>
              <w:t>/</w:t>
            </w:r>
            <w:r>
              <w:rPr>
                <w:rFonts w:hint="eastAsia"/>
                <w:sz w:val="21"/>
                <w:szCs w:val="21"/>
              </w:rPr>
              <w:t>℃</w:t>
            </w:r>
          </w:p>
        </w:tc>
        <w:tc>
          <w:tcPr>
            <w:tcW w:w="425" w:type="pct"/>
            <w:vMerge w:val="restart"/>
            <w:shd w:val="clear" w:color="000000" w:fill="FFFFFF"/>
            <w:noWrap w:val="0"/>
            <w:vAlign w:val="center"/>
          </w:tcPr>
          <w:p>
            <w:pPr>
              <w:spacing w:line="300" w:lineRule="exact"/>
              <w:jc w:val="center"/>
              <w:rPr>
                <w:sz w:val="21"/>
                <w:szCs w:val="21"/>
              </w:rPr>
            </w:pPr>
            <w:r>
              <w:rPr>
                <w:rFonts w:hint="eastAsia"/>
                <w:sz w:val="21"/>
                <w:szCs w:val="21"/>
              </w:rPr>
              <w:t>年排放小时数</w:t>
            </w:r>
            <w:r>
              <w:rPr>
                <w:rFonts w:cs="Times New Roman"/>
                <w:sz w:val="21"/>
                <w:szCs w:val="21"/>
              </w:rPr>
              <w:t>/h</w:t>
            </w:r>
          </w:p>
        </w:tc>
        <w:tc>
          <w:tcPr>
            <w:tcW w:w="328" w:type="pct"/>
            <w:vMerge w:val="restart"/>
            <w:shd w:val="clear" w:color="000000" w:fill="FFFFFF"/>
            <w:noWrap w:val="0"/>
            <w:vAlign w:val="center"/>
          </w:tcPr>
          <w:p>
            <w:pPr>
              <w:spacing w:line="300" w:lineRule="exact"/>
              <w:jc w:val="center"/>
              <w:rPr>
                <w:sz w:val="21"/>
                <w:szCs w:val="21"/>
              </w:rPr>
            </w:pPr>
            <w:r>
              <w:rPr>
                <w:rFonts w:hint="eastAsia"/>
                <w:sz w:val="21"/>
                <w:szCs w:val="21"/>
              </w:rPr>
              <w:t>排放工况</w:t>
            </w:r>
          </w:p>
        </w:tc>
        <w:tc>
          <w:tcPr>
            <w:tcW w:w="1301" w:type="pct"/>
            <w:gridSpan w:val="3"/>
            <w:shd w:val="clear" w:color="000000" w:fill="FFFFFF"/>
            <w:noWrap w:val="0"/>
            <w:vAlign w:val="center"/>
          </w:tcPr>
          <w:p>
            <w:pPr>
              <w:spacing w:line="300" w:lineRule="exact"/>
              <w:jc w:val="center"/>
              <w:rPr>
                <w:sz w:val="21"/>
                <w:szCs w:val="21"/>
              </w:rPr>
            </w:pPr>
            <w:r>
              <w:rPr>
                <w:rFonts w:hint="eastAsia"/>
                <w:sz w:val="21"/>
                <w:szCs w:val="21"/>
              </w:rPr>
              <w:t>污染物排放</w:t>
            </w:r>
            <w:r>
              <w:rPr>
                <w:rFonts w:hint="eastAsia"/>
                <w:sz w:val="21"/>
                <w:szCs w:val="21"/>
                <w:lang w:eastAsia="zh-CN"/>
              </w:rPr>
              <w:t>速率</w:t>
            </w:r>
          </w:p>
          <w:p>
            <w:pPr>
              <w:spacing w:line="300" w:lineRule="exact"/>
              <w:jc w:val="center"/>
              <w:rPr>
                <w:rFonts w:hint="eastAsia" w:cs="Times New Roman"/>
                <w:sz w:val="21"/>
                <w:szCs w:val="21"/>
              </w:rPr>
            </w:pPr>
            <w:r>
              <w:rPr>
                <w:rFonts w:hint="eastAsia" w:cs="Times New Roman"/>
                <w:sz w:val="21"/>
                <w:szCs w:val="21"/>
              </w:rPr>
              <w:t>kg</w:t>
            </w:r>
            <w:r>
              <w:rPr>
                <w:rFonts w:cs="Times New Roman"/>
                <w:sz w:val="21"/>
                <w:szCs w:val="21"/>
              </w:rPr>
              <w:t>/</w:t>
            </w:r>
            <w:r>
              <w:rPr>
                <w:rFonts w:hint="eastAsia" w:cs="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41" w:type="pct"/>
            <w:vMerge w:val="continue"/>
            <w:shd w:val="clear" w:color="auto" w:fill="auto"/>
            <w:noWrap w:val="0"/>
            <w:vAlign w:val="center"/>
          </w:tcPr>
          <w:p>
            <w:pPr>
              <w:spacing w:line="300" w:lineRule="exact"/>
              <w:jc w:val="center"/>
              <w:rPr>
                <w:sz w:val="21"/>
                <w:szCs w:val="21"/>
              </w:rPr>
            </w:pPr>
          </w:p>
        </w:tc>
        <w:tc>
          <w:tcPr>
            <w:tcW w:w="673" w:type="pct"/>
            <w:vMerge w:val="continue"/>
            <w:shd w:val="clear" w:color="auto" w:fill="auto"/>
            <w:noWrap w:val="0"/>
            <w:vAlign w:val="center"/>
          </w:tcPr>
          <w:p>
            <w:pPr>
              <w:spacing w:line="300" w:lineRule="exact"/>
              <w:jc w:val="center"/>
              <w:rPr>
                <w:sz w:val="21"/>
                <w:szCs w:val="21"/>
              </w:rPr>
            </w:pPr>
          </w:p>
        </w:tc>
        <w:tc>
          <w:tcPr>
            <w:tcW w:w="310" w:type="pct"/>
            <w:shd w:val="clear" w:color="000000" w:fill="FFFFFF"/>
            <w:noWrap w:val="0"/>
            <w:vAlign w:val="center"/>
          </w:tcPr>
          <w:p>
            <w:pPr>
              <w:spacing w:line="300" w:lineRule="exact"/>
              <w:jc w:val="center"/>
              <w:rPr>
                <w:rFonts w:cs="Times New Roman"/>
                <w:sz w:val="21"/>
                <w:szCs w:val="21"/>
              </w:rPr>
            </w:pPr>
            <w:r>
              <w:rPr>
                <w:rFonts w:cs="Times New Roman"/>
                <w:sz w:val="21"/>
                <w:szCs w:val="21"/>
              </w:rPr>
              <w:t>X</w:t>
            </w:r>
          </w:p>
        </w:tc>
        <w:tc>
          <w:tcPr>
            <w:tcW w:w="279" w:type="pct"/>
            <w:shd w:val="clear" w:color="000000" w:fill="FFFFFF"/>
            <w:noWrap w:val="0"/>
            <w:vAlign w:val="center"/>
          </w:tcPr>
          <w:p>
            <w:pPr>
              <w:spacing w:line="300" w:lineRule="exact"/>
              <w:jc w:val="center"/>
              <w:rPr>
                <w:rFonts w:cs="Times New Roman"/>
                <w:sz w:val="21"/>
                <w:szCs w:val="21"/>
              </w:rPr>
            </w:pPr>
            <w:r>
              <w:rPr>
                <w:rFonts w:cs="Times New Roman"/>
                <w:sz w:val="21"/>
                <w:szCs w:val="21"/>
              </w:rPr>
              <w:t>Y</w:t>
            </w:r>
          </w:p>
        </w:tc>
        <w:tc>
          <w:tcPr>
            <w:tcW w:w="425" w:type="pct"/>
            <w:vMerge w:val="continue"/>
            <w:shd w:val="clear" w:color="auto" w:fill="auto"/>
            <w:noWrap w:val="0"/>
            <w:vAlign w:val="center"/>
          </w:tcPr>
          <w:p>
            <w:pPr>
              <w:spacing w:line="300" w:lineRule="exact"/>
              <w:jc w:val="center"/>
              <w:rPr>
                <w:sz w:val="21"/>
                <w:szCs w:val="21"/>
              </w:rPr>
            </w:pPr>
          </w:p>
        </w:tc>
        <w:tc>
          <w:tcPr>
            <w:tcW w:w="267" w:type="pct"/>
            <w:vMerge w:val="continue"/>
            <w:shd w:val="clear" w:color="auto" w:fill="auto"/>
            <w:noWrap w:val="0"/>
            <w:vAlign w:val="center"/>
          </w:tcPr>
          <w:p>
            <w:pPr>
              <w:spacing w:line="300" w:lineRule="exact"/>
              <w:jc w:val="center"/>
              <w:rPr>
                <w:sz w:val="21"/>
                <w:szCs w:val="21"/>
              </w:rPr>
            </w:pPr>
          </w:p>
        </w:tc>
        <w:tc>
          <w:tcPr>
            <w:tcW w:w="328" w:type="pct"/>
            <w:vMerge w:val="continue"/>
            <w:shd w:val="clear" w:color="auto" w:fill="auto"/>
            <w:noWrap w:val="0"/>
            <w:vAlign w:val="center"/>
          </w:tcPr>
          <w:p>
            <w:pPr>
              <w:spacing w:line="300" w:lineRule="exact"/>
              <w:jc w:val="center"/>
              <w:rPr>
                <w:sz w:val="21"/>
                <w:szCs w:val="21"/>
              </w:rPr>
            </w:pPr>
          </w:p>
        </w:tc>
        <w:tc>
          <w:tcPr>
            <w:tcW w:w="316" w:type="pct"/>
            <w:vMerge w:val="continue"/>
            <w:shd w:val="clear" w:color="auto" w:fill="auto"/>
            <w:noWrap w:val="0"/>
            <w:vAlign w:val="center"/>
          </w:tcPr>
          <w:p>
            <w:pPr>
              <w:spacing w:line="300" w:lineRule="exact"/>
              <w:jc w:val="center"/>
              <w:rPr>
                <w:sz w:val="21"/>
                <w:szCs w:val="21"/>
              </w:rPr>
            </w:pPr>
          </w:p>
        </w:tc>
        <w:tc>
          <w:tcPr>
            <w:tcW w:w="425" w:type="pct"/>
            <w:vMerge w:val="continue"/>
            <w:shd w:val="clear" w:color="auto" w:fill="auto"/>
            <w:noWrap w:val="0"/>
            <w:vAlign w:val="center"/>
          </w:tcPr>
          <w:p>
            <w:pPr>
              <w:spacing w:line="300" w:lineRule="exact"/>
              <w:jc w:val="center"/>
              <w:rPr>
                <w:sz w:val="21"/>
                <w:szCs w:val="21"/>
              </w:rPr>
            </w:pPr>
          </w:p>
        </w:tc>
        <w:tc>
          <w:tcPr>
            <w:tcW w:w="328" w:type="pct"/>
            <w:vMerge w:val="continue"/>
            <w:shd w:val="clear" w:color="auto" w:fill="auto"/>
            <w:noWrap w:val="0"/>
            <w:vAlign w:val="center"/>
          </w:tcPr>
          <w:p>
            <w:pPr>
              <w:spacing w:line="300" w:lineRule="exact"/>
              <w:jc w:val="center"/>
              <w:rPr>
                <w:sz w:val="21"/>
                <w:szCs w:val="21"/>
              </w:rPr>
            </w:pPr>
          </w:p>
        </w:tc>
        <w:tc>
          <w:tcPr>
            <w:tcW w:w="1223" w:type="dxa"/>
            <w:shd w:val="clear" w:color="000000" w:fill="FFFFFF"/>
            <w:noWrap w:val="0"/>
            <w:vAlign w:val="center"/>
          </w:tcPr>
          <w:p>
            <w:pPr>
              <w:spacing w:line="280" w:lineRule="exact"/>
              <w:jc w:val="center"/>
              <w:rPr>
                <w:rFonts w:hint="eastAsia" w:eastAsia="宋体"/>
                <w:sz w:val="21"/>
                <w:szCs w:val="21"/>
                <w:lang w:eastAsia="zh-CN"/>
              </w:rPr>
            </w:pPr>
            <w:r>
              <w:rPr>
                <w:sz w:val="21"/>
                <w:szCs w:val="21"/>
              </w:rPr>
              <w:t>VOCs</w:t>
            </w:r>
          </w:p>
        </w:tc>
        <w:tc>
          <w:tcPr>
            <w:tcW w:w="1232" w:type="dxa"/>
            <w:shd w:val="clear" w:color="000000" w:fill="FFFFFF"/>
            <w:noWrap w:val="0"/>
            <w:vAlign w:val="center"/>
          </w:tcPr>
          <w:p>
            <w:pPr>
              <w:spacing w:line="300" w:lineRule="exact"/>
              <w:jc w:val="center"/>
              <w:rPr>
                <w:rFonts w:hint="default" w:eastAsia="宋体"/>
                <w:sz w:val="21"/>
                <w:szCs w:val="21"/>
                <w:vertAlign w:val="baseline"/>
                <w:lang w:val="en-US" w:eastAsia="zh-CN"/>
              </w:rPr>
            </w:pPr>
            <w:r>
              <w:rPr>
                <w:rFonts w:hint="eastAsia" w:eastAsia="宋体" w:cs="Times New Roman"/>
                <w:sz w:val="21"/>
                <w:szCs w:val="21"/>
                <w:lang w:eastAsia="zh-CN"/>
              </w:rPr>
              <w:t>苯酚</w:t>
            </w:r>
          </w:p>
        </w:tc>
        <w:tc>
          <w:tcPr>
            <w:tcW w:w="1237" w:type="dxa"/>
            <w:shd w:val="clear" w:color="000000" w:fill="FFFFFF"/>
            <w:noWrap w:val="0"/>
            <w:vAlign w:val="center"/>
          </w:tcPr>
          <w:p>
            <w:pPr>
              <w:spacing w:line="300" w:lineRule="exact"/>
              <w:jc w:val="center"/>
              <w:rPr>
                <w:rFonts w:hint="default" w:eastAsia="宋体"/>
                <w:sz w:val="21"/>
                <w:szCs w:val="21"/>
                <w:vertAlign w:val="subscript"/>
                <w:lang w:val="en-US" w:eastAsia="zh-CN"/>
              </w:rPr>
            </w:pPr>
            <w:r>
              <w:rPr>
                <w:rFonts w:hint="eastAsia"/>
                <w:sz w:val="21"/>
                <w:szCs w:val="21"/>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1"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w:t>
            </w:r>
          </w:p>
        </w:tc>
        <w:tc>
          <w:tcPr>
            <w:tcW w:w="673" w:type="pct"/>
            <w:noWrap/>
            <w:vAlign w:val="center"/>
          </w:tcPr>
          <w:p>
            <w:pPr>
              <w:spacing w:line="300" w:lineRule="exact"/>
              <w:jc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排气筒</w:t>
            </w:r>
          </w:p>
        </w:tc>
        <w:tc>
          <w:tcPr>
            <w:tcW w:w="310"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-662</w:t>
            </w:r>
          </w:p>
        </w:tc>
        <w:tc>
          <w:tcPr>
            <w:tcW w:w="279"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1368</w:t>
            </w:r>
          </w:p>
        </w:tc>
        <w:tc>
          <w:tcPr>
            <w:tcW w:w="425"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100</w:t>
            </w:r>
          </w:p>
        </w:tc>
        <w:tc>
          <w:tcPr>
            <w:tcW w:w="267"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15</w:t>
            </w:r>
          </w:p>
        </w:tc>
        <w:tc>
          <w:tcPr>
            <w:tcW w:w="328"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0.6</w:t>
            </w:r>
          </w:p>
        </w:tc>
        <w:tc>
          <w:tcPr>
            <w:tcW w:w="316" w:type="pct"/>
            <w:noWrap/>
            <w:vAlign w:val="center"/>
          </w:tcPr>
          <w:p>
            <w:pPr>
              <w:spacing w:line="300" w:lineRule="exact"/>
              <w:jc w:val="center"/>
              <w:rPr>
                <w:rFonts w:hint="default" w:eastAsia="宋体"/>
                <w:sz w:val="21"/>
                <w:szCs w:val="21"/>
                <w:lang w:val="en-US" w:eastAsia="zh-CN"/>
              </w:rPr>
            </w:pPr>
            <w:r>
              <w:rPr>
                <w:rFonts w:hint="eastAsia"/>
                <w:sz w:val="21"/>
                <w:szCs w:val="21"/>
              </w:rPr>
              <w:t>常温</w:t>
            </w:r>
          </w:p>
        </w:tc>
        <w:tc>
          <w:tcPr>
            <w:tcW w:w="425"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4800</w:t>
            </w:r>
          </w:p>
        </w:tc>
        <w:tc>
          <w:tcPr>
            <w:tcW w:w="328" w:type="pct"/>
            <w:noWrap/>
            <w:vAlign w:val="center"/>
          </w:tcPr>
          <w:p>
            <w:pPr>
              <w:spacing w:line="300" w:lineRule="exact"/>
              <w:jc w:val="center"/>
              <w:rPr>
                <w:sz w:val="21"/>
                <w:szCs w:val="21"/>
              </w:rPr>
            </w:pPr>
            <w:r>
              <w:rPr>
                <w:rFonts w:hint="eastAsia"/>
                <w:sz w:val="21"/>
                <w:szCs w:val="21"/>
              </w:rPr>
              <w:t>间断</w:t>
            </w:r>
          </w:p>
        </w:tc>
        <w:tc>
          <w:tcPr>
            <w:tcW w:w="431"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326</w:t>
            </w:r>
          </w:p>
        </w:tc>
        <w:tc>
          <w:tcPr>
            <w:tcW w:w="434"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67</w:t>
            </w:r>
          </w:p>
        </w:tc>
        <w:tc>
          <w:tcPr>
            <w:tcW w:w="435"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61</w:t>
            </w:r>
          </w:p>
        </w:tc>
      </w:tr>
    </w:tbl>
    <w:p>
      <w:pPr>
        <w:jc w:val="center"/>
        <w:rPr>
          <w:rFonts w:hint="eastAsia" w:ascii="黑体" w:hAnsi="黑体" w:eastAsia="黑体"/>
        </w:rPr>
      </w:pPr>
      <w:r>
        <w:rPr>
          <w:rFonts w:hint="eastAsia" w:ascii="黑体" w:hAnsi="黑体" w:eastAsia="黑体"/>
        </w:rPr>
        <w:t>表</w:t>
      </w:r>
      <w:r>
        <w:rPr>
          <w:rFonts w:hint="eastAsia" w:ascii="黑体" w:hAnsi="黑体" w:eastAsia="黑体"/>
          <w:lang w:val="en-US" w:eastAsia="zh-CN"/>
        </w:rPr>
        <w:t>5</w:t>
      </w:r>
      <w:r>
        <w:rPr>
          <w:rFonts w:ascii="黑体" w:hAnsi="黑体" w:eastAsia="黑体"/>
        </w:rPr>
        <w:t>.2</w:t>
      </w:r>
      <w:r>
        <w:rPr>
          <w:rFonts w:hint="eastAsia" w:ascii="黑体" w:hAnsi="黑体" w:eastAsia="黑体"/>
        </w:rPr>
        <w:t>-</w:t>
      </w:r>
      <w:r>
        <w:rPr>
          <w:rFonts w:hint="eastAsia" w:ascii="黑体" w:eastAsia="黑体"/>
          <w:bCs/>
          <w:lang w:val="en-US" w:eastAsia="zh-CN"/>
        </w:rPr>
        <w:t>7</w:t>
      </w:r>
      <w:r>
        <w:rPr>
          <w:rFonts w:ascii="黑体" w:hAnsi="黑体" w:eastAsia="黑体"/>
        </w:rPr>
        <w:t xml:space="preserve">  </w:t>
      </w:r>
      <w:r>
        <w:rPr>
          <w:rFonts w:hint="eastAsia" w:ascii="黑体" w:hAnsi="黑体" w:eastAsia="黑体"/>
        </w:rPr>
        <w:t>现有项目面源</w:t>
      </w:r>
      <w:r>
        <w:rPr>
          <w:rFonts w:ascii="黑体" w:hAnsi="黑体" w:eastAsia="黑体"/>
        </w:rPr>
        <w:t>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833"/>
        <w:gridCol w:w="675"/>
        <w:gridCol w:w="695"/>
        <w:gridCol w:w="894"/>
        <w:gridCol w:w="760"/>
        <w:gridCol w:w="837"/>
        <w:gridCol w:w="956"/>
        <w:gridCol w:w="1396"/>
        <w:gridCol w:w="1257"/>
        <w:gridCol w:w="891"/>
        <w:gridCol w:w="985"/>
        <w:gridCol w:w="123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7" w:type="pct"/>
            <w:vMerge w:val="restart"/>
            <w:shd w:val="clear" w:color="000000" w:fill="FFFFFF"/>
            <w:noWrap w:val="0"/>
            <w:vAlign w:val="center"/>
          </w:tcPr>
          <w:p>
            <w:pPr>
              <w:spacing w:line="280" w:lineRule="exact"/>
              <w:jc w:val="center"/>
              <w:rPr>
                <w:sz w:val="21"/>
                <w:szCs w:val="21"/>
              </w:rPr>
            </w:pPr>
            <w:r>
              <w:rPr>
                <w:rFonts w:hint="eastAsia"/>
                <w:sz w:val="21"/>
                <w:szCs w:val="21"/>
              </w:rPr>
              <w:t>编号</w:t>
            </w:r>
          </w:p>
        </w:tc>
        <w:tc>
          <w:tcPr>
            <w:tcW w:w="646" w:type="pct"/>
            <w:vMerge w:val="restart"/>
            <w:shd w:val="clear" w:color="000000" w:fill="FFFFFF"/>
            <w:noWrap w:val="0"/>
            <w:vAlign w:val="center"/>
          </w:tcPr>
          <w:p>
            <w:pPr>
              <w:spacing w:line="280" w:lineRule="exact"/>
              <w:jc w:val="center"/>
              <w:rPr>
                <w:sz w:val="21"/>
                <w:szCs w:val="21"/>
              </w:rPr>
            </w:pPr>
            <w:r>
              <w:rPr>
                <w:rFonts w:hint="eastAsia"/>
                <w:sz w:val="21"/>
                <w:szCs w:val="21"/>
              </w:rPr>
              <w:t>名称</w:t>
            </w:r>
          </w:p>
        </w:tc>
        <w:tc>
          <w:tcPr>
            <w:tcW w:w="483" w:type="pct"/>
            <w:gridSpan w:val="2"/>
            <w:shd w:val="clear" w:color="000000" w:fill="FFFFFF"/>
            <w:noWrap w:val="0"/>
            <w:vAlign w:val="center"/>
          </w:tcPr>
          <w:p>
            <w:pPr>
              <w:spacing w:line="280" w:lineRule="exact"/>
              <w:jc w:val="center"/>
              <w:rPr>
                <w:rFonts w:hint="eastAsia"/>
                <w:sz w:val="21"/>
                <w:szCs w:val="21"/>
              </w:rPr>
            </w:pPr>
            <w:r>
              <w:rPr>
                <w:rFonts w:hint="eastAsia"/>
                <w:sz w:val="21"/>
                <w:szCs w:val="21"/>
              </w:rPr>
              <w:t>面源起点坐标</w:t>
            </w:r>
            <w:r>
              <w:rPr>
                <w:rFonts w:cs="Times New Roman"/>
                <w:sz w:val="21"/>
                <w:szCs w:val="21"/>
              </w:rPr>
              <w:t>/m</w:t>
            </w:r>
          </w:p>
        </w:tc>
        <w:tc>
          <w:tcPr>
            <w:tcW w:w="315" w:type="pct"/>
            <w:vMerge w:val="restart"/>
            <w:shd w:val="clear" w:color="000000" w:fill="FFFFFF"/>
            <w:noWrap w:val="0"/>
            <w:vAlign w:val="center"/>
          </w:tcPr>
          <w:p>
            <w:pPr>
              <w:spacing w:line="280" w:lineRule="exact"/>
              <w:jc w:val="center"/>
              <w:rPr>
                <w:sz w:val="21"/>
                <w:szCs w:val="21"/>
              </w:rPr>
            </w:pPr>
            <w:r>
              <w:rPr>
                <w:rFonts w:hint="eastAsia"/>
                <w:sz w:val="21"/>
                <w:szCs w:val="21"/>
              </w:rPr>
              <w:t>面源海拔高度</w:t>
            </w:r>
            <w:r>
              <w:rPr>
                <w:rFonts w:cs="Times New Roman"/>
                <w:sz w:val="21"/>
                <w:szCs w:val="21"/>
              </w:rPr>
              <w:t>/m</w:t>
            </w:r>
          </w:p>
        </w:tc>
        <w:tc>
          <w:tcPr>
            <w:tcW w:w="268" w:type="pct"/>
            <w:vMerge w:val="restart"/>
            <w:shd w:val="clear" w:color="000000" w:fill="FFFFFF"/>
            <w:noWrap w:val="0"/>
            <w:vAlign w:val="center"/>
          </w:tcPr>
          <w:p>
            <w:pPr>
              <w:spacing w:line="280" w:lineRule="exact"/>
              <w:jc w:val="center"/>
              <w:rPr>
                <w:sz w:val="21"/>
                <w:szCs w:val="21"/>
              </w:rPr>
            </w:pPr>
            <w:r>
              <w:rPr>
                <w:rFonts w:hint="eastAsia"/>
                <w:sz w:val="21"/>
                <w:szCs w:val="21"/>
              </w:rPr>
              <w:t>面源长度</w:t>
            </w:r>
            <w:r>
              <w:rPr>
                <w:rFonts w:cs="Times New Roman"/>
                <w:sz w:val="21"/>
                <w:szCs w:val="21"/>
              </w:rPr>
              <w:t>/m</w:t>
            </w:r>
          </w:p>
        </w:tc>
        <w:tc>
          <w:tcPr>
            <w:tcW w:w="295" w:type="pct"/>
            <w:vMerge w:val="restart"/>
            <w:shd w:val="clear" w:color="000000" w:fill="FFFFFF"/>
            <w:noWrap w:val="0"/>
            <w:vAlign w:val="center"/>
          </w:tcPr>
          <w:p>
            <w:pPr>
              <w:spacing w:line="280" w:lineRule="exact"/>
              <w:jc w:val="center"/>
              <w:rPr>
                <w:sz w:val="21"/>
                <w:szCs w:val="21"/>
              </w:rPr>
            </w:pPr>
            <w:r>
              <w:rPr>
                <w:rFonts w:hint="eastAsia"/>
                <w:sz w:val="21"/>
                <w:szCs w:val="21"/>
              </w:rPr>
              <w:t>面源宽度</w:t>
            </w:r>
            <w:r>
              <w:rPr>
                <w:rFonts w:cs="Times New Roman"/>
                <w:sz w:val="21"/>
                <w:szCs w:val="21"/>
              </w:rPr>
              <w:t>/m</w:t>
            </w:r>
          </w:p>
        </w:tc>
        <w:tc>
          <w:tcPr>
            <w:tcW w:w="337" w:type="pct"/>
            <w:vMerge w:val="restart"/>
            <w:shd w:val="clear" w:color="000000" w:fill="FFFFFF"/>
            <w:noWrap w:val="0"/>
            <w:vAlign w:val="center"/>
          </w:tcPr>
          <w:p>
            <w:pPr>
              <w:spacing w:line="280" w:lineRule="exact"/>
              <w:jc w:val="center"/>
              <w:rPr>
                <w:sz w:val="21"/>
                <w:szCs w:val="21"/>
              </w:rPr>
            </w:pPr>
            <w:r>
              <w:rPr>
                <w:rFonts w:hint="eastAsia"/>
                <w:sz w:val="21"/>
                <w:szCs w:val="21"/>
              </w:rPr>
              <w:t>与正北向夹角</w:t>
            </w:r>
            <w:r>
              <w:rPr>
                <w:rFonts w:cs="Times New Roman"/>
                <w:sz w:val="21"/>
                <w:szCs w:val="21"/>
              </w:rPr>
              <w:t>/°</w:t>
            </w:r>
          </w:p>
        </w:tc>
        <w:tc>
          <w:tcPr>
            <w:tcW w:w="492" w:type="pct"/>
            <w:vMerge w:val="restart"/>
            <w:shd w:val="clear" w:color="000000" w:fill="FFFFFF"/>
            <w:noWrap w:val="0"/>
            <w:vAlign w:val="center"/>
          </w:tcPr>
          <w:p>
            <w:pPr>
              <w:spacing w:line="280" w:lineRule="exact"/>
              <w:jc w:val="center"/>
              <w:rPr>
                <w:sz w:val="21"/>
                <w:szCs w:val="21"/>
              </w:rPr>
            </w:pPr>
            <w:r>
              <w:rPr>
                <w:rFonts w:hint="eastAsia"/>
                <w:sz w:val="21"/>
                <w:szCs w:val="21"/>
              </w:rPr>
              <w:t>面源有效排放高度</w:t>
            </w:r>
            <w:r>
              <w:rPr>
                <w:rFonts w:cs="Times New Roman"/>
                <w:sz w:val="21"/>
                <w:szCs w:val="21"/>
              </w:rPr>
              <w:t>/m</w:t>
            </w:r>
          </w:p>
        </w:tc>
        <w:tc>
          <w:tcPr>
            <w:tcW w:w="443" w:type="pct"/>
            <w:vMerge w:val="restart"/>
            <w:shd w:val="clear" w:color="000000" w:fill="FFFFFF"/>
            <w:noWrap w:val="0"/>
            <w:vAlign w:val="center"/>
          </w:tcPr>
          <w:p>
            <w:pPr>
              <w:spacing w:line="280" w:lineRule="exact"/>
              <w:jc w:val="center"/>
              <w:rPr>
                <w:sz w:val="21"/>
                <w:szCs w:val="21"/>
              </w:rPr>
            </w:pPr>
            <w:r>
              <w:rPr>
                <w:rFonts w:hint="eastAsia"/>
                <w:sz w:val="21"/>
                <w:szCs w:val="21"/>
              </w:rPr>
              <w:t>年排放小时数</w:t>
            </w:r>
            <w:r>
              <w:rPr>
                <w:rFonts w:cs="Times New Roman"/>
                <w:sz w:val="21"/>
                <w:szCs w:val="21"/>
              </w:rPr>
              <w:t>/h</w:t>
            </w:r>
          </w:p>
        </w:tc>
        <w:tc>
          <w:tcPr>
            <w:tcW w:w="314" w:type="pct"/>
            <w:vMerge w:val="restart"/>
            <w:shd w:val="clear" w:color="000000" w:fill="FFFFFF"/>
            <w:noWrap w:val="0"/>
            <w:vAlign w:val="center"/>
          </w:tcPr>
          <w:p>
            <w:pPr>
              <w:spacing w:line="280" w:lineRule="exact"/>
              <w:jc w:val="center"/>
              <w:rPr>
                <w:rFonts w:ascii="Times New Roman" w:hAnsi="Times New Roman" w:eastAsia="Times New Roman" w:cs="Times New Roman"/>
                <w:color w:val="000000"/>
                <w:sz w:val="21"/>
                <w:szCs w:val="21"/>
                <w:lang w:val="en-US" w:eastAsia="en-US" w:bidi="en-US"/>
              </w:rPr>
            </w:pPr>
            <w:r>
              <w:rPr>
                <w:rFonts w:hint="eastAsia"/>
                <w:sz w:val="21"/>
                <w:szCs w:val="21"/>
              </w:rPr>
              <w:t>排放工况</w:t>
            </w:r>
          </w:p>
          <w:p>
            <w:pPr>
              <w:spacing w:line="280" w:lineRule="exact"/>
              <w:jc w:val="center"/>
              <w:rPr>
                <w:rFonts w:hint="eastAsia"/>
                <w:sz w:val="21"/>
                <w:szCs w:val="21"/>
              </w:rPr>
            </w:pPr>
          </w:p>
        </w:tc>
        <w:tc>
          <w:tcPr>
            <w:tcW w:w="1195" w:type="pct"/>
            <w:gridSpan w:val="3"/>
            <w:shd w:val="clear" w:color="000000" w:fill="FFFFFF"/>
            <w:noWrap w:val="0"/>
            <w:vAlign w:val="center"/>
          </w:tcPr>
          <w:p>
            <w:pPr>
              <w:spacing w:line="280" w:lineRule="exact"/>
              <w:jc w:val="center"/>
              <w:rPr>
                <w:rFonts w:hint="eastAsia"/>
                <w:sz w:val="21"/>
                <w:szCs w:val="21"/>
              </w:rPr>
            </w:pPr>
            <w:r>
              <w:rPr>
                <w:rFonts w:hint="eastAsia"/>
                <w:sz w:val="21"/>
                <w:szCs w:val="21"/>
              </w:rPr>
              <w:t>污染物排放</w:t>
            </w:r>
            <w:r>
              <w:rPr>
                <w:rFonts w:hint="eastAsia"/>
                <w:sz w:val="21"/>
                <w:szCs w:val="21"/>
                <w:lang w:eastAsia="zh-CN"/>
              </w:rPr>
              <w:t>速率</w:t>
            </w:r>
            <w:r>
              <w:rPr>
                <w:rFonts w:hint="eastAsia" w:cs="Times New Roman"/>
                <w:sz w:val="21"/>
                <w:szCs w:val="21"/>
              </w:rPr>
              <w:t>kg</w:t>
            </w:r>
            <w:r>
              <w:rPr>
                <w:rFonts w:cs="Times New Roman"/>
                <w:sz w:val="21"/>
                <w:szCs w:val="21"/>
              </w:rPr>
              <w:t>/</w:t>
            </w:r>
            <w:r>
              <w:rPr>
                <w:rFonts w:hint="eastAsia" w:cs="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7" w:type="pct"/>
            <w:vMerge w:val="continue"/>
            <w:tcBorders>
              <w:bottom w:val="single" w:color="auto" w:sz="4" w:space="0"/>
            </w:tcBorders>
            <w:noWrap w:val="0"/>
            <w:vAlign w:val="center"/>
          </w:tcPr>
          <w:p>
            <w:pPr>
              <w:spacing w:line="280" w:lineRule="exact"/>
              <w:jc w:val="center"/>
              <w:rPr>
                <w:sz w:val="21"/>
                <w:szCs w:val="21"/>
              </w:rPr>
            </w:pPr>
          </w:p>
        </w:tc>
        <w:tc>
          <w:tcPr>
            <w:tcW w:w="646" w:type="pct"/>
            <w:vMerge w:val="continue"/>
            <w:tcBorders>
              <w:bottom w:val="single" w:color="auto" w:sz="4" w:space="0"/>
            </w:tcBorders>
            <w:noWrap w:val="0"/>
            <w:vAlign w:val="center"/>
          </w:tcPr>
          <w:p>
            <w:pPr>
              <w:spacing w:line="280" w:lineRule="exact"/>
              <w:jc w:val="center"/>
              <w:rPr>
                <w:sz w:val="21"/>
                <w:szCs w:val="21"/>
              </w:rPr>
            </w:pPr>
          </w:p>
        </w:tc>
        <w:tc>
          <w:tcPr>
            <w:tcW w:w="238" w:type="pct"/>
            <w:tcBorders>
              <w:bottom w:val="single" w:color="auto" w:sz="4" w:space="0"/>
            </w:tcBorders>
            <w:noWrap w:val="0"/>
            <w:vAlign w:val="center"/>
          </w:tcPr>
          <w:p>
            <w:pPr>
              <w:spacing w:line="280" w:lineRule="exact"/>
              <w:jc w:val="center"/>
              <w:rPr>
                <w:sz w:val="21"/>
                <w:szCs w:val="21"/>
              </w:rPr>
            </w:pPr>
            <w:r>
              <w:rPr>
                <w:rFonts w:cs="Times New Roman"/>
                <w:sz w:val="21"/>
                <w:szCs w:val="21"/>
              </w:rPr>
              <w:t>X</w:t>
            </w:r>
          </w:p>
        </w:tc>
        <w:tc>
          <w:tcPr>
            <w:tcW w:w="245" w:type="pct"/>
            <w:tcBorders>
              <w:bottom w:val="single" w:color="auto" w:sz="4" w:space="0"/>
            </w:tcBorders>
            <w:noWrap w:val="0"/>
            <w:vAlign w:val="center"/>
          </w:tcPr>
          <w:p>
            <w:pPr>
              <w:spacing w:line="280" w:lineRule="exact"/>
              <w:jc w:val="center"/>
              <w:rPr>
                <w:sz w:val="21"/>
                <w:szCs w:val="21"/>
              </w:rPr>
            </w:pPr>
            <w:r>
              <w:rPr>
                <w:rFonts w:cs="Times New Roman"/>
                <w:sz w:val="21"/>
                <w:szCs w:val="21"/>
              </w:rPr>
              <w:t>Y</w:t>
            </w:r>
          </w:p>
        </w:tc>
        <w:tc>
          <w:tcPr>
            <w:tcW w:w="315" w:type="pct"/>
            <w:vMerge w:val="continue"/>
            <w:tcBorders>
              <w:bottom w:val="single" w:color="auto" w:sz="4" w:space="0"/>
            </w:tcBorders>
            <w:noWrap w:val="0"/>
            <w:vAlign w:val="center"/>
          </w:tcPr>
          <w:p>
            <w:pPr>
              <w:spacing w:line="280" w:lineRule="exact"/>
              <w:jc w:val="center"/>
              <w:rPr>
                <w:sz w:val="21"/>
                <w:szCs w:val="21"/>
              </w:rPr>
            </w:pPr>
          </w:p>
        </w:tc>
        <w:tc>
          <w:tcPr>
            <w:tcW w:w="268" w:type="pct"/>
            <w:vMerge w:val="continue"/>
            <w:tcBorders>
              <w:bottom w:val="single" w:color="auto" w:sz="4" w:space="0"/>
            </w:tcBorders>
            <w:noWrap w:val="0"/>
            <w:vAlign w:val="center"/>
          </w:tcPr>
          <w:p>
            <w:pPr>
              <w:spacing w:line="280" w:lineRule="exact"/>
              <w:jc w:val="center"/>
              <w:rPr>
                <w:sz w:val="21"/>
                <w:szCs w:val="21"/>
              </w:rPr>
            </w:pPr>
          </w:p>
        </w:tc>
        <w:tc>
          <w:tcPr>
            <w:tcW w:w="295" w:type="pct"/>
            <w:vMerge w:val="continue"/>
            <w:tcBorders>
              <w:bottom w:val="single" w:color="auto" w:sz="4" w:space="0"/>
            </w:tcBorders>
            <w:noWrap w:val="0"/>
            <w:vAlign w:val="center"/>
          </w:tcPr>
          <w:p>
            <w:pPr>
              <w:spacing w:line="280" w:lineRule="exact"/>
              <w:jc w:val="center"/>
              <w:rPr>
                <w:sz w:val="21"/>
                <w:szCs w:val="21"/>
              </w:rPr>
            </w:pPr>
          </w:p>
        </w:tc>
        <w:tc>
          <w:tcPr>
            <w:tcW w:w="337" w:type="pct"/>
            <w:vMerge w:val="continue"/>
            <w:tcBorders>
              <w:bottom w:val="single" w:color="auto" w:sz="4" w:space="0"/>
            </w:tcBorders>
            <w:noWrap w:val="0"/>
            <w:vAlign w:val="center"/>
          </w:tcPr>
          <w:p>
            <w:pPr>
              <w:spacing w:line="280" w:lineRule="exact"/>
              <w:jc w:val="center"/>
              <w:rPr>
                <w:sz w:val="21"/>
                <w:szCs w:val="21"/>
              </w:rPr>
            </w:pPr>
          </w:p>
        </w:tc>
        <w:tc>
          <w:tcPr>
            <w:tcW w:w="492" w:type="pct"/>
            <w:vMerge w:val="continue"/>
            <w:tcBorders>
              <w:bottom w:val="single" w:color="auto" w:sz="4" w:space="0"/>
            </w:tcBorders>
            <w:noWrap w:val="0"/>
            <w:vAlign w:val="center"/>
          </w:tcPr>
          <w:p>
            <w:pPr>
              <w:spacing w:line="280" w:lineRule="exact"/>
              <w:jc w:val="center"/>
              <w:rPr>
                <w:sz w:val="21"/>
                <w:szCs w:val="21"/>
              </w:rPr>
            </w:pPr>
          </w:p>
        </w:tc>
        <w:tc>
          <w:tcPr>
            <w:tcW w:w="443" w:type="pct"/>
            <w:vMerge w:val="continue"/>
            <w:tcBorders>
              <w:bottom w:val="single" w:color="auto" w:sz="4" w:space="0"/>
            </w:tcBorders>
            <w:noWrap w:val="0"/>
            <w:vAlign w:val="center"/>
          </w:tcPr>
          <w:p>
            <w:pPr>
              <w:spacing w:line="280" w:lineRule="exact"/>
              <w:jc w:val="center"/>
              <w:rPr>
                <w:sz w:val="21"/>
                <w:szCs w:val="21"/>
              </w:rPr>
            </w:pPr>
          </w:p>
        </w:tc>
        <w:tc>
          <w:tcPr>
            <w:tcW w:w="314" w:type="pct"/>
            <w:vMerge w:val="continue"/>
            <w:tcBorders>
              <w:bottom w:val="single" w:color="auto" w:sz="4" w:space="0"/>
            </w:tcBorders>
            <w:noWrap w:val="0"/>
            <w:vAlign w:val="center"/>
          </w:tcPr>
          <w:p>
            <w:pPr>
              <w:spacing w:line="280" w:lineRule="exact"/>
              <w:jc w:val="center"/>
              <w:rPr>
                <w:sz w:val="21"/>
                <w:szCs w:val="21"/>
              </w:rPr>
            </w:pPr>
          </w:p>
        </w:tc>
        <w:tc>
          <w:tcPr>
            <w:tcW w:w="347" w:type="pct"/>
            <w:tcBorders>
              <w:bottom w:val="single" w:color="auto" w:sz="4" w:space="0"/>
            </w:tcBorders>
            <w:noWrap w:val="0"/>
            <w:vAlign w:val="center"/>
          </w:tcPr>
          <w:p>
            <w:pPr>
              <w:spacing w:line="280" w:lineRule="exact"/>
              <w:jc w:val="center"/>
              <w:rPr>
                <w:sz w:val="21"/>
                <w:szCs w:val="21"/>
              </w:rPr>
            </w:pPr>
            <w:r>
              <w:rPr>
                <w:sz w:val="21"/>
                <w:szCs w:val="21"/>
              </w:rPr>
              <w:t>VOCs</w:t>
            </w:r>
          </w:p>
        </w:tc>
        <w:tc>
          <w:tcPr>
            <w:tcW w:w="435" w:type="pct"/>
            <w:tcBorders>
              <w:bottom w:val="single" w:color="auto" w:sz="4" w:space="0"/>
            </w:tcBorders>
            <w:noWrap w:val="0"/>
            <w:vAlign w:val="center"/>
          </w:tcPr>
          <w:p>
            <w:pPr>
              <w:spacing w:line="300" w:lineRule="exact"/>
              <w:jc w:val="center"/>
              <w:rPr>
                <w:rFonts w:hint="eastAsia" w:eastAsia="宋体" w:cs="Times New Roman"/>
                <w:sz w:val="21"/>
                <w:szCs w:val="21"/>
                <w:lang w:eastAsia="zh-CN"/>
              </w:rPr>
            </w:pPr>
            <w:r>
              <w:rPr>
                <w:rFonts w:hint="eastAsia" w:eastAsia="宋体" w:cs="Times New Roman"/>
                <w:sz w:val="21"/>
                <w:szCs w:val="21"/>
                <w:lang w:eastAsia="zh-CN"/>
              </w:rPr>
              <w:t>苯酚</w:t>
            </w:r>
          </w:p>
        </w:tc>
        <w:tc>
          <w:tcPr>
            <w:tcW w:w="412" w:type="pct"/>
            <w:tcBorders>
              <w:bottom w:val="single" w:color="auto" w:sz="4" w:space="0"/>
            </w:tcBorders>
            <w:noWrap/>
            <w:vAlign w:val="center"/>
          </w:tcPr>
          <w:p>
            <w:pPr>
              <w:spacing w:line="300" w:lineRule="exact"/>
              <w:jc w:val="center"/>
              <w:rPr>
                <w:sz w:val="21"/>
                <w:szCs w:val="21"/>
              </w:rPr>
            </w:pPr>
            <w:r>
              <w:rPr>
                <w:rFonts w:hint="eastAsia"/>
                <w:sz w:val="21"/>
                <w:szCs w:val="21"/>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07" w:type="pct"/>
            <w:noWrap/>
            <w:vAlign w:val="center"/>
          </w:tcPr>
          <w:p>
            <w:pPr>
              <w:spacing w:line="280" w:lineRule="exact"/>
              <w:jc w:val="center"/>
              <w:rPr>
                <w:sz w:val="21"/>
                <w:szCs w:val="21"/>
              </w:rPr>
            </w:pPr>
            <w:r>
              <w:rPr>
                <w:rFonts w:hint="eastAsia"/>
                <w:sz w:val="21"/>
                <w:szCs w:val="21"/>
              </w:rPr>
              <w:t>A1</w:t>
            </w:r>
          </w:p>
        </w:tc>
        <w:tc>
          <w:tcPr>
            <w:tcW w:w="646" w:type="pct"/>
            <w:noWrap/>
            <w:vAlign w:val="center"/>
          </w:tcPr>
          <w:p>
            <w:pPr>
              <w:spacing w:line="280" w:lineRule="exact"/>
              <w:jc w:val="center"/>
              <w:rPr>
                <w:sz w:val="21"/>
                <w:szCs w:val="21"/>
              </w:rPr>
            </w:pPr>
            <w:r>
              <w:rPr>
                <w:rFonts w:hint="eastAsia" w:eastAsia="宋体"/>
                <w:sz w:val="21"/>
                <w:szCs w:val="21"/>
                <w:lang w:eastAsia="zh-CN"/>
              </w:rPr>
              <w:t>生产</w:t>
            </w:r>
            <w:r>
              <w:rPr>
                <w:rFonts w:hint="eastAsia" w:eastAsia="宋体"/>
                <w:sz w:val="21"/>
                <w:szCs w:val="21"/>
                <w:lang w:val="en-US" w:eastAsia="zh-CN"/>
              </w:rPr>
              <w:t>车</w:t>
            </w:r>
            <w:r>
              <w:rPr>
                <w:rFonts w:hint="eastAsia"/>
                <w:sz w:val="21"/>
                <w:szCs w:val="21"/>
              </w:rPr>
              <w:t>间</w:t>
            </w:r>
          </w:p>
        </w:tc>
        <w:tc>
          <w:tcPr>
            <w:tcW w:w="238"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-670</w:t>
            </w:r>
          </w:p>
        </w:tc>
        <w:tc>
          <w:tcPr>
            <w:tcW w:w="245" w:type="pct"/>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lang w:val="en-US" w:eastAsia="zh-CN"/>
              </w:rPr>
              <w:t>1388</w:t>
            </w:r>
          </w:p>
        </w:tc>
        <w:tc>
          <w:tcPr>
            <w:tcW w:w="315"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100</w:t>
            </w:r>
          </w:p>
        </w:tc>
        <w:tc>
          <w:tcPr>
            <w:tcW w:w="268"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64</w:t>
            </w:r>
          </w:p>
        </w:tc>
        <w:tc>
          <w:tcPr>
            <w:tcW w:w="295"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30</w:t>
            </w:r>
          </w:p>
        </w:tc>
        <w:tc>
          <w:tcPr>
            <w:tcW w:w="337"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w:t>
            </w:r>
          </w:p>
        </w:tc>
        <w:tc>
          <w:tcPr>
            <w:tcW w:w="492"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8</w:t>
            </w:r>
          </w:p>
        </w:tc>
        <w:tc>
          <w:tcPr>
            <w:tcW w:w="443" w:type="pct"/>
            <w:noWrap/>
            <w:vAlign w:val="center"/>
          </w:tcPr>
          <w:p>
            <w:pPr>
              <w:spacing w:line="280" w:lineRule="exact"/>
              <w:jc w:val="center"/>
              <w:rPr>
                <w:rFonts w:hint="default" w:ascii="Times New Roman" w:hAnsi="Times New Roman" w:eastAsia="宋体" w:cs="Times New Roman"/>
                <w:color w:val="000000"/>
                <w:sz w:val="21"/>
                <w:szCs w:val="21"/>
                <w:lang w:val="en-US" w:eastAsia="zh-CN" w:bidi="en-US"/>
              </w:rPr>
            </w:pPr>
            <w:r>
              <w:rPr>
                <w:rFonts w:hint="eastAsia" w:eastAsia="宋体" w:cs="Times New Roman"/>
                <w:color w:val="000000"/>
                <w:sz w:val="21"/>
                <w:szCs w:val="21"/>
                <w:lang w:val="en-US" w:eastAsia="zh-CN" w:bidi="en-US"/>
              </w:rPr>
              <w:t>4800</w:t>
            </w:r>
          </w:p>
        </w:tc>
        <w:tc>
          <w:tcPr>
            <w:tcW w:w="314" w:type="pct"/>
            <w:noWrap/>
            <w:vAlign w:val="center"/>
          </w:tcPr>
          <w:p>
            <w:pPr>
              <w:spacing w:line="280" w:lineRule="exact"/>
              <w:jc w:val="center"/>
              <w:rPr>
                <w:rFonts w:hint="eastAsia" w:eastAsia="宋体"/>
                <w:sz w:val="21"/>
                <w:szCs w:val="21"/>
                <w:lang w:eastAsia="zh-CN"/>
              </w:rPr>
            </w:pPr>
            <w:r>
              <w:rPr>
                <w:rFonts w:hint="eastAsia" w:eastAsia="宋体"/>
                <w:sz w:val="21"/>
                <w:szCs w:val="21"/>
                <w:lang w:eastAsia="zh-CN"/>
              </w:rPr>
              <w:t>间断</w:t>
            </w:r>
          </w:p>
        </w:tc>
        <w:tc>
          <w:tcPr>
            <w:tcW w:w="347"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0.0102</w:t>
            </w:r>
          </w:p>
        </w:tc>
        <w:tc>
          <w:tcPr>
            <w:tcW w:w="435" w:type="pct"/>
            <w:noWrap w:val="0"/>
            <w:vAlign w:val="center"/>
          </w:tcPr>
          <w:p>
            <w:pPr>
              <w:spacing w:line="280" w:lineRule="exact"/>
              <w:jc w:val="center"/>
              <w:rPr>
                <w:rFonts w:hint="default" w:eastAsia="宋体" w:cs="Times New Roman"/>
                <w:sz w:val="21"/>
                <w:szCs w:val="21"/>
                <w:lang w:val="en-US" w:eastAsia="zh-CN"/>
              </w:rPr>
            </w:pPr>
            <w:r>
              <w:rPr>
                <w:rFonts w:hint="eastAsia" w:eastAsia="宋体" w:cs="Times New Roman"/>
                <w:sz w:val="21"/>
                <w:szCs w:val="21"/>
                <w:lang w:val="en-US" w:eastAsia="zh-CN"/>
              </w:rPr>
              <w:t>0.0021</w:t>
            </w:r>
          </w:p>
        </w:tc>
        <w:tc>
          <w:tcPr>
            <w:tcW w:w="412"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0.0019</w:t>
            </w:r>
          </w:p>
        </w:tc>
      </w:tr>
    </w:tbl>
    <w:p>
      <w:pPr>
        <w:rPr>
          <w:rFonts w:hint="eastAsia" w:ascii="黑体" w:hAnsi="黑体" w:eastAsia="黑体"/>
        </w:rPr>
      </w:pPr>
      <w:r>
        <w:rPr>
          <w:rFonts w:hint="eastAsia" w:ascii="黑体" w:hAnsi="黑体" w:eastAsia="黑体"/>
        </w:rPr>
        <w:t>注：污染物排放速率按照产污工序工作时间计算</w:t>
      </w:r>
    </w:p>
    <w:p>
      <w:pPr>
        <w:jc w:val="center"/>
        <w:rPr>
          <w:rFonts w:hint="eastAsia" w:ascii="黑体" w:hAnsi="黑体" w:eastAsia="黑体"/>
          <w:highlight w:val="none"/>
        </w:rPr>
      </w:pPr>
      <w:r>
        <w:rPr>
          <w:rFonts w:hint="eastAsia" w:ascii="黑体" w:hAnsi="黑体" w:eastAsia="黑体"/>
          <w:highlight w:val="none"/>
        </w:rPr>
        <w:t>表</w:t>
      </w:r>
      <w:r>
        <w:rPr>
          <w:rFonts w:hint="eastAsia" w:ascii="黑体" w:hAnsi="黑体" w:eastAsia="黑体"/>
          <w:highlight w:val="none"/>
          <w:lang w:val="en-US" w:eastAsia="zh-CN"/>
        </w:rPr>
        <w:t>5</w:t>
      </w:r>
      <w:r>
        <w:rPr>
          <w:rFonts w:ascii="黑体" w:hAnsi="黑体" w:eastAsia="黑体"/>
          <w:highlight w:val="none"/>
        </w:rPr>
        <w:t>.2</w:t>
      </w:r>
      <w:r>
        <w:rPr>
          <w:rFonts w:hint="eastAsia" w:ascii="黑体" w:hAnsi="黑体" w:eastAsia="黑体"/>
          <w:highlight w:val="none"/>
        </w:rPr>
        <w:t>-</w:t>
      </w:r>
      <w:r>
        <w:rPr>
          <w:rFonts w:hint="eastAsia" w:ascii="黑体" w:eastAsia="黑体"/>
          <w:bCs/>
          <w:highlight w:val="none"/>
          <w:lang w:val="en-US" w:eastAsia="zh-CN"/>
        </w:rPr>
        <w:t>8</w:t>
      </w:r>
      <w:r>
        <w:rPr>
          <w:rFonts w:ascii="黑体" w:hAnsi="黑体" w:eastAsia="黑体"/>
          <w:highlight w:val="none"/>
        </w:rPr>
        <w:t xml:space="preserve">  </w:t>
      </w:r>
      <w:r>
        <w:rPr>
          <w:rFonts w:hint="eastAsia" w:ascii="黑体" w:hAnsi="黑体" w:eastAsia="黑体"/>
          <w:highlight w:val="none"/>
        </w:rPr>
        <w:t>现有</w:t>
      </w:r>
      <w:r>
        <w:rPr>
          <w:rFonts w:hint="eastAsia" w:ascii="黑体" w:hAnsi="黑体" w:eastAsia="黑体"/>
          <w:highlight w:val="none"/>
          <w:lang w:eastAsia="zh-CN"/>
        </w:rPr>
        <w:t>项目</w:t>
      </w:r>
      <w:r>
        <w:rPr>
          <w:rFonts w:hint="eastAsia" w:ascii="黑体" w:hAnsi="黑体" w:eastAsia="黑体"/>
          <w:highlight w:val="none"/>
        </w:rPr>
        <w:t>拟被替代的</w:t>
      </w:r>
      <w:r>
        <w:rPr>
          <w:rFonts w:hint="eastAsia" w:ascii="黑体" w:hAnsi="黑体" w:eastAsia="黑体"/>
          <w:highlight w:val="none"/>
          <w:lang w:eastAsia="zh-CN"/>
        </w:rPr>
        <w:t>点</w:t>
      </w:r>
      <w:r>
        <w:rPr>
          <w:rFonts w:hint="eastAsia" w:ascii="黑体" w:hAnsi="黑体" w:eastAsia="黑体"/>
          <w:highlight w:val="none"/>
        </w:rPr>
        <w:t>源</w:t>
      </w:r>
      <w:r>
        <w:rPr>
          <w:rFonts w:ascii="黑体" w:hAnsi="黑体" w:eastAsia="黑体"/>
          <w:highlight w:val="none"/>
        </w:rPr>
        <w:t>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910"/>
        <w:gridCol w:w="880"/>
        <w:gridCol w:w="795"/>
        <w:gridCol w:w="1206"/>
        <w:gridCol w:w="758"/>
        <w:gridCol w:w="931"/>
        <w:gridCol w:w="897"/>
        <w:gridCol w:w="1206"/>
        <w:gridCol w:w="931"/>
        <w:gridCol w:w="1223"/>
        <w:gridCol w:w="1232"/>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41" w:type="pct"/>
            <w:vMerge w:val="restart"/>
            <w:shd w:val="clear" w:color="000000" w:fill="FFFFFF"/>
            <w:noWrap w:val="0"/>
            <w:vAlign w:val="center"/>
          </w:tcPr>
          <w:p>
            <w:pPr>
              <w:spacing w:line="300" w:lineRule="exact"/>
              <w:jc w:val="center"/>
              <w:rPr>
                <w:sz w:val="21"/>
                <w:szCs w:val="21"/>
              </w:rPr>
            </w:pPr>
            <w:r>
              <w:rPr>
                <w:rFonts w:hint="eastAsia"/>
                <w:sz w:val="21"/>
                <w:szCs w:val="21"/>
              </w:rPr>
              <w:t>编号</w:t>
            </w:r>
          </w:p>
        </w:tc>
        <w:tc>
          <w:tcPr>
            <w:tcW w:w="673" w:type="pct"/>
            <w:vMerge w:val="restart"/>
            <w:shd w:val="clear" w:color="000000" w:fill="FFFFFF"/>
            <w:noWrap w:val="0"/>
            <w:vAlign w:val="center"/>
          </w:tcPr>
          <w:p>
            <w:pPr>
              <w:spacing w:line="300" w:lineRule="exact"/>
              <w:jc w:val="center"/>
              <w:rPr>
                <w:sz w:val="21"/>
                <w:szCs w:val="21"/>
              </w:rPr>
            </w:pPr>
            <w:r>
              <w:rPr>
                <w:rFonts w:hint="eastAsia"/>
                <w:sz w:val="21"/>
                <w:szCs w:val="21"/>
              </w:rPr>
              <w:t>名称</w:t>
            </w:r>
          </w:p>
        </w:tc>
        <w:tc>
          <w:tcPr>
            <w:tcW w:w="590" w:type="pct"/>
            <w:gridSpan w:val="2"/>
            <w:shd w:val="clear" w:color="000000" w:fill="FFFFFF"/>
            <w:noWrap w:val="0"/>
            <w:vAlign w:val="center"/>
          </w:tcPr>
          <w:p>
            <w:pPr>
              <w:spacing w:line="300" w:lineRule="exact"/>
              <w:jc w:val="center"/>
              <w:rPr>
                <w:sz w:val="21"/>
                <w:szCs w:val="21"/>
              </w:rPr>
            </w:pPr>
            <w:r>
              <w:rPr>
                <w:rFonts w:hint="eastAsia"/>
                <w:sz w:val="21"/>
                <w:szCs w:val="21"/>
              </w:rPr>
              <w:t>排气筒底部中心坐标（</w:t>
            </w:r>
            <w:r>
              <w:rPr>
                <w:rFonts w:cs="Times New Roman"/>
                <w:sz w:val="21"/>
                <w:szCs w:val="21"/>
              </w:rPr>
              <w:t>m</w:t>
            </w:r>
            <w:r>
              <w:rPr>
                <w:rFonts w:hint="eastAsia"/>
                <w:sz w:val="21"/>
                <w:szCs w:val="21"/>
              </w:rPr>
              <w:t>）</w:t>
            </w:r>
          </w:p>
        </w:tc>
        <w:tc>
          <w:tcPr>
            <w:tcW w:w="425" w:type="pct"/>
            <w:vMerge w:val="restart"/>
            <w:shd w:val="clear" w:color="000000" w:fill="FFFFFF"/>
            <w:noWrap w:val="0"/>
            <w:vAlign w:val="center"/>
          </w:tcPr>
          <w:p>
            <w:pPr>
              <w:spacing w:line="300" w:lineRule="exact"/>
              <w:jc w:val="center"/>
              <w:rPr>
                <w:sz w:val="21"/>
                <w:szCs w:val="21"/>
              </w:rPr>
            </w:pPr>
            <w:r>
              <w:rPr>
                <w:rFonts w:hint="eastAsia"/>
                <w:sz w:val="21"/>
                <w:szCs w:val="21"/>
              </w:rPr>
              <w:t>排气筒底部海拔高度</w:t>
            </w:r>
            <w:r>
              <w:rPr>
                <w:rFonts w:cs="Times New Roman"/>
                <w:sz w:val="21"/>
                <w:szCs w:val="21"/>
              </w:rPr>
              <w:t>/m</w:t>
            </w:r>
          </w:p>
        </w:tc>
        <w:tc>
          <w:tcPr>
            <w:tcW w:w="267" w:type="pct"/>
            <w:vMerge w:val="restart"/>
            <w:shd w:val="clear" w:color="000000" w:fill="FFFFFF"/>
            <w:noWrap w:val="0"/>
            <w:vAlign w:val="center"/>
          </w:tcPr>
          <w:p>
            <w:pPr>
              <w:spacing w:line="300" w:lineRule="exact"/>
              <w:jc w:val="center"/>
              <w:rPr>
                <w:sz w:val="21"/>
                <w:szCs w:val="21"/>
              </w:rPr>
            </w:pPr>
            <w:r>
              <w:rPr>
                <w:rFonts w:hint="eastAsia"/>
                <w:sz w:val="21"/>
                <w:szCs w:val="21"/>
              </w:rPr>
              <w:t>排气筒高度</w:t>
            </w:r>
            <w:r>
              <w:rPr>
                <w:rFonts w:cs="Times New Roman"/>
                <w:sz w:val="21"/>
                <w:szCs w:val="21"/>
              </w:rPr>
              <w:t>/m</w:t>
            </w:r>
          </w:p>
        </w:tc>
        <w:tc>
          <w:tcPr>
            <w:tcW w:w="328" w:type="pct"/>
            <w:vMerge w:val="restart"/>
            <w:shd w:val="clear" w:color="000000" w:fill="FFFFFF"/>
            <w:noWrap w:val="0"/>
            <w:vAlign w:val="center"/>
          </w:tcPr>
          <w:p>
            <w:pPr>
              <w:spacing w:line="300" w:lineRule="exact"/>
              <w:jc w:val="center"/>
              <w:rPr>
                <w:sz w:val="21"/>
                <w:szCs w:val="21"/>
              </w:rPr>
            </w:pPr>
            <w:r>
              <w:rPr>
                <w:rFonts w:hint="eastAsia"/>
                <w:sz w:val="21"/>
                <w:szCs w:val="21"/>
              </w:rPr>
              <w:t>排气筒出口内径</w:t>
            </w:r>
            <w:r>
              <w:rPr>
                <w:rFonts w:cs="Times New Roman"/>
                <w:sz w:val="21"/>
                <w:szCs w:val="21"/>
              </w:rPr>
              <w:t>/m</w:t>
            </w:r>
          </w:p>
        </w:tc>
        <w:tc>
          <w:tcPr>
            <w:tcW w:w="316" w:type="pct"/>
            <w:vMerge w:val="restart"/>
            <w:shd w:val="clear" w:color="000000" w:fill="FFFFFF"/>
            <w:noWrap w:val="0"/>
            <w:vAlign w:val="center"/>
          </w:tcPr>
          <w:p>
            <w:pPr>
              <w:spacing w:line="300" w:lineRule="exact"/>
              <w:jc w:val="center"/>
              <w:rPr>
                <w:sz w:val="21"/>
                <w:szCs w:val="21"/>
              </w:rPr>
            </w:pPr>
            <w:r>
              <w:rPr>
                <w:rFonts w:hint="eastAsia"/>
                <w:sz w:val="21"/>
                <w:szCs w:val="21"/>
              </w:rPr>
              <w:t>烟气温度</w:t>
            </w:r>
            <w:r>
              <w:rPr>
                <w:rFonts w:cs="Times New Roman"/>
                <w:sz w:val="21"/>
                <w:szCs w:val="21"/>
              </w:rPr>
              <w:t>/</w:t>
            </w:r>
            <w:r>
              <w:rPr>
                <w:rFonts w:hint="eastAsia"/>
                <w:sz w:val="21"/>
                <w:szCs w:val="21"/>
              </w:rPr>
              <w:t>℃</w:t>
            </w:r>
          </w:p>
        </w:tc>
        <w:tc>
          <w:tcPr>
            <w:tcW w:w="425" w:type="pct"/>
            <w:vMerge w:val="restart"/>
            <w:shd w:val="clear" w:color="000000" w:fill="FFFFFF"/>
            <w:noWrap w:val="0"/>
            <w:vAlign w:val="center"/>
          </w:tcPr>
          <w:p>
            <w:pPr>
              <w:spacing w:line="300" w:lineRule="exact"/>
              <w:jc w:val="center"/>
              <w:rPr>
                <w:sz w:val="21"/>
                <w:szCs w:val="21"/>
              </w:rPr>
            </w:pPr>
            <w:r>
              <w:rPr>
                <w:rFonts w:hint="eastAsia"/>
                <w:sz w:val="21"/>
                <w:szCs w:val="21"/>
              </w:rPr>
              <w:t>年排放小时数</w:t>
            </w:r>
            <w:r>
              <w:rPr>
                <w:rFonts w:cs="Times New Roman"/>
                <w:sz w:val="21"/>
                <w:szCs w:val="21"/>
              </w:rPr>
              <w:t>/h</w:t>
            </w:r>
          </w:p>
        </w:tc>
        <w:tc>
          <w:tcPr>
            <w:tcW w:w="328" w:type="pct"/>
            <w:vMerge w:val="restart"/>
            <w:shd w:val="clear" w:color="000000" w:fill="FFFFFF"/>
            <w:noWrap w:val="0"/>
            <w:vAlign w:val="center"/>
          </w:tcPr>
          <w:p>
            <w:pPr>
              <w:spacing w:line="300" w:lineRule="exact"/>
              <w:jc w:val="center"/>
              <w:rPr>
                <w:sz w:val="21"/>
                <w:szCs w:val="21"/>
              </w:rPr>
            </w:pPr>
            <w:r>
              <w:rPr>
                <w:rFonts w:hint="eastAsia"/>
                <w:sz w:val="21"/>
                <w:szCs w:val="21"/>
              </w:rPr>
              <w:t>排放工况</w:t>
            </w:r>
          </w:p>
        </w:tc>
        <w:tc>
          <w:tcPr>
            <w:tcW w:w="1301" w:type="pct"/>
            <w:gridSpan w:val="3"/>
            <w:shd w:val="clear" w:color="000000" w:fill="FFFFFF"/>
            <w:noWrap w:val="0"/>
            <w:vAlign w:val="center"/>
          </w:tcPr>
          <w:p>
            <w:pPr>
              <w:spacing w:line="300" w:lineRule="exact"/>
              <w:jc w:val="center"/>
              <w:rPr>
                <w:sz w:val="21"/>
                <w:szCs w:val="21"/>
              </w:rPr>
            </w:pPr>
            <w:r>
              <w:rPr>
                <w:rFonts w:hint="eastAsia"/>
                <w:sz w:val="21"/>
                <w:szCs w:val="21"/>
              </w:rPr>
              <w:t>污染物排放</w:t>
            </w:r>
            <w:r>
              <w:rPr>
                <w:rFonts w:hint="eastAsia"/>
                <w:sz w:val="21"/>
                <w:szCs w:val="21"/>
                <w:lang w:eastAsia="zh-CN"/>
              </w:rPr>
              <w:t>速率</w:t>
            </w:r>
          </w:p>
          <w:p>
            <w:pPr>
              <w:spacing w:line="300" w:lineRule="exact"/>
              <w:jc w:val="center"/>
              <w:rPr>
                <w:rFonts w:hint="eastAsia" w:cs="Times New Roman"/>
                <w:sz w:val="21"/>
                <w:szCs w:val="21"/>
              </w:rPr>
            </w:pPr>
            <w:r>
              <w:rPr>
                <w:rFonts w:hint="eastAsia" w:cs="Times New Roman"/>
                <w:sz w:val="21"/>
                <w:szCs w:val="21"/>
              </w:rPr>
              <w:t>kg</w:t>
            </w:r>
            <w:r>
              <w:rPr>
                <w:rFonts w:cs="Times New Roman"/>
                <w:sz w:val="21"/>
                <w:szCs w:val="21"/>
              </w:rPr>
              <w:t>/</w:t>
            </w:r>
            <w:r>
              <w:rPr>
                <w:rFonts w:hint="eastAsia" w:cs="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41" w:type="pct"/>
            <w:vMerge w:val="continue"/>
            <w:shd w:val="clear" w:color="auto" w:fill="auto"/>
            <w:noWrap w:val="0"/>
            <w:vAlign w:val="center"/>
          </w:tcPr>
          <w:p>
            <w:pPr>
              <w:spacing w:line="300" w:lineRule="exact"/>
              <w:jc w:val="center"/>
              <w:rPr>
                <w:sz w:val="21"/>
                <w:szCs w:val="21"/>
              </w:rPr>
            </w:pPr>
          </w:p>
        </w:tc>
        <w:tc>
          <w:tcPr>
            <w:tcW w:w="673" w:type="pct"/>
            <w:vMerge w:val="continue"/>
            <w:shd w:val="clear" w:color="auto" w:fill="auto"/>
            <w:noWrap w:val="0"/>
            <w:vAlign w:val="center"/>
          </w:tcPr>
          <w:p>
            <w:pPr>
              <w:spacing w:line="300" w:lineRule="exact"/>
              <w:jc w:val="center"/>
              <w:rPr>
                <w:sz w:val="21"/>
                <w:szCs w:val="21"/>
              </w:rPr>
            </w:pPr>
          </w:p>
        </w:tc>
        <w:tc>
          <w:tcPr>
            <w:tcW w:w="310" w:type="pct"/>
            <w:shd w:val="clear" w:color="000000" w:fill="FFFFFF"/>
            <w:noWrap w:val="0"/>
            <w:vAlign w:val="center"/>
          </w:tcPr>
          <w:p>
            <w:pPr>
              <w:spacing w:line="300" w:lineRule="exact"/>
              <w:jc w:val="center"/>
              <w:rPr>
                <w:rFonts w:cs="Times New Roman"/>
                <w:sz w:val="21"/>
                <w:szCs w:val="21"/>
              </w:rPr>
            </w:pPr>
            <w:r>
              <w:rPr>
                <w:rFonts w:cs="Times New Roman"/>
                <w:sz w:val="21"/>
                <w:szCs w:val="21"/>
              </w:rPr>
              <w:t>X</w:t>
            </w:r>
          </w:p>
        </w:tc>
        <w:tc>
          <w:tcPr>
            <w:tcW w:w="279" w:type="pct"/>
            <w:shd w:val="clear" w:color="000000" w:fill="FFFFFF"/>
            <w:noWrap w:val="0"/>
            <w:vAlign w:val="center"/>
          </w:tcPr>
          <w:p>
            <w:pPr>
              <w:spacing w:line="300" w:lineRule="exact"/>
              <w:jc w:val="center"/>
              <w:rPr>
                <w:rFonts w:cs="Times New Roman"/>
                <w:sz w:val="21"/>
                <w:szCs w:val="21"/>
              </w:rPr>
            </w:pPr>
            <w:r>
              <w:rPr>
                <w:rFonts w:cs="Times New Roman"/>
                <w:sz w:val="21"/>
                <w:szCs w:val="21"/>
              </w:rPr>
              <w:t>Y</w:t>
            </w:r>
          </w:p>
        </w:tc>
        <w:tc>
          <w:tcPr>
            <w:tcW w:w="425" w:type="pct"/>
            <w:vMerge w:val="continue"/>
            <w:shd w:val="clear" w:color="auto" w:fill="auto"/>
            <w:noWrap w:val="0"/>
            <w:vAlign w:val="center"/>
          </w:tcPr>
          <w:p>
            <w:pPr>
              <w:spacing w:line="300" w:lineRule="exact"/>
              <w:jc w:val="center"/>
              <w:rPr>
                <w:sz w:val="21"/>
                <w:szCs w:val="21"/>
              </w:rPr>
            </w:pPr>
          </w:p>
        </w:tc>
        <w:tc>
          <w:tcPr>
            <w:tcW w:w="267" w:type="pct"/>
            <w:vMerge w:val="continue"/>
            <w:shd w:val="clear" w:color="auto" w:fill="auto"/>
            <w:noWrap w:val="0"/>
            <w:vAlign w:val="center"/>
          </w:tcPr>
          <w:p>
            <w:pPr>
              <w:spacing w:line="300" w:lineRule="exact"/>
              <w:jc w:val="center"/>
              <w:rPr>
                <w:sz w:val="21"/>
                <w:szCs w:val="21"/>
              </w:rPr>
            </w:pPr>
          </w:p>
        </w:tc>
        <w:tc>
          <w:tcPr>
            <w:tcW w:w="328" w:type="pct"/>
            <w:vMerge w:val="continue"/>
            <w:shd w:val="clear" w:color="auto" w:fill="auto"/>
            <w:noWrap w:val="0"/>
            <w:vAlign w:val="center"/>
          </w:tcPr>
          <w:p>
            <w:pPr>
              <w:spacing w:line="300" w:lineRule="exact"/>
              <w:jc w:val="center"/>
              <w:rPr>
                <w:sz w:val="21"/>
                <w:szCs w:val="21"/>
              </w:rPr>
            </w:pPr>
          </w:p>
        </w:tc>
        <w:tc>
          <w:tcPr>
            <w:tcW w:w="316" w:type="pct"/>
            <w:vMerge w:val="continue"/>
            <w:shd w:val="clear" w:color="auto" w:fill="auto"/>
            <w:noWrap w:val="0"/>
            <w:vAlign w:val="center"/>
          </w:tcPr>
          <w:p>
            <w:pPr>
              <w:spacing w:line="300" w:lineRule="exact"/>
              <w:jc w:val="center"/>
              <w:rPr>
                <w:sz w:val="21"/>
                <w:szCs w:val="21"/>
              </w:rPr>
            </w:pPr>
          </w:p>
        </w:tc>
        <w:tc>
          <w:tcPr>
            <w:tcW w:w="425" w:type="pct"/>
            <w:vMerge w:val="continue"/>
            <w:shd w:val="clear" w:color="auto" w:fill="auto"/>
            <w:noWrap w:val="0"/>
            <w:vAlign w:val="center"/>
          </w:tcPr>
          <w:p>
            <w:pPr>
              <w:spacing w:line="300" w:lineRule="exact"/>
              <w:jc w:val="center"/>
              <w:rPr>
                <w:sz w:val="21"/>
                <w:szCs w:val="21"/>
              </w:rPr>
            </w:pPr>
          </w:p>
        </w:tc>
        <w:tc>
          <w:tcPr>
            <w:tcW w:w="328" w:type="pct"/>
            <w:vMerge w:val="continue"/>
            <w:shd w:val="clear" w:color="auto" w:fill="auto"/>
            <w:noWrap w:val="0"/>
            <w:vAlign w:val="center"/>
          </w:tcPr>
          <w:p>
            <w:pPr>
              <w:spacing w:line="300" w:lineRule="exact"/>
              <w:jc w:val="center"/>
              <w:rPr>
                <w:sz w:val="21"/>
                <w:szCs w:val="21"/>
              </w:rPr>
            </w:pPr>
          </w:p>
        </w:tc>
        <w:tc>
          <w:tcPr>
            <w:tcW w:w="1223" w:type="dxa"/>
            <w:shd w:val="clear" w:color="000000" w:fill="FFFFFF"/>
            <w:noWrap w:val="0"/>
            <w:vAlign w:val="center"/>
          </w:tcPr>
          <w:p>
            <w:pPr>
              <w:spacing w:line="280" w:lineRule="exact"/>
              <w:jc w:val="center"/>
              <w:rPr>
                <w:rFonts w:hint="eastAsia" w:eastAsia="宋体"/>
                <w:sz w:val="21"/>
                <w:szCs w:val="21"/>
                <w:lang w:eastAsia="zh-CN"/>
              </w:rPr>
            </w:pPr>
            <w:r>
              <w:rPr>
                <w:sz w:val="21"/>
                <w:szCs w:val="21"/>
              </w:rPr>
              <w:t>VOCs</w:t>
            </w:r>
          </w:p>
        </w:tc>
        <w:tc>
          <w:tcPr>
            <w:tcW w:w="1232" w:type="dxa"/>
            <w:shd w:val="clear" w:color="000000" w:fill="FFFFFF"/>
            <w:noWrap w:val="0"/>
            <w:vAlign w:val="center"/>
          </w:tcPr>
          <w:p>
            <w:pPr>
              <w:spacing w:line="300" w:lineRule="exact"/>
              <w:jc w:val="center"/>
              <w:rPr>
                <w:rFonts w:hint="default" w:eastAsia="宋体"/>
                <w:sz w:val="21"/>
                <w:szCs w:val="21"/>
                <w:vertAlign w:val="baseline"/>
                <w:lang w:val="en-US" w:eastAsia="zh-CN"/>
              </w:rPr>
            </w:pPr>
            <w:r>
              <w:rPr>
                <w:rFonts w:hint="eastAsia" w:eastAsia="宋体" w:cs="Times New Roman"/>
                <w:sz w:val="21"/>
                <w:szCs w:val="21"/>
                <w:lang w:eastAsia="zh-CN"/>
              </w:rPr>
              <w:t>苯酚</w:t>
            </w:r>
          </w:p>
        </w:tc>
        <w:tc>
          <w:tcPr>
            <w:tcW w:w="1237" w:type="dxa"/>
            <w:shd w:val="clear" w:color="000000" w:fill="FFFFFF"/>
            <w:noWrap w:val="0"/>
            <w:vAlign w:val="center"/>
          </w:tcPr>
          <w:p>
            <w:pPr>
              <w:spacing w:line="300" w:lineRule="exact"/>
              <w:jc w:val="center"/>
              <w:rPr>
                <w:rFonts w:hint="default" w:eastAsia="宋体"/>
                <w:sz w:val="21"/>
                <w:szCs w:val="21"/>
                <w:vertAlign w:val="subscript"/>
                <w:lang w:val="en-US" w:eastAsia="zh-CN"/>
              </w:rPr>
            </w:pPr>
            <w:r>
              <w:rPr>
                <w:rFonts w:hint="eastAsia"/>
                <w:sz w:val="21"/>
                <w:szCs w:val="21"/>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41"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w:t>
            </w:r>
          </w:p>
        </w:tc>
        <w:tc>
          <w:tcPr>
            <w:tcW w:w="673" w:type="pct"/>
            <w:noWrap/>
            <w:vAlign w:val="center"/>
          </w:tcPr>
          <w:p>
            <w:pPr>
              <w:spacing w:line="300" w:lineRule="exact"/>
              <w:jc w:val="center"/>
              <w:rPr>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u w:val="none"/>
                <w:lang w:val="en-US" w:eastAsia="zh-CN" w:bidi="ar"/>
              </w:rPr>
              <w:t>排气筒</w:t>
            </w:r>
          </w:p>
        </w:tc>
        <w:tc>
          <w:tcPr>
            <w:tcW w:w="310"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-662</w:t>
            </w:r>
          </w:p>
        </w:tc>
        <w:tc>
          <w:tcPr>
            <w:tcW w:w="279"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1368</w:t>
            </w:r>
          </w:p>
        </w:tc>
        <w:tc>
          <w:tcPr>
            <w:tcW w:w="425"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100</w:t>
            </w:r>
          </w:p>
        </w:tc>
        <w:tc>
          <w:tcPr>
            <w:tcW w:w="267"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15</w:t>
            </w:r>
          </w:p>
        </w:tc>
        <w:tc>
          <w:tcPr>
            <w:tcW w:w="328"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0.6</w:t>
            </w:r>
          </w:p>
        </w:tc>
        <w:tc>
          <w:tcPr>
            <w:tcW w:w="316" w:type="pct"/>
            <w:noWrap/>
            <w:vAlign w:val="center"/>
          </w:tcPr>
          <w:p>
            <w:pPr>
              <w:spacing w:line="300" w:lineRule="exact"/>
              <w:jc w:val="center"/>
              <w:rPr>
                <w:rFonts w:hint="default" w:eastAsia="宋体"/>
                <w:sz w:val="21"/>
                <w:szCs w:val="21"/>
                <w:lang w:val="en-US" w:eastAsia="zh-CN"/>
              </w:rPr>
            </w:pPr>
            <w:r>
              <w:rPr>
                <w:rFonts w:hint="eastAsia"/>
                <w:sz w:val="21"/>
                <w:szCs w:val="21"/>
              </w:rPr>
              <w:t>常温</w:t>
            </w:r>
          </w:p>
        </w:tc>
        <w:tc>
          <w:tcPr>
            <w:tcW w:w="425" w:type="pct"/>
            <w:noWrap/>
            <w:vAlign w:val="center"/>
          </w:tcPr>
          <w:p>
            <w:pPr>
              <w:spacing w:line="300" w:lineRule="exact"/>
              <w:jc w:val="center"/>
              <w:rPr>
                <w:rFonts w:hint="default" w:eastAsia="宋体"/>
                <w:sz w:val="21"/>
                <w:szCs w:val="21"/>
                <w:lang w:val="en-US" w:eastAsia="zh-CN"/>
              </w:rPr>
            </w:pPr>
            <w:r>
              <w:rPr>
                <w:rFonts w:hint="eastAsia" w:eastAsia="宋体"/>
                <w:sz w:val="21"/>
                <w:szCs w:val="21"/>
                <w:lang w:val="en-US" w:eastAsia="zh-CN"/>
              </w:rPr>
              <w:t>4800</w:t>
            </w:r>
          </w:p>
        </w:tc>
        <w:tc>
          <w:tcPr>
            <w:tcW w:w="328" w:type="pct"/>
            <w:noWrap/>
            <w:vAlign w:val="center"/>
          </w:tcPr>
          <w:p>
            <w:pPr>
              <w:spacing w:line="300" w:lineRule="exact"/>
              <w:jc w:val="center"/>
              <w:rPr>
                <w:sz w:val="21"/>
                <w:szCs w:val="21"/>
              </w:rPr>
            </w:pPr>
            <w:r>
              <w:rPr>
                <w:rFonts w:hint="eastAsia"/>
                <w:sz w:val="21"/>
                <w:szCs w:val="21"/>
              </w:rPr>
              <w:t>间断</w:t>
            </w:r>
          </w:p>
        </w:tc>
        <w:tc>
          <w:tcPr>
            <w:tcW w:w="431"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326</w:t>
            </w:r>
          </w:p>
        </w:tc>
        <w:tc>
          <w:tcPr>
            <w:tcW w:w="434"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67</w:t>
            </w:r>
          </w:p>
        </w:tc>
        <w:tc>
          <w:tcPr>
            <w:tcW w:w="435" w:type="pct"/>
            <w:noWrap/>
            <w:vAlign w:val="center"/>
          </w:tcPr>
          <w:p>
            <w:pPr>
              <w:spacing w:line="300" w:lineRule="exact"/>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w:t>
            </w:r>
            <w:r>
              <w:rPr>
                <w:rFonts w:hint="eastAsia" w:cs="Times New Roman"/>
                <w:i w:val="0"/>
                <w:iCs w:val="0"/>
                <w:color w:val="000000"/>
                <w:kern w:val="0"/>
                <w:sz w:val="21"/>
                <w:szCs w:val="21"/>
                <w:u w:val="none"/>
                <w:lang w:val="en-US" w:eastAsia="zh-CN" w:bidi="ar"/>
              </w:rPr>
              <w:t>61</w:t>
            </w:r>
          </w:p>
        </w:tc>
      </w:tr>
    </w:tbl>
    <w:p>
      <w:pPr>
        <w:rPr>
          <w:rFonts w:hint="default" w:ascii="黑体" w:hAnsi="黑体" w:eastAsia="黑体"/>
          <w:lang w:val="en-US" w:eastAsia="zh-CN"/>
        </w:rPr>
      </w:pPr>
      <w:r>
        <w:rPr>
          <w:rFonts w:hint="eastAsia" w:ascii="黑体" w:hAnsi="黑体" w:eastAsia="黑体"/>
        </w:rPr>
        <w:t>注：污染物排放速率按照产污工序工作时间计算</w:t>
      </w:r>
      <w:r>
        <w:rPr>
          <w:rFonts w:hint="eastAsia" w:ascii="黑体" w:hAnsi="黑体" w:eastAsia="黑体"/>
          <w:lang w:eastAsia="zh-CN"/>
        </w:rPr>
        <w:t>。</w:t>
      </w:r>
    </w:p>
    <w:p>
      <w:pPr>
        <w:jc w:val="center"/>
        <w:rPr>
          <w:rFonts w:hint="eastAsia" w:ascii="黑体" w:hAnsi="黑体" w:eastAsia="黑体"/>
          <w:highlight w:val="none"/>
        </w:rPr>
      </w:pPr>
      <w:r>
        <w:rPr>
          <w:rFonts w:hint="eastAsia" w:ascii="黑体" w:hAnsi="黑体" w:eastAsia="黑体"/>
          <w:highlight w:val="none"/>
        </w:rPr>
        <w:t>表</w:t>
      </w:r>
      <w:r>
        <w:rPr>
          <w:rFonts w:hint="eastAsia" w:ascii="黑体" w:hAnsi="黑体" w:eastAsia="黑体"/>
          <w:highlight w:val="none"/>
          <w:lang w:val="en-US" w:eastAsia="zh-CN"/>
        </w:rPr>
        <w:t>5</w:t>
      </w:r>
      <w:r>
        <w:rPr>
          <w:rFonts w:ascii="黑体" w:hAnsi="黑体" w:eastAsia="黑体"/>
          <w:highlight w:val="none"/>
        </w:rPr>
        <w:t>.2</w:t>
      </w:r>
      <w:r>
        <w:rPr>
          <w:rFonts w:hint="eastAsia" w:ascii="黑体" w:hAnsi="黑体" w:eastAsia="黑体"/>
          <w:highlight w:val="none"/>
        </w:rPr>
        <w:t>-</w:t>
      </w:r>
      <w:r>
        <w:rPr>
          <w:rFonts w:hint="eastAsia" w:ascii="黑体" w:eastAsia="黑体"/>
          <w:bCs/>
          <w:highlight w:val="none"/>
          <w:lang w:val="en-US" w:eastAsia="zh-CN"/>
        </w:rPr>
        <w:t>9</w:t>
      </w:r>
      <w:r>
        <w:rPr>
          <w:rFonts w:ascii="黑体" w:hAnsi="黑体" w:eastAsia="黑体"/>
          <w:highlight w:val="none"/>
        </w:rPr>
        <w:t xml:space="preserve"> </w:t>
      </w:r>
      <w:r>
        <w:rPr>
          <w:rFonts w:hint="eastAsia" w:ascii="黑体" w:hAnsi="黑体" w:eastAsia="黑体"/>
          <w:highlight w:val="none"/>
        </w:rPr>
        <w:t>现有</w:t>
      </w:r>
      <w:r>
        <w:rPr>
          <w:rFonts w:hint="eastAsia" w:ascii="黑体" w:hAnsi="黑体" w:eastAsia="黑体"/>
          <w:highlight w:val="none"/>
          <w:lang w:eastAsia="zh-CN"/>
        </w:rPr>
        <w:t>项目</w:t>
      </w:r>
      <w:r>
        <w:rPr>
          <w:rFonts w:hint="eastAsia" w:ascii="黑体" w:hAnsi="黑体" w:eastAsia="黑体"/>
          <w:highlight w:val="none"/>
        </w:rPr>
        <w:t>拟被替代的面源</w:t>
      </w:r>
      <w:r>
        <w:rPr>
          <w:rFonts w:ascii="黑体" w:hAnsi="黑体" w:eastAsia="黑体"/>
          <w:highlight w:val="none"/>
        </w:rPr>
        <w:t>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833"/>
        <w:gridCol w:w="675"/>
        <w:gridCol w:w="695"/>
        <w:gridCol w:w="894"/>
        <w:gridCol w:w="760"/>
        <w:gridCol w:w="837"/>
        <w:gridCol w:w="956"/>
        <w:gridCol w:w="1396"/>
        <w:gridCol w:w="1257"/>
        <w:gridCol w:w="891"/>
        <w:gridCol w:w="985"/>
        <w:gridCol w:w="123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07" w:type="pct"/>
            <w:vMerge w:val="restart"/>
            <w:shd w:val="clear" w:color="000000" w:fill="FFFFFF"/>
            <w:noWrap w:val="0"/>
            <w:vAlign w:val="center"/>
          </w:tcPr>
          <w:p>
            <w:pPr>
              <w:spacing w:line="280" w:lineRule="exact"/>
              <w:jc w:val="center"/>
              <w:rPr>
                <w:sz w:val="21"/>
                <w:szCs w:val="21"/>
              </w:rPr>
            </w:pPr>
            <w:r>
              <w:rPr>
                <w:rFonts w:hint="eastAsia"/>
                <w:sz w:val="21"/>
                <w:szCs w:val="21"/>
              </w:rPr>
              <w:t>编号</w:t>
            </w:r>
          </w:p>
        </w:tc>
        <w:tc>
          <w:tcPr>
            <w:tcW w:w="646" w:type="pct"/>
            <w:vMerge w:val="restart"/>
            <w:shd w:val="clear" w:color="000000" w:fill="FFFFFF"/>
            <w:noWrap w:val="0"/>
            <w:vAlign w:val="center"/>
          </w:tcPr>
          <w:p>
            <w:pPr>
              <w:spacing w:line="280" w:lineRule="exact"/>
              <w:jc w:val="center"/>
              <w:rPr>
                <w:sz w:val="21"/>
                <w:szCs w:val="21"/>
              </w:rPr>
            </w:pPr>
            <w:r>
              <w:rPr>
                <w:rFonts w:hint="eastAsia"/>
                <w:sz w:val="21"/>
                <w:szCs w:val="21"/>
              </w:rPr>
              <w:t>名称</w:t>
            </w:r>
          </w:p>
        </w:tc>
        <w:tc>
          <w:tcPr>
            <w:tcW w:w="483" w:type="pct"/>
            <w:gridSpan w:val="2"/>
            <w:shd w:val="clear" w:color="000000" w:fill="FFFFFF"/>
            <w:noWrap w:val="0"/>
            <w:vAlign w:val="center"/>
          </w:tcPr>
          <w:p>
            <w:pPr>
              <w:spacing w:line="280" w:lineRule="exact"/>
              <w:jc w:val="center"/>
              <w:rPr>
                <w:rFonts w:hint="eastAsia"/>
                <w:sz w:val="21"/>
                <w:szCs w:val="21"/>
              </w:rPr>
            </w:pPr>
            <w:r>
              <w:rPr>
                <w:rFonts w:hint="eastAsia"/>
                <w:sz w:val="21"/>
                <w:szCs w:val="21"/>
              </w:rPr>
              <w:t>面源起点坐标</w:t>
            </w:r>
            <w:r>
              <w:rPr>
                <w:rFonts w:cs="Times New Roman"/>
                <w:sz w:val="21"/>
                <w:szCs w:val="21"/>
              </w:rPr>
              <w:t>/m</w:t>
            </w:r>
          </w:p>
        </w:tc>
        <w:tc>
          <w:tcPr>
            <w:tcW w:w="315" w:type="pct"/>
            <w:vMerge w:val="restart"/>
            <w:shd w:val="clear" w:color="000000" w:fill="FFFFFF"/>
            <w:noWrap w:val="0"/>
            <w:vAlign w:val="center"/>
          </w:tcPr>
          <w:p>
            <w:pPr>
              <w:spacing w:line="280" w:lineRule="exact"/>
              <w:jc w:val="center"/>
              <w:rPr>
                <w:sz w:val="21"/>
                <w:szCs w:val="21"/>
              </w:rPr>
            </w:pPr>
            <w:r>
              <w:rPr>
                <w:rFonts w:hint="eastAsia"/>
                <w:sz w:val="21"/>
                <w:szCs w:val="21"/>
              </w:rPr>
              <w:t>面源海拔高度</w:t>
            </w:r>
            <w:r>
              <w:rPr>
                <w:rFonts w:cs="Times New Roman"/>
                <w:sz w:val="21"/>
                <w:szCs w:val="21"/>
              </w:rPr>
              <w:t>/m</w:t>
            </w:r>
          </w:p>
        </w:tc>
        <w:tc>
          <w:tcPr>
            <w:tcW w:w="268" w:type="pct"/>
            <w:vMerge w:val="restart"/>
            <w:shd w:val="clear" w:color="000000" w:fill="FFFFFF"/>
            <w:noWrap w:val="0"/>
            <w:vAlign w:val="center"/>
          </w:tcPr>
          <w:p>
            <w:pPr>
              <w:spacing w:line="280" w:lineRule="exact"/>
              <w:jc w:val="center"/>
              <w:rPr>
                <w:sz w:val="21"/>
                <w:szCs w:val="21"/>
              </w:rPr>
            </w:pPr>
            <w:r>
              <w:rPr>
                <w:rFonts w:hint="eastAsia"/>
                <w:sz w:val="21"/>
                <w:szCs w:val="21"/>
              </w:rPr>
              <w:t>面源长度</w:t>
            </w:r>
            <w:r>
              <w:rPr>
                <w:rFonts w:cs="Times New Roman"/>
                <w:sz w:val="21"/>
                <w:szCs w:val="21"/>
              </w:rPr>
              <w:t>/m</w:t>
            </w:r>
          </w:p>
        </w:tc>
        <w:tc>
          <w:tcPr>
            <w:tcW w:w="295" w:type="pct"/>
            <w:vMerge w:val="restart"/>
            <w:shd w:val="clear" w:color="000000" w:fill="FFFFFF"/>
            <w:noWrap w:val="0"/>
            <w:vAlign w:val="center"/>
          </w:tcPr>
          <w:p>
            <w:pPr>
              <w:spacing w:line="280" w:lineRule="exact"/>
              <w:jc w:val="center"/>
              <w:rPr>
                <w:sz w:val="21"/>
                <w:szCs w:val="21"/>
              </w:rPr>
            </w:pPr>
            <w:r>
              <w:rPr>
                <w:rFonts w:hint="eastAsia"/>
                <w:sz w:val="21"/>
                <w:szCs w:val="21"/>
              </w:rPr>
              <w:t>面源宽度</w:t>
            </w:r>
            <w:r>
              <w:rPr>
                <w:rFonts w:cs="Times New Roman"/>
                <w:sz w:val="21"/>
                <w:szCs w:val="21"/>
              </w:rPr>
              <w:t>/m</w:t>
            </w:r>
          </w:p>
        </w:tc>
        <w:tc>
          <w:tcPr>
            <w:tcW w:w="337" w:type="pct"/>
            <w:vMerge w:val="restart"/>
            <w:shd w:val="clear" w:color="000000" w:fill="FFFFFF"/>
            <w:noWrap w:val="0"/>
            <w:vAlign w:val="center"/>
          </w:tcPr>
          <w:p>
            <w:pPr>
              <w:spacing w:line="280" w:lineRule="exact"/>
              <w:jc w:val="center"/>
              <w:rPr>
                <w:sz w:val="21"/>
                <w:szCs w:val="21"/>
              </w:rPr>
            </w:pPr>
            <w:r>
              <w:rPr>
                <w:rFonts w:hint="eastAsia"/>
                <w:sz w:val="21"/>
                <w:szCs w:val="21"/>
              </w:rPr>
              <w:t>与正北向夹角</w:t>
            </w:r>
            <w:r>
              <w:rPr>
                <w:rFonts w:cs="Times New Roman"/>
                <w:sz w:val="21"/>
                <w:szCs w:val="21"/>
              </w:rPr>
              <w:t>/°</w:t>
            </w:r>
          </w:p>
        </w:tc>
        <w:tc>
          <w:tcPr>
            <w:tcW w:w="492" w:type="pct"/>
            <w:vMerge w:val="restart"/>
            <w:shd w:val="clear" w:color="000000" w:fill="FFFFFF"/>
            <w:noWrap w:val="0"/>
            <w:vAlign w:val="center"/>
          </w:tcPr>
          <w:p>
            <w:pPr>
              <w:spacing w:line="280" w:lineRule="exact"/>
              <w:jc w:val="center"/>
              <w:rPr>
                <w:sz w:val="21"/>
                <w:szCs w:val="21"/>
              </w:rPr>
            </w:pPr>
            <w:r>
              <w:rPr>
                <w:rFonts w:hint="eastAsia"/>
                <w:sz w:val="21"/>
                <w:szCs w:val="21"/>
              </w:rPr>
              <w:t>面源有效排放高度</w:t>
            </w:r>
            <w:r>
              <w:rPr>
                <w:rFonts w:cs="Times New Roman"/>
                <w:sz w:val="21"/>
                <w:szCs w:val="21"/>
              </w:rPr>
              <w:t>/m</w:t>
            </w:r>
          </w:p>
        </w:tc>
        <w:tc>
          <w:tcPr>
            <w:tcW w:w="443" w:type="pct"/>
            <w:vMerge w:val="restart"/>
            <w:shd w:val="clear" w:color="000000" w:fill="FFFFFF"/>
            <w:noWrap w:val="0"/>
            <w:vAlign w:val="center"/>
          </w:tcPr>
          <w:p>
            <w:pPr>
              <w:spacing w:line="280" w:lineRule="exact"/>
              <w:jc w:val="center"/>
              <w:rPr>
                <w:sz w:val="21"/>
                <w:szCs w:val="21"/>
              </w:rPr>
            </w:pPr>
            <w:r>
              <w:rPr>
                <w:rFonts w:hint="eastAsia"/>
                <w:sz w:val="21"/>
                <w:szCs w:val="21"/>
              </w:rPr>
              <w:t>年排放小时数</w:t>
            </w:r>
            <w:r>
              <w:rPr>
                <w:rFonts w:cs="Times New Roman"/>
                <w:sz w:val="21"/>
                <w:szCs w:val="21"/>
              </w:rPr>
              <w:t>/h</w:t>
            </w:r>
          </w:p>
        </w:tc>
        <w:tc>
          <w:tcPr>
            <w:tcW w:w="314" w:type="pct"/>
            <w:vMerge w:val="restart"/>
            <w:shd w:val="clear" w:color="000000" w:fill="FFFFFF"/>
            <w:noWrap w:val="0"/>
            <w:vAlign w:val="center"/>
          </w:tcPr>
          <w:p>
            <w:pPr>
              <w:spacing w:line="280" w:lineRule="exact"/>
              <w:jc w:val="center"/>
              <w:rPr>
                <w:rFonts w:ascii="Times New Roman" w:hAnsi="Times New Roman" w:eastAsia="Times New Roman" w:cs="Times New Roman"/>
                <w:color w:val="000000"/>
                <w:sz w:val="21"/>
                <w:szCs w:val="21"/>
                <w:lang w:val="en-US" w:eastAsia="en-US" w:bidi="en-US"/>
              </w:rPr>
            </w:pPr>
            <w:r>
              <w:rPr>
                <w:rFonts w:hint="eastAsia"/>
                <w:sz w:val="21"/>
                <w:szCs w:val="21"/>
              </w:rPr>
              <w:t>排放工况</w:t>
            </w:r>
          </w:p>
          <w:p>
            <w:pPr>
              <w:spacing w:line="280" w:lineRule="exact"/>
              <w:jc w:val="center"/>
              <w:rPr>
                <w:rFonts w:hint="eastAsia"/>
                <w:sz w:val="21"/>
                <w:szCs w:val="21"/>
              </w:rPr>
            </w:pPr>
          </w:p>
        </w:tc>
        <w:tc>
          <w:tcPr>
            <w:tcW w:w="1195" w:type="pct"/>
            <w:gridSpan w:val="3"/>
            <w:shd w:val="clear" w:color="000000" w:fill="FFFFFF"/>
            <w:noWrap w:val="0"/>
            <w:vAlign w:val="center"/>
          </w:tcPr>
          <w:p>
            <w:pPr>
              <w:spacing w:line="280" w:lineRule="exact"/>
              <w:jc w:val="center"/>
              <w:rPr>
                <w:rFonts w:hint="eastAsia"/>
                <w:sz w:val="21"/>
                <w:szCs w:val="21"/>
              </w:rPr>
            </w:pPr>
            <w:r>
              <w:rPr>
                <w:rFonts w:hint="eastAsia"/>
                <w:sz w:val="21"/>
                <w:szCs w:val="21"/>
              </w:rPr>
              <w:t>污染物排放</w:t>
            </w:r>
            <w:r>
              <w:rPr>
                <w:rFonts w:hint="eastAsia"/>
                <w:sz w:val="21"/>
                <w:szCs w:val="21"/>
                <w:lang w:eastAsia="zh-CN"/>
              </w:rPr>
              <w:t>速率</w:t>
            </w:r>
            <w:r>
              <w:rPr>
                <w:rFonts w:hint="eastAsia" w:cs="Times New Roman"/>
                <w:sz w:val="21"/>
                <w:szCs w:val="21"/>
              </w:rPr>
              <w:t>kg</w:t>
            </w:r>
            <w:r>
              <w:rPr>
                <w:rFonts w:cs="Times New Roman"/>
                <w:sz w:val="21"/>
                <w:szCs w:val="21"/>
              </w:rPr>
              <w:t>/</w:t>
            </w:r>
            <w:r>
              <w:rPr>
                <w:rFonts w:hint="eastAsia" w:cs="Times New Roman"/>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07" w:type="pct"/>
            <w:vMerge w:val="continue"/>
            <w:tcBorders>
              <w:bottom w:val="single" w:color="auto" w:sz="4" w:space="0"/>
            </w:tcBorders>
            <w:noWrap w:val="0"/>
            <w:vAlign w:val="center"/>
          </w:tcPr>
          <w:p>
            <w:pPr>
              <w:spacing w:line="280" w:lineRule="exact"/>
              <w:jc w:val="center"/>
              <w:rPr>
                <w:sz w:val="21"/>
                <w:szCs w:val="21"/>
              </w:rPr>
            </w:pPr>
          </w:p>
        </w:tc>
        <w:tc>
          <w:tcPr>
            <w:tcW w:w="646" w:type="pct"/>
            <w:vMerge w:val="continue"/>
            <w:tcBorders>
              <w:bottom w:val="single" w:color="auto" w:sz="4" w:space="0"/>
            </w:tcBorders>
            <w:noWrap w:val="0"/>
            <w:vAlign w:val="center"/>
          </w:tcPr>
          <w:p>
            <w:pPr>
              <w:spacing w:line="280" w:lineRule="exact"/>
              <w:jc w:val="center"/>
              <w:rPr>
                <w:sz w:val="21"/>
                <w:szCs w:val="21"/>
              </w:rPr>
            </w:pPr>
          </w:p>
        </w:tc>
        <w:tc>
          <w:tcPr>
            <w:tcW w:w="238" w:type="pct"/>
            <w:tcBorders>
              <w:bottom w:val="single" w:color="auto" w:sz="4" w:space="0"/>
            </w:tcBorders>
            <w:noWrap w:val="0"/>
            <w:vAlign w:val="center"/>
          </w:tcPr>
          <w:p>
            <w:pPr>
              <w:spacing w:line="280" w:lineRule="exact"/>
              <w:jc w:val="center"/>
              <w:rPr>
                <w:sz w:val="21"/>
                <w:szCs w:val="21"/>
              </w:rPr>
            </w:pPr>
            <w:r>
              <w:rPr>
                <w:rFonts w:cs="Times New Roman"/>
                <w:sz w:val="21"/>
                <w:szCs w:val="21"/>
              </w:rPr>
              <w:t>X</w:t>
            </w:r>
          </w:p>
        </w:tc>
        <w:tc>
          <w:tcPr>
            <w:tcW w:w="245" w:type="pct"/>
            <w:tcBorders>
              <w:bottom w:val="single" w:color="auto" w:sz="4" w:space="0"/>
            </w:tcBorders>
            <w:noWrap w:val="0"/>
            <w:vAlign w:val="center"/>
          </w:tcPr>
          <w:p>
            <w:pPr>
              <w:spacing w:line="280" w:lineRule="exact"/>
              <w:jc w:val="center"/>
              <w:rPr>
                <w:sz w:val="21"/>
                <w:szCs w:val="21"/>
              </w:rPr>
            </w:pPr>
            <w:r>
              <w:rPr>
                <w:rFonts w:cs="Times New Roman"/>
                <w:sz w:val="21"/>
                <w:szCs w:val="21"/>
              </w:rPr>
              <w:t>Y</w:t>
            </w:r>
          </w:p>
        </w:tc>
        <w:tc>
          <w:tcPr>
            <w:tcW w:w="315" w:type="pct"/>
            <w:vMerge w:val="continue"/>
            <w:tcBorders>
              <w:bottom w:val="single" w:color="auto" w:sz="4" w:space="0"/>
            </w:tcBorders>
            <w:noWrap w:val="0"/>
            <w:vAlign w:val="center"/>
          </w:tcPr>
          <w:p>
            <w:pPr>
              <w:spacing w:line="280" w:lineRule="exact"/>
              <w:jc w:val="center"/>
              <w:rPr>
                <w:sz w:val="21"/>
                <w:szCs w:val="21"/>
              </w:rPr>
            </w:pPr>
          </w:p>
        </w:tc>
        <w:tc>
          <w:tcPr>
            <w:tcW w:w="268" w:type="pct"/>
            <w:vMerge w:val="continue"/>
            <w:tcBorders>
              <w:bottom w:val="single" w:color="auto" w:sz="4" w:space="0"/>
            </w:tcBorders>
            <w:noWrap w:val="0"/>
            <w:vAlign w:val="center"/>
          </w:tcPr>
          <w:p>
            <w:pPr>
              <w:spacing w:line="280" w:lineRule="exact"/>
              <w:jc w:val="center"/>
              <w:rPr>
                <w:sz w:val="21"/>
                <w:szCs w:val="21"/>
              </w:rPr>
            </w:pPr>
          </w:p>
        </w:tc>
        <w:tc>
          <w:tcPr>
            <w:tcW w:w="295" w:type="pct"/>
            <w:vMerge w:val="continue"/>
            <w:tcBorders>
              <w:bottom w:val="single" w:color="auto" w:sz="4" w:space="0"/>
            </w:tcBorders>
            <w:noWrap w:val="0"/>
            <w:vAlign w:val="center"/>
          </w:tcPr>
          <w:p>
            <w:pPr>
              <w:spacing w:line="280" w:lineRule="exact"/>
              <w:jc w:val="center"/>
              <w:rPr>
                <w:sz w:val="21"/>
                <w:szCs w:val="21"/>
              </w:rPr>
            </w:pPr>
          </w:p>
        </w:tc>
        <w:tc>
          <w:tcPr>
            <w:tcW w:w="337" w:type="pct"/>
            <w:vMerge w:val="continue"/>
            <w:tcBorders>
              <w:bottom w:val="single" w:color="auto" w:sz="4" w:space="0"/>
            </w:tcBorders>
            <w:noWrap w:val="0"/>
            <w:vAlign w:val="center"/>
          </w:tcPr>
          <w:p>
            <w:pPr>
              <w:spacing w:line="280" w:lineRule="exact"/>
              <w:jc w:val="center"/>
              <w:rPr>
                <w:sz w:val="21"/>
                <w:szCs w:val="21"/>
              </w:rPr>
            </w:pPr>
          </w:p>
        </w:tc>
        <w:tc>
          <w:tcPr>
            <w:tcW w:w="492" w:type="pct"/>
            <w:vMerge w:val="continue"/>
            <w:tcBorders>
              <w:bottom w:val="single" w:color="auto" w:sz="4" w:space="0"/>
            </w:tcBorders>
            <w:noWrap w:val="0"/>
            <w:vAlign w:val="center"/>
          </w:tcPr>
          <w:p>
            <w:pPr>
              <w:spacing w:line="280" w:lineRule="exact"/>
              <w:jc w:val="center"/>
              <w:rPr>
                <w:sz w:val="21"/>
                <w:szCs w:val="21"/>
              </w:rPr>
            </w:pPr>
          </w:p>
        </w:tc>
        <w:tc>
          <w:tcPr>
            <w:tcW w:w="443" w:type="pct"/>
            <w:vMerge w:val="continue"/>
            <w:tcBorders>
              <w:bottom w:val="single" w:color="auto" w:sz="4" w:space="0"/>
            </w:tcBorders>
            <w:noWrap w:val="0"/>
            <w:vAlign w:val="center"/>
          </w:tcPr>
          <w:p>
            <w:pPr>
              <w:spacing w:line="280" w:lineRule="exact"/>
              <w:jc w:val="center"/>
              <w:rPr>
                <w:sz w:val="21"/>
                <w:szCs w:val="21"/>
              </w:rPr>
            </w:pPr>
          </w:p>
        </w:tc>
        <w:tc>
          <w:tcPr>
            <w:tcW w:w="314" w:type="pct"/>
            <w:vMerge w:val="continue"/>
            <w:tcBorders>
              <w:bottom w:val="single" w:color="auto" w:sz="4" w:space="0"/>
            </w:tcBorders>
            <w:noWrap w:val="0"/>
            <w:vAlign w:val="center"/>
          </w:tcPr>
          <w:p>
            <w:pPr>
              <w:spacing w:line="280" w:lineRule="exact"/>
              <w:jc w:val="center"/>
              <w:rPr>
                <w:sz w:val="21"/>
                <w:szCs w:val="21"/>
              </w:rPr>
            </w:pPr>
          </w:p>
        </w:tc>
        <w:tc>
          <w:tcPr>
            <w:tcW w:w="347" w:type="pct"/>
            <w:tcBorders>
              <w:bottom w:val="single" w:color="auto" w:sz="4" w:space="0"/>
            </w:tcBorders>
            <w:noWrap w:val="0"/>
            <w:vAlign w:val="center"/>
          </w:tcPr>
          <w:p>
            <w:pPr>
              <w:spacing w:line="280" w:lineRule="exact"/>
              <w:jc w:val="center"/>
              <w:rPr>
                <w:sz w:val="21"/>
                <w:szCs w:val="21"/>
              </w:rPr>
            </w:pPr>
            <w:r>
              <w:rPr>
                <w:sz w:val="21"/>
                <w:szCs w:val="21"/>
              </w:rPr>
              <w:t>VOCs</w:t>
            </w:r>
          </w:p>
        </w:tc>
        <w:tc>
          <w:tcPr>
            <w:tcW w:w="435" w:type="pct"/>
            <w:tcBorders>
              <w:bottom w:val="single" w:color="auto" w:sz="4" w:space="0"/>
            </w:tcBorders>
            <w:noWrap w:val="0"/>
            <w:vAlign w:val="center"/>
          </w:tcPr>
          <w:p>
            <w:pPr>
              <w:spacing w:line="300" w:lineRule="exact"/>
              <w:jc w:val="center"/>
              <w:rPr>
                <w:rFonts w:hint="eastAsia" w:eastAsia="宋体" w:cs="Times New Roman"/>
                <w:sz w:val="21"/>
                <w:szCs w:val="21"/>
                <w:lang w:eastAsia="zh-CN"/>
              </w:rPr>
            </w:pPr>
            <w:r>
              <w:rPr>
                <w:rFonts w:hint="eastAsia" w:eastAsia="宋体" w:cs="Times New Roman"/>
                <w:sz w:val="21"/>
                <w:szCs w:val="21"/>
                <w:lang w:eastAsia="zh-CN"/>
              </w:rPr>
              <w:t>苯酚</w:t>
            </w:r>
          </w:p>
        </w:tc>
        <w:tc>
          <w:tcPr>
            <w:tcW w:w="412" w:type="pct"/>
            <w:tcBorders>
              <w:bottom w:val="single" w:color="auto" w:sz="4" w:space="0"/>
            </w:tcBorders>
            <w:noWrap/>
            <w:vAlign w:val="center"/>
          </w:tcPr>
          <w:p>
            <w:pPr>
              <w:spacing w:line="300" w:lineRule="exact"/>
              <w:jc w:val="center"/>
              <w:rPr>
                <w:sz w:val="21"/>
                <w:szCs w:val="21"/>
              </w:rPr>
            </w:pPr>
            <w:r>
              <w:rPr>
                <w:rFonts w:hint="eastAsia"/>
                <w:sz w:val="21"/>
                <w:szCs w:val="21"/>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07" w:type="pct"/>
            <w:noWrap/>
            <w:vAlign w:val="center"/>
          </w:tcPr>
          <w:p>
            <w:pPr>
              <w:spacing w:line="280" w:lineRule="exact"/>
              <w:jc w:val="center"/>
              <w:rPr>
                <w:sz w:val="21"/>
                <w:szCs w:val="21"/>
              </w:rPr>
            </w:pPr>
            <w:r>
              <w:rPr>
                <w:rFonts w:hint="eastAsia"/>
                <w:sz w:val="21"/>
                <w:szCs w:val="21"/>
              </w:rPr>
              <w:t>A1</w:t>
            </w:r>
          </w:p>
        </w:tc>
        <w:tc>
          <w:tcPr>
            <w:tcW w:w="646" w:type="pct"/>
            <w:noWrap/>
            <w:vAlign w:val="center"/>
          </w:tcPr>
          <w:p>
            <w:pPr>
              <w:spacing w:line="280" w:lineRule="exact"/>
              <w:jc w:val="center"/>
              <w:rPr>
                <w:sz w:val="21"/>
                <w:szCs w:val="21"/>
              </w:rPr>
            </w:pPr>
            <w:r>
              <w:rPr>
                <w:rFonts w:hint="eastAsia" w:eastAsia="宋体"/>
                <w:sz w:val="21"/>
                <w:szCs w:val="21"/>
                <w:lang w:eastAsia="zh-CN"/>
              </w:rPr>
              <w:t>生产</w:t>
            </w:r>
            <w:r>
              <w:rPr>
                <w:rFonts w:hint="eastAsia" w:eastAsia="宋体"/>
                <w:sz w:val="21"/>
                <w:szCs w:val="21"/>
                <w:lang w:val="en-US" w:eastAsia="zh-CN"/>
              </w:rPr>
              <w:t>车</w:t>
            </w:r>
            <w:r>
              <w:rPr>
                <w:rFonts w:hint="eastAsia"/>
                <w:sz w:val="21"/>
                <w:szCs w:val="21"/>
              </w:rPr>
              <w:t>间</w:t>
            </w:r>
          </w:p>
        </w:tc>
        <w:tc>
          <w:tcPr>
            <w:tcW w:w="238"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-670</w:t>
            </w:r>
          </w:p>
        </w:tc>
        <w:tc>
          <w:tcPr>
            <w:tcW w:w="245" w:type="pct"/>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lang w:val="en-US" w:eastAsia="zh-CN"/>
              </w:rPr>
            </w:pPr>
            <w:r>
              <w:rPr>
                <w:rFonts w:hint="eastAsia"/>
                <w:lang w:val="en-US" w:eastAsia="zh-CN"/>
              </w:rPr>
              <w:t>1388</w:t>
            </w:r>
          </w:p>
        </w:tc>
        <w:tc>
          <w:tcPr>
            <w:tcW w:w="315"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100</w:t>
            </w:r>
          </w:p>
        </w:tc>
        <w:tc>
          <w:tcPr>
            <w:tcW w:w="268"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64</w:t>
            </w:r>
          </w:p>
        </w:tc>
        <w:tc>
          <w:tcPr>
            <w:tcW w:w="295"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30</w:t>
            </w:r>
          </w:p>
        </w:tc>
        <w:tc>
          <w:tcPr>
            <w:tcW w:w="337"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w:t>
            </w:r>
          </w:p>
        </w:tc>
        <w:tc>
          <w:tcPr>
            <w:tcW w:w="492"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8</w:t>
            </w:r>
          </w:p>
        </w:tc>
        <w:tc>
          <w:tcPr>
            <w:tcW w:w="443" w:type="pct"/>
            <w:noWrap/>
            <w:vAlign w:val="center"/>
          </w:tcPr>
          <w:p>
            <w:pPr>
              <w:spacing w:line="280" w:lineRule="exact"/>
              <w:jc w:val="center"/>
              <w:rPr>
                <w:rFonts w:hint="default" w:ascii="Times New Roman" w:hAnsi="Times New Roman" w:eastAsia="宋体" w:cs="Times New Roman"/>
                <w:color w:val="000000"/>
                <w:sz w:val="21"/>
                <w:szCs w:val="21"/>
                <w:lang w:val="en-US" w:eastAsia="zh-CN" w:bidi="en-US"/>
              </w:rPr>
            </w:pPr>
            <w:r>
              <w:rPr>
                <w:rFonts w:hint="eastAsia" w:eastAsia="宋体" w:cs="Times New Roman"/>
                <w:color w:val="000000"/>
                <w:sz w:val="21"/>
                <w:szCs w:val="21"/>
                <w:lang w:val="en-US" w:eastAsia="zh-CN" w:bidi="en-US"/>
              </w:rPr>
              <w:t>4800</w:t>
            </w:r>
          </w:p>
        </w:tc>
        <w:tc>
          <w:tcPr>
            <w:tcW w:w="314" w:type="pct"/>
            <w:noWrap/>
            <w:vAlign w:val="center"/>
          </w:tcPr>
          <w:p>
            <w:pPr>
              <w:spacing w:line="280" w:lineRule="exact"/>
              <w:jc w:val="center"/>
              <w:rPr>
                <w:rFonts w:hint="eastAsia" w:eastAsia="宋体"/>
                <w:sz w:val="21"/>
                <w:szCs w:val="21"/>
                <w:lang w:eastAsia="zh-CN"/>
              </w:rPr>
            </w:pPr>
            <w:r>
              <w:rPr>
                <w:rFonts w:hint="eastAsia" w:eastAsia="宋体"/>
                <w:sz w:val="21"/>
                <w:szCs w:val="21"/>
                <w:lang w:eastAsia="zh-CN"/>
              </w:rPr>
              <w:t>间断</w:t>
            </w:r>
          </w:p>
        </w:tc>
        <w:tc>
          <w:tcPr>
            <w:tcW w:w="347"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0.0102</w:t>
            </w:r>
          </w:p>
        </w:tc>
        <w:tc>
          <w:tcPr>
            <w:tcW w:w="435" w:type="pct"/>
            <w:noWrap w:val="0"/>
            <w:vAlign w:val="center"/>
          </w:tcPr>
          <w:p>
            <w:pPr>
              <w:spacing w:line="280" w:lineRule="exact"/>
              <w:jc w:val="center"/>
              <w:rPr>
                <w:rFonts w:hint="default" w:eastAsia="宋体" w:cs="Times New Roman"/>
                <w:sz w:val="21"/>
                <w:szCs w:val="21"/>
                <w:lang w:val="en-US" w:eastAsia="zh-CN"/>
              </w:rPr>
            </w:pPr>
            <w:r>
              <w:rPr>
                <w:rFonts w:hint="eastAsia" w:eastAsia="宋体" w:cs="Times New Roman"/>
                <w:sz w:val="21"/>
                <w:szCs w:val="21"/>
                <w:lang w:val="en-US" w:eastAsia="zh-CN"/>
              </w:rPr>
              <w:t>0.0021</w:t>
            </w:r>
          </w:p>
        </w:tc>
        <w:tc>
          <w:tcPr>
            <w:tcW w:w="412" w:type="pct"/>
            <w:noWrap/>
            <w:vAlign w:val="center"/>
          </w:tcPr>
          <w:p>
            <w:pPr>
              <w:spacing w:line="280" w:lineRule="exact"/>
              <w:jc w:val="center"/>
              <w:rPr>
                <w:rFonts w:hint="default" w:eastAsia="宋体"/>
                <w:sz w:val="21"/>
                <w:szCs w:val="21"/>
                <w:lang w:val="en-US" w:eastAsia="zh-CN"/>
              </w:rPr>
            </w:pPr>
            <w:r>
              <w:rPr>
                <w:rFonts w:hint="eastAsia" w:eastAsia="宋体"/>
                <w:sz w:val="21"/>
                <w:szCs w:val="21"/>
                <w:lang w:val="en-US" w:eastAsia="zh-CN"/>
              </w:rPr>
              <w:t>0.0019</w:t>
            </w:r>
          </w:p>
        </w:tc>
      </w:tr>
    </w:tbl>
    <w:p>
      <w:pPr>
        <w:rPr>
          <w:rFonts w:hint="eastAsia" w:ascii="黑体" w:hAnsi="黑体" w:eastAsia="黑体"/>
          <w:lang w:val="en-US" w:eastAsia="zh-CN"/>
        </w:rPr>
      </w:pPr>
      <w:r>
        <w:rPr>
          <w:rFonts w:hint="eastAsia" w:ascii="黑体" w:hAnsi="黑体" w:eastAsia="黑体"/>
        </w:rPr>
        <w:t>注：污染物排放速率按照产污工序工作时间计算</w:t>
      </w:r>
      <w:r>
        <w:rPr>
          <w:rFonts w:hint="eastAsia" w:ascii="黑体" w:hAnsi="黑体" w:eastAsia="黑体"/>
          <w:lang w:eastAsia="zh-CN"/>
        </w:rPr>
        <w:t>。</w:t>
      </w:r>
    </w:p>
    <w:p>
      <w:pPr>
        <w:jc w:val="center"/>
        <w:rPr>
          <w:rFonts w:hint="eastAsia" w:ascii="黑体" w:hAnsi="黑体" w:eastAsia="黑体"/>
        </w:rPr>
      </w:pPr>
      <w:r>
        <w:rPr>
          <w:rFonts w:hint="eastAsia" w:ascii="黑体" w:hAnsi="黑体" w:eastAsia="黑体"/>
        </w:rPr>
        <w:t>表</w:t>
      </w:r>
      <w:r>
        <w:rPr>
          <w:rFonts w:hint="eastAsia" w:ascii="黑体" w:hAnsi="黑体" w:eastAsia="黑体"/>
          <w:lang w:val="en-US" w:eastAsia="zh-CN"/>
        </w:rPr>
        <w:t>5</w:t>
      </w:r>
      <w:r>
        <w:rPr>
          <w:rFonts w:ascii="黑体" w:hAnsi="黑体" w:eastAsia="黑体"/>
        </w:rPr>
        <w:t>.2</w:t>
      </w:r>
      <w:r>
        <w:rPr>
          <w:rFonts w:hint="eastAsia" w:ascii="黑体" w:hAnsi="黑体" w:eastAsia="黑体"/>
        </w:rPr>
        <w:t>-</w:t>
      </w:r>
      <w:r>
        <w:rPr>
          <w:rFonts w:hint="eastAsia" w:ascii="黑体" w:eastAsia="黑体"/>
          <w:bCs/>
          <w:lang w:val="en-US" w:eastAsia="zh-CN"/>
        </w:rPr>
        <w:t>10</w:t>
      </w:r>
      <w:r>
        <w:rPr>
          <w:rFonts w:ascii="黑体" w:hAnsi="黑体" w:eastAsia="黑体"/>
        </w:rPr>
        <w:t xml:space="preserve">  拟建工程</w:t>
      </w:r>
      <w:r>
        <w:rPr>
          <w:rFonts w:hint="eastAsia" w:ascii="黑体" w:hAnsi="黑体" w:eastAsia="黑体"/>
        </w:rPr>
        <w:t>非正常工况</w:t>
      </w:r>
      <w:r>
        <w:rPr>
          <w:rFonts w:ascii="黑体" w:hAnsi="黑体" w:eastAsia="黑体"/>
        </w:rPr>
        <w:t>点源参数调查清单</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689"/>
        <w:gridCol w:w="845"/>
        <w:gridCol w:w="801"/>
        <w:gridCol w:w="1136"/>
        <w:gridCol w:w="1121"/>
        <w:gridCol w:w="1136"/>
        <w:gridCol w:w="1486"/>
        <w:gridCol w:w="1238"/>
        <w:gridCol w:w="1592"/>
        <w:gridCol w:w="119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 w:type="pct"/>
            <w:vMerge w:val="restart"/>
            <w:shd w:val="clear" w:color="000000" w:fill="FFFFFF"/>
            <w:noWrap w:val="0"/>
            <w:vAlign w:val="center"/>
          </w:tcPr>
          <w:p>
            <w:pPr>
              <w:spacing w:line="360" w:lineRule="exact"/>
              <w:jc w:val="center"/>
              <w:rPr>
                <w:sz w:val="21"/>
                <w:szCs w:val="21"/>
                <w:highlight w:val="none"/>
              </w:rPr>
            </w:pPr>
            <w:r>
              <w:rPr>
                <w:rFonts w:hint="eastAsia"/>
                <w:sz w:val="21"/>
                <w:szCs w:val="21"/>
                <w:highlight w:val="none"/>
              </w:rPr>
              <w:t>编号</w:t>
            </w:r>
          </w:p>
        </w:tc>
        <w:tc>
          <w:tcPr>
            <w:tcW w:w="595" w:type="pct"/>
            <w:vMerge w:val="restart"/>
            <w:shd w:val="clear" w:color="000000" w:fill="FFFFFF"/>
            <w:noWrap w:val="0"/>
            <w:vAlign w:val="center"/>
          </w:tcPr>
          <w:p>
            <w:pPr>
              <w:spacing w:line="360" w:lineRule="exact"/>
              <w:jc w:val="center"/>
              <w:rPr>
                <w:sz w:val="21"/>
                <w:szCs w:val="21"/>
                <w:highlight w:val="none"/>
              </w:rPr>
            </w:pPr>
            <w:r>
              <w:rPr>
                <w:rFonts w:hint="eastAsia"/>
                <w:sz w:val="21"/>
                <w:szCs w:val="21"/>
                <w:highlight w:val="none"/>
              </w:rPr>
              <w:t>名称</w:t>
            </w:r>
          </w:p>
        </w:tc>
        <w:tc>
          <w:tcPr>
            <w:tcW w:w="580" w:type="pct"/>
            <w:gridSpan w:val="2"/>
            <w:shd w:val="clear" w:color="000000" w:fill="FFFFFF"/>
            <w:noWrap w:val="0"/>
            <w:vAlign w:val="center"/>
          </w:tcPr>
          <w:p>
            <w:pPr>
              <w:spacing w:line="360" w:lineRule="exact"/>
              <w:jc w:val="center"/>
              <w:rPr>
                <w:sz w:val="21"/>
                <w:szCs w:val="21"/>
                <w:highlight w:val="none"/>
              </w:rPr>
            </w:pPr>
            <w:r>
              <w:rPr>
                <w:rFonts w:hint="eastAsia"/>
                <w:sz w:val="21"/>
                <w:szCs w:val="21"/>
                <w:highlight w:val="none"/>
              </w:rPr>
              <w:t>排气筒底部中心坐标（</w:t>
            </w:r>
            <w:r>
              <w:rPr>
                <w:rFonts w:cs="Times New Roman"/>
                <w:sz w:val="21"/>
                <w:szCs w:val="21"/>
                <w:highlight w:val="none"/>
              </w:rPr>
              <w:t>m</w:t>
            </w:r>
            <w:r>
              <w:rPr>
                <w:rFonts w:hint="eastAsia"/>
                <w:sz w:val="21"/>
                <w:szCs w:val="21"/>
                <w:highlight w:val="none"/>
              </w:rPr>
              <w:t>）</w:t>
            </w:r>
          </w:p>
        </w:tc>
        <w:tc>
          <w:tcPr>
            <w:tcW w:w="400" w:type="pct"/>
            <w:vMerge w:val="restart"/>
            <w:shd w:val="clear" w:color="000000" w:fill="FFFFFF"/>
            <w:noWrap w:val="0"/>
            <w:vAlign w:val="center"/>
          </w:tcPr>
          <w:p>
            <w:pPr>
              <w:spacing w:line="360" w:lineRule="exact"/>
              <w:jc w:val="center"/>
              <w:rPr>
                <w:sz w:val="21"/>
                <w:szCs w:val="21"/>
                <w:highlight w:val="none"/>
              </w:rPr>
            </w:pPr>
            <w:r>
              <w:rPr>
                <w:rFonts w:hint="eastAsia"/>
                <w:sz w:val="21"/>
                <w:szCs w:val="21"/>
                <w:highlight w:val="none"/>
              </w:rPr>
              <w:t>排气筒底部海拔高度</w:t>
            </w:r>
            <w:r>
              <w:rPr>
                <w:rFonts w:cs="Times New Roman"/>
                <w:sz w:val="21"/>
                <w:szCs w:val="21"/>
                <w:highlight w:val="none"/>
              </w:rPr>
              <w:t>/m</w:t>
            </w:r>
          </w:p>
        </w:tc>
        <w:tc>
          <w:tcPr>
            <w:tcW w:w="395" w:type="pct"/>
            <w:vMerge w:val="restart"/>
            <w:shd w:val="clear" w:color="000000" w:fill="FFFFFF"/>
            <w:noWrap w:val="0"/>
            <w:vAlign w:val="center"/>
          </w:tcPr>
          <w:p>
            <w:pPr>
              <w:spacing w:line="360" w:lineRule="exact"/>
              <w:jc w:val="center"/>
              <w:rPr>
                <w:sz w:val="21"/>
                <w:szCs w:val="21"/>
                <w:highlight w:val="none"/>
              </w:rPr>
            </w:pPr>
            <w:r>
              <w:rPr>
                <w:rFonts w:hint="eastAsia"/>
                <w:sz w:val="21"/>
                <w:szCs w:val="21"/>
                <w:highlight w:val="none"/>
              </w:rPr>
              <w:t>排气筒高度</w:t>
            </w:r>
            <w:r>
              <w:rPr>
                <w:rFonts w:cs="Times New Roman"/>
                <w:sz w:val="21"/>
                <w:szCs w:val="21"/>
                <w:highlight w:val="none"/>
              </w:rPr>
              <w:t>/m</w:t>
            </w:r>
          </w:p>
        </w:tc>
        <w:tc>
          <w:tcPr>
            <w:tcW w:w="400" w:type="pct"/>
            <w:vMerge w:val="restart"/>
            <w:shd w:val="clear" w:color="000000" w:fill="FFFFFF"/>
            <w:noWrap w:val="0"/>
            <w:vAlign w:val="center"/>
          </w:tcPr>
          <w:p>
            <w:pPr>
              <w:spacing w:line="360" w:lineRule="exact"/>
              <w:jc w:val="center"/>
              <w:rPr>
                <w:sz w:val="21"/>
                <w:szCs w:val="21"/>
                <w:highlight w:val="none"/>
              </w:rPr>
            </w:pPr>
            <w:r>
              <w:rPr>
                <w:rFonts w:hint="eastAsia"/>
                <w:sz w:val="21"/>
                <w:szCs w:val="21"/>
                <w:highlight w:val="none"/>
              </w:rPr>
              <w:t>排气筒出口内径</w:t>
            </w:r>
            <w:r>
              <w:rPr>
                <w:rFonts w:cs="Times New Roman"/>
                <w:sz w:val="21"/>
                <w:szCs w:val="21"/>
                <w:highlight w:val="none"/>
              </w:rPr>
              <w:t>/m</w:t>
            </w:r>
          </w:p>
        </w:tc>
        <w:tc>
          <w:tcPr>
            <w:tcW w:w="524" w:type="pct"/>
            <w:vMerge w:val="restart"/>
            <w:shd w:val="clear" w:color="000000" w:fill="FFFFFF"/>
            <w:noWrap w:val="0"/>
            <w:vAlign w:val="center"/>
          </w:tcPr>
          <w:p>
            <w:pPr>
              <w:spacing w:line="360" w:lineRule="exact"/>
              <w:jc w:val="center"/>
              <w:rPr>
                <w:sz w:val="21"/>
                <w:szCs w:val="21"/>
                <w:highlight w:val="none"/>
              </w:rPr>
            </w:pPr>
            <w:r>
              <w:rPr>
                <w:rFonts w:hint="eastAsia"/>
                <w:sz w:val="21"/>
                <w:szCs w:val="21"/>
                <w:highlight w:val="none"/>
              </w:rPr>
              <w:t>烟气温度</w:t>
            </w:r>
            <w:r>
              <w:rPr>
                <w:rFonts w:cs="Times New Roman"/>
                <w:sz w:val="21"/>
                <w:szCs w:val="21"/>
                <w:highlight w:val="none"/>
              </w:rPr>
              <w:t>/</w:t>
            </w:r>
            <w:r>
              <w:rPr>
                <w:rFonts w:hint="eastAsia"/>
                <w:sz w:val="21"/>
                <w:szCs w:val="21"/>
                <w:highlight w:val="none"/>
              </w:rPr>
              <w:t>℃</w:t>
            </w:r>
          </w:p>
        </w:tc>
        <w:tc>
          <w:tcPr>
            <w:tcW w:w="436" w:type="pct"/>
            <w:vMerge w:val="restart"/>
            <w:shd w:val="clear" w:color="000000" w:fill="FFFFFF"/>
            <w:noWrap w:val="0"/>
            <w:vAlign w:val="center"/>
          </w:tcPr>
          <w:p>
            <w:pPr>
              <w:spacing w:line="360" w:lineRule="exact"/>
              <w:jc w:val="center"/>
              <w:rPr>
                <w:rFonts w:hint="eastAsia"/>
                <w:sz w:val="21"/>
                <w:szCs w:val="21"/>
                <w:highlight w:val="none"/>
              </w:rPr>
            </w:pPr>
            <w:r>
              <w:rPr>
                <w:rFonts w:hint="eastAsia"/>
                <w:sz w:val="21"/>
                <w:szCs w:val="21"/>
                <w:highlight w:val="none"/>
              </w:rPr>
              <w:t>处理效率</w:t>
            </w:r>
          </w:p>
        </w:tc>
        <w:tc>
          <w:tcPr>
            <w:tcW w:w="1399" w:type="pct"/>
            <w:gridSpan w:val="3"/>
            <w:shd w:val="clear" w:color="000000" w:fill="FFFFFF"/>
            <w:noWrap w:val="0"/>
            <w:vAlign w:val="center"/>
          </w:tcPr>
          <w:p>
            <w:pPr>
              <w:spacing w:line="360" w:lineRule="exact"/>
              <w:jc w:val="center"/>
              <w:rPr>
                <w:rFonts w:hint="eastAsia"/>
                <w:sz w:val="21"/>
                <w:szCs w:val="21"/>
                <w:highlight w:val="none"/>
              </w:rPr>
            </w:pPr>
            <w:r>
              <w:rPr>
                <w:rFonts w:hint="eastAsia"/>
                <w:sz w:val="21"/>
                <w:szCs w:val="21"/>
                <w:highlight w:val="none"/>
              </w:rPr>
              <w:t>污染物排放速</w:t>
            </w:r>
            <w:r>
              <w:rPr>
                <w:rFonts w:hint="eastAsia"/>
                <w:sz w:val="21"/>
                <w:szCs w:val="21"/>
                <w:highlight w:val="none"/>
                <w:lang w:eastAsia="zh-CN"/>
              </w:rPr>
              <w:t>速率</w:t>
            </w:r>
            <w:r>
              <w:rPr>
                <w:rFonts w:cs="Times New Roman"/>
                <w:sz w:val="21"/>
                <w:szCs w:val="21"/>
                <w:highlight w:val="none"/>
              </w:rPr>
              <w:t>/</w:t>
            </w:r>
            <w:r>
              <w:rPr>
                <w:rFonts w:hint="eastAsia" w:cs="Times New Roman"/>
                <w:sz w:val="21"/>
                <w:szCs w:val="21"/>
                <w:highlight w:val="none"/>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6" w:type="pct"/>
            <w:vMerge w:val="continue"/>
            <w:shd w:val="clear" w:color="auto" w:fill="auto"/>
            <w:noWrap w:val="0"/>
            <w:vAlign w:val="center"/>
          </w:tcPr>
          <w:p>
            <w:pPr>
              <w:spacing w:line="360" w:lineRule="exact"/>
              <w:jc w:val="center"/>
              <w:rPr>
                <w:sz w:val="21"/>
                <w:szCs w:val="21"/>
                <w:highlight w:val="none"/>
              </w:rPr>
            </w:pPr>
          </w:p>
        </w:tc>
        <w:tc>
          <w:tcPr>
            <w:tcW w:w="595" w:type="pct"/>
            <w:vMerge w:val="continue"/>
            <w:shd w:val="clear" w:color="auto" w:fill="auto"/>
            <w:noWrap w:val="0"/>
            <w:vAlign w:val="center"/>
          </w:tcPr>
          <w:p>
            <w:pPr>
              <w:spacing w:line="360" w:lineRule="exact"/>
              <w:jc w:val="center"/>
              <w:rPr>
                <w:sz w:val="21"/>
                <w:szCs w:val="21"/>
                <w:highlight w:val="none"/>
              </w:rPr>
            </w:pPr>
          </w:p>
        </w:tc>
        <w:tc>
          <w:tcPr>
            <w:tcW w:w="298" w:type="pct"/>
            <w:shd w:val="clear" w:color="000000" w:fill="FFFFFF"/>
            <w:noWrap w:val="0"/>
            <w:vAlign w:val="center"/>
          </w:tcPr>
          <w:p>
            <w:pPr>
              <w:spacing w:line="360" w:lineRule="exact"/>
              <w:jc w:val="center"/>
              <w:rPr>
                <w:rFonts w:cs="Times New Roman"/>
                <w:sz w:val="21"/>
                <w:szCs w:val="21"/>
                <w:highlight w:val="none"/>
              </w:rPr>
            </w:pPr>
            <w:r>
              <w:rPr>
                <w:rFonts w:cs="Times New Roman"/>
                <w:sz w:val="21"/>
                <w:szCs w:val="21"/>
                <w:highlight w:val="none"/>
              </w:rPr>
              <w:t>X</w:t>
            </w:r>
          </w:p>
        </w:tc>
        <w:tc>
          <w:tcPr>
            <w:tcW w:w="282" w:type="pct"/>
            <w:shd w:val="clear" w:color="000000" w:fill="FFFFFF"/>
            <w:noWrap w:val="0"/>
            <w:vAlign w:val="center"/>
          </w:tcPr>
          <w:p>
            <w:pPr>
              <w:spacing w:line="360" w:lineRule="exact"/>
              <w:jc w:val="center"/>
              <w:rPr>
                <w:rFonts w:cs="Times New Roman"/>
                <w:sz w:val="21"/>
                <w:szCs w:val="21"/>
                <w:highlight w:val="none"/>
              </w:rPr>
            </w:pPr>
            <w:r>
              <w:rPr>
                <w:rFonts w:cs="Times New Roman"/>
                <w:sz w:val="21"/>
                <w:szCs w:val="21"/>
                <w:highlight w:val="none"/>
              </w:rPr>
              <w:t>Y</w:t>
            </w:r>
          </w:p>
        </w:tc>
        <w:tc>
          <w:tcPr>
            <w:tcW w:w="400" w:type="pct"/>
            <w:vMerge w:val="continue"/>
            <w:shd w:val="clear" w:color="auto" w:fill="auto"/>
            <w:noWrap w:val="0"/>
            <w:vAlign w:val="center"/>
          </w:tcPr>
          <w:p>
            <w:pPr>
              <w:spacing w:line="360" w:lineRule="exact"/>
              <w:jc w:val="center"/>
              <w:rPr>
                <w:sz w:val="21"/>
                <w:szCs w:val="21"/>
                <w:highlight w:val="none"/>
              </w:rPr>
            </w:pPr>
          </w:p>
        </w:tc>
        <w:tc>
          <w:tcPr>
            <w:tcW w:w="395" w:type="pct"/>
            <w:vMerge w:val="continue"/>
            <w:shd w:val="clear" w:color="auto" w:fill="auto"/>
            <w:noWrap w:val="0"/>
            <w:vAlign w:val="center"/>
          </w:tcPr>
          <w:p>
            <w:pPr>
              <w:spacing w:line="360" w:lineRule="exact"/>
              <w:jc w:val="center"/>
              <w:rPr>
                <w:sz w:val="21"/>
                <w:szCs w:val="21"/>
                <w:highlight w:val="none"/>
              </w:rPr>
            </w:pPr>
          </w:p>
        </w:tc>
        <w:tc>
          <w:tcPr>
            <w:tcW w:w="400" w:type="pct"/>
            <w:vMerge w:val="continue"/>
            <w:shd w:val="clear" w:color="auto" w:fill="auto"/>
            <w:noWrap w:val="0"/>
            <w:vAlign w:val="center"/>
          </w:tcPr>
          <w:p>
            <w:pPr>
              <w:spacing w:line="360" w:lineRule="exact"/>
              <w:jc w:val="center"/>
              <w:rPr>
                <w:sz w:val="21"/>
                <w:szCs w:val="21"/>
                <w:highlight w:val="none"/>
              </w:rPr>
            </w:pPr>
          </w:p>
        </w:tc>
        <w:tc>
          <w:tcPr>
            <w:tcW w:w="524" w:type="pct"/>
            <w:vMerge w:val="continue"/>
            <w:shd w:val="clear" w:color="auto" w:fill="auto"/>
            <w:noWrap w:val="0"/>
            <w:vAlign w:val="center"/>
          </w:tcPr>
          <w:p>
            <w:pPr>
              <w:spacing w:line="360" w:lineRule="exact"/>
              <w:jc w:val="center"/>
              <w:rPr>
                <w:sz w:val="21"/>
                <w:szCs w:val="21"/>
                <w:highlight w:val="none"/>
              </w:rPr>
            </w:pPr>
          </w:p>
        </w:tc>
        <w:tc>
          <w:tcPr>
            <w:tcW w:w="436" w:type="pct"/>
            <w:vMerge w:val="continue"/>
            <w:shd w:val="clear" w:color="auto" w:fill="auto"/>
            <w:noWrap w:val="0"/>
            <w:vAlign w:val="center"/>
          </w:tcPr>
          <w:p>
            <w:pPr>
              <w:spacing w:line="360" w:lineRule="exact"/>
              <w:jc w:val="center"/>
              <w:rPr>
                <w:sz w:val="21"/>
                <w:szCs w:val="21"/>
                <w:highlight w:val="none"/>
              </w:rPr>
            </w:pPr>
          </w:p>
        </w:tc>
        <w:tc>
          <w:tcPr>
            <w:tcW w:w="561" w:type="pct"/>
            <w:shd w:val="clear" w:color="auto" w:fill="auto"/>
            <w:noWrap w:val="0"/>
            <w:vAlign w:val="center"/>
          </w:tcPr>
          <w:p>
            <w:pPr>
              <w:spacing w:line="280" w:lineRule="exact"/>
              <w:jc w:val="center"/>
              <w:rPr>
                <w:sz w:val="21"/>
                <w:szCs w:val="21"/>
                <w:highlight w:val="none"/>
              </w:rPr>
            </w:pPr>
            <w:r>
              <w:rPr>
                <w:sz w:val="21"/>
                <w:szCs w:val="21"/>
                <w:highlight w:val="none"/>
              </w:rPr>
              <w:t>VOCs</w:t>
            </w:r>
          </w:p>
        </w:tc>
        <w:tc>
          <w:tcPr>
            <w:tcW w:w="422" w:type="pct"/>
            <w:shd w:val="clear" w:color="auto" w:fill="auto"/>
            <w:noWrap w:val="0"/>
            <w:vAlign w:val="center"/>
          </w:tcPr>
          <w:p>
            <w:pPr>
              <w:spacing w:line="300" w:lineRule="exact"/>
              <w:jc w:val="center"/>
              <w:rPr>
                <w:sz w:val="21"/>
                <w:szCs w:val="21"/>
                <w:highlight w:val="none"/>
              </w:rPr>
            </w:pPr>
            <w:r>
              <w:rPr>
                <w:rFonts w:hint="eastAsia" w:eastAsia="宋体" w:cs="Times New Roman"/>
                <w:sz w:val="21"/>
                <w:szCs w:val="21"/>
                <w:highlight w:val="none"/>
                <w:lang w:eastAsia="zh-CN"/>
              </w:rPr>
              <w:t>苯酚</w:t>
            </w:r>
          </w:p>
        </w:tc>
        <w:tc>
          <w:tcPr>
            <w:tcW w:w="415" w:type="pct"/>
            <w:shd w:val="clear" w:color="auto" w:fill="auto"/>
            <w:noWrap w:val="0"/>
            <w:vAlign w:val="center"/>
          </w:tcPr>
          <w:p>
            <w:pPr>
              <w:spacing w:line="300" w:lineRule="exact"/>
              <w:jc w:val="center"/>
              <w:rPr>
                <w:sz w:val="21"/>
                <w:szCs w:val="21"/>
                <w:highlight w:val="none"/>
              </w:rPr>
            </w:pPr>
            <w:r>
              <w:rPr>
                <w:rFonts w:hint="eastAsia"/>
                <w:sz w:val="21"/>
                <w:szCs w:val="21"/>
                <w:highlight w:val="none"/>
                <w:lang w:eastAsia="zh-CN"/>
              </w:rPr>
              <w:t>甲醛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66" w:type="pct"/>
            <w:noWrap/>
            <w:vAlign w:val="center"/>
          </w:tcPr>
          <w:p>
            <w:pPr>
              <w:spacing w:line="300" w:lineRule="exact"/>
              <w:jc w:val="center"/>
              <w:rPr>
                <w:rFonts w:hint="default" w:eastAsia="宋体"/>
                <w:sz w:val="21"/>
                <w:szCs w:val="21"/>
                <w:highlight w:val="none"/>
                <w:lang w:val="en-US" w:eastAsia="zh-CN"/>
              </w:rPr>
            </w:pPr>
            <w:r>
              <w:rPr>
                <w:rFonts w:hint="eastAsia" w:eastAsia="宋体"/>
                <w:sz w:val="21"/>
                <w:szCs w:val="21"/>
                <w:highlight w:val="none"/>
                <w:lang w:val="en-US" w:eastAsia="zh-CN"/>
              </w:rPr>
              <w:t>1#</w:t>
            </w:r>
          </w:p>
        </w:tc>
        <w:tc>
          <w:tcPr>
            <w:tcW w:w="595" w:type="pct"/>
            <w:noWrap/>
            <w:vAlign w:val="center"/>
          </w:tcPr>
          <w:p>
            <w:pPr>
              <w:spacing w:line="300" w:lineRule="exact"/>
              <w:jc w:val="center"/>
              <w:rPr>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排气筒</w:t>
            </w:r>
          </w:p>
        </w:tc>
        <w:tc>
          <w:tcPr>
            <w:tcW w:w="298" w:type="pct"/>
            <w:noWrap/>
            <w:vAlign w:val="center"/>
          </w:tcPr>
          <w:p>
            <w:pPr>
              <w:spacing w:line="300" w:lineRule="exact"/>
              <w:jc w:val="center"/>
              <w:rPr>
                <w:sz w:val="21"/>
                <w:szCs w:val="21"/>
                <w:highlight w:val="none"/>
              </w:rPr>
            </w:pPr>
            <w:r>
              <w:rPr>
                <w:rFonts w:hint="eastAsia" w:eastAsia="宋体"/>
                <w:sz w:val="21"/>
                <w:szCs w:val="21"/>
                <w:highlight w:val="none"/>
                <w:lang w:val="en-US" w:eastAsia="zh-CN"/>
              </w:rPr>
              <w:t>5</w:t>
            </w:r>
          </w:p>
        </w:tc>
        <w:tc>
          <w:tcPr>
            <w:tcW w:w="282" w:type="pct"/>
            <w:noWrap/>
            <w:vAlign w:val="center"/>
          </w:tcPr>
          <w:p>
            <w:pPr>
              <w:spacing w:line="300" w:lineRule="exact"/>
              <w:jc w:val="center"/>
              <w:rPr>
                <w:rFonts w:hint="default"/>
                <w:sz w:val="21"/>
                <w:szCs w:val="21"/>
                <w:highlight w:val="none"/>
                <w:lang w:val="en-US"/>
              </w:rPr>
            </w:pPr>
            <w:r>
              <w:rPr>
                <w:rFonts w:hint="eastAsia" w:eastAsia="宋体"/>
                <w:sz w:val="21"/>
                <w:szCs w:val="21"/>
                <w:highlight w:val="none"/>
                <w:lang w:val="en-US" w:eastAsia="zh-CN"/>
              </w:rPr>
              <w:t>63</w:t>
            </w:r>
          </w:p>
        </w:tc>
        <w:tc>
          <w:tcPr>
            <w:tcW w:w="400" w:type="pct"/>
            <w:noWrap/>
            <w:vAlign w:val="center"/>
          </w:tcPr>
          <w:p>
            <w:pPr>
              <w:spacing w:line="300" w:lineRule="exact"/>
              <w:jc w:val="center"/>
              <w:rPr>
                <w:rFonts w:hint="default"/>
                <w:sz w:val="21"/>
                <w:szCs w:val="21"/>
                <w:highlight w:val="none"/>
                <w:lang w:val="en-US"/>
              </w:rPr>
            </w:pPr>
            <w:r>
              <w:rPr>
                <w:rFonts w:hint="eastAsia" w:eastAsia="宋体"/>
                <w:sz w:val="21"/>
                <w:szCs w:val="21"/>
                <w:highlight w:val="none"/>
                <w:lang w:val="en-US" w:eastAsia="zh-CN"/>
              </w:rPr>
              <w:t>89</w:t>
            </w:r>
          </w:p>
        </w:tc>
        <w:tc>
          <w:tcPr>
            <w:tcW w:w="395" w:type="pct"/>
            <w:noWrap/>
            <w:vAlign w:val="center"/>
          </w:tcPr>
          <w:p>
            <w:pPr>
              <w:spacing w:line="300" w:lineRule="exact"/>
              <w:jc w:val="center"/>
              <w:rPr>
                <w:sz w:val="21"/>
                <w:szCs w:val="21"/>
                <w:highlight w:val="none"/>
              </w:rPr>
            </w:pPr>
            <w:r>
              <w:rPr>
                <w:rFonts w:hint="eastAsia" w:eastAsia="宋体"/>
                <w:sz w:val="21"/>
                <w:szCs w:val="21"/>
                <w:highlight w:val="none"/>
                <w:lang w:val="en-US" w:eastAsia="zh-CN"/>
              </w:rPr>
              <w:t>15</w:t>
            </w:r>
          </w:p>
        </w:tc>
        <w:tc>
          <w:tcPr>
            <w:tcW w:w="400" w:type="pct"/>
            <w:noWrap/>
            <w:vAlign w:val="center"/>
          </w:tcPr>
          <w:p>
            <w:pPr>
              <w:spacing w:line="300" w:lineRule="exact"/>
              <w:jc w:val="center"/>
              <w:rPr>
                <w:sz w:val="21"/>
                <w:szCs w:val="21"/>
                <w:highlight w:val="none"/>
              </w:rPr>
            </w:pPr>
            <w:r>
              <w:rPr>
                <w:rFonts w:hint="eastAsia" w:eastAsia="宋体"/>
                <w:sz w:val="21"/>
                <w:szCs w:val="21"/>
                <w:highlight w:val="none"/>
                <w:lang w:val="en-US" w:eastAsia="zh-CN"/>
              </w:rPr>
              <w:t>0.25</w:t>
            </w:r>
          </w:p>
        </w:tc>
        <w:tc>
          <w:tcPr>
            <w:tcW w:w="524" w:type="pct"/>
            <w:noWrap/>
            <w:vAlign w:val="center"/>
          </w:tcPr>
          <w:p>
            <w:pPr>
              <w:spacing w:line="300" w:lineRule="exact"/>
              <w:jc w:val="center"/>
              <w:rPr>
                <w:rFonts w:hint="default" w:eastAsia="宋体"/>
                <w:sz w:val="21"/>
                <w:szCs w:val="21"/>
                <w:highlight w:val="none"/>
                <w:lang w:val="en-US" w:eastAsia="zh-CN"/>
              </w:rPr>
            </w:pPr>
            <w:r>
              <w:rPr>
                <w:rFonts w:hint="eastAsia"/>
                <w:sz w:val="21"/>
                <w:szCs w:val="21"/>
                <w:highlight w:val="none"/>
              </w:rPr>
              <w:t>常温</w:t>
            </w:r>
          </w:p>
        </w:tc>
        <w:tc>
          <w:tcPr>
            <w:tcW w:w="436" w:type="pct"/>
            <w:noWrap/>
            <w:vAlign w:val="center"/>
          </w:tcPr>
          <w:p>
            <w:pPr>
              <w:spacing w:line="360" w:lineRule="exact"/>
              <w:jc w:val="center"/>
              <w:rPr>
                <w:sz w:val="21"/>
                <w:szCs w:val="21"/>
                <w:highlight w:val="none"/>
              </w:rPr>
            </w:pPr>
            <w:r>
              <w:rPr>
                <w:sz w:val="21"/>
                <w:szCs w:val="21"/>
                <w:highlight w:val="none"/>
              </w:rPr>
              <w:t>0</w:t>
            </w:r>
          </w:p>
        </w:tc>
        <w:tc>
          <w:tcPr>
            <w:tcW w:w="561" w:type="pct"/>
            <w:noWrap/>
            <w:vAlign w:val="center"/>
          </w:tcPr>
          <w:p>
            <w:pPr>
              <w:spacing w:line="360" w:lineRule="exact"/>
              <w:jc w:val="center"/>
              <w:rPr>
                <w:rFonts w:hint="default" w:eastAsia="宋体"/>
                <w:sz w:val="21"/>
                <w:szCs w:val="21"/>
                <w:highlight w:val="none"/>
                <w:lang w:val="en-US" w:eastAsia="zh-CN"/>
              </w:rPr>
            </w:pPr>
            <w:r>
              <w:rPr>
                <w:rFonts w:hint="eastAsia" w:eastAsia="宋体"/>
                <w:sz w:val="21"/>
                <w:szCs w:val="21"/>
                <w:highlight w:val="none"/>
                <w:lang w:val="en-US" w:eastAsia="zh-CN"/>
              </w:rPr>
              <w:t>0.0492</w:t>
            </w:r>
          </w:p>
        </w:tc>
        <w:tc>
          <w:tcPr>
            <w:tcW w:w="422" w:type="pct"/>
            <w:noWrap/>
            <w:vAlign w:val="center"/>
          </w:tcPr>
          <w:p>
            <w:pPr>
              <w:spacing w:line="360" w:lineRule="exact"/>
              <w:jc w:val="center"/>
              <w:rPr>
                <w:rFonts w:hint="default" w:eastAsia="宋体"/>
                <w:sz w:val="21"/>
                <w:szCs w:val="21"/>
                <w:highlight w:val="none"/>
                <w:lang w:val="en-US" w:eastAsia="zh-CN"/>
              </w:rPr>
            </w:pPr>
            <w:r>
              <w:rPr>
                <w:rFonts w:hint="eastAsia" w:eastAsia="宋体"/>
                <w:sz w:val="21"/>
                <w:szCs w:val="21"/>
                <w:highlight w:val="none"/>
                <w:lang w:val="en-US" w:eastAsia="zh-CN"/>
              </w:rPr>
              <w:t>0.0488</w:t>
            </w:r>
          </w:p>
        </w:tc>
        <w:tc>
          <w:tcPr>
            <w:tcW w:w="415" w:type="pct"/>
            <w:noWrap/>
            <w:vAlign w:val="center"/>
          </w:tcPr>
          <w:p>
            <w:pPr>
              <w:spacing w:line="360" w:lineRule="exact"/>
              <w:jc w:val="center"/>
              <w:rPr>
                <w:rFonts w:hint="default" w:eastAsia="宋体"/>
                <w:sz w:val="21"/>
                <w:szCs w:val="21"/>
                <w:highlight w:val="none"/>
                <w:lang w:val="en-US" w:eastAsia="zh-CN"/>
              </w:rPr>
            </w:pPr>
            <w:r>
              <w:rPr>
                <w:rFonts w:hint="eastAsia" w:eastAsia="宋体"/>
                <w:sz w:val="21"/>
                <w:szCs w:val="21"/>
                <w:highlight w:val="none"/>
                <w:lang w:val="en-US" w:eastAsia="zh-CN"/>
              </w:rPr>
              <w:t>0.0005</w:t>
            </w:r>
          </w:p>
        </w:tc>
      </w:tr>
    </w:tbl>
    <w:p>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sectPr>
          <w:pgSz w:w="16838" w:h="11906" w:orient="landscape"/>
          <w:pgMar w:top="1800" w:right="1440" w:bottom="1800" w:left="1440" w:header="851" w:footer="992" w:gutter="0"/>
          <w:cols w:space="425" w:num="1"/>
          <w:docGrid w:type="lines" w:linePitch="312" w:charSpace="0"/>
        </w:sectPr>
      </w:pPr>
    </w:p>
    <w:p>
      <w:pPr>
        <w:keepNext/>
        <w:keepLines/>
        <w:widowControl/>
        <w:adjustRightInd w:val="0"/>
        <w:snapToGrid w:val="0"/>
        <w:spacing w:line="360" w:lineRule="auto"/>
        <w:outlineLvl w:val="2"/>
        <w:rPr>
          <w:rFonts w:eastAsiaTheme="minorEastAsia"/>
          <w:b/>
          <w:bCs/>
          <w:lang w:eastAsia="zh-CN"/>
        </w:rPr>
      </w:pPr>
      <w:r>
        <w:rPr>
          <w:rFonts w:hint="eastAsia" w:eastAsiaTheme="minorEastAsia"/>
          <w:b/>
          <w:bCs/>
          <w:lang w:val="en-US" w:eastAsia="zh-CN"/>
        </w:rPr>
        <w:t>6</w:t>
      </w:r>
      <w:r>
        <w:rPr>
          <w:rFonts w:eastAsiaTheme="minorEastAsia"/>
          <w:b/>
          <w:bCs/>
          <w:lang w:eastAsia="zh-CN"/>
        </w:rPr>
        <w:t xml:space="preserve"> 环境影响预测与评价</w:t>
      </w:r>
    </w:p>
    <w:p>
      <w:pPr>
        <w:pStyle w:val="377"/>
        <w:numPr>
          <w:ilvl w:val="0"/>
          <w:numId w:val="0"/>
        </w:numPr>
        <w:ind w:firstLine="480" w:firstLineChars="200"/>
        <w:rPr>
          <w:rFonts w:hint="default" w:ascii="Times New Roman" w:hAnsi="Times New Roman" w:eastAsia="Times New Roman" w:cs="Times New Roman"/>
          <w:color w:val="000000"/>
          <w:sz w:val="24"/>
          <w:szCs w:val="24"/>
          <w:lang w:val="en-US" w:eastAsia="zh-CN" w:bidi="en-US"/>
        </w:rPr>
      </w:pPr>
      <w:r>
        <w:rPr>
          <w:rFonts w:hint="eastAsia" w:ascii="Times New Roman" w:hAnsi="Times New Roman" w:eastAsia="Times New Roman" w:cs="Times New Roman"/>
          <w:color w:val="000000"/>
          <w:sz w:val="24"/>
          <w:szCs w:val="24"/>
          <w:lang w:val="en-US" w:eastAsia="zh-CN" w:bidi="en-US"/>
        </w:rPr>
        <w:t>拟建</w:t>
      </w:r>
      <w:r>
        <w:rPr>
          <w:rFonts w:hint="default" w:ascii="Times New Roman" w:hAnsi="Times New Roman" w:eastAsia="Times New Roman" w:cs="Times New Roman"/>
          <w:color w:val="000000"/>
          <w:sz w:val="24"/>
          <w:szCs w:val="24"/>
          <w:lang w:val="en-US" w:eastAsia="zh-CN" w:bidi="en-US"/>
        </w:rPr>
        <w:t>项目</w:t>
      </w:r>
      <w:r>
        <w:rPr>
          <w:rFonts w:hint="eastAsia" w:ascii="Times New Roman" w:hAnsi="Times New Roman" w:eastAsia="Times New Roman" w:cs="Times New Roman"/>
          <w:color w:val="000000"/>
          <w:sz w:val="24"/>
          <w:szCs w:val="24"/>
          <w:lang w:val="en-US" w:eastAsia="zh-CN" w:bidi="en-US"/>
        </w:rPr>
        <w:t>新增废气主要为有组织废气及无组织废气，有组织废气</w:t>
      </w:r>
      <w:r>
        <w:rPr>
          <w:rFonts w:hint="default" w:ascii="Times New Roman" w:hAnsi="Times New Roman" w:eastAsia="Times New Roman" w:cs="Times New Roman"/>
          <w:color w:val="000000"/>
          <w:sz w:val="24"/>
          <w:szCs w:val="24"/>
          <w:lang w:val="en-US" w:eastAsia="zh-CN" w:bidi="en-US"/>
        </w:rPr>
        <w:t>主要为</w:t>
      </w:r>
      <w:r>
        <w:rPr>
          <w:rFonts w:hint="eastAsia" w:ascii="Times New Roman" w:hAnsi="Times New Roman" w:eastAsia="Times New Roman" w:cs="Times New Roman"/>
          <w:color w:val="000000"/>
          <w:sz w:val="24"/>
          <w:szCs w:val="24"/>
          <w:lang w:val="en-US" w:eastAsia="zh-CN" w:bidi="en-US"/>
        </w:rPr>
        <w:t>搅拌、涂胶、烘干、固化、切割</w:t>
      </w:r>
      <w:r>
        <w:rPr>
          <w:rFonts w:hint="default" w:ascii="Times New Roman" w:hAnsi="Times New Roman" w:eastAsia="Times New Roman" w:cs="Times New Roman"/>
          <w:color w:val="000000"/>
          <w:sz w:val="24"/>
          <w:szCs w:val="24"/>
          <w:lang w:val="en-US" w:eastAsia="zh-CN" w:bidi="en-US"/>
        </w:rPr>
        <w:t>工序</w:t>
      </w:r>
      <w:r>
        <w:rPr>
          <w:rFonts w:hint="eastAsia" w:ascii="Times New Roman" w:hAnsi="Times New Roman" w:eastAsia="Times New Roman" w:cs="Times New Roman"/>
          <w:color w:val="000000"/>
          <w:sz w:val="24"/>
          <w:szCs w:val="24"/>
          <w:lang w:val="en-US" w:eastAsia="zh-CN" w:bidi="en-US"/>
        </w:rPr>
        <w:t>集气罩收集</w:t>
      </w:r>
      <w:r>
        <w:rPr>
          <w:rFonts w:hint="default" w:ascii="Times New Roman" w:hAnsi="Times New Roman" w:eastAsia="Times New Roman" w:cs="Times New Roman"/>
          <w:color w:val="000000"/>
          <w:sz w:val="24"/>
          <w:szCs w:val="24"/>
          <w:lang w:val="en-US" w:eastAsia="zh-CN" w:bidi="en-US"/>
        </w:rPr>
        <w:t>的</w:t>
      </w:r>
      <w:r>
        <w:rPr>
          <w:rFonts w:hint="eastAsia" w:ascii="Times New Roman" w:hAnsi="Times New Roman" w:eastAsia="Times New Roman" w:cs="Times New Roman"/>
          <w:color w:val="000000"/>
          <w:sz w:val="24"/>
          <w:szCs w:val="24"/>
          <w:lang w:val="en-US" w:eastAsia="zh-CN" w:bidi="en-US"/>
        </w:rPr>
        <w:t>苯酚、甲醛、VOCs</w:t>
      </w:r>
      <w:r>
        <w:rPr>
          <w:rFonts w:hint="default" w:ascii="Times New Roman" w:hAnsi="Times New Roman" w:eastAsia="Times New Roman" w:cs="Times New Roman"/>
          <w:color w:val="000000"/>
          <w:sz w:val="24"/>
          <w:szCs w:val="24"/>
          <w:lang w:val="en-US" w:eastAsia="zh-CN" w:bidi="en-US"/>
        </w:rPr>
        <w:t>；</w:t>
      </w:r>
      <w:r>
        <w:rPr>
          <w:rFonts w:hint="eastAsia" w:ascii="Times New Roman" w:hAnsi="Times New Roman" w:eastAsia="Times New Roman" w:cs="Times New Roman"/>
          <w:color w:val="000000"/>
          <w:sz w:val="24"/>
          <w:szCs w:val="24"/>
          <w:lang w:val="en-US" w:eastAsia="zh-CN" w:bidi="en-US"/>
        </w:rPr>
        <w:t>注塑过程集气罩收集的VOCs。无组织废气主要为集气罩未收集的苯酚、甲醛、VOCs。</w:t>
      </w:r>
    </w:p>
    <w:p>
      <w:pPr>
        <w:keepNext/>
        <w:keepLines/>
        <w:widowControl/>
        <w:adjustRightInd w:val="0"/>
        <w:snapToGrid w:val="0"/>
        <w:spacing w:line="360" w:lineRule="auto"/>
        <w:ind w:firstLine="420" w:firstLineChars="200"/>
        <w:jc w:val="both"/>
        <w:outlineLvl w:val="2"/>
        <w:rPr>
          <w:rFonts w:eastAsiaTheme="minorEastAsia"/>
          <w:lang w:eastAsia="zh-CN"/>
        </w:rPr>
      </w:pPr>
      <w:r>
        <w:rPr>
          <w:rFonts w:hint="eastAsia"/>
          <w:lang w:eastAsia="zh-CN"/>
        </w:rPr>
        <w:t>具体大气污染物排放情况见环境影响报告表建设项目工程分析及环境影响和保护措施章节。</w:t>
      </w:r>
    </w:p>
    <w:p>
      <w:pPr>
        <w:keepNext/>
        <w:keepLines/>
        <w:widowControl/>
        <w:adjustRightInd w:val="0"/>
        <w:snapToGrid w:val="0"/>
        <w:spacing w:line="360" w:lineRule="auto"/>
        <w:outlineLvl w:val="2"/>
        <w:rPr>
          <w:rFonts w:eastAsiaTheme="minorEastAsia"/>
          <w:b/>
          <w:bCs/>
          <w:lang w:eastAsia="zh-CN"/>
        </w:rPr>
      </w:pPr>
      <w:r>
        <w:rPr>
          <w:rFonts w:hint="eastAsia" w:eastAsiaTheme="minorEastAsia"/>
          <w:lang w:val="en-US" w:eastAsia="zh-CN"/>
        </w:rPr>
        <w:t>6</w:t>
      </w:r>
      <w:r>
        <w:rPr>
          <w:rFonts w:hint="eastAsia" w:eastAsiaTheme="minorEastAsia"/>
          <w:lang w:eastAsia="zh-CN"/>
        </w:rPr>
        <w:t>.1</w:t>
      </w:r>
      <w:r>
        <w:rPr>
          <w:rFonts w:hint="eastAsia" w:eastAsiaTheme="minorEastAsia"/>
          <w:b/>
          <w:bCs/>
          <w:lang w:eastAsia="zh-CN"/>
        </w:rPr>
        <w:t>大气</w:t>
      </w:r>
      <w:r>
        <w:rPr>
          <w:rFonts w:eastAsiaTheme="minorEastAsia"/>
          <w:b/>
          <w:bCs/>
          <w:lang w:eastAsia="zh-CN"/>
        </w:rPr>
        <w:t>环境影响预测与评价</w:t>
      </w:r>
      <w:r>
        <w:rPr>
          <w:rFonts w:hint="eastAsia" w:eastAsiaTheme="minorEastAsia"/>
          <w:b/>
          <w:bCs/>
          <w:lang w:eastAsia="zh-CN"/>
        </w:rPr>
        <w:t>内容</w:t>
      </w:r>
    </w:p>
    <w:p>
      <w:pPr>
        <w:adjustRightInd w:val="0"/>
        <w:snapToGrid w:val="0"/>
        <w:spacing w:line="360" w:lineRule="auto"/>
        <w:ind w:firstLine="420" w:firstLineChars="200"/>
        <w:jc w:val="both"/>
        <w:rPr>
          <w:rFonts w:eastAsiaTheme="minorEastAsia"/>
          <w:lang w:eastAsia="zh-CN"/>
        </w:rPr>
      </w:pPr>
      <w:r>
        <w:rPr>
          <w:rFonts w:eastAsiaTheme="minorEastAsia"/>
          <w:lang w:eastAsia="zh-CN"/>
        </w:rPr>
        <w:t>经大气评价等级判定，本项目大气评价等级为二级评价，根据《环境影响评价技术导则大气环境》（HJ2.2-2018），二级评价项目不进行进一步预测与评价，只对污染物排放量进行核算，本项目</w:t>
      </w:r>
      <w:r>
        <w:rPr>
          <w:rFonts w:hint="eastAsia" w:eastAsiaTheme="minorEastAsia"/>
          <w:lang w:eastAsia="zh-CN"/>
        </w:rPr>
        <w:t>新增</w:t>
      </w:r>
      <w:r>
        <w:rPr>
          <w:rFonts w:eastAsiaTheme="minorEastAsia"/>
          <w:lang w:eastAsia="zh-CN"/>
        </w:rPr>
        <w:t>大气污染物有组织排放量核算见表</w:t>
      </w:r>
      <w:r>
        <w:rPr>
          <w:rFonts w:hint="eastAsia" w:eastAsiaTheme="minorEastAsia"/>
          <w:lang w:val="en-US" w:eastAsia="zh-CN"/>
        </w:rPr>
        <w:t>6</w:t>
      </w:r>
      <w:r>
        <w:rPr>
          <w:rFonts w:eastAsiaTheme="minorEastAsia"/>
          <w:lang w:eastAsia="zh-CN"/>
        </w:rPr>
        <w:t>.</w:t>
      </w:r>
      <w:r>
        <w:rPr>
          <w:rFonts w:hint="eastAsia" w:eastAsiaTheme="minorEastAsia"/>
          <w:lang w:eastAsia="zh-CN"/>
        </w:rPr>
        <w:t>1</w:t>
      </w:r>
      <w:r>
        <w:rPr>
          <w:rFonts w:eastAsiaTheme="minorEastAsia"/>
          <w:lang w:eastAsia="zh-CN"/>
        </w:rPr>
        <w:t>-</w:t>
      </w:r>
      <w:r>
        <w:rPr>
          <w:rFonts w:hint="eastAsia" w:eastAsiaTheme="minorEastAsia"/>
          <w:lang w:eastAsia="zh-CN"/>
        </w:rPr>
        <w:t>1</w:t>
      </w:r>
      <w:r>
        <w:rPr>
          <w:rFonts w:eastAsiaTheme="minorEastAsia"/>
          <w:lang w:eastAsia="zh-CN"/>
        </w:rPr>
        <w:t>，大气污染物</w:t>
      </w:r>
      <w:r>
        <w:rPr>
          <w:rFonts w:hint="eastAsia" w:eastAsiaTheme="minorEastAsia"/>
          <w:lang w:eastAsia="zh-CN"/>
        </w:rPr>
        <w:t>新增</w:t>
      </w:r>
      <w:r>
        <w:rPr>
          <w:rFonts w:eastAsiaTheme="minorEastAsia"/>
          <w:lang w:eastAsia="zh-CN"/>
        </w:rPr>
        <w:t>无组织排放量核算见</w:t>
      </w:r>
      <w:r>
        <w:rPr>
          <w:rFonts w:hint="eastAsia" w:eastAsiaTheme="minorEastAsia"/>
          <w:lang w:eastAsia="zh-CN"/>
        </w:rPr>
        <w:t>表</w:t>
      </w:r>
      <w:r>
        <w:rPr>
          <w:rFonts w:hint="eastAsia" w:eastAsiaTheme="minorEastAsia"/>
          <w:lang w:val="en-US" w:eastAsia="zh-CN"/>
        </w:rPr>
        <w:t>6</w:t>
      </w:r>
      <w:r>
        <w:rPr>
          <w:rFonts w:eastAsiaTheme="minorEastAsia"/>
          <w:lang w:eastAsia="zh-CN"/>
        </w:rPr>
        <w:t>.</w:t>
      </w:r>
      <w:r>
        <w:rPr>
          <w:rFonts w:hint="eastAsia" w:eastAsiaTheme="minorEastAsia"/>
          <w:lang w:eastAsia="zh-CN"/>
        </w:rPr>
        <w:t>1</w:t>
      </w:r>
      <w:r>
        <w:rPr>
          <w:rFonts w:eastAsiaTheme="minorEastAsia"/>
          <w:lang w:eastAsia="zh-CN"/>
        </w:rPr>
        <w:t>-</w:t>
      </w:r>
      <w:r>
        <w:rPr>
          <w:rFonts w:hint="eastAsia" w:eastAsiaTheme="minorEastAsia"/>
          <w:lang w:eastAsia="zh-CN"/>
        </w:rPr>
        <w:t>2，大气污染物非正常工况有组织排放量核算见表</w:t>
      </w:r>
      <w:r>
        <w:rPr>
          <w:rFonts w:hint="eastAsia" w:eastAsiaTheme="minorEastAsia"/>
          <w:lang w:val="en-US" w:eastAsia="zh-CN"/>
        </w:rPr>
        <w:t>6.1-3</w:t>
      </w:r>
      <w:r>
        <w:rPr>
          <w:rFonts w:eastAsiaTheme="minorEastAsia"/>
          <w:lang w:eastAsia="zh-CN"/>
        </w:rPr>
        <w:t>。</w:t>
      </w:r>
    </w:p>
    <w:p>
      <w:pPr>
        <w:adjustRightInd w:val="0"/>
        <w:snapToGrid w:val="0"/>
        <w:spacing w:line="300" w:lineRule="exact"/>
        <w:jc w:val="center"/>
        <w:rPr>
          <w:rFonts w:eastAsiaTheme="minorEastAsia"/>
          <w:lang w:eastAsia="zh-CN"/>
        </w:rPr>
      </w:pPr>
      <w:r>
        <w:rPr>
          <w:rFonts w:eastAsiaTheme="minorEastAsia"/>
          <w:b/>
          <w:lang w:eastAsia="zh-CN"/>
        </w:rPr>
        <w:t>表</w:t>
      </w:r>
      <w:r>
        <w:rPr>
          <w:rFonts w:hint="eastAsia" w:eastAsiaTheme="minorEastAsia"/>
          <w:b/>
          <w:lang w:val="en-US" w:eastAsia="zh-CN"/>
        </w:rPr>
        <w:t>6</w:t>
      </w:r>
      <w:r>
        <w:rPr>
          <w:rFonts w:eastAsiaTheme="minorEastAsia"/>
          <w:b/>
          <w:lang w:eastAsia="zh-CN"/>
        </w:rPr>
        <w:t>.</w:t>
      </w:r>
      <w:r>
        <w:rPr>
          <w:rFonts w:hint="eastAsia" w:eastAsiaTheme="minorEastAsia"/>
          <w:b/>
          <w:lang w:eastAsia="zh-CN"/>
        </w:rPr>
        <w:t>1</w:t>
      </w:r>
      <w:r>
        <w:rPr>
          <w:rFonts w:eastAsiaTheme="minorEastAsia"/>
          <w:b/>
          <w:lang w:eastAsia="zh-CN"/>
        </w:rPr>
        <w:t>-</w:t>
      </w:r>
      <w:r>
        <w:rPr>
          <w:rFonts w:hint="eastAsia" w:eastAsiaTheme="minorEastAsia"/>
          <w:b/>
          <w:lang w:eastAsia="zh-CN"/>
        </w:rPr>
        <w:t>1</w:t>
      </w:r>
      <w:r>
        <w:rPr>
          <w:rFonts w:eastAsiaTheme="minorEastAsia"/>
          <w:b/>
          <w:lang w:eastAsia="zh-CN"/>
        </w:rPr>
        <w:t xml:space="preserve"> 大气污染物有组织排放量核算表</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8"/>
        <w:gridCol w:w="1389"/>
        <w:gridCol w:w="1137"/>
        <w:gridCol w:w="1839"/>
        <w:gridCol w:w="1711"/>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28" w:type="dxa"/>
            <w:tcBorders>
              <w:bottom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389" w:type="dxa"/>
            <w:tcBorders>
              <w:bottom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排放口编号</w:t>
            </w:r>
          </w:p>
        </w:tc>
        <w:tc>
          <w:tcPr>
            <w:tcW w:w="1137" w:type="dxa"/>
            <w:tcBorders>
              <w:bottom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污染物</w:t>
            </w:r>
          </w:p>
        </w:tc>
        <w:tc>
          <w:tcPr>
            <w:tcW w:w="1839" w:type="dxa"/>
            <w:tcBorders>
              <w:bottom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排放浓度（mg/m</w:t>
            </w:r>
            <w:r>
              <w:rPr>
                <w:rFonts w:hint="default" w:ascii="Times New Roman" w:hAnsi="Times New Roman" w:cs="Times New Roman" w:eastAsiaTheme="minorEastAsia"/>
                <w:b/>
                <w:bCs/>
                <w:sz w:val="21"/>
                <w:szCs w:val="21"/>
                <w:vertAlign w:val="superscript"/>
              </w:rPr>
              <w:t>3</w:t>
            </w:r>
            <w:r>
              <w:rPr>
                <w:rFonts w:hint="default" w:ascii="Times New Roman" w:hAnsi="Times New Roman" w:cs="Times New Roman" w:eastAsiaTheme="minorEastAsia"/>
                <w:b/>
                <w:bCs/>
                <w:sz w:val="21"/>
                <w:szCs w:val="21"/>
              </w:rPr>
              <w:t>）</w:t>
            </w:r>
          </w:p>
        </w:tc>
        <w:tc>
          <w:tcPr>
            <w:tcW w:w="1711" w:type="dxa"/>
            <w:tcBorders>
              <w:bottom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排放速率（kg/h）</w:t>
            </w:r>
          </w:p>
        </w:tc>
        <w:tc>
          <w:tcPr>
            <w:tcW w:w="1718" w:type="dxa"/>
            <w:tcBorders>
              <w:bottom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 w:hRule="atLeast"/>
          <w:jc w:val="center"/>
        </w:trPr>
        <w:tc>
          <w:tcPr>
            <w:tcW w:w="8522" w:type="dxa"/>
            <w:gridSpan w:val="6"/>
            <w:tcBorders>
              <w:top w:val="single" w:color="auto" w:sz="4" w:space="0"/>
            </w:tcBorders>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28" w:type="dxa"/>
            <w:vMerge w:val="restart"/>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389" w:type="dxa"/>
            <w:vMerge w:val="restart"/>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p>
        </w:tc>
        <w:tc>
          <w:tcPr>
            <w:tcW w:w="1137" w:type="dxa"/>
            <w:shd w:val="clear" w:color="auto" w:fill="auto"/>
            <w:vAlign w:val="center"/>
          </w:tcPr>
          <w:p>
            <w:pPr>
              <w:spacing w:line="240" w:lineRule="auto"/>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苯酚</w:t>
            </w:r>
          </w:p>
        </w:tc>
        <w:tc>
          <w:tcPr>
            <w:tcW w:w="183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1711"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0.0725 </w:t>
            </w:r>
          </w:p>
        </w:tc>
        <w:tc>
          <w:tcPr>
            <w:tcW w:w="171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28" w:type="dxa"/>
            <w:vMerge w:val="continue"/>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rPr>
            </w:pPr>
          </w:p>
        </w:tc>
        <w:tc>
          <w:tcPr>
            <w:tcW w:w="1389" w:type="dxa"/>
            <w:vMerge w:val="continue"/>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lang w:eastAsia="zh-CN"/>
              </w:rPr>
            </w:pPr>
          </w:p>
        </w:tc>
        <w:tc>
          <w:tcPr>
            <w:tcW w:w="1137" w:type="dxa"/>
            <w:shd w:val="clear" w:color="auto" w:fill="auto"/>
            <w:vAlign w:val="center"/>
          </w:tcPr>
          <w:p>
            <w:pPr>
              <w:spacing w:line="240" w:lineRule="auto"/>
              <w:jc w:val="center"/>
              <w:rPr>
                <w:rFonts w:hint="default" w:ascii="Times New Roman" w:hAnsi="Times New Roman" w:cs="Times New Roman" w:eastAsiaTheme="minorEastAsia"/>
                <w:bCs/>
                <w:sz w:val="21"/>
                <w:szCs w:val="21"/>
                <w:lang w:eastAsia="zh-CN"/>
              </w:rPr>
            </w:pPr>
            <w:r>
              <w:rPr>
                <w:rFonts w:hint="default" w:ascii="Times New Roman" w:hAnsi="Times New Roman" w:cs="Times New Roman"/>
                <w:sz w:val="21"/>
                <w:szCs w:val="21"/>
                <w:lang w:eastAsia="zh-CN"/>
              </w:rPr>
              <w:t>甲醛</w:t>
            </w:r>
          </w:p>
        </w:tc>
        <w:tc>
          <w:tcPr>
            <w:tcW w:w="183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711"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0.0018 </w:t>
            </w:r>
          </w:p>
        </w:tc>
        <w:tc>
          <w:tcPr>
            <w:tcW w:w="171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rPr>
            </w:pPr>
          </w:p>
        </w:tc>
        <w:tc>
          <w:tcPr>
            <w:tcW w:w="1389" w:type="dxa"/>
            <w:vMerge w:val="continue"/>
            <w:shd w:val="clear" w:color="auto" w:fill="auto"/>
            <w:vAlign w:val="center"/>
          </w:tcPr>
          <w:p>
            <w:pPr>
              <w:adjustRightInd w:val="0"/>
              <w:snapToGrid w:val="0"/>
              <w:contextualSpacing/>
              <w:jc w:val="center"/>
              <w:rPr>
                <w:rFonts w:hint="default" w:ascii="Times New Roman" w:hAnsi="Times New Roman" w:cs="Times New Roman" w:eastAsiaTheme="minorEastAsia"/>
                <w:sz w:val="21"/>
                <w:szCs w:val="21"/>
              </w:rPr>
            </w:pPr>
          </w:p>
        </w:tc>
        <w:tc>
          <w:tcPr>
            <w:tcW w:w="1137" w:type="dxa"/>
            <w:shd w:val="clear" w:color="auto" w:fill="auto"/>
            <w:vAlign w:val="center"/>
          </w:tcPr>
          <w:p>
            <w:pPr>
              <w:spacing w:line="240" w:lineRule="auto"/>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val="en-US" w:eastAsia="zh-CN"/>
              </w:rPr>
              <w:t>VOCs</w:t>
            </w:r>
          </w:p>
        </w:tc>
        <w:tc>
          <w:tcPr>
            <w:tcW w:w="1839"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1711"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0.0764 </w:t>
            </w:r>
          </w:p>
        </w:tc>
        <w:tc>
          <w:tcPr>
            <w:tcW w:w="1718" w:type="dxa"/>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iCs w:val="0"/>
                <w:color w:val="000000"/>
                <w:kern w:val="0"/>
                <w:sz w:val="21"/>
                <w:szCs w:val="21"/>
                <w:u w:val="none"/>
                <w:lang w:val="en-US" w:eastAsia="zh-CN" w:bidi="ar"/>
              </w:rPr>
              <w:t>0.302</w:t>
            </w:r>
          </w:p>
        </w:tc>
      </w:tr>
    </w:tbl>
    <w:p>
      <w:pPr>
        <w:adjustRightInd w:val="0"/>
        <w:snapToGrid w:val="0"/>
        <w:spacing w:line="360" w:lineRule="auto"/>
        <w:jc w:val="center"/>
        <w:rPr>
          <w:rFonts w:eastAsiaTheme="minorEastAsia"/>
          <w:b/>
          <w:lang w:eastAsia="zh-CN"/>
        </w:rPr>
      </w:pPr>
      <w:r>
        <w:rPr>
          <w:rFonts w:eastAsiaTheme="minorEastAsia"/>
          <w:b/>
          <w:lang w:eastAsia="zh-CN"/>
        </w:rPr>
        <w:t>表</w:t>
      </w:r>
      <w:r>
        <w:rPr>
          <w:rFonts w:hint="eastAsia" w:eastAsiaTheme="minorEastAsia"/>
          <w:b/>
          <w:lang w:val="en-US" w:eastAsia="zh-CN"/>
        </w:rPr>
        <w:t>6</w:t>
      </w:r>
      <w:r>
        <w:rPr>
          <w:rFonts w:eastAsiaTheme="minorEastAsia"/>
          <w:b/>
          <w:lang w:eastAsia="zh-CN"/>
        </w:rPr>
        <w:t>.</w:t>
      </w:r>
      <w:r>
        <w:rPr>
          <w:rFonts w:hint="eastAsia" w:eastAsiaTheme="minorEastAsia"/>
          <w:b/>
          <w:lang w:eastAsia="zh-CN"/>
        </w:rPr>
        <w:t>1</w:t>
      </w:r>
      <w:r>
        <w:rPr>
          <w:rFonts w:eastAsiaTheme="minorEastAsia"/>
          <w:b/>
          <w:lang w:eastAsia="zh-CN"/>
        </w:rPr>
        <w:t>-</w:t>
      </w:r>
      <w:r>
        <w:rPr>
          <w:rFonts w:hint="eastAsia" w:eastAsiaTheme="minorEastAsia"/>
          <w:b/>
          <w:lang w:eastAsia="zh-CN"/>
        </w:rPr>
        <w:t>2</w:t>
      </w:r>
      <w:r>
        <w:rPr>
          <w:rFonts w:eastAsiaTheme="minorEastAsia"/>
          <w:b/>
          <w:lang w:eastAsia="zh-CN"/>
        </w:rPr>
        <w:t xml:space="preserve"> 大气污染物无组织排放量核算表</w:t>
      </w:r>
    </w:p>
    <w:tbl>
      <w:tblPr>
        <w:tblStyle w:val="85"/>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04"/>
        <w:gridCol w:w="1153"/>
        <w:gridCol w:w="898"/>
        <w:gridCol w:w="1188"/>
        <w:gridCol w:w="2822"/>
        <w:gridCol w:w="1363"/>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4" w:hRule="atLeast"/>
          <w:jc w:val="center"/>
        </w:trPr>
        <w:tc>
          <w:tcPr>
            <w:tcW w:w="504" w:type="dxa"/>
            <w:vMerge w:val="restart"/>
            <w:tcBorders>
              <w:bottom w:val="single" w:color="auto" w:sz="4" w:space="0"/>
            </w:tcBorders>
            <w:shd w:val="clear" w:color="auto" w:fill="auto"/>
            <w:vAlign w:val="center"/>
          </w:tcPr>
          <w:p>
            <w:pPr>
              <w:adjustRightInd w:val="0"/>
              <w:snapToGrid w:val="0"/>
              <w:jc w:val="center"/>
              <w:rPr>
                <w:rFonts w:eastAsiaTheme="minorEastAsia"/>
                <w:b/>
                <w:bCs w:val="0"/>
                <w:sz w:val="21"/>
                <w:szCs w:val="21"/>
              </w:rPr>
            </w:pPr>
            <w:r>
              <w:rPr>
                <w:rFonts w:eastAsiaTheme="minorEastAsia"/>
                <w:b/>
                <w:bCs w:val="0"/>
                <w:sz w:val="21"/>
                <w:szCs w:val="21"/>
              </w:rPr>
              <w:t>序号</w:t>
            </w:r>
          </w:p>
        </w:tc>
        <w:tc>
          <w:tcPr>
            <w:tcW w:w="1153" w:type="dxa"/>
            <w:vMerge w:val="restart"/>
            <w:tcBorders>
              <w:bottom w:val="single" w:color="auto" w:sz="4" w:space="0"/>
            </w:tcBorders>
            <w:shd w:val="clear" w:color="auto" w:fill="auto"/>
            <w:vAlign w:val="center"/>
          </w:tcPr>
          <w:p>
            <w:pPr>
              <w:adjustRightInd w:val="0"/>
              <w:snapToGrid w:val="0"/>
              <w:jc w:val="center"/>
              <w:rPr>
                <w:rFonts w:eastAsiaTheme="minorEastAsia"/>
                <w:b/>
                <w:bCs w:val="0"/>
                <w:sz w:val="21"/>
                <w:szCs w:val="21"/>
              </w:rPr>
            </w:pPr>
            <w:r>
              <w:rPr>
                <w:rFonts w:eastAsiaTheme="minorEastAsia"/>
                <w:b/>
                <w:bCs w:val="0"/>
                <w:sz w:val="21"/>
                <w:szCs w:val="21"/>
              </w:rPr>
              <w:t>产污环节</w:t>
            </w:r>
          </w:p>
        </w:tc>
        <w:tc>
          <w:tcPr>
            <w:tcW w:w="898" w:type="dxa"/>
            <w:vMerge w:val="restart"/>
            <w:tcBorders>
              <w:bottom w:val="single" w:color="auto" w:sz="4" w:space="0"/>
            </w:tcBorders>
            <w:shd w:val="clear" w:color="auto" w:fill="auto"/>
            <w:vAlign w:val="center"/>
          </w:tcPr>
          <w:p>
            <w:pPr>
              <w:adjustRightInd w:val="0"/>
              <w:snapToGrid w:val="0"/>
              <w:jc w:val="center"/>
              <w:rPr>
                <w:rFonts w:eastAsiaTheme="minorEastAsia"/>
                <w:b/>
                <w:bCs w:val="0"/>
                <w:sz w:val="21"/>
                <w:szCs w:val="21"/>
              </w:rPr>
            </w:pPr>
            <w:r>
              <w:rPr>
                <w:rFonts w:eastAsiaTheme="minorEastAsia"/>
                <w:b/>
                <w:bCs w:val="0"/>
                <w:sz w:val="21"/>
                <w:szCs w:val="21"/>
              </w:rPr>
              <w:t>污染物</w:t>
            </w:r>
          </w:p>
        </w:tc>
        <w:tc>
          <w:tcPr>
            <w:tcW w:w="1188" w:type="dxa"/>
            <w:vMerge w:val="restart"/>
            <w:tcBorders>
              <w:bottom w:val="single" w:color="auto" w:sz="4" w:space="0"/>
            </w:tcBorders>
            <w:shd w:val="clear" w:color="auto" w:fill="auto"/>
            <w:vAlign w:val="center"/>
          </w:tcPr>
          <w:p>
            <w:pPr>
              <w:adjustRightInd w:val="0"/>
              <w:snapToGrid w:val="0"/>
              <w:jc w:val="center"/>
              <w:rPr>
                <w:rFonts w:eastAsiaTheme="minorEastAsia"/>
                <w:b/>
                <w:bCs w:val="0"/>
                <w:sz w:val="21"/>
                <w:szCs w:val="21"/>
              </w:rPr>
            </w:pPr>
            <w:r>
              <w:rPr>
                <w:rFonts w:eastAsiaTheme="minorEastAsia"/>
                <w:b/>
                <w:bCs w:val="0"/>
                <w:sz w:val="21"/>
                <w:szCs w:val="21"/>
              </w:rPr>
              <w:t>主要污染防治措施</w:t>
            </w:r>
          </w:p>
        </w:tc>
        <w:tc>
          <w:tcPr>
            <w:tcW w:w="4185" w:type="dxa"/>
            <w:gridSpan w:val="2"/>
            <w:tcBorders>
              <w:bottom w:val="single" w:color="auto" w:sz="4" w:space="0"/>
            </w:tcBorders>
            <w:shd w:val="clear" w:color="auto" w:fill="auto"/>
            <w:vAlign w:val="center"/>
          </w:tcPr>
          <w:p>
            <w:pPr>
              <w:adjustRightInd w:val="0"/>
              <w:snapToGrid w:val="0"/>
              <w:jc w:val="center"/>
              <w:rPr>
                <w:rFonts w:eastAsiaTheme="minorEastAsia"/>
                <w:b/>
                <w:bCs w:val="0"/>
                <w:sz w:val="21"/>
                <w:szCs w:val="21"/>
                <w:lang w:eastAsia="zh-CN"/>
              </w:rPr>
            </w:pPr>
            <w:r>
              <w:rPr>
                <w:rFonts w:eastAsiaTheme="minorEastAsia"/>
                <w:b/>
                <w:bCs w:val="0"/>
                <w:sz w:val="21"/>
                <w:szCs w:val="21"/>
                <w:lang w:eastAsia="zh-CN"/>
              </w:rPr>
              <w:t>国家或地方污染物排放标准</w:t>
            </w:r>
          </w:p>
        </w:tc>
        <w:tc>
          <w:tcPr>
            <w:tcW w:w="890" w:type="dxa"/>
            <w:vMerge w:val="restart"/>
            <w:tcBorders>
              <w:bottom w:val="single" w:color="auto" w:sz="4" w:space="0"/>
            </w:tcBorders>
            <w:shd w:val="clear" w:color="auto" w:fill="auto"/>
            <w:vAlign w:val="center"/>
          </w:tcPr>
          <w:p>
            <w:pPr>
              <w:adjustRightInd w:val="0"/>
              <w:snapToGrid w:val="0"/>
              <w:jc w:val="center"/>
              <w:rPr>
                <w:rFonts w:eastAsiaTheme="minorEastAsia"/>
                <w:bCs/>
                <w:sz w:val="21"/>
                <w:szCs w:val="21"/>
              </w:rPr>
            </w:pPr>
            <w:r>
              <w:rPr>
                <w:rFonts w:eastAsiaTheme="minorEastAsia"/>
                <w:b/>
                <w:bCs w:val="0"/>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7" w:hRule="atLeast"/>
          <w:jc w:val="center"/>
        </w:trPr>
        <w:tc>
          <w:tcPr>
            <w:tcW w:w="504" w:type="dxa"/>
            <w:vMerge w:val="continue"/>
            <w:tcBorders>
              <w:top w:val="single" w:color="auto" w:sz="4" w:space="0"/>
              <w:bottom w:val="single" w:color="auto" w:sz="4" w:space="0"/>
            </w:tcBorders>
            <w:shd w:val="clear" w:color="auto" w:fill="auto"/>
            <w:vAlign w:val="center"/>
          </w:tcPr>
          <w:p>
            <w:pPr>
              <w:adjustRightInd w:val="0"/>
              <w:snapToGrid w:val="0"/>
              <w:jc w:val="center"/>
              <w:rPr>
                <w:rFonts w:eastAsiaTheme="minorEastAsia"/>
                <w:b/>
                <w:bCs w:val="0"/>
                <w:sz w:val="21"/>
                <w:szCs w:val="21"/>
              </w:rPr>
            </w:pPr>
          </w:p>
        </w:tc>
        <w:tc>
          <w:tcPr>
            <w:tcW w:w="1153" w:type="dxa"/>
            <w:vMerge w:val="continue"/>
            <w:tcBorders>
              <w:top w:val="single" w:color="auto" w:sz="4" w:space="0"/>
              <w:bottom w:val="single" w:color="auto" w:sz="4" w:space="0"/>
            </w:tcBorders>
            <w:shd w:val="clear" w:color="auto" w:fill="auto"/>
            <w:vAlign w:val="center"/>
          </w:tcPr>
          <w:p>
            <w:pPr>
              <w:adjustRightInd w:val="0"/>
              <w:snapToGrid w:val="0"/>
              <w:jc w:val="center"/>
              <w:rPr>
                <w:rFonts w:eastAsiaTheme="minorEastAsia"/>
                <w:b/>
                <w:bCs w:val="0"/>
                <w:sz w:val="21"/>
                <w:szCs w:val="21"/>
              </w:rPr>
            </w:pPr>
          </w:p>
        </w:tc>
        <w:tc>
          <w:tcPr>
            <w:tcW w:w="898" w:type="dxa"/>
            <w:vMerge w:val="continue"/>
            <w:tcBorders>
              <w:top w:val="single" w:color="auto" w:sz="4" w:space="0"/>
              <w:bottom w:val="single" w:color="auto" w:sz="4" w:space="0"/>
            </w:tcBorders>
            <w:shd w:val="clear" w:color="auto" w:fill="auto"/>
            <w:vAlign w:val="center"/>
          </w:tcPr>
          <w:p>
            <w:pPr>
              <w:adjustRightInd w:val="0"/>
              <w:snapToGrid w:val="0"/>
              <w:jc w:val="center"/>
              <w:rPr>
                <w:rFonts w:eastAsiaTheme="minorEastAsia"/>
                <w:b/>
                <w:bCs w:val="0"/>
                <w:sz w:val="21"/>
                <w:szCs w:val="21"/>
              </w:rPr>
            </w:pPr>
          </w:p>
        </w:tc>
        <w:tc>
          <w:tcPr>
            <w:tcW w:w="1188" w:type="dxa"/>
            <w:vMerge w:val="continue"/>
            <w:tcBorders>
              <w:top w:val="single" w:color="auto" w:sz="4" w:space="0"/>
              <w:bottom w:val="single" w:color="auto" w:sz="4" w:space="0"/>
            </w:tcBorders>
            <w:shd w:val="clear" w:color="auto" w:fill="auto"/>
            <w:vAlign w:val="center"/>
          </w:tcPr>
          <w:p>
            <w:pPr>
              <w:adjustRightInd w:val="0"/>
              <w:snapToGrid w:val="0"/>
              <w:jc w:val="center"/>
              <w:rPr>
                <w:rFonts w:eastAsiaTheme="minorEastAsia"/>
                <w:b/>
                <w:bCs w:val="0"/>
                <w:sz w:val="21"/>
                <w:szCs w:val="21"/>
              </w:rPr>
            </w:pPr>
          </w:p>
        </w:tc>
        <w:tc>
          <w:tcPr>
            <w:tcW w:w="2822" w:type="dxa"/>
            <w:tcBorders>
              <w:top w:val="single" w:color="auto" w:sz="4" w:space="0"/>
              <w:bottom w:val="single" w:color="auto" w:sz="4" w:space="0"/>
            </w:tcBorders>
            <w:shd w:val="clear" w:color="auto" w:fill="auto"/>
            <w:vAlign w:val="center"/>
          </w:tcPr>
          <w:p>
            <w:pPr>
              <w:adjustRightInd w:val="0"/>
              <w:snapToGrid w:val="0"/>
              <w:jc w:val="center"/>
              <w:rPr>
                <w:rFonts w:eastAsiaTheme="minorEastAsia"/>
                <w:b/>
                <w:bCs w:val="0"/>
                <w:sz w:val="21"/>
                <w:szCs w:val="21"/>
              </w:rPr>
            </w:pPr>
            <w:r>
              <w:rPr>
                <w:rFonts w:eastAsiaTheme="minorEastAsia"/>
                <w:b/>
                <w:bCs w:val="0"/>
                <w:sz w:val="21"/>
                <w:szCs w:val="21"/>
              </w:rPr>
              <w:t>标准名称</w:t>
            </w:r>
          </w:p>
        </w:tc>
        <w:tc>
          <w:tcPr>
            <w:tcW w:w="1363" w:type="dxa"/>
            <w:tcBorders>
              <w:top w:val="single" w:color="auto" w:sz="4" w:space="0"/>
              <w:bottom w:val="single" w:color="auto" w:sz="4" w:space="0"/>
            </w:tcBorders>
            <w:shd w:val="clear" w:color="auto" w:fill="auto"/>
            <w:vAlign w:val="center"/>
          </w:tcPr>
          <w:p>
            <w:pPr>
              <w:adjustRightInd w:val="0"/>
              <w:snapToGrid w:val="0"/>
              <w:jc w:val="center"/>
              <w:rPr>
                <w:rFonts w:eastAsiaTheme="minorEastAsia"/>
                <w:b/>
                <w:bCs w:val="0"/>
                <w:sz w:val="21"/>
                <w:szCs w:val="21"/>
              </w:rPr>
            </w:pPr>
            <w:r>
              <w:rPr>
                <w:rFonts w:eastAsiaTheme="minorEastAsia"/>
                <w:b/>
                <w:bCs w:val="0"/>
                <w:sz w:val="21"/>
                <w:szCs w:val="21"/>
              </w:rPr>
              <w:t>浓度限值/（mg/m</w:t>
            </w:r>
            <w:r>
              <w:rPr>
                <w:rFonts w:eastAsiaTheme="minorEastAsia"/>
                <w:b/>
                <w:bCs w:val="0"/>
                <w:sz w:val="21"/>
                <w:szCs w:val="21"/>
                <w:vertAlign w:val="superscript"/>
              </w:rPr>
              <w:t>3</w:t>
            </w:r>
            <w:r>
              <w:rPr>
                <w:rFonts w:eastAsiaTheme="minorEastAsia"/>
                <w:b/>
                <w:bCs w:val="0"/>
                <w:sz w:val="21"/>
                <w:szCs w:val="21"/>
              </w:rPr>
              <w:t>）</w:t>
            </w:r>
          </w:p>
        </w:tc>
        <w:tc>
          <w:tcPr>
            <w:tcW w:w="890" w:type="dxa"/>
            <w:vMerge w:val="continue"/>
            <w:tcBorders>
              <w:top w:val="single" w:color="auto" w:sz="4" w:space="0"/>
              <w:bottom w:val="single" w:color="auto" w:sz="4" w:space="0"/>
            </w:tcBorders>
            <w:shd w:val="clear" w:color="auto" w:fill="auto"/>
            <w:vAlign w:val="center"/>
          </w:tcPr>
          <w:p>
            <w:pPr>
              <w:adjustRightInd w:val="0"/>
              <w:snapToGrid w:val="0"/>
              <w:jc w:val="center"/>
              <w:rPr>
                <w:rFonts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jc w:val="center"/>
        </w:trPr>
        <w:tc>
          <w:tcPr>
            <w:tcW w:w="504" w:type="dxa"/>
            <w:vMerge w:val="restart"/>
            <w:tcBorders>
              <w:top w:val="single" w:color="auto" w:sz="4" w:space="0"/>
            </w:tcBorders>
            <w:shd w:val="clear" w:color="auto" w:fill="auto"/>
            <w:vAlign w:val="center"/>
          </w:tcPr>
          <w:p>
            <w:pPr>
              <w:adjustRightInd w:val="0"/>
              <w:snapToGrid w:val="0"/>
              <w:jc w:val="center"/>
              <w:rPr>
                <w:rFonts w:eastAsiaTheme="minorEastAsia"/>
                <w:bCs/>
                <w:sz w:val="21"/>
                <w:szCs w:val="21"/>
              </w:rPr>
            </w:pPr>
            <w:r>
              <w:rPr>
                <w:rFonts w:eastAsiaTheme="minorEastAsia"/>
                <w:bCs/>
                <w:sz w:val="21"/>
                <w:szCs w:val="21"/>
              </w:rPr>
              <w:t>1</w:t>
            </w:r>
          </w:p>
        </w:tc>
        <w:tc>
          <w:tcPr>
            <w:tcW w:w="1153" w:type="dxa"/>
            <w:vMerge w:val="restart"/>
            <w:tcBorders>
              <w:top w:val="single" w:color="auto" w:sz="4" w:space="0"/>
            </w:tcBorders>
            <w:shd w:val="clear" w:color="auto" w:fill="auto"/>
            <w:vAlign w:val="center"/>
          </w:tcPr>
          <w:p>
            <w:pPr>
              <w:adjustRightInd w:val="0"/>
              <w:snapToGrid w:val="0"/>
              <w:jc w:val="center"/>
              <w:rPr>
                <w:rFonts w:eastAsiaTheme="minorEastAsia"/>
                <w:bCs/>
                <w:sz w:val="21"/>
                <w:szCs w:val="21"/>
                <w:lang w:eastAsia="zh-CN"/>
              </w:rPr>
            </w:pPr>
            <w:r>
              <w:rPr>
                <w:rFonts w:hint="eastAsia" w:eastAsiaTheme="minorEastAsia"/>
                <w:bCs/>
                <w:sz w:val="21"/>
                <w:szCs w:val="21"/>
                <w:lang w:eastAsia="zh-CN"/>
              </w:rPr>
              <w:t>生产</w:t>
            </w:r>
            <w:r>
              <w:rPr>
                <w:rFonts w:hint="eastAsia" w:eastAsiaTheme="minorEastAsia"/>
                <w:bCs/>
                <w:sz w:val="21"/>
                <w:szCs w:val="21"/>
                <w:lang w:val="en-US" w:eastAsia="zh-CN"/>
              </w:rPr>
              <w:t>车间</w:t>
            </w:r>
            <w:r>
              <w:rPr>
                <w:rFonts w:hint="eastAsia" w:eastAsiaTheme="minorEastAsia"/>
                <w:bCs/>
                <w:sz w:val="21"/>
                <w:szCs w:val="21"/>
                <w:lang w:eastAsia="zh-CN"/>
              </w:rPr>
              <w:t>集气罩未收集</w:t>
            </w:r>
          </w:p>
        </w:tc>
        <w:tc>
          <w:tcPr>
            <w:tcW w:w="898" w:type="dxa"/>
            <w:tcBorders>
              <w:top w:val="single" w:color="auto" w:sz="4" w:space="0"/>
            </w:tcBorders>
            <w:shd w:val="clear" w:color="auto" w:fill="auto"/>
            <w:vAlign w:val="center"/>
          </w:tcPr>
          <w:p>
            <w:pPr>
              <w:adjustRightInd w:val="0"/>
              <w:snapToGrid w:val="0"/>
              <w:jc w:val="center"/>
              <w:rPr>
                <w:rFonts w:eastAsiaTheme="minorEastAsia"/>
                <w:sz w:val="21"/>
                <w:szCs w:val="21"/>
                <w:lang w:eastAsia="zh-CN"/>
              </w:rPr>
            </w:pPr>
            <w:r>
              <w:rPr>
                <w:rFonts w:hint="eastAsia" w:eastAsiaTheme="minorEastAsia"/>
                <w:bCs/>
                <w:sz w:val="21"/>
                <w:szCs w:val="21"/>
                <w:lang w:eastAsia="zh-CN"/>
              </w:rPr>
              <w:t>VOCs</w:t>
            </w:r>
          </w:p>
        </w:tc>
        <w:tc>
          <w:tcPr>
            <w:tcW w:w="1188" w:type="dxa"/>
            <w:vMerge w:val="restart"/>
            <w:tcBorders>
              <w:top w:val="single" w:color="auto" w:sz="4" w:space="0"/>
            </w:tcBorders>
            <w:shd w:val="clear" w:color="auto" w:fill="auto"/>
            <w:vAlign w:val="center"/>
          </w:tcPr>
          <w:p>
            <w:pPr>
              <w:adjustRightInd w:val="0"/>
              <w:snapToGrid w:val="0"/>
              <w:jc w:val="center"/>
              <w:rPr>
                <w:rFonts w:eastAsiaTheme="minorEastAsia"/>
                <w:bCs/>
                <w:sz w:val="21"/>
                <w:szCs w:val="21"/>
                <w:lang w:eastAsia="zh-CN"/>
              </w:rPr>
            </w:pPr>
            <w:r>
              <w:rPr>
                <w:rFonts w:hint="eastAsia" w:eastAsiaTheme="minorEastAsia"/>
                <w:bCs/>
                <w:sz w:val="21"/>
                <w:szCs w:val="21"/>
                <w:lang w:eastAsia="zh-CN"/>
              </w:rPr>
              <w:t>车间密闭</w:t>
            </w:r>
          </w:p>
        </w:tc>
        <w:tc>
          <w:tcPr>
            <w:tcW w:w="2822" w:type="dxa"/>
            <w:tcBorders>
              <w:top w:val="single" w:color="auto" w:sz="4" w:space="0"/>
            </w:tcBorders>
            <w:shd w:val="clear" w:color="auto" w:fill="auto"/>
            <w:vAlign w:val="center"/>
          </w:tcPr>
          <w:p>
            <w:pPr>
              <w:adjustRightInd w:val="0"/>
              <w:snapToGrid w:val="0"/>
              <w:jc w:val="center"/>
              <w:rPr>
                <w:rFonts w:eastAsiaTheme="minorEastAsia"/>
                <w:bCs/>
                <w:sz w:val="21"/>
                <w:szCs w:val="21"/>
                <w:lang w:eastAsia="zh-CN"/>
              </w:rPr>
            </w:pPr>
            <w:r>
              <w:rPr>
                <w:sz w:val="21"/>
                <w:szCs w:val="21"/>
                <w:lang w:eastAsia="zh-CN"/>
              </w:rPr>
              <w:t>《挥发性有机物排放标准 第</w:t>
            </w:r>
            <w:r>
              <w:rPr>
                <w:rFonts w:hint="eastAsia"/>
                <w:sz w:val="21"/>
                <w:szCs w:val="21"/>
                <w:lang w:val="en-US" w:eastAsia="zh-CN"/>
              </w:rPr>
              <w:t>6</w:t>
            </w:r>
            <w:r>
              <w:rPr>
                <w:sz w:val="21"/>
                <w:szCs w:val="21"/>
                <w:lang w:eastAsia="zh-CN"/>
              </w:rPr>
              <w:t>部分：</w:t>
            </w:r>
            <w:r>
              <w:rPr>
                <w:rFonts w:hint="eastAsia"/>
                <w:sz w:val="21"/>
                <w:szCs w:val="21"/>
                <w:lang w:eastAsia="zh-CN"/>
              </w:rPr>
              <w:t>有机化工</w:t>
            </w:r>
            <w:r>
              <w:rPr>
                <w:sz w:val="21"/>
                <w:szCs w:val="21"/>
                <w:lang w:eastAsia="zh-CN"/>
              </w:rPr>
              <w:t>行业》（DB37/2801.</w:t>
            </w:r>
            <w:r>
              <w:rPr>
                <w:rFonts w:hint="eastAsia"/>
                <w:sz w:val="21"/>
                <w:szCs w:val="21"/>
                <w:lang w:val="en-US" w:eastAsia="zh-CN"/>
              </w:rPr>
              <w:t>6</w:t>
            </w:r>
            <w:r>
              <w:rPr>
                <w:sz w:val="21"/>
                <w:szCs w:val="21"/>
                <w:lang w:eastAsia="zh-CN"/>
              </w:rPr>
              <w:t>-201</w:t>
            </w:r>
            <w:r>
              <w:rPr>
                <w:rFonts w:hint="eastAsia"/>
                <w:sz w:val="21"/>
                <w:szCs w:val="21"/>
                <w:lang w:val="en-US" w:eastAsia="zh-CN"/>
              </w:rPr>
              <w:t>8</w:t>
            </w:r>
            <w:r>
              <w:rPr>
                <w:sz w:val="21"/>
                <w:szCs w:val="21"/>
                <w:lang w:eastAsia="zh-CN"/>
              </w:rPr>
              <w:t>）中表</w:t>
            </w:r>
            <w:r>
              <w:rPr>
                <w:rFonts w:hint="eastAsia"/>
                <w:sz w:val="21"/>
                <w:szCs w:val="21"/>
                <w:lang w:val="en-US" w:eastAsia="zh-CN"/>
              </w:rPr>
              <w:t>2</w:t>
            </w:r>
          </w:p>
        </w:tc>
        <w:tc>
          <w:tcPr>
            <w:tcW w:w="1363" w:type="dxa"/>
            <w:tcBorders>
              <w:top w:val="single" w:color="auto" w:sz="4" w:space="0"/>
            </w:tcBorders>
            <w:shd w:val="clear" w:color="auto" w:fill="auto"/>
            <w:vAlign w:val="center"/>
          </w:tcPr>
          <w:p>
            <w:pPr>
              <w:adjustRightInd w:val="0"/>
              <w:snapToGrid w:val="0"/>
              <w:jc w:val="center"/>
              <w:rPr>
                <w:rFonts w:eastAsiaTheme="minorEastAsia"/>
                <w:bCs/>
                <w:sz w:val="21"/>
                <w:szCs w:val="21"/>
                <w:lang w:eastAsia="zh-CN"/>
              </w:rPr>
            </w:pPr>
            <w:r>
              <w:rPr>
                <w:rFonts w:hint="eastAsia" w:eastAsiaTheme="minorEastAsia"/>
                <w:bCs/>
                <w:sz w:val="21"/>
                <w:szCs w:val="21"/>
                <w:lang w:eastAsia="zh-CN"/>
              </w:rPr>
              <w:t>2.0</w:t>
            </w:r>
          </w:p>
        </w:tc>
        <w:tc>
          <w:tcPr>
            <w:tcW w:w="890" w:type="dxa"/>
            <w:tcBorders>
              <w:top w:val="single" w:color="auto" w:sz="4" w:space="0"/>
            </w:tcBorders>
            <w:shd w:val="clear" w:color="auto" w:fill="auto"/>
            <w:vAlign w:val="center"/>
          </w:tcPr>
          <w:p>
            <w:pPr>
              <w:adjustRightInd w:val="0"/>
              <w:snapToGrid w:val="0"/>
              <w:jc w:val="center"/>
              <w:rPr>
                <w:rFonts w:hint="default"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5" w:hRule="atLeast"/>
          <w:jc w:val="center"/>
        </w:trPr>
        <w:tc>
          <w:tcPr>
            <w:tcW w:w="504" w:type="dxa"/>
            <w:vMerge w:val="continue"/>
            <w:shd w:val="clear" w:color="auto" w:fill="auto"/>
            <w:vAlign w:val="center"/>
          </w:tcPr>
          <w:p>
            <w:pPr>
              <w:adjustRightInd w:val="0"/>
              <w:snapToGrid w:val="0"/>
              <w:jc w:val="center"/>
              <w:rPr>
                <w:rFonts w:eastAsiaTheme="minorEastAsia"/>
                <w:bCs/>
                <w:sz w:val="21"/>
                <w:szCs w:val="21"/>
              </w:rPr>
            </w:pPr>
          </w:p>
        </w:tc>
        <w:tc>
          <w:tcPr>
            <w:tcW w:w="1153" w:type="dxa"/>
            <w:vMerge w:val="continue"/>
            <w:shd w:val="clear" w:color="auto" w:fill="auto"/>
            <w:vAlign w:val="center"/>
          </w:tcPr>
          <w:p>
            <w:pPr>
              <w:adjustRightInd w:val="0"/>
              <w:snapToGrid w:val="0"/>
              <w:jc w:val="center"/>
              <w:rPr>
                <w:rFonts w:hint="eastAsia" w:eastAsiaTheme="minorEastAsia"/>
                <w:bCs/>
                <w:sz w:val="21"/>
                <w:szCs w:val="21"/>
                <w:lang w:eastAsia="zh-CN"/>
              </w:rPr>
            </w:pPr>
          </w:p>
        </w:tc>
        <w:tc>
          <w:tcPr>
            <w:tcW w:w="898" w:type="dxa"/>
            <w:tcBorders>
              <w:top w:val="single" w:color="auto" w:sz="4" w:space="0"/>
            </w:tcBorders>
            <w:shd w:val="clear" w:color="auto" w:fill="auto"/>
            <w:vAlign w:val="center"/>
          </w:tcPr>
          <w:p>
            <w:pPr>
              <w:adjustRightInd w:val="0"/>
              <w:snapToGrid w:val="0"/>
              <w:jc w:val="center"/>
              <w:rPr>
                <w:rFonts w:hint="eastAsia" w:eastAsiaTheme="minorEastAsia"/>
                <w:bCs/>
                <w:sz w:val="21"/>
                <w:szCs w:val="21"/>
                <w:lang w:eastAsia="zh-CN"/>
              </w:rPr>
            </w:pPr>
            <w:r>
              <w:rPr>
                <w:rFonts w:hint="eastAsia" w:eastAsiaTheme="minorEastAsia"/>
                <w:bCs/>
                <w:sz w:val="21"/>
                <w:szCs w:val="21"/>
                <w:lang w:eastAsia="zh-CN"/>
              </w:rPr>
              <w:t>甲醛</w:t>
            </w:r>
          </w:p>
        </w:tc>
        <w:tc>
          <w:tcPr>
            <w:tcW w:w="1188" w:type="dxa"/>
            <w:vMerge w:val="continue"/>
            <w:shd w:val="clear" w:color="auto" w:fill="auto"/>
            <w:vAlign w:val="center"/>
          </w:tcPr>
          <w:p>
            <w:pPr>
              <w:adjustRightInd w:val="0"/>
              <w:snapToGrid w:val="0"/>
              <w:jc w:val="center"/>
              <w:rPr>
                <w:rFonts w:hint="eastAsia" w:eastAsiaTheme="minorEastAsia"/>
                <w:bCs/>
                <w:sz w:val="21"/>
                <w:szCs w:val="21"/>
                <w:lang w:eastAsia="zh-CN"/>
              </w:rPr>
            </w:pPr>
          </w:p>
        </w:tc>
        <w:tc>
          <w:tcPr>
            <w:tcW w:w="2822" w:type="dxa"/>
            <w:tcBorders>
              <w:top w:val="single" w:color="auto" w:sz="4" w:space="0"/>
            </w:tcBorders>
            <w:shd w:val="clear" w:color="auto" w:fill="auto"/>
            <w:vAlign w:val="center"/>
          </w:tcPr>
          <w:p>
            <w:pPr>
              <w:adjustRightInd w:val="0"/>
              <w:snapToGrid w:val="0"/>
              <w:jc w:val="center"/>
              <w:rPr>
                <w:rFonts w:hint="default"/>
                <w:sz w:val="21"/>
                <w:szCs w:val="21"/>
                <w:lang w:val="en-US" w:eastAsia="zh-CN"/>
              </w:rPr>
            </w:pPr>
            <w:r>
              <w:rPr>
                <w:sz w:val="21"/>
                <w:szCs w:val="21"/>
                <w:lang w:eastAsia="zh-CN"/>
              </w:rPr>
              <w:t>《挥发性有机物排放标准 第</w:t>
            </w:r>
            <w:r>
              <w:rPr>
                <w:rFonts w:hint="eastAsia"/>
                <w:sz w:val="21"/>
                <w:szCs w:val="21"/>
                <w:lang w:val="en-US" w:eastAsia="zh-CN"/>
              </w:rPr>
              <w:t>7</w:t>
            </w:r>
            <w:r>
              <w:rPr>
                <w:sz w:val="21"/>
                <w:szCs w:val="21"/>
                <w:lang w:eastAsia="zh-CN"/>
              </w:rPr>
              <w:t>部分：</w:t>
            </w:r>
            <w:r>
              <w:rPr>
                <w:rFonts w:hint="eastAsia"/>
                <w:sz w:val="21"/>
                <w:szCs w:val="21"/>
                <w:lang w:eastAsia="zh-CN"/>
              </w:rPr>
              <w:t>其他</w:t>
            </w:r>
            <w:r>
              <w:rPr>
                <w:sz w:val="21"/>
                <w:szCs w:val="21"/>
                <w:lang w:eastAsia="zh-CN"/>
              </w:rPr>
              <w:t>行业》（DB37/2801.</w:t>
            </w:r>
            <w:r>
              <w:rPr>
                <w:rFonts w:hint="eastAsia"/>
                <w:sz w:val="21"/>
                <w:szCs w:val="21"/>
                <w:lang w:val="en-US" w:eastAsia="zh-CN"/>
              </w:rPr>
              <w:t>7</w:t>
            </w:r>
            <w:r>
              <w:rPr>
                <w:sz w:val="21"/>
                <w:szCs w:val="21"/>
                <w:lang w:eastAsia="zh-CN"/>
              </w:rPr>
              <w:t>-201</w:t>
            </w:r>
            <w:r>
              <w:rPr>
                <w:rFonts w:hint="eastAsia"/>
                <w:sz w:val="21"/>
                <w:szCs w:val="21"/>
                <w:lang w:val="en-US" w:eastAsia="zh-CN"/>
              </w:rPr>
              <w:t>9</w:t>
            </w:r>
            <w:r>
              <w:rPr>
                <w:sz w:val="21"/>
                <w:szCs w:val="21"/>
                <w:lang w:eastAsia="zh-CN"/>
              </w:rPr>
              <w:t>）中表</w:t>
            </w:r>
            <w:r>
              <w:rPr>
                <w:rFonts w:hint="eastAsia"/>
                <w:sz w:val="21"/>
                <w:szCs w:val="21"/>
                <w:lang w:val="en-US" w:eastAsia="zh-CN"/>
              </w:rPr>
              <w:t>3</w:t>
            </w:r>
          </w:p>
        </w:tc>
        <w:tc>
          <w:tcPr>
            <w:tcW w:w="1363" w:type="dxa"/>
            <w:tcBorders>
              <w:top w:val="single" w:color="auto" w:sz="4" w:space="0"/>
            </w:tcBorders>
            <w:shd w:val="clear" w:color="auto" w:fill="auto"/>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0.05</w:t>
            </w:r>
          </w:p>
        </w:tc>
        <w:tc>
          <w:tcPr>
            <w:tcW w:w="890" w:type="dxa"/>
            <w:tcBorders>
              <w:top w:val="single" w:color="auto" w:sz="4" w:space="0"/>
            </w:tcBorders>
            <w:shd w:val="clear" w:color="auto" w:fill="auto"/>
            <w:vAlign w:val="center"/>
          </w:tcPr>
          <w:p>
            <w:pPr>
              <w:adjustRightInd w:val="0"/>
              <w:snapToGrid w:val="0"/>
              <w:jc w:val="center"/>
              <w:rPr>
                <w:rFonts w:hint="default"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04" w:type="dxa"/>
            <w:vMerge w:val="continue"/>
            <w:shd w:val="clear" w:color="auto" w:fill="auto"/>
            <w:vAlign w:val="center"/>
          </w:tcPr>
          <w:p>
            <w:pPr>
              <w:adjustRightInd w:val="0"/>
              <w:snapToGrid w:val="0"/>
              <w:jc w:val="center"/>
              <w:rPr>
                <w:rFonts w:eastAsiaTheme="minorEastAsia"/>
                <w:bCs/>
                <w:sz w:val="21"/>
                <w:szCs w:val="21"/>
              </w:rPr>
            </w:pPr>
          </w:p>
        </w:tc>
        <w:tc>
          <w:tcPr>
            <w:tcW w:w="1153" w:type="dxa"/>
            <w:vMerge w:val="continue"/>
            <w:shd w:val="clear" w:color="auto" w:fill="auto"/>
            <w:vAlign w:val="center"/>
          </w:tcPr>
          <w:p>
            <w:pPr>
              <w:adjustRightInd w:val="0"/>
              <w:snapToGrid w:val="0"/>
              <w:jc w:val="center"/>
              <w:rPr>
                <w:rFonts w:hint="eastAsia" w:eastAsiaTheme="minorEastAsia"/>
                <w:bCs/>
                <w:sz w:val="21"/>
                <w:szCs w:val="21"/>
                <w:lang w:eastAsia="zh-CN"/>
              </w:rPr>
            </w:pPr>
          </w:p>
        </w:tc>
        <w:tc>
          <w:tcPr>
            <w:tcW w:w="898" w:type="dxa"/>
            <w:tcBorders>
              <w:top w:val="single" w:color="auto" w:sz="4" w:space="0"/>
            </w:tcBorders>
            <w:shd w:val="clear" w:color="auto" w:fill="auto"/>
            <w:vAlign w:val="center"/>
          </w:tcPr>
          <w:p>
            <w:pPr>
              <w:adjustRightInd w:val="0"/>
              <w:snapToGrid w:val="0"/>
              <w:jc w:val="center"/>
              <w:rPr>
                <w:rFonts w:hint="eastAsia" w:eastAsiaTheme="minorEastAsia"/>
                <w:bCs/>
                <w:sz w:val="21"/>
                <w:szCs w:val="21"/>
                <w:lang w:eastAsia="zh-CN"/>
              </w:rPr>
            </w:pPr>
            <w:r>
              <w:rPr>
                <w:rFonts w:hint="eastAsia" w:eastAsiaTheme="minorEastAsia"/>
                <w:bCs/>
                <w:sz w:val="21"/>
                <w:szCs w:val="21"/>
                <w:lang w:eastAsia="zh-CN"/>
              </w:rPr>
              <w:t>苯酚</w:t>
            </w:r>
          </w:p>
        </w:tc>
        <w:tc>
          <w:tcPr>
            <w:tcW w:w="1188" w:type="dxa"/>
            <w:vMerge w:val="continue"/>
            <w:shd w:val="clear" w:color="auto" w:fill="auto"/>
            <w:vAlign w:val="center"/>
          </w:tcPr>
          <w:p>
            <w:pPr>
              <w:adjustRightInd w:val="0"/>
              <w:snapToGrid w:val="0"/>
              <w:jc w:val="center"/>
              <w:rPr>
                <w:rFonts w:hint="eastAsia" w:eastAsiaTheme="minorEastAsia"/>
                <w:bCs/>
                <w:sz w:val="21"/>
                <w:szCs w:val="21"/>
                <w:lang w:eastAsia="zh-CN"/>
              </w:rPr>
            </w:pPr>
          </w:p>
        </w:tc>
        <w:tc>
          <w:tcPr>
            <w:tcW w:w="2822" w:type="dxa"/>
            <w:tcBorders>
              <w:top w:val="single" w:color="auto" w:sz="4" w:space="0"/>
            </w:tcBorders>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《大气污染物综合排放标准》（GB16297-1996）中表2</w:t>
            </w:r>
          </w:p>
        </w:tc>
        <w:tc>
          <w:tcPr>
            <w:tcW w:w="1363" w:type="dxa"/>
            <w:tcBorders>
              <w:top w:val="single" w:color="auto" w:sz="4" w:space="0"/>
            </w:tcBorders>
            <w:shd w:val="clear" w:color="auto" w:fill="auto"/>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0.08</w:t>
            </w:r>
          </w:p>
        </w:tc>
        <w:tc>
          <w:tcPr>
            <w:tcW w:w="890" w:type="dxa"/>
            <w:tcBorders>
              <w:top w:val="single" w:color="auto" w:sz="4" w:space="0"/>
            </w:tcBorders>
            <w:shd w:val="clear" w:color="auto" w:fill="auto"/>
            <w:vAlign w:val="center"/>
          </w:tcPr>
          <w:p>
            <w:pPr>
              <w:adjustRightInd w:val="0"/>
              <w:snapToGrid w:val="0"/>
              <w:jc w:val="center"/>
              <w:rPr>
                <w:rFonts w:hint="default" w:eastAsia="宋体"/>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0.161</w:t>
            </w:r>
          </w:p>
        </w:tc>
      </w:tr>
    </w:tbl>
    <w:p>
      <w:pPr>
        <w:spacing w:line="360" w:lineRule="auto"/>
        <w:ind w:firstLine="420" w:firstLineChars="200"/>
        <w:rPr>
          <w:rFonts w:hint="eastAsia" w:ascii="Times New Roman" w:hAnsi="Times New Roman" w:eastAsia="宋体" w:cs="Times New Roman"/>
          <w:szCs w:val="21"/>
          <w:lang w:eastAsia="zh-CN"/>
        </w:rPr>
      </w:pPr>
      <w:r>
        <w:rPr>
          <w:rFonts w:hint="default" w:ascii="Times New Roman" w:hAnsi="Times New Roman" w:cs="Times New Roman"/>
          <w:szCs w:val="21"/>
        </w:rPr>
        <w:t>本项目</w:t>
      </w:r>
      <w:r>
        <w:rPr>
          <w:rFonts w:hint="eastAsia" w:ascii="Times New Roman" w:hAnsi="Times New Roman" w:cs="Times New Roman"/>
          <w:szCs w:val="21"/>
          <w:lang w:eastAsia="zh-CN"/>
        </w:rPr>
        <w:t>营运期</w:t>
      </w:r>
      <w:r>
        <w:rPr>
          <w:rFonts w:hint="default" w:ascii="Times New Roman" w:hAnsi="Times New Roman" w:cs="Times New Roman"/>
        </w:rPr>
        <w:t>有组织VOCs</w:t>
      </w:r>
      <w:r>
        <w:rPr>
          <w:rFonts w:hint="eastAsia" w:cs="Times New Roman"/>
          <w:lang w:eastAsia="zh-CN"/>
        </w:rPr>
        <w:t>、苯酚、甲醛排放满足</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6</w:t>
      </w:r>
      <w:r>
        <w:rPr>
          <w:rFonts w:hint="default" w:ascii="Times New Roman" w:hAnsi="Times New Roman" w:cs="Times New Roman"/>
          <w:szCs w:val="21"/>
        </w:rPr>
        <w:t>-201</w:t>
      </w:r>
      <w:r>
        <w:rPr>
          <w:rFonts w:hint="eastAsia" w:cs="Times New Roman"/>
          <w:szCs w:val="21"/>
          <w:lang w:val="en-US" w:eastAsia="zh-CN"/>
        </w:rPr>
        <w:t>8</w:t>
      </w:r>
      <w:r>
        <w:rPr>
          <w:rFonts w:hint="default" w:ascii="Times New Roman" w:hAnsi="Times New Roman" w:cs="Times New Roman"/>
          <w:szCs w:val="21"/>
        </w:rPr>
        <w:t>）表</w:t>
      </w:r>
      <w:r>
        <w:rPr>
          <w:rFonts w:hint="eastAsia" w:cs="Times New Roman"/>
          <w:szCs w:val="21"/>
          <w:lang w:val="en-US" w:eastAsia="zh-CN"/>
        </w:rPr>
        <w:t>1、表2中</w:t>
      </w:r>
      <w:r>
        <w:rPr>
          <w:rFonts w:hint="default" w:ascii="Times New Roman" w:hAnsi="Times New Roman" w:cs="Times New Roman"/>
          <w:szCs w:val="21"/>
        </w:rPr>
        <w:t>排放限值</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VOCs：6</w:t>
      </w:r>
      <w:r>
        <w:rPr>
          <w:rFonts w:hint="eastAsia" w:ascii="Times New Roman" w:hAnsi="Times New Roman" w:eastAsia="宋体" w:cs="Times New Roman"/>
          <w:szCs w:val="21"/>
          <w:lang w:val="en-US" w:eastAsia="zh-CN"/>
        </w:rPr>
        <w:t>0mg/m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vertAlign w:val="baseline"/>
          <w:lang w:val="en-US" w:eastAsia="zh-CN"/>
        </w:rPr>
        <w:t>、</w:t>
      </w:r>
      <w:r>
        <w:rPr>
          <w:rFonts w:hint="eastAsia" w:ascii="Times New Roman" w:hAnsi="Times New Roman" w:eastAsia="宋体" w:cs="Times New Roman"/>
          <w:szCs w:val="21"/>
          <w:vertAlign w:val="baseline"/>
          <w:lang w:val="en-US" w:eastAsia="zh-CN"/>
        </w:rPr>
        <w:t>3kg/h</w:t>
      </w:r>
      <w:r>
        <w:rPr>
          <w:rFonts w:hint="eastAsia" w:ascii="Times New Roman" w:hAnsi="Times New Roman" w:cs="Times New Roman"/>
          <w:szCs w:val="21"/>
          <w:vertAlign w:val="baseline"/>
          <w:lang w:val="en-US" w:eastAsia="zh-CN"/>
        </w:rPr>
        <w:t>；</w:t>
      </w:r>
      <w:r>
        <w:rPr>
          <w:rFonts w:hint="eastAsia" w:cs="Times New Roman"/>
          <w:lang w:eastAsia="zh-CN"/>
        </w:rPr>
        <w:t>酚类化合物：</w:t>
      </w:r>
      <w:r>
        <w:rPr>
          <w:rFonts w:hint="eastAsia" w:ascii="Times New Roman" w:hAnsi="Times New Roman" w:cs="Times New Roman"/>
          <w:szCs w:val="21"/>
          <w:lang w:val="en-US" w:eastAsia="zh-CN"/>
        </w:rPr>
        <w:t>15</w:t>
      </w: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vertAlign w:val="baseline"/>
          <w:lang w:val="en-US" w:eastAsia="zh-CN"/>
        </w:rPr>
        <w:t>；</w:t>
      </w:r>
      <w:r>
        <w:rPr>
          <w:rFonts w:hint="eastAsia" w:cs="Times New Roman"/>
          <w:lang w:eastAsia="zh-CN"/>
        </w:rPr>
        <w:t>甲醛：</w:t>
      </w:r>
      <w:r>
        <w:rPr>
          <w:rFonts w:hint="eastAsia" w:ascii="Times New Roman" w:hAnsi="Times New Roman" w:cs="Times New Roman"/>
          <w:szCs w:val="21"/>
          <w:lang w:val="en-US" w:eastAsia="zh-CN"/>
        </w:rPr>
        <w:t>5</w:t>
      </w: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lang w:eastAsia="zh-CN"/>
        </w:rPr>
        <w:t>）</w:t>
      </w:r>
      <w:r>
        <w:rPr>
          <w:rFonts w:hint="eastAsia" w:cs="Times New Roman"/>
          <w:szCs w:val="21"/>
          <w:lang w:eastAsia="zh-CN"/>
        </w:rPr>
        <w:t>；</w:t>
      </w:r>
      <w:r>
        <w:rPr>
          <w:rFonts w:hint="eastAsia" w:cs="Times New Roman"/>
          <w:lang w:eastAsia="zh-CN"/>
        </w:rPr>
        <w:t>酚类、甲醛有组织排放速率</w:t>
      </w:r>
      <w:r>
        <w:rPr>
          <w:rFonts w:hint="eastAsia" w:ascii="Times New Roman" w:hAnsi="Times New Roman" w:cs="Times New Roman"/>
          <w:lang w:eastAsia="zh-CN"/>
        </w:rPr>
        <w:t>满足</w:t>
      </w:r>
      <w:r>
        <w:rPr>
          <w:rFonts w:hint="default" w:ascii="Times New Roman" w:hAnsi="Times New Roman" w:cs="Times New Roman"/>
          <w:szCs w:val="21"/>
        </w:rPr>
        <w:t>《</w:t>
      </w:r>
      <w:r>
        <w:rPr>
          <w:rFonts w:hint="eastAsia" w:cs="Times New Roman"/>
          <w:szCs w:val="21"/>
          <w:lang w:eastAsia="zh-CN"/>
        </w:rPr>
        <w:t>大气污染物综合排放标准</w:t>
      </w:r>
      <w:r>
        <w:rPr>
          <w:rFonts w:hint="default" w:ascii="Times New Roman" w:hAnsi="Times New Roman" w:cs="Times New Roman"/>
          <w:szCs w:val="21"/>
        </w:rPr>
        <w:t>》（</w:t>
      </w:r>
      <w:r>
        <w:rPr>
          <w:rFonts w:hint="eastAsia" w:cs="Times New Roman"/>
          <w:szCs w:val="21"/>
          <w:lang w:val="en-US" w:eastAsia="zh-CN"/>
        </w:rPr>
        <w:t>GB16297-1996</w:t>
      </w:r>
      <w:r>
        <w:rPr>
          <w:rFonts w:hint="default" w:ascii="Times New Roman" w:hAnsi="Times New Roman" w:cs="Times New Roman"/>
          <w:szCs w:val="21"/>
        </w:rPr>
        <w:t>）表</w:t>
      </w:r>
      <w:r>
        <w:rPr>
          <w:rFonts w:hint="eastAsia" w:cs="Times New Roman"/>
          <w:szCs w:val="21"/>
          <w:lang w:val="en-US" w:eastAsia="zh-CN"/>
        </w:rPr>
        <w:t>2中酚类、甲醛15m有组织</w:t>
      </w:r>
      <w:r>
        <w:rPr>
          <w:rFonts w:hint="default" w:ascii="Times New Roman" w:hAnsi="Times New Roman" w:cs="Times New Roman"/>
          <w:szCs w:val="21"/>
        </w:rPr>
        <w:t>排放限值</w:t>
      </w:r>
      <w:r>
        <w:rPr>
          <w:rFonts w:hint="eastAsia" w:ascii="Times New Roman" w:hAnsi="Times New Roman" w:cs="Times New Roman"/>
          <w:szCs w:val="21"/>
          <w:lang w:eastAsia="zh-CN"/>
        </w:rPr>
        <w:t>（</w:t>
      </w:r>
      <w:r>
        <w:rPr>
          <w:rFonts w:hint="eastAsia" w:cs="Times New Roman"/>
          <w:lang w:eastAsia="zh-CN"/>
        </w:rPr>
        <w:t>酚类化合物：</w:t>
      </w:r>
      <w:r>
        <w:rPr>
          <w:rFonts w:hint="eastAsia" w:ascii="Times New Roman" w:hAnsi="Times New Roman" w:cs="Times New Roman"/>
          <w:szCs w:val="21"/>
          <w:lang w:val="en-US" w:eastAsia="zh-CN"/>
        </w:rPr>
        <w:t>0.1</w:t>
      </w:r>
      <w:r>
        <w:rPr>
          <w:rFonts w:hint="eastAsia" w:ascii="Times New Roman" w:hAnsi="Times New Roman" w:eastAsia="宋体" w:cs="Times New Roman"/>
          <w:szCs w:val="21"/>
          <w:vertAlign w:val="baseline"/>
          <w:lang w:val="en-US" w:eastAsia="zh-CN"/>
        </w:rPr>
        <w:t>kg/h</w:t>
      </w:r>
      <w:r>
        <w:rPr>
          <w:rFonts w:hint="eastAsia" w:ascii="Times New Roman" w:hAnsi="Times New Roman" w:cs="Times New Roman"/>
          <w:szCs w:val="21"/>
          <w:vertAlign w:val="baseline"/>
          <w:lang w:val="en-US" w:eastAsia="zh-CN"/>
        </w:rPr>
        <w:t>；</w:t>
      </w:r>
      <w:r>
        <w:rPr>
          <w:rFonts w:hint="eastAsia" w:cs="Times New Roman"/>
          <w:lang w:eastAsia="zh-CN"/>
        </w:rPr>
        <w:t>甲醛：</w:t>
      </w:r>
      <w:r>
        <w:rPr>
          <w:rFonts w:hint="eastAsia" w:ascii="Times New Roman" w:hAnsi="Times New Roman" w:cs="Times New Roman"/>
          <w:szCs w:val="21"/>
          <w:lang w:val="en-US" w:eastAsia="zh-CN"/>
        </w:rPr>
        <w:t>0.26</w:t>
      </w:r>
      <w:r>
        <w:rPr>
          <w:rFonts w:hint="eastAsia" w:ascii="Times New Roman" w:hAnsi="Times New Roman" w:eastAsia="宋体" w:cs="Times New Roman"/>
          <w:szCs w:val="21"/>
          <w:vertAlign w:val="baseline"/>
          <w:lang w:val="en-US" w:eastAsia="zh-CN"/>
        </w:rPr>
        <w:t>kg/h</w:t>
      </w:r>
      <w:r>
        <w:rPr>
          <w:rFonts w:hint="eastAsia" w:ascii="Times New Roman" w:hAnsi="Times New Roman" w:cs="Times New Roman"/>
          <w:szCs w:val="21"/>
          <w:lang w:eastAsia="zh-CN"/>
        </w:rPr>
        <w:t>）</w:t>
      </w:r>
    </w:p>
    <w:p>
      <w:pPr>
        <w:adjustRightInd w:val="0"/>
        <w:snapToGrid w:val="0"/>
        <w:spacing w:line="360" w:lineRule="auto"/>
        <w:ind w:firstLine="420" w:firstLineChars="200"/>
        <w:jc w:val="both"/>
        <w:rPr>
          <w:lang w:eastAsia="zh-CN"/>
        </w:rPr>
      </w:pPr>
      <w:r>
        <w:rPr>
          <w:rFonts w:hint="eastAsia" w:eastAsia="宋体"/>
          <w:lang w:eastAsia="zh-CN"/>
        </w:rPr>
        <w:t>项目无组织废气主要为</w:t>
      </w:r>
      <w:r>
        <w:rPr>
          <w:rFonts w:hint="eastAsia"/>
          <w:lang w:eastAsia="zh-CN"/>
        </w:rPr>
        <w:t>集气罩未收集的VOCs、苯酚、甲醛。</w:t>
      </w:r>
      <w:r>
        <w:rPr>
          <w:rFonts w:hint="default" w:ascii="Times New Roman" w:hAnsi="Times New Roman" w:cs="Times New Roman"/>
          <w:szCs w:val="21"/>
        </w:rPr>
        <w:t>本项目</w:t>
      </w:r>
      <w:r>
        <w:rPr>
          <w:rFonts w:hint="eastAsia" w:cs="Times New Roman"/>
          <w:szCs w:val="21"/>
          <w:lang w:eastAsia="zh-CN"/>
        </w:rPr>
        <w:t>营运期</w:t>
      </w:r>
      <w:r>
        <w:rPr>
          <w:rFonts w:hint="default" w:ascii="Times New Roman" w:hAnsi="Times New Roman" w:cs="Times New Roman"/>
        </w:rPr>
        <w:t>厂界无组织VOCs</w:t>
      </w:r>
      <w:r>
        <w:rPr>
          <w:rFonts w:hint="eastAsia" w:ascii="Times New Roman" w:hAnsi="Times New Roman" w:eastAsia="宋体" w:cs="Times New Roman"/>
          <w:lang w:eastAsia="zh-CN"/>
        </w:rPr>
        <w:t>满足</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6</w:t>
      </w:r>
      <w:r>
        <w:rPr>
          <w:rFonts w:hint="default" w:ascii="Times New Roman" w:hAnsi="Times New Roman" w:cs="Times New Roman"/>
          <w:szCs w:val="21"/>
        </w:rPr>
        <w:t>-201</w:t>
      </w:r>
      <w:r>
        <w:rPr>
          <w:rFonts w:hint="eastAsia" w:cs="Times New Roman"/>
          <w:szCs w:val="21"/>
          <w:lang w:val="en-US" w:eastAsia="zh-CN"/>
        </w:rPr>
        <w:t>8</w:t>
      </w:r>
      <w:r>
        <w:rPr>
          <w:rFonts w:hint="default" w:ascii="Times New Roman" w:hAnsi="Times New Roman" w:cs="Times New Roman"/>
          <w:szCs w:val="21"/>
        </w:rPr>
        <w:t>）表</w:t>
      </w:r>
      <w:r>
        <w:rPr>
          <w:rFonts w:hint="eastAsia" w:cs="Times New Roman"/>
          <w:szCs w:val="21"/>
          <w:lang w:val="en-US" w:eastAsia="zh-CN"/>
        </w:rPr>
        <w:t>2</w:t>
      </w:r>
      <w:r>
        <w:rPr>
          <w:rFonts w:hint="default" w:ascii="Times New Roman" w:hAnsi="Times New Roman" w:cs="Times New Roman"/>
          <w:szCs w:val="21"/>
        </w:rPr>
        <w:t>厂界监控点浓度限值</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VOCs：2mg/m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eastAsia="zh-CN"/>
        </w:rPr>
        <w:t>）</w:t>
      </w:r>
      <w:r>
        <w:rPr>
          <w:rFonts w:hint="default" w:ascii="Times New Roman" w:hAnsi="Times New Roman" w:cs="Times New Roman"/>
          <w:szCs w:val="21"/>
        </w:rPr>
        <w:t>；</w:t>
      </w:r>
      <w:r>
        <w:rPr>
          <w:rFonts w:hint="default" w:ascii="Times New Roman" w:hAnsi="Times New Roman" w:cs="Times New Roman"/>
        </w:rPr>
        <w:t>无组织</w:t>
      </w:r>
      <w:r>
        <w:rPr>
          <w:rFonts w:hint="eastAsia" w:cs="Times New Roman"/>
          <w:lang w:eastAsia="zh-CN"/>
        </w:rPr>
        <w:t>甲醛</w:t>
      </w:r>
      <w:r>
        <w:rPr>
          <w:rFonts w:hint="eastAsia" w:ascii="Times New Roman" w:hAnsi="Times New Roman" w:eastAsia="宋体" w:cs="Times New Roman"/>
          <w:lang w:eastAsia="zh-CN"/>
        </w:rPr>
        <w:t>满足</w:t>
      </w:r>
      <w:r>
        <w:rPr>
          <w:rFonts w:hint="default" w:ascii="Times New Roman" w:hAnsi="Times New Roman" w:cs="Times New Roman"/>
          <w:szCs w:val="21"/>
        </w:rPr>
        <w:t>《挥发性有机物排放标准 第</w:t>
      </w:r>
      <w:r>
        <w:rPr>
          <w:rFonts w:hint="eastAsia" w:cs="Times New Roman"/>
          <w:szCs w:val="21"/>
          <w:lang w:val="en-US" w:eastAsia="zh-CN"/>
        </w:rPr>
        <w:t>7</w:t>
      </w:r>
      <w:r>
        <w:rPr>
          <w:rFonts w:hint="default" w:ascii="Times New Roman" w:hAnsi="Times New Roman" w:cs="Times New Roman"/>
          <w:szCs w:val="21"/>
        </w:rPr>
        <w:t>部分：</w:t>
      </w:r>
      <w:r>
        <w:rPr>
          <w:rFonts w:hint="eastAsia" w:cs="Times New Roman"/>
          <w:szCs w:val="21"/>
          <w:lang w:eastAsia="zh-CN"/>
        </w:rPr>
        <w:t>其他</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w:t>
      </w:r>
      <w:r>
        <w:rPr>
          <w:rFonts w:hint="eastAsia" w:cs="Times New Roman"/>
          <w:szCs w:val="21"/>
          <w:lang w:val="en-US" w:eastAsia="zh-CN"/>
        </w:rPr>
        <w:t>表3</w:t>
      </w:r>
      <w:r>
        <w:rPr>
          <w:rFonts w:hint="default" w:ascii="Times New Roman" w:hAnsi="Times New Roman" w:cs="Times New Roman"/>
          <w:szCs w:val="21"/>
        </w:rPr>
        <w:t>厂界监控点浓度限值</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vertAlign w:val="baseline"/>
          <w:lang w:val="en-US" w:eastAsia="zh-CN"/>
        </w:rPr>
        <w:t>甲醛：</w:t>
      </w:r>
      <w:r>
        <w:rPr>
          <w:rFonts w:hint="eastAsia" w:ascii="Times New Roman" w:hAnsi="Times New Roman" w:eastAsia="宋体" w:cs="Times New Roman"/>
          <w:szCs w:val="21"/>
          <w:lang w:val="en-US" w:eastAsia="zh-CN"/>
        </w:rPr>
        <w:t>0.05mg/m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eastAsia="zh-CN"/>
        </w:rPr>
        <w:t>）</w:t>
      </w:r>
      <w:r>
        <w:rPr>
          <w:rFonts w:hint="eastAsia" w:ascii="Times New Roman" w:hAnsi="Times New Roman" w:cs="Times New Roman"/>
          <w:szCs w:val="21"/>
          <w:lang w:eastAsia="zh-CN"/>
        </w:rPr>
        <w:t>；</w:t>
      </w:r>
      <w:r>
        <w:rPr>
          <w:rFonts w:hint="eastAsia" w:cs="Times New Roman"/>
          <w:szCs w:val="21"/>
          <w:lang w:eastAsia="zh-CN"/>
        </w:rPr>
        <w:t>无组织苯酚执行《大气污染物综合排放标准》（</w:t>
      </w:r>
      <w:r>
        <w:rPr>
          <w:rFonts w:hint="eastAsia" w:cs="Times New Roman"/>
          <w:szCs w:val="21"/>
          <w:lang w:val="en-US" w:eastAsia="zh-CN"/>
        </w:rPr>
        <w:t>GB16297-1996</w:t>
      </w:r>
      <w:r>
        <w:rPr>
          <w:rFonts w:hint="eastAsia" w:cs="Times New Roman"/>
          <w:szCs w:val="21"/>
          <w:lang w:eastAsia="zh-CN"/>
        </w:rPr>
        <w:t>）表</w:t>
      </w:r>
      <w:r>
        <w:rPr>
          <w:rFonts w:hint="eastAsia" w:cs="Times New Roman"/>
          <w:szCs w:val="21"/>
          <w:lang w:val="en-US" w:eastAsia="zh-CN"/>
        </w:rPr>
        <w:t>2厂界监控点浓度限值（</w:t>
      </w:r>
      <w:r>
        <w:rPr>
          <w:rFonts w:hint="eastAsia" w:ascii="Times New Roman" w:hAnsi="Times New Roman" w:eastAsia="宋体" w:cs="Times New Roman"/>
          <w:szCs w:val="21"/>
          <w:vertAlign w:val="baseline"/>
          <w:lang w:val="en-US" w:eastAsia="zh-CN"/>
        </w:rPr>
        <w:t>酚类</w:t>
      </w:r>
      <w:r>
        <w:rPr>
          <w:rFonts w:hint="eastAsia" w:eastAsia="宋体" w:cs="Times New Roman"/>
          <w:szCs w:val="21"/>
          <w:vertAlign w:val="baseline"/>
          <w:lang w:val="en-US" w:eastAsia="zh-CN"/>
        </w:rPr>
        <w:t>化合物</w:t>
      </w:r>
      <w:r>
        <w:rPr>
          <w:rFonts w:hint="eastAsia" w:ascii="Times New Roman" w:hAnsi="Times New Roman" w:eastAsia="宋体" w:cs="Times New Roman"/>
          <w:szCs w:val="21"/>
          <w:vertAlign w:val="baseline"/>
          <w:lang w:val="en-US" w:eastAsia="zh-CN"/>
        </w:rPr>
        <w:t>：</w:t>
      </w:r>
      <w:r>
        <w:rPr>
          <w:rFonts w:hint="eastAsia" w:ascii="Times New Roman" w:hAnsi="Times New Roman" w:eastAsia="宋体" w:cs="Times New Roman"/>
          <w:szCs w:val="21"/>
          <w:lang w:val="en-US" w:eastAsia="zh-CN"/>
        </w:rPr>
        <w:t>0.08mg/m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eastAsia="zh-CN"/>
        </w:rPr>
        <w:t>）</w:t>
      </w:r>
      <w:r>
        <w:rPr>
          <w:rFonts w:hint="eastAsia" w:cs="Times New Roman"/>
          <w:szCs w:val="21"/>
          <w:lang w:val="en-US" w:eastAsia="zh-CN"/>
        </w:rPr>
        <w:t>）</w:t>
      </w:r>
      <w:r>
        <w:rPr>
          <w:lang w:eastAsia="zh-CN"/>
        </w:rPr>
        <w:t>；厂区内无组织</w:t>
      </w:r>
      <w:r>
        <w:rPr>
          <w:rFonts w:hint="eastAsia"/>
          <w:lang w:val="en-US" w:eastAsia="zh-CN"/>
        </w:rPr>
        <w:t>VOCs</w:t>
      </w:r>
      <w:r>
        <w:rPr>
          <w:lang w:eastAsia="zh-CN"/>
        </w:rPr>
        <w:t>排放执行《挥发性有机物无组织排放控制标准》（GB37822-2019）中的控制标准及附录A中厂区内VOC</w:t>
      </w:r>
      <w:r>
        <w:rPr>
          <w:vertAlign w:val="subscript"/>
          <w:lang w:eastAsia="zh-CN"/>
        </w:rPr>
        <w:t>S</w:t>
      </w:r>
      <w:r>
        <w:rPr>
          <w:rFonts w:hint="eastAsia"/>
          <w:szCs w:val="16"/>
          <w:lang w:eastAsia="zh-CN"/>
        </w:rPr>
        <w:t>（</w:t>
      </w:r>
      <w:r>
        <w:rPr>
          <w:szCs w:val="16"/>
          <w:lang w:eastAsia="zh-CN"/>
        </w:rPr>
        <w:t>以NMHC表征</w:t>
      </w:r>
      <w:r>
        <w:rPr>
          <w:rFonts w:hint="eastAsia"/>
          <w:szCs w:val="16"/>
          <w:lang w:eastAsia="zh-CN"/>
        </w:rPr>
        <w:t>）</w:t>
      </w:r>
      <w:r>
        <w:rPr>
          <w:lang w:eastAsia="zh-CN"/>
        </w:rPr>
        <w:t>浓度（厂内监控处1h平均浓度值：6mg/m</w:t>
      </w:r>
      <w:r>
        <w:rPr>
          <w:vertAlign w:val="superscript"/>
          <w:lang w:eastAsia="zh-CN"/>
        </w:rPr>
        <w:t>3</w:t>
      </w:r>
      <w:r>
        <w:rPr>
          <w:lang w:eastAsia="zh-CN"/>
        </w:rPr>
        <w:t>，厂内监控处任意一次浓度值：20mg/m</w:t>
      </w:r>
      <w:r>
        <w:rPr>
          <w:vertAlign w:val="superscript"/>
          <w:lang w:eastAsia="zh-CN"/>
        </w:rPr>
        <w:t>3</w:t>
      </w:r>
      <w:r>
        <w:rPr>
          <w:lang w:eastAsia="zh-CN"/>
        </w:rPr>
        <w:t>）。</w:t>
      </w:r>
    </w:p>
    <w:p>
      <w:pPr>
        <w:adjustRightInd w:val="0"/>
        <w:snapToGrid w:val="0"/>
        <w:spacing w:line="300" w:lineRule="exact"/>
        <w:jc w:val="center"/>
        <w:rPr>
          <w:rFonts w:eastAsiaTheme="minorEastAsia"/>
          <w:highlight w:val="none"/>
          <w:lang w:eastAsia="zh-CN"/>
        </w:rPr>
      </w:pPr>
      <w:r>
        <w:rPr>
          <w:rFonts w:eastAsiaTheme="minorEastAsia"/>
          <w:b/>
          <w:highlight w:val="none"/>
          <w:lang w:eastAsia="zh-CN"/>
        </w:rPr>
        <w:t>表</w:t>
      </w:r>
      <w:r>
        <w:rPr>
          <w:rFonts w:hint="eastAsia" w:eastAsiaTheme="minorEastAsia"/>
          <w:b/>
          <w:highlight w:val="none"/>
          <w:lang w:val="en-US" w:eastAsia="zh-CN"/>
        </w:rPr>
        <w:t>6</w:t>
      </w:r>
      <w:r>
        <w:rPr>
          <w:rFonts w:eastAsiaTheme="minorEastAsia"/>
          <w:b/>
          <w:highlight w:val="none"/>
          <w:lang w:eastAsia="zh-CN"/>
        </w:rPr>
        <w:t>.</w:t>
      </w:r>
      <w:r>
        <w:rPr>
          <w:rFonts w:hint="eastAsia" w:eastAsiaTheme="minorEastAsia"/>
          <w:b/>
          <w:highlight w:val="none"/>
          <w:lang w:eastAsia="zh-CN"/>
        </w:rPr>
        <w:t>1</w:t>
      </w:r>
      <w:r>
        <w:rPr>
          <w:rFonts w:eastAsiaTheme="minorEastAsia"/>
          <w:b/>
          <w:highlight w:val="none"/>
          <w:lang w:eastAsia="zh-CN"/>
        </w:rPr>
        <w:t>-</w:t>
      </w:r>
      <w:r>
        <w:rPr>
          <w:rFonts w:hint="eastAsia" w:eastAsiaTheme="minorEastAsia"/>
          <w:b/>
          <w:highlight w:val="none"/>
          <w:lang w:val="en-US" w:eastAsia="zh-CN"/>
        </w:rPr>
        <w:t>3</w:t>
      </w:r>
      <w:r>
        <w:rPr>
          <w:rFonts w:eastAsiaTheme="minorEastAsia"/>
          <w:b/>
          <w:highlight w:val="none"/>
          <w:lang w:eastAsia="zh-CN"/>
        </w:rPr>
        <w:t xml:space="preserve"> </w:t>
      </w:r>
      <w:r>
        <w:rPr>
          <w:rFonts w:hint="eastAsia" w:eastAsiaTheme="minorEastAsia"/>
          <w:b/>
          <w:highlight w:val="none"/>
          <w:lang w:eastAsia="zh-CN"/>
        </w:rPr>
        <w:t>拟建项目</w:t>
      </w:r>
      <w:r>
        <w:rPr>
          <w:rFonts w:eastAsiaTheme="minorEastAsia"/>
          <w:b/>
          <w:highlight w:val="none"/>
          <w:lang w:eastAsia="zh-CN"/>
        </w:rPr>
        <w:t>大气污染物</w:t>
      </w:r>
      <w:r>
        <w:rPr>
          <w:rFonts w:hint="eastAsia" w:eastAsiaTheme="minorEastAsia"/>
          <w:b/>
          <w:highlight w:val="none"/>
          <w:lang w:eastAsia="zh-CN"/>
        </w:rPr>
        <w:t>非正常工况</w:t>
      </w:r>
      <w:r>
        <w:rPr>
          <w:rFonts w:eastAsiaTheme="minorEastAsia"/>
          <w:b/>
          <w:highlight w:val="none"/>
          <w:lang w:eastAsia="zh-CN"/>
        </w:rPr>
        <w:t>有组织排放量核算表</w:t>
      </w:r>
    </w:p>
    <w:tbl>
      <w:tblPr>
        <w:tblStyle w:val="85"/>
        <w:tblW w:w="51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57"/>
        <w:gridCol w:w="888"/>
        <w:gridCol w:w="1216"/>
        <w:gridCol w:w="1068"/>
        <w:gridCol w:w="857"/>
        <w:gridCol w:w="857"/>
        <w:gridCol w:w="857"/>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057"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污染源</w:t>
            </w:r>
          </w:p>
        </w:tc>
        <w:tc>
          <w:tcPr>
            <w:tcW w:w="1057"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非正常排放原因</w:t>
            </w:r>
          </w:p>
        </w:tc>
        <w:tc>
          <w:tcPr>
            <w:tcW w:w="888"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污染物</w:t>
            </w:r>
          </w:p>
        </w:tc>
        <w:tc>
          <w:tcPr>
            <w:tcW w:w="1216"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排放浓度（mg/m</w:t>
            </w:r>
            <w:r>
              <w:rPr>
                <w:rFonts w:ascii="Times New Roman"/>
                <w:b/>
                <w:bCs/>
                <w:sz w:val="21"/>
                <w:szCs w:val="21"/>
                <w:highlight w:val="none"/>
                <w:vertAlign w:val="superscript"/>
              </w:rPr>
              <w:t>3</w:t>
            </w:r>
            <w:r>
              <w:rPr>
                <w:rFonts w:ascii="Times New Roman"/>
                <w:b/>
                <w:bCs/>
                <w:sz w:val="21"/>
                <w:szCs w:val="21"/>
                <w:highlight w:val="none"/>
              </w:rPr>
              <w:t>）</w:t>
            </w:r>
          </w:p>
        </w:tc>
        <w:tc>
          <w:tcPr>
            <w:tcW w:w="1068"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排放速率（kg/h）</w:t>
            </w:r>
          </w:p>
        </w:tc>
        <w:tc>
          <w:tcPr>
            <w:tcW w:w="857"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单次持续时间/h</w:t>
            </w:r>
          </w:p>
        </w:tc>
        <w:tc>
          <w:tcPr>
            <w:tcW w:w="857"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年发生频次/次</w:t>
            </w:r>
          </w:p>
        </w:tc>
        <w:tc>
          <w:tcPr>
            <w:tcW w:w="857" w:type="dxa"/>
            <w:noWrap w:val="0"/>
            <w:vAlign w:val="center"/>
          </w:tcPr>
          <w:p>
            <w:pPr>
              <w:pStyle w:val="198"/>
              <w:spacing w:before="24" w:after="24"/>
              <w:rPr>
                <w:rFonts w:hint="eastAsia" w:ascii="Times New Roman" w:hAnsi="Times New Roman" w:eastAsia="Times New Roman" w:cs="Times New Roman"/>
                <w:b/>
                <w:bCs/>
                <w:sz w:val="21"/>
                <w:szCs w:val="21"/>
                <w:highlight w:val="none"/>
                <w:lang w:eastAsia="zh-CN"/>
              </w:rPr>
            </w:pPr>
            <w:r>
              <w:rPr>
                <w:rFonts w:hint="eastAsia" w:ascii="Times New Roman" w:hAnsi="Times New Roman" w:eastAsia="Times New Roman" w:cs="Times New Roman"/>
                <w:b/>
                <w:bCs/>
                <w:sz w:val="21"/>
                <w:szCs w:val="21"/>
                <w:highlight w:val="none"/>
                <w:lang w:eastAsia="zh-CN"/>
              </w:rPr>
              <w:t>排放量</w:t>
            </w:r>
          </w:p>
          <w:p>
            <w:pPr>
              <w:rPr>
                <w:rFonts w:hint="eastAsia"/>
                <w:sz w:val="21"/>
                <w:szCs w:val="21"/>
                <w:highlight w:val="none"/>
                <w:lang w:eastAsia="zh-CN"/>
              </w:rPr>
            </w:pPr>
            <w:r>
              <w:rPr>
                <w:rFonts w:hint="eastAsia" w:eastAsia="宋体"/>
                <w:b/>
                <w:bCs/>
                <w:sz w:val="21"/>
                <w:szCs w:val="21"/>
                <w:highlight w:val="none"/>
                <w:lang w:eastAsia="zh-CN"/>
              </w:rPr>
              <w:t>（</w:t>
            </w:r>
            <w:r>
              <w:rPr>
                <w:rFonts w:hint="eastAsia" w:eastAsia="宋体"/>
                <w:b/>
                <w:bCs/>
                <w:sz w:val="21"/>
                <w:szCs w:val="21"/>
                <w:highlight w:val="none"/>
                <w:lang w:val="en-US" w:eastAsia="zh-CN"/>
              </w:rPr>
              <w:t>kg</w:t>
            </w:r>
            <w:r>
              <w:rPr>
                <w:rFonts w:hint="eastAsia" w:eastAsia="宋体"/>
                <w:b/>
                <w:bCs/>
                <w:sz w:val="21"/>
                <w:szCs w:val="21"/>
                <w:highlight w:val="none"/>
                <w:lang w:eastAsia="zh-CN"/>
              </w:rPr>
              <w:t>）</w:t>
            </w:r>
          </w:p>
        </w:tc>
        <w:tc>
          <w:tcPr>
            <w:tcW w:w="857" w:type="dxa"/>
            <w:noWrap w:val="0"/>
            <w:vAlign w:val="center"/>
          </w:tcPr>
          <w:p>
            <w:pPr>
              <w:pStyle w:val="198"/>
              <w:spacing w:before="24" w:after="24"/>
              <w:rPr>
                <w:rFonts w:ascii="Times New Roman"/>
                <w:b/>
                <w:bCs/>
                <w:sz w:val="21"/>
                <w:szCs w:val="21"/>
                <w:highlight w:val="none"/>
              </w:rPr>
            </w:pPr>
            <w:r>
              <w:rPr>
                <w:rFonts w:ascii="Times New Roman"/>
                <w:b/>
                <w:bCs/>
                <w:sz w:val="21"/>
                <w:szCs w:val="21"/>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057" w:type="dxa"/>
            <w:vMerge w:val="restart"/>
            <w:noWrap w:val="0"/>
            <w:vAlign w:val="center"/>
          </w:tcPr>
          <w:p>
            <w:pPr>
              <w:pStyle w:val="198"/>
              <w:spacing w:before="24" w:after="24"/>
              <w:rPr>
                <w:rFonts w:ascii="Times New Roman"/>
                <w:sz w:val="21"/>
                <w:szCs w:val="21"/>
                <w:highlight w:val="none"/>
              </w:rPr>
            </w:pPr>
            <w:r>
              <w:rPr>
                <w:rFonts w:hint="eastAsia" w:ascii="Times New Roman" w:eastAsia="宋体"/>
                <w:sz w:val="21"/>
                <w:szCs w:val="21"/>
                <w:highlight w:val="none"/>
                <w:lang w:val="en-US" w:eastAsia="zh-CN"/>
              </w:rPr>
              <w:t>1#</w:t>
            </w:r>
            <w:r>
              <w:rPr>
                <w:rFonts w:ascii="Times New Roman"/>
                <w:sz w:val="21"/>
                <w:szCs w:val="21"/>
                <w:highlight w:val="none"/>
              </w:rPr>
              <w:t>排气筒</w:t>
            </w:r>
          </w:p>
        </w:tc>
        <w:tc>
          <w:tcPr>
            <w:tcW w:w="1057" w:type="dxa"/>
            <w:vMerge w:val="restart"/>
            <w:noWrap w:val="0"/>
            <w:vAlign w:val="center"/>
          </w:tcPr>
          <w:p>
            <w:pPr>
              <w:pStyle w:val="198"/>
              <w:spacing w:before="24" w:after="24"/>
              <w:rPr>
                <w:rFonts w:ascii="Times New Roman"/>
                <w:sz w:val="21"/>
                <w:szCs w:val="21"/>
                <w:highlight w:val="none"/>
              </w:rPr>
            </w:pPr>
            <w:r>
              <w:rPr>
                <w:rFonts w:hint="eastAsia" w:ascii="Times New Roman"/>
                <w:sz w:val="21"/>
                <w:szCs w:val="21"/>
                <w:highlight w:val="none"/>
              </w:rPr>
              <w:t>两级活性炭吸附装置</w:t>
            </w:r>
            <w:r>
              <w:rPr>
                <w:rFonts w:ascii="Times New Roman"/>
                <w:sz w:val="21"/>
                <w:szCs w:val="21"/>
                <w:highlight w:val="none"/>
              </w:rPr>
              <w:t>运转异常</w:t>
            </w:r>
          </w:p>
        </w:tc>
        <w:tc>
          <w:tcPr>
            <w:tcW w:w="888" w:type="dxa"/>
            <w:noWrap w:val="0"/>
            <w:vAlign w:val="center"/>
          </w:tcPr>
          <w:p>
            <w:pPr>
              <w:pStyle w:val="198"/>
              <w:spacing w:before="24" w:after="24"/>
              <w:rPr>
                <w:rFonts w:ascii="Times New Roman"/>
                <w:sz w:val="21"/>
                <w:szCs w:val="21"/>
                <w:highlight w:val="none"/>
              </w:rPr>
            </w:pPr>
            <w:r>
              <w:rPr>
                <w:rFonts w:ascii="Times New Roman"/>
                <w:sz w:val="21"/>
                <w:szCs w:val="21"/>
                <w:highlight w:val="none"/>
              </w:rPr>
              <w:t>VOCs</w:t>
            </w:r>
          </w:p>
        </w:tc>
        <w:tc>
          <w:tcPr>
            <w:tcW w:w="1216" w:type="dxa"/>
            <w:noWrap w:val="0"/>
            <w:vAlign w:val="center"/>
          </w:tcPr>
          <w:p>
            <w:pPr>
              <w:jc w:val="center"/>
              <w:rPr>
                <w:rFonts w:hint="default" w:eastAsia="宋体"/>
                <w:sz w:val="21"/>
                <w:szCs w:val="21"/>
                <w:highlight w:val="none"/>
                <w:lang w:val="en-US" w:eastAsia="zh-CN"/>
              </w:rPr>
            </w:pPr>
            <w:r>
              <w:rPr>
                <w:rFonts w:hint="eastAsia" w:eastAsia="宋体"/>
                <w:sz w:val="21"/>
                <w:szCs w:val="21"/>
                <w:highlight w:val="none"/>
                <w:lang w:val="en-US" w:eastAsia="zh-CN"/>
              </w:rPr>
              <w:t>38</w:t>
            </w:r>
          </w:p>
        </w:tc>
        <w:tc>
          <w:tcPr>
            <w:tcW w:w="1068" w:type="dxa"/>
            <w:noWrap w:val="0"/>
            <w:vAlign w:val="center"/>
          </w:tcPr>
          <w:p>
            <w:pPr>
              <w:jc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0.3804 </w:t>
            </w:r>
          </w:p>
        </w:tc>
        <w:tc>
          <w:tcPr>
            <w:tcW w:w="857" w:type="dxa"/>
            <w:noWrap w:val="0"/>
            <w:vAlign w:val="center"/>
          </w:tcPr>
          <w:p>
            <w:pPr>
              <w:pStyle w:val="198"/>
              <w:spacing w:before="24" w:after="24"/>
              <w:rPr>
                <w:rFonts w:ascii="Times New Roman"/>
                <w:sz w:val="21"/>
                <w:szCs w:val="21"/>
                <w:highlight w:val="none"/>
              </w:rPr>
            </w:pPr>
            <w:r>
              <w:rPr>
                <w:rFonts w:ascii="Times New Roman"/>
                <w:sz w:val="21"/>
                <w:szCs w:val="21"/>
                <w:highlight w:val="none"/>
              </w:rPr>
              <w:t>1</w:t>
            </w:r>
          </w:p>
        </w:tc>
        <w:tc>
          <w:tcPr>
            <w:tcW w:w="857" w:type="dxa"/>
            <w:noWrap w:val="0"/>
            <w:vAlign w:val="center"/>
          </w:tcPr>
          <w:p>
            <w:pPr>
              <w:pStyle w:val="198"/>
              <w:spacing w:before="24" w:after="24"/>
              <w:rPr>
                <w:rFonts w:ascii="Times New Roman"/>
                <w:sz w:val="21"/>
                <w:szCs w:val="21"/>
                <w:highlight w:val="none"/>
              </w:rPr>
            </w:pPr>
            <w:r>
              <w:rPr>
                <w:rFonts w:ascii="Times New Roman"/>
                <w:sz w:val="21"/>
                <w:szCs w:val="21"/>
                <w:highlight w:val="none"/>
              </w:rPr>
              <w:t>2</w:t>
            </w:r>
          </w:p>
        </w:tc>
        <w:tc>
          <w:tcPr>
            <w:tcW w:w="857" w:type="dxa"/>
            <w:noWrap w:val="0"/>
            <w:vAlign w:val="center"/>
          </w:tcPr>
          <w:p>
            <w:pPr>
              <w:keepNext w:val="0"/>
              <w:keepLines w:val="0"/>
              <w:widowControl/>
              <w:suppressLineNumbers w:val="0"/>
              <w:jc w:val="center"/>
              <w:textAlignment w:val="center"/>
              <w:rPr>
                <w:rFonts w:hint="default" w:ascii="Times New Roman"/>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eastAsia="宋体" w:cs="Times New Roman"/>
                <w:i w:val="0"/>
                <w:iCs w:val="0"/>
                <w:color w:val="000000"/>
                <w:kern w:val="0"/>
                <w:sz w:val="21"/>
                <w:szCs w:val="21"/>
                <w:highlight w:val="none"/>
                <w:u w:val="none"/>
                <w:lang w:val="en-US" w:eastAsia="zh-CN" w:bidi="ar"/>
              </w:rPr>
              <w:t>7608</w:t>
            </w:r>
          </w:p>
        </w:tc>
        <w:tc>
          <w:tcPr>
            <w:tcW w:w="857" w:type="dxa"/>
            <w:vMerge w:val="restart"/>
            <w:noWrap w:val="0"/>
            <w:vAlign w:val="center"/>
          </w:tcPr>
          <w:p>
            <w:pPr>
              <w:pStyle w:val="198"/>
              <w:spacing w:before="24" w:after="24"/>
              <w:rPr>
                <w:rFonts w:ascii="Times New Roman"/>
                <w:sz w:val="21"/>
                <w:szCs w:val="21"/>
                <w:highlight w:val="none"/>
              </w:rPr>
            </w:pPr>
            <w:r>
              <w:rPr>
                <w:rFonts w:ascii="Times New Roman"/>
                <w:sz w:val="21"/>
                <w:szCs w:val="21"/>
                <w:highlight w:val="none"/>
              </w:rPr>
              <w:t>立即启动紧急停车装置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057" w:type="dxa"/>
            <w:vMerge w:val="continue"/>
            <w:noWrap w:val="0"/>
            <w:vAlign w:val="center"/>
          </w:tcPr>
          <w:p>
            <w:pPr>
              <w:pStyle w:val="198"/>
              <w:spacing w:before="24" w:after="24"/>
              <w:rPr>
                <w:rFonts w:ascii="Times New Roman"/>
                <w:sz w:val="21"/>
                <w:szCs w:val="21"/>
                <w:highlight w:val="none"/>
              </w:rPr>
            </w:pPr>
          </w:p>
        </w:tc>
        <w:tc>
          <w:tcPr>
            <w:tcW w:w="1057" w:type="dxa"/>
            <w:vMerge w:val="continue"/>
            <w:noWrap w:val="0"/>
            <w:vAlign w:val="center"/>
          </w:tcPr>
          <w:p>
            <w:pPr>
              <w:pStyle w:val="198"/>
              <w:spacing w:before="24" w:after="24"/>
              <w:rPr>
                <w:rFonts w:hint="eastAsia" w:ascii="Times New Roman"/>
                <w:sz w:val="21"/>
                <w:szCs w:val="21"/>
                <w:highlight w:val="none"/>
              </w:rPr>
            </w:pPr>
          </w:p>
        </w:tc>
        <w:tc>
          <w:tcPr>
            <w:tcW w:w="888" w:type="dxa"/>
            <w:noWrap w:val="0"/>
            <w:vAlign w:val="center"/>
          </w:tcPr>
          <w:p>
            <w:pPr>
              <w:pStyle w:val="198"/>
              <w:spacing w:before="24" w:after="24"/>
              <w:rPr>
                <w:rFonts w:hint="eastAsia" w:ascii="Times New Roman" w:eastAsia="宋体"/>
                <w:sz w:val="21"/>
                <w:szCs w:val="21"/>
                <w:highlight w:val="none"/>
                <w:lang w:eastAsia="zh-CN"/>
              </w:rPr>
            </w:pPr>
            <w:r>
              <w:rPr>
                <w:rFonts w:hint="eastAsia" w:ascii="Times New Roman" w:eastAsia="宋体"/>
                <w:sz w:val="21"/>
                <w:szCs w:val="21"/>
                <w:highlight w:val="none"/>
                <w:lang w:eastAsia="zh-CN"/>
              </w:rPr>
              <w:t>苯酚</w:t>
            </w:r>
          </w:p>
        </w:tc>
        <w:tc>
          <w:tcPr>
            <w:tcW w:w="1216" w:type="dxa"/>
            <w:noWrap w:val="0"/>
            <w:vAlign w:val="center"/>
          </w:tcPr>
          <w:p>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36.2 </w:t>
            </w:r>
          </w:p>
        </w:tc>
        <w:tc>
          <w:tcPr>
            <w:tcW w:w="1068" w:type="dxa"/>
            <w:noWrap w:val="0"/>
            <w:vAlign w:val="center"/>
          </w:tcPr>
          <w:p>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0.3624 </w:t>
            </w:r>
          </w:p>
        </w:tc>
        <w:tc>
          <w:tcPr>
            <w:tcW w:w="857" w:type="dxa"/>
            <w:noWrap w:val="0"/>
            <w:vAlign w:val="center"/>
          </w:tcPr>
          <w:p>
            <w:pPr>
              <w:pStyle w:val="198"/>
              <w:spacing w:before="24" w:after="24"/>
              <w:rPr>
                <w:rFonts w:hint="eastAsia" w:ascii="Times New Roman"/>
                <w:sz w:val="21"/>
                <w:szCs w:val="21"/>
                <w:highlight w:val="none"/>
              </w:rPr>
            </w:pPr>
            <w:r>
              <w:rPr>
                <w:rFonts w:hint="eastAsia" w:ascii="Times New Roman"/>
                <w:sz w:val="21"/>
                <w:szCs w:val="21"/>
                <w:highlight w:val="none"/>
              </w:rPr>
              <w:t>1</w:t>
            </w:r>
          </w:p>
        </w:tc>
        <w:tc>
          <w:tcPr>
            <w:tcW w:w="857" w:type="dxa"/>
            <w:noWrap w:val="0"/>
            <w:vAlign w:val="center"/>
          </w:tcPr>
          <w:p>
            <w:pPr>
              <w:pStyle w:val="198"/>
              <w:spacing w:before="24" w:after="24"/>
              <w:rPr>
                <w:rFonts w:hint="eastAsia" w:ascii="Times New Roman"/>
                <w:sz w:val="21"/>
                <w:szCs w:val="21"/>
                <w:highlight w:val="none"/>
              </w:rPr>
            </w:pPr>
            <w:r>
              <w:rPr>
                <w:rFonts w:hint="eastAsia" w:ascii="Times New Roman"/>
                <w:sz w:val="21"/>
                <w:szCs w:val="21"/>
                <w:highlight w:val="none"/>
              </w:rPr>
              <w:t>2</w:t>
            </w:r>
          </w:p>
        </w:tc>
        <w:tc>
          <w:tcPr>
            <w:tcW w:w="857" w:type="dxa"/>
            <w:noWrap w:val="0"/>
            <w:vAlign w:val="center"/>
          </w:tcPr>
          <w:p>
            <w:pPr>
              <w:keepNext w:val="0"/>
              <w:keepLines w:val="0"/>
              <w:widowControl/>
              <w:suppressLineNumbers w:val="0"/>
              <w:jc w:val="center"/>
              <w:textAlignment w:val="center"/>
              <w:rPr>
                <w:rFonts w:hint="default" w:ascii="Times New Roman"/>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w:t>
            </w:r>
            <w:r>
              <w:rPr>
                <w:rFonts w:hint="eastAsia" w:eastAsia="宋体" w:cs="Times New Roman"/>
                <w:i w:val="0"/>
                <w:iCs w:val="0"/>
                <w:color w:val="000000"/>
                <w:kern w:val="0"/>
                <w:sz w:val="21"/>
                <w:szCs w:val="21"/>
                <w:highlight w:val="none"/>
                <w:u w:val="none"/>
                <w:lang w:val="en-US" w:eastAsia="zh-CN" w:bidi="ar"/>
              </w:rPr>
              <w:t>7248</w:t>
            </w:r>
          </w:p>
        </w:tc>
        <w:tc>
          <w:tcPr>
            <w:tcW w:w="857" w:type="dxa"/>
            <w:vMerge w:val="continue"/>
            <w:noWrap w:val="0"/>
            <w:vAlign w:val="center"/>
          </w:tcPr>
          <w:p>
            <w:pPr>
              <w:pStyle w:val="198"/>
              <w:spacing w:before="24" w:after="24"/>
              <w:rPr>
                <w:rFonts w:asci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57" w:type="dxa"/>
            <w:vMerge w:val="continue"/>
            <w:noWrap w:val="0"/>
            <w:vAlign w:val="center"/>
          </w:tcPr>
          <w:p>
            <w:pPr>
              <w:pStyle w:val="198"/>
              <w:spacing w:before="24" w:after="24"/>
              <w:rPr>
                <w:rFonts w:ascii="Times New Roman"/>
                <w:sz w:val="21"/>
                <w:szCs w:val="21"/>
                <w:highlight w:val="none"/>
              </w:rPr>
            </w:pPr>
          </w:p>
        </w:tc>
        <w:tc>
          <w:tcPr>
            <w:tcW w:w="1057" w:type="dxa"/>
            <w:vMerge w:val="continue"/>
            <w:noWrap w:val="0"/>
            <w:vAlign w:val="center"/>
          </w:tcPr>
          <w:p>
            <w:pPr>
              <w:pStyle w:val="198"/>
              <w:spacing w:before="24" w:after="24"/>
              <w:rPr>
                <w:rFonts w:hint="eastAsia" w:ascii="Times New Roman"/>
                <w:sz w:val="21"/>
                <w:szCs w:val="21"/>
                <w:highlight w:val="none"/>
              </w:rPr>
            </w:pPr>
          </w:p>
        </w:tc>
        <w:tc>
          <w:tcPr>
            <w:tcW w:w="888" w:type="dxa"/>
            <w:noWrap w:val="0"/>
            <w:vAlign w:val="center"/>
          </w:tcPr>
          <w:p>
            <w:pPr>
              <w:pStyle w:val="198"/>
              <w:spacing w:before="24" w:after="24"/>
              <w:rPr>
                <w:rFonts w:hint="eastAsia" w:ascii="Times New Roman" w:eastAsia="宋体"/>
                <w:sz w:val="21"/>
                <w:szCs w:val="21"/>
                <w:highlight w:val="none"/>
                <w:lang w:eastAsia="zh-CN"/>
              </w:rPr>
            </w:pPr>
            <w:r>
              <w:rPr>
                <w:rFonts w:hint="eastAsia" w:ascii="Times New Roman" w:eastAsia="宋体"/>
                <w:sz w:val="21"/>
                <w:szCs w:val="21"/>
                <w:highlight w:val="none"/>
                <w:lang w:eastAsia="zh-CN"/>
              </w:rPr>
              <w:t>甲醛</w:t>
            </w:r>
          </w:p>
        </w:tc>
        <w:tc>
          <w:tcPr>
            <w:tcW w:w="1216" w:type="dxa"/>
            <w:noWrap w:val="0"/>
            <w:vAlign w:val="center"/>
          </w:tcPr>
          <w:p>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 </w:t>
            </w:r>
          </w:p>
        </w:tc>
        <w:tc>
          <w:tcPr>
            <w:tcW w:w="1068" w:type="dxa"/>
            <w:noWrap w:val="0"/>
            <w:vAlign w:val="center"/>
          </w:tcPr>
          <w:p>
            <w:pPr>
              <w:keepNext w:val="0"/>
              <w:keepLines w:val="0"/>
              <w:widowControl/>
              <w:suppressLineNumbers w:val="0"/>
              <w:jc w:val="center"/>
              <w:textAlignment w:val="center"/>
              <w:rPr>
                <w:rFonts w:hint="default" w:eastAsia="宋体"/>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0.0081 </w:t>
            </w:r>
          </w:p>
        </w:tc>
        <w:tc>
          <w:tcPr>
            <w:tcW w:w="857" w:type="dxa"/>
            <w:noWrap w:val="0"/>
            <w:vAlign w:val="center"/>
          </w:tcPr>
          <w:p>
            <w:pPr>
              <w:pStyle w:val="198"/>
              <w:spacing w:before="24" w:after="24"/>
              <w:rPr>
                <w:rFonts w:hint="eastAsia" w:ascii="Times New Roman" w:eastAsia="宋体"/>
                <w:sz w:val="21"/>
                <w:szCs w:val="21"/>
                <w:highlight w:val="none"/>
                <w:lang w:val="en-US" w:eastAsia="zh-CN"/>
              </w:rPr>
            </w:pPr>
            <w:r>
              <w:rPr>
                <w:rFonts w:hint="eastAsia" w:ascii="Times New Roman" w:eastAsia="宋体"/>
                <w:sz w:val="21"/>
                <w:szCs w:val="21"/>
                <w:highlight w:val="none"/>
                <w:lang w:val="en-US" w:eastAsia="zh-CN"/>
              </w:rPr>
              <w:t>1</w:t>
            </w:r>
          </w:p>
        </w:tc>
        <w:tc>
          <w:tcPr>
            <w:tcW w:w="857" w:type="dxa"/>
            <w:noWrap w:val="0"/>
            <w:vAlign w:val="center"/>
          </w:tcPr>
          <w:p>
            <w:pPr>
              <w:pStyle w:val="198"/>
              <w:spacing w:before="24" w:after="24"/>
              <w:rPr>
                <w:rFonts w:hint="eastAsia" w:ascii="Times New Roman" w:eastAsia="宋体"/>
                <w:sz w:val="21"/>
                <w:szCs w:val="21"/>
                <w:highlight w:val="none"/>
                <w:lang w:val="en-US" w:eastAsia="zh-CN"/>
              </w:rPr>
            </w:pPr>
            <w:r>
              <w:rPr>
                <w:rFonts w:hint="eastAsia" w:ascii="Times New Roman" w:eastAsia="宋体"/>
                <w:sz w:val="21"/>
                <w:szCs w:val="21"/>
                <w:highlight w:val="none"/>
                <w:lang w:val="en-US" w:eastAsia="zh-CN"/>
              </w:rPr>
              <w:t>2</w:t>
            </w:r>
          </w:p>
        </w:tc>
        <w:tc>
          <w:tcPr>
            <w:tcW w:w="857" w:type="dxa"/>
            <w:noWrap w:val="0"/>
            <w:vAlign w:val="center"/>
          </w:tcPr>
          <w:p>
            <w:pPr>
              <w:keepNext w:val="0"/>
              <w:keepLines w:val="0"/>
              <w:widowControl/>
              <w:suppressLineNumbers w:val="0"/>
              <w:jc w:val="center"/>
              <w:textAlignment w:val="center"/>
              <w:rPr>
                <w:rFonts w:hint="default" w:ascii="Times New Roman"/>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0.0</w:t>
            </w:r>
            <w:r>
              <w:rPr>
                <w:rFonts w:hint="eastAsia" w:eastAsia="宋体" w:cs="Times New Roman"/>
                <w:i w:val="0"/>
                <w:iCs w:val="0"/>
                <w:color w:val="000000"/>
                <w:kern w:val="0"/>
                <w:sz w:val="21"/>
                <w:szCs w:val="21"/>
                <w:highlight w:val="none"/>
                <w:u w:val="none"/>
                <w:lang w:val="en-US" w:eastAsia="zh-CN" w:bidi="ar"/>
              </w:rPr>
              <w:t>162</w:t>
            </w:r>
          </w:p>
        </w:tc>
        <w:tc>
          <w:tcPr>
            <w:tcW w:w="857" w:type="dxa"/>
            <w:vMerge w:val="continue"/>
            <w:noWrap w:val="0"/>
            <w:vAlign w:val="center"/>
          </w:tcPr>
          <w:p>
            <w:pPr>
              <w:pStyle w:val="198"/>
              <w:spacing w:before="24" w:after="24"/>
              <w:rPr>
                <w:rFonts w:ascii="Times New Roman"/>
                <w:sz w:val="21"/>
                <w:szCs w:val="21"/>
                <w:highlight w:val="none"/>
              </w:rPr>
            </w:pPr>
          </w:p>
        </w:tc>
      </w:tr>
    </w:tbl>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由上表可知，非正常工况下，</w:t>
      </w:r>
      <w:r>
        <w:rPr>
          <w:rFonts w:hint="eastAsia" w:eastAsia="宋体" w:cs="Times New Roman"/>
          <w:color w:val="auto"/>
          <w:lang w:val="en-US" w:eastAsia="zh-CN"/>
        </w:rPr>
        <w:t>1#</w:t>
      </w:r>
      <w:r>
        <w:rPr>
          <w:rFonts w:hint="default" w:ascii="Times New Roman" w:hAnsi="Times New Roman" w:cs="Times New Roman"/>
          <w:color w:val="auto"/>
        </w:rPr>
        <w:t>排气筒排放的</w:t>
      </w:r>
      <w:r>
        <w:rPr>
          <w:rFonts w:hint="eastAsia" w:ascii="Times New Roman" w:hAnsi="Times New Roman" w:eastAsia="宋体" w:cs="Times New Roman"/>
          <w:color w:val="auto"/>
          <w:lang w:eastAsia="zh-CN"/>
        </w:rPr>
        <w:t>苯酚</w:t>
      </w:r>
      <w:r>
        <w:rPr>
          <w:rFonts w:hint="default" w:ascii="Times New Roman" w:hAnsi="Times New Roman" w:cs="Times New Roman"/>
          <w:color w:val="auto"/>
        </w:rPr>
        <w:t>排放浓度和排放速率</w:t>
      </w:r>
      <w:r>
        <w:rPr>
          <w:rFonts w:hint="eastAsia" w:eastAsia="宋体" w:cs="Times New Roman"/>
          <w:color w:val="auto"/>
          <w:lang w:eastAsia="zh-CN"/>
        </w:rPr>
        <w:t>均超标排放</w:t>
      </w:r>
      <w:r>
        <w:rPr>
          <w:rFonts w:hint="default" w:ascii="Times New Roman" w:hAnsi="Times New Roman" w:cs="Times New Roman"/>
          <w:color w:val="auto"/>
        </w:rPr>
        <w:t>，短期内</w:t>
      </w:r>
      <w:r>
        <w:rPr>
          <w:rFonts w:hint="eastAsia" w:eastAsia="宋体" w:cs="Times New Roman"/>
          <w:color w:val="auto"/>
          <w:lang w:eastAsia="zh-CN"/>
        </w:rPr>
        <w:t>会</w:t>
      </w:r>
      <w:r>
        <w:rPr>
          <w:rFonts w:hint="default" w:ascii="Times New Roman" w:hAnsi="Times New Roman" w:cs="Times New Roman"/>
          <w:color w:val="auto"/>
        </w:rPr>
        <w:t>对环境空气产生的影响。企业需加强废气处理设施的管理，定期更换活性炭并加强设备检修</w:t>
      </w:r>
      <w:r>
        <w:rPr>
          <w:rFonts w:hint="eastAsia" w:eastAsia="宋体" w:cs="Times New Roman"/>
          <w:color w:val="auto"/>
          <w:lang w:eastAsia="zh-CN"/>
        </w:rPr>
        <w:t>频次</w:t>
      </w:r>
      <w:r>
        <w:rPr>
          <w:rFonts w:hint="default" w:ascii="Times New Roman" w:hAnsi="Times New Roman" w:cs="Times New Roman"/>
          <w:color w:val="auto"/>
        </w:rPr>
        <w:t>，确保废气处理设施正常运行，在废气处理设备停止运行或出现故障时，产生废气的各工序也必须立即停止生产。</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为杜绝废气非正常排放，并确保废气</w:t>
      </w:r>
      <w:r>
        <w:rPr>
          <w:rFonts w:hint="eastAsia" w:eastAsia="宋体" w:cs="Times New Roman"/>
          <w:color w:val="auto"/>
          <w:lang w:eastAsia="zh-CN"/>
        </w:rPr>
        <w:t>达标</w:t>
      </w:r>
      <w:r>
        <w:rPr>
          <w:rFonts w:hint="default" w:ascii="Times New Roman" w:hAnsi="Times New Roman" w:cs="Times New Roman"/>
          <w:color w:val="auto"/>
        </w:rPr>
        <w:t>排放，建议企业采取如下控制措施：</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①厂区设置备用电源。</w:t>
      </w:r>
      <w:r>
        <w:rPr>
          <w:rFonts w:hint="default" w:ascii="Times New Roman" w:hAnsi="Times New Roman" w:cs="Times New Roman"/>
          <w:color w:val="auto"/>
        </w:rPr>
        <w:tab/>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②加强操作人员培训</w:t>
      </w:r>
      <w:r>
        <w:rPr>
          <w:rFonts w:hint="eastAsia" w:eastAsia="宋体" w:cs="Times New Roman"/>
          <w:color w:val="auto"/>
          <w:lang w:eastAsia="zh-CN"/>
        </w:rPr>
        <w:t>，</w:t>
      </w:r>
      <w:r>
        <w:rPr>
          <w:rFonts w:hint="default" w:ascii="Times New Roman" w:hAnsi="Times New Roman" w:cs="Times New Roman"/>
          <w:color w:val="auto"/>
        </w:rPr>
        <w:t>及时维护、检修各类环保装置，避免事故发生。</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③严格按照设备操作规程进行操作，环保设备不得超负荷运行。</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④环保设备应与生产设备同步运行。设备开停车、检修时，首先开启环保装置。</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⑤对废气处理设施定期检查，建立台账制度，相关记录保存五年。</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⑥安排专人负责环保设备的日常维护和管理，每个固定时间检查、汇报情况，及时发现废气处理设备的隐患，确保废气处理系统正常运行；</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⑦建立健全的环保管理机构，对环保管理人员和技术人员进行岗位培训，委托具有专业资质的环境检测单位对项目排放的各类污染物进行定期检测；</w:t>
      </w:r>
    </w:p>
    <w:p>
      <w:pPr>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⑧应定期维护、检修废气净化装置，以保持废气处理装置的净化能力和净化容量。</w:t>
      </w:r>
    </w:p>
    <w:p>
      <w:pPr>
        <w:autoSpaceDE w:val="0"/>
        <w:autoSpaceDN w:val="0"/>
        <w:spacing w:line="360" w:lineRule="auto"/>
        <w:outlineLvl w:val="3"/>
        <w:rPr>
          <w:rFonts w:ascii="黑体" w:hAnsi="黑体" w:eastAsiaTheme="minorEastAsia"/>
          <w:lang w:eastAsia="zh-CN"/>
        </w:rPr>
      </w:pPr>
      <w:r>
        <w:rPr>
          <w:rFonts w:hint="eastAsia" w:eastAsiaTheme="minorEastAsia"/>
          <w:b/>
          <w:bCs/>
          <w:lang w:val="en-US" w:eastAsia="zh-CN"/>
        </w:rPr>
        <w:t>6</w:t>
      </w:r>
      <w:r>
        <w:rPr>
          <w:rFonts w:eastAsiaTheme="minorEastAsia"/>
          <w:b/>
          <w:bCs/>
          <w:lang w:eastAsia="zh-CN"/>
        </w:rPr>
        <w:t xml:space="preserve">.2  </w:t>
      </w:r>
      <w:r>
        <w:rPr>
          <w:rFonts w:hint="eastAsia" w:eastAsiaTheme="minorEastAsia"/>
          <w:b/>
          <w:bCs/>
          <w:lang w:eastAsia="zh-CN"/>
        </w:rPr>
        <w:t>大气污染物控制措施可行性分析</w:t>
      </w:r>
    </w:p>
    <w:p>
      <w:pPr>
        <w:pStyle w:val="1387"/>
        <w:ind w:firstLine="420"/>
        <w:rPr>
          <w:rFonts w:hint="default" w:ascii="Times New Roman" w:hAnsi="Times New Roman" w:cs="Times New Roman"/>
          <w:color w:val="auto"/>
        </w:rPr>
      </w:pPr>
      <w:r>
        <w:rPr>
          <w:rFonts w:hint="default" w:ascii="Times New Roman" w:hAnsi="Times New Roman" w:cs="Times New Roman"/>
          <w:color w:val="auto"/>
        </w:rPr>
        <w:t>（1）活性炭吸附装置的处理效率及废气流速</w:t>
      </w:r>
    </w:p>
    <w:p>
      <w:pPr>
        <w:pStyle w:val="1387"/>
        <w:ind w:firstLine="420"/>
        <w:jc w:val="both"/>
        <w:rPr>
          <w:rFonts w:hint="default" w:ascii="Times New Roman" w:hAnsi="Times New Roman" w:cs="Times New Roman"/>
          <w:color w:val="auto"/>
        </w:rPr>
      </w:pPr>
      <w:r>
        <w:rPr>
          <w:rFonts w:hint="default" w:ascii="Times New Roman" w:hAnsi="Times New Roman" w:cs="Times New Roman"/>
          <w:color w:val="auto"/>
        </w:rPr>
        <w:t>参考《广东省家具行业挥发性有机化合物废气治理技术指南》（粤环[2013]79 号）中对有机废气治理设施的治理效率可得，处理效率为50~80%，本项目活性炭吸附装置处理效率取55%，则两级活性炭吸附装置的处理效率可达:1-(1-60%)×(1-60%)=84%，因本项目VOCs产生量较少，浓度较低，本评价</w:t>
      </w:r>
      <w:r>
        <w:rPr>
          <w:rFonts w:hint="eastAsia" w:cs="Times New Roman"/>
          <w:color w:val="auto"/>
          <w:lang w:eastAsia="zh-CN"/>
        </w:rPr>
        <w:t>中两</w:t>
      </w:r>
      <w:r>
        <w:rPr>
          <w:rFonts w:hint="default" w:ascii="Times New Roman" w:hAnsi="Times New Roman" w:cs="Times New Roman"/>
          <w:color w:val="auto"/>
        </w:rPr>
        <w:t>级活性炭吸附装置对有机废气的处理效率保守估计</w:t>
      </w:r>
      <w:r>
        <w:rPr>
          <w:rFonts w:hint="eastAsia" w:cs="Times New Roman"/>
          <w:color w:val="auto"/>
          <w:lang w:eastAsia="zh-CN"/>
        </w:rPr>
        <w:t>值</w:t>
      </w:r>
      <w:r>
        <w:rPr>
          <w:rFonts w:hint="default" w:ascii="Times New Roman" w:hAnsi="Times New Roman" w:cs="Times New Roman"/>
          <w:color w:val="auto"/>
        </w:rPr>
        <w:t>为80%。</w:t>
      </w:r>
    </w:p>
    <w:p>
      <w:pPr>
        <w:pStyle w:val="1387"/>
        <w:ind w:firstLine="420"/>
        <w:jc w:val="both"/>
        <w:rPr>
          <w:rFonts w:hint="default" w:ascii="Times New Roman" w:hAnsi="Times New Roman" w:cs="Times New Roman"/>
          <w:color w:val="auto"/>
        </w:rPr>
      </w:pPr>
      <w:r>
        <w:rPr>
          <w:rFonts w:hint="eastAsia" w:cs="Times New Roman"/>
          <w:color w:val="auto"/>
          <w:lang w:eastAsia="zh-CN"/>
        </w:rPr>
        <w:t>引</w:t>
      </w:r>
      <w:r>
        <w:rPr>
          <w:rFonts w:hint="default" w:ascii="Times New Roman" w:hAnsi="Times New Roman" w:cs="Times New Roman"/>
          <w:color w:val="auto"/>
        </w:rPr>
        <w:t>风机风量</w:t>
      </w:r>
      <w:r>
        <w:rPr>
          <w:rFonts w:hint="eastAsia" w:ascii="Times New Roman" w:hAnsi="Times New Roman" w:eastAsia="宋体" w:cs="Times New Roman"/>
          <w:color w:val="auto"/>
          <w:lang w:eastAsia="zh-CN"/>
        </w:rPr>
        <w:t>最</w:t>
      </w:r>
      <w:r>
        <w:rPr>
          <w:rFonts w:hint="eastAsia" w:eastAsia="宋体" w:cs="Times New Roman"/>
          <w:color w:val="auto"/>
          <w:lang w:eastAsia="zh-CN"/>
        </w:rPr>
        <w:t>大</w:t>
      </w:r>
      <w:r>
        <w:rPr>
          <w:rFonts w:hint="eastAsia" w:ascii="Times New Roman" w:hAnsi="Times New Roman" w:eastAsia="宋体" w:cs="Times New Roman"/>
          <w:color w:val="auto"/>
          <w:lang w:eastAsia="zh-CN"/>
        </w:rPr>
        <w:t>为</w:t>
      </w:r>
      <w:r>
        <w:rPr>
          <w:rFonts w:hint="eastAsia" w:eastAsia="宋体" w:cs="Times New Roman"/>
          <w:color w:val="auto"/>
          <w:lang w:val="en-US" w:eastAsia="zh-CN"/>
        </w:rPr>
        <w:t>100</w:t>
      </w:r>
      <w:r>
        <w:rPr>
          <w:rFonts w:hint="default" w:ascii="Times New Roman" w:hAnsi="Times New Roman" w:cs="Times New Roman"/>
          <w:color w:val="auto"/>
        </w:rPr>
        <w:t>00m</w:t>
      </w:r>
      <w:r>
        <w:rPr>
          <w:rFonts w:hint="default" w:ascii="Times New Roman" w:hAnsi="Times New Roman" w:cs="Times New Roman"/>
          <w:color w:val="auto"/>
          <w:vertAlign w:val="superscript"/>
        </w:rPr>
        <w:t>3</w:t>
      </w:r>
      <w:r>
        <w:rPr>
          <w:rFonts w:hint="default" w:ascii="Times New Roman" w:hAnsi="Times New Roman" w:cs="Times New Roman"/>
          <w:color w:val="auto"/>
        </w:rPr>
        <w:t>/h，本项目活性炭吸附柜的尺寸为</w:t>
      </w:r>
      <w:r>
        <w:rPr>
          <w:rFonts w:hint="eastAsia" w:eastAsia="宋体" w:cs="Times New Roman"/>
          <w:color w:val="auto"/>
          <w:lang w:val="en-US" w:eastAsia="zh-CN"/>
        </w:rPr>
        <w:t>1.5</w:t>
      </w:r>
      <w:r>
        <w:rPr>
          <w:rFonts w:hint="default" w:ascii="Times New Roman" w:hAnsi="Times New Roman" w:cs="Times New Roman"/>
          <w:color w:val="auto"/>
        </w:rPr>
        <w:t>m×</w:t>
      </w:r>
      <w:r>
        <w:rPr>
          <w:rFonts w:hint="eastAsia" w:eastAsia="宋体" w:cs="Times New Roman"/>
          <w:color w:val="auto"/>
          <w:lang w:val="en-US" w:eastAsia="zh-CN"/>
        </w:rPr>
        <w:t>1.6</w:t>
      </w:r>
      <w:r>
        <w:rPr>
          <w:rFonts w:hint="default" w:ascii="Times New Roman" w:hAnsi="Times New Roman" w:cs="Times New Roman"/>
          <w:color w:val="auto"/>
        </w:rPr>
        <w:t>m×</w:t>
      </w:r>
      <w:r>
        <w:rPr>
          <w:rFonts w:hint="eastAsia" w:eastAsia="宋体" w:cs="Times New Roman"/>
          <w:color w:val="auto"/>
          <w:lang w:val="en-US" w:eastAsia="zh-CN"/>
        </w:rPr>
        <w:t>1.1</w:t>
      </w:r>
      <w:r>
        <w:rPr>
          <w:rFonts w:hint="default" w:ascii="Times New Roman" w:hAnsi="Times New Roman" w:cs="Times New Roman"/>
          <w:color w:val="auto"/>
        </w:rPr>
        <w:t>m，则通过引风机引入活性炭吸附柜的废气最大风速为：</w:t>
      </w:r>
      <w:r>
        <w:rPr>
          <w:rFonts w:hint="eastAsia" w:eastAsia="宋体" w:cs="Times New Roman"/>
          <w:color w:val="auto"/>
          <w:lang w:val="en-US" w:eastAsia="zh-CN"/>
        </w:rPr>
        <w:t>100</w:t>
      </w:r>
      <w:r>
        <w:rPr>
          <w:rFonts w:hint="default" w:ascii="Times New Roman" w:hAnsi="Times New Roman" w:cs="Times New Roman"/>
          <w:color w:val="auto"/>
        </w:rPr>
        <w:t>00（m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eastAsia" w:eastAsia="宋体" w:cs="Times New Roman"/>
          <w:color w:val="auto"/>
          <w:lang w:val="en-US" w:eastAsia="zh-CN"/>
        </w:rPr>
        <w:t>1.5</w:t>
      </w:r>
      <w:r>
        <w:rPr>
          <w:rFonts w:hint="default" w:ascii="Times New Roman" w:hAnsi="Times New Roman" w:cs="Times New Roman"/>
          <w:color w:val="auto"/>
        </w:rPr>
        <w:t>m×</w:t>
      </w:r>
      <w:r>
        <w:rPr>
          <w:rFonts w:hint="eastAsia" w:eastAsia="宋体" w:cs="Times New Roman"/>
          <w:color w:val="auto"/>
          <w:lang w:val="en-US" w:eastAsia="zh-CN"/>
        </w:rPr>
        <w:t>1.6</w:t>
      </w:r>
      <w:r>
        <w:rPr>
          <w:rFonts w:hint="default" w:ascii="Times New Roman" w:hAnsi="Times New Roman" w:cs="Times New Roman"/>
          <w:color w:val="auto"/>
        </w:rPr>
        <w:t>m）/3600s=1.</w:t>
      </w:r>
      <w:r>
        <w:rPr>
          <w:rFonts w:hint="eastAsia" w:eastAsia="宋体" w:cs="Times New Roman"/>
          <w:color w:val="auto"/>
          <w:lang w:val="en-US" w:eastAsia="zh-CN"/>
        </w:rPr>
        <w:t>16</w:t>
      </w:r>
      <w:r>
        <w:rPr>
          <w:rFonts w:hint="default" w:ascii="Times New Roman" w:hAnsi="Times New Roman" w:cs="Times New Roman"/>
          <w:color w:val="auto"/>
        </w:rPr>
        <w:t>m/s，则风量能够满足《吸附法工业有机废气治理工程技术规范》（HJ 2026-2013）中</w:t>
      </w:r>
      <w:r>
        <w:rPr>
          <w:rFonts w:hint="default" w:ascii="Times New Roman" w:hAnsi="Times New Roman" w:cs="Times New Roman"/>
          <w:color w:val="auto"/>
          <w:lang w:eastAsia="zh-CN"/>
        </w:rPr>
        <w:t>“</w:t>
      </w:r>
      <w:r>
        <w:rPr>
          <w:rFonts w:hint="default" w:ascii="Times New Roman" w:hAnsi="Times New Roman" w:cs="Times New Roman"/>
          <w:color w:val="auto"/>
        </w:rPr>
        <w:t>6.3.3.3 采用蜂窝状吸附剂时，气流流速宜低于1.20m/s</w:t>
      </w:r>
      <w:r>
        <w:rPr>
          <w:rFonts w:hint="default" w:ascii="Times New Roman" w:hAnsi="Times New Roman" w:cs="Times New Roman"/>
          <w:color w:val="auto"/>
          <w:lang w:eastAsia="zh-CN"/>
        </w:rPr>
        <w:t>”</w:t>
      </w:r>
      <w:r>
        <w:rPr>
          <w:rFonts w:hint="default" w:ascii="Times New Roman" w:hAnsi="Times New Roman" w:cs="Times New Roman"/>
          <w:color w:val="auto"/>
        </w:rPr>
        <w:t>技术规范要求，较合理。</w:t>
      </w:r>
    </w:p>
    <w:p>
      <w:pPr>
        <w:pStyle w:val="2"/>
        <w:spacing w:after="0" w:line="360" w:lineRule="auto"/>
        <w:ind w:left="0" w:leftChars="0"/>
        <w:rPr>
          <w:color w:val="auto"/>
        </w:rPr>
      </w:pPr>
      <w:r>
        <w:rPr>
          <w:rFonts w:hint="eastAsia" w:cs="Times New Roman"/>
          <w:color w:val="auto"/>
          <w:szCs w:val="21"/>
          <w:lang w:eastAsia="zh-CN"/>
        </w:rPr>
        <w:t>（</w:t>
      </w:r>
      <w:r>
        <w:rPr>
          <w:rFonts w:hint="eastAsia" w:cs="Times New Roman"/>
          <w:color w:val="auto"/>
          <w:szCs w:val="21"/>
          <w:lang w:val="en-US" w:eastAsia="zh-CN"/>
        </w:rPr>
        <w:t>2</w:t>
      </w:r>
      <w:r>
        <w:rPr>
          <w:rFonts w:hint="eastAsia" w:cs="Times New Roman"/>
          <w:color w:val="auto"/>
          <w:szCs w:val="21"/>
          <w:lang w:eastAsia="zh-CN"/>
        </w:rPr>
        <w:t>）</w:t>
      </w:r>
      <w:r>
        <w:rPr>
          <w:rFonts w:hint="eastAsia"/>
          <w:snapToGrid w:val="0"/>
          <w:color w:val="auto"/>
          <w:kern w:val="0"/>
          <w:szCs w:val="21"/>
          <w:lang w:eastAsia="zh-CN"/>
        </w:rPr>
        <w:t>集气罩风速</w:t>
      </w:r>
      <w:r>
        <w:rPr>
          <w:color w:val="auto"/>
        </w:rPr>
        <w:t>核算</w:t>
      </w:r>
    </w:p>
    <w:p>
      <w:pPr>
        <w:pStyle w:val="1387"/>
        <w:ind w:firstLine="42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1）敞口集气罩计算</w:t>
      </w:r>
    </w:p>
    <w:p>
      <w:pPr>
        <w:pStyle w:val="1387"/>
        <w:ind w:firstLine="420"/>
        <w:rPr>
          <w:rFonts w:hint="default" w:ascii="Times New Roman" w:hAnsi="Times New Roman" w:cs="Times New Roman"/>
          <w:color w:val="000000"/>
        </w:rPr>
      </w:pPr>
      <w:r>
        <w:rPr>
          <w:rFonts w:hint="default" w:ascii="Times New Roman" w:hAnsi="Times New Roman" w:cs="Times New Roman"/>
          <w:color w:val="000000"/>
        </w:rPr>
        <w:t>根据《环境工程设计手册》（主编：魏先勋）中有关集气罩排风量的计算公式，结合本项目拟建设有边集气罩，本项目</w:t>
      </w:r>
      <w:r>
        <w:rPr>
          <w:rFonts w:hint="eastAsia" w:ascii="Times New Roman" w:hAnsi="Times New Roman" w:eastAsia="宋体" w:cs="Times New Roman"/>
          <w:color w:val="000000"/>
          <w:lang w:eastAsia="zh-CN"/>
        </w:rPr>
        <w:t>搅拌、涂胶、切割、注塑</w:t>
      </w:r>
      <w:r>
        <w:rPr>
          <w:rFonts w:hint="default" w:ascii="Times New Roman" w:hAnsi="Times New Roman" w:cs="Times New Roman"/>
          <w:color w:val="000000"/>
          <w:lang w:eastAsia="zh-CN"/>
        </w:rPr>
        <w:t>工序</w:t>
      </w:r>
      <w:r>
        <w:rPr>
          <w:rFonts w:hint="default" w:ascii="Times New Roman" w:hAnsi="Times New Roman" w:cs="Times New Roman"/>
          <w:color w:val="000000"/>
        </w:rPr>
        <w:t>集气罩所需的排风量L（m</w:t>
      </w:r>
      <w:r>
        <w:rPr>
          <w:rFonts w:hint="default" w:ascii="Times New Roman" w:hAnsi="Times New Roman" w:cs="Times New Roman"/>
          <w:color w:val="000000"/>
          <w:vertAlign w:val="superscript"/>
        </w:rPr>
        <w:t>3</w:t>
      </w:r>
      <w:r>
        <w:rPr>
          <w:rFonts w:hint="default" w:ascii="Times New Roman" w:hAnsi="Times New Roman" w:cs="Times New Roman"/>
          <w:color w:val="000000"/>
        </w:rPr>
        <w:t>/h）计算公式如下。</w:t>
      </w:r>
    </w:p>
    <w:p>
      <w:pPr>
        <w:pStyle w:val="1387"/>
        <w:ind w:firstLine="420"/>
        <w:jc w:val="center"/>
        <w:rPr>
          <w:rFonts w:hint="default" w:ascii="Times New Roman" w:hAnsi="Times New Roman" w:cs="Times New Roman"/>
          <w:color w:val="000000"/>
        </w:rPr>
      </w:pPr>
      <w:r>
        <w:rPr>
          <w:rFonts w:hint="default" w:ascii="Times New Roman" w:hAnsi="Times New Roman" w:cs="Times New Roman"/>
          <w:color w:val="000000"/>
        </w:rPr>
        <w:t>L=3600×0.75×（10X</w:t>
      </w:r>
      <w:r>
        <w:rPr>
          <w:rFonts w:hint="default" w:ascii="Times New Roman" w:hAnsi="Times New Roman" w:cs="Times New Roman"/>
          <w:color w:val="000000"/>
          <w:vertAlign w:val="superscript"/>
        </w:rPr>
        <w:t>2</w:t>
      </w:r>
      <w:r>
        <w:rPr>
          <w:rFonts w:hint="default" w:ascii="Times New Roman" w:hAnsi="Times New Roman" w:cs="Times New Roman"/>
          <w:color w:val="000000"/>
        </w:rPr>
        <w:t>+A）×Vx</w:t>
      </w:r>
    </w:p>
    <w:p>
      <w:pPr>
        <w:pStyle w:val="1387"/>
        <w:ind w:firstLine="420"/>
        <w:rPr>
          <w:rFonts w:hint="default" w:ascii="Times New Roman" w:hAnsi="Times New Roman" w:cs="Times New Roman"/>
          <w:color w:val="000000"/>
        </w:rPr>
      </w:pPr>
      <w:r>
        <w:rPr>
          <w:rFonts w:hint="default" w:ascii="Times New Roman" w:hAnsi="Times New Roman" w:cs="Times New Roman"/>
          <w:color w:val="000000"/>
        </w:rPr>
        <w:t>式中：L——集气罩的排风量，m</w:t>
      </w:r>
      <w:r>
        <w:rPr>
          <w:rFonts w:hint="default" w:ascii="Times New Roman" w:hAnsi="Times New Roman" w:cs="Times New Roman"/>
          <w:color w:val="000000"/>
          <w:vertAlign w:val="superscript"/>
        </w:rPr>
        <w:t>3</w:t>
      </w:r>
      <w:r>
        <w:rPr>
          <w:rFonts w:hint="default" w:ascii="Times New Roman" w:hAnsi="Times New Roman" w:cs="Times New Roman"/>
          <w:color w:val="000000"/>
        </w:rPr>
        <w:t>/h；</w:t>
      </w:r>
    </w:p>
    <w:p>
      <w:pPr>
        <w:pStyle w:val="1387"/>
        <w:ind w:firstLine="420"/>
        <w:rPr>
          <w:rFonts w:hint="default" w:ascii="Times New Roman" w:hAnsi="Times New Roman" w:eastAsia="宋体" w:cs="Times New Roman"/>
          <w:color w:val="000000"/>
          <w:lang w:val="en-US" w:eastAsia="zh-CN"/>
        </w:rPr>
      </w:pPr>
      <w:r>
        <w:rPr>
          <w:rFonts w:hint="default" w:ascii="Times New Roman" w:hAnsi="Times New Roman" w:cs="Times New Roman"/>
          <w:color w:val="000000"/>
        </w:rPr>
        <w:t>X——污染物产生点至罩口的距离，m。本项目</w:t>
      </w:r>
      <w:r>
        <w:rPr>
          <w:rFonts w:hint="eastAsia" w:ascii="Times New Roman" w:hAnsi="Times New Roman" w:eastAsia="宋体" w:cs="Times New Roman"/>
          <w:color w:val="000000"/>
          <w:lang w:eastAsia="zh-CN"/>
        </w:rPr>
        <w:t>胶搅拌机及切割机集气罩距离产污设施距离较近，</w:t>
      </w:r>
      <w:r>
        <w:rPr>
          <w:rFonts w:hint="default" w:ascii="Times New Roman" w:hAnsi="Times New Roman" w:cs="Times New Roman"/>
          <w:color w:val="000000"/>
        </w:rPr>
        <w:t>取0.</w:t>
      </w:r>
      <w:r>
        <w:rPr>
          <w:rFonts w:hint="eastAsia" w:ascii="Times New Roman" w:hAnsi="Times New Roman" w:eastAsia="宋体" w:cs="Times New Roman"/>
          <w:color w:val="000000"/>
          <w:lang w:val="en-US" w:eastAsia="zh-CN"/>
        </w:rPr>
        <w:t>1</w:t>
      </w:r>
      <w:r>
        <w:rPr>
          <w:rFonts w:hint="default" w:ascii="Times New Roman" w:hAnsi="Times New Roman" w:cs="Times New Roman"/>
          <w:color w:val="000000"/>
        </w:rPr>
        <w:t>m；</w:t>
      </w:r>
      <w:r>
        <w:rPr>
          <w:rFonts w:hint="eastAsia" w:ascii="Times New Roman" w:hAnsi="Times New Roman" w:eastAsia="宋体" w:cs="Times New Roman"/>
          <w:color w:val="000000"/>
          <w:lang w:eastAsia="zh-CN"/>
        </w:rPr>
        <w:t>注塑机集气罩距离产污设施距离取</w:t>
      </w:r>
      <w:r>
        <w:rPr>
          <w:rFonts w:hint="eastAsia" w:ascii="Times New Roman" w:hAnsi="Times New Roman" w:eastAsia="宋体" w:cs="Times New Roman"/>
          <w:color w:val="000000"/>
          <w:lang w:val="en-US" w:eastAsia="zh-CN"/>
        </w:rPr>
        <w:t>0.4m.</w:t>
      </w:r>
    </w:p>
    <w:p>
      <w:pPr>
        <w:pStyle w:val="1387"/>
        <w:ind w:firstLine="420"/>
        <w:rPr>
          <w:rFonts w:hint="default" w:ascii="Times New Roman" w:hAnsi="Times New Roman" w:cs="Times New Roman"/>
          <w:color w:val="000000"/>
        </w:rPr>
      </w:pPr>
      <w:r>
        <w:rPr>
          <w:rFonts w:hint="default" w:ascii="Times New Roman" w:hAnsi="Times New Roman" w:cs="Times New Roman"/>
          <w:color w:val="000000"/>
        </w:rPr>
        <w:t>A——罩口面积，m</w:t>
      </w:r>
      <w:r>
        <w:rPr>
          <w:rFonts w:hint="default" w:ascii="Times New Roman" w:hAnsi="Times New Roman" w:cs="Times New Roman"/>
          <w:color w:val="000000"/>
          <w:vertAlign w:val="superscript"/>
        </w:rPr>
        <w:t>2</w:t>
      </w:r>
      <w:r>
        <w:rPr>
          <w:rFonts w:hint="default" w:ascii="Times New Roman" w:hAnsi="Times New Roman" w:cs="Times New Roman"/>
          <w:color w:val="000000"/>
        </w:rPr>
        <w:t>；</w:t>
      </w:r>
    </w:p>
    <w:p>
      <w:pPr>
        <w:pStyle w:val="1387"/>
        <w:ind w:firstLine="420"/>
        <w:rPr>
          <w:rFonts w:hint="default" w:ascii="Times New Roman" w:hAnsi="Times New Roman" w:cs="Times New Roman"/>
          <w:color w:val="000000"/>
        </w:rPr>
      </w:pPr>
      <w:r>
        <w:rPr>
          <w:rFonts w:hint="default" w:ascii="Times New Roman" w:hAnsi="Times New Roman" w:cs="Times New Roman"/>
          <w:color w:val="000000"/>
        </w:rPr>
        <w:t>Vx——最小控制风速，m/s。</w:t>
      </w:r>
      <w:r>
        <w:rPr>
          <w:rFonts w:hint="default" w:ascii="Times New Roman" w:hAnsi="Times New Roman" w:cs="Times New Roman"/>
          <w:color w:val="000000"/>
          <w:lang w:eastAsia="zh-CN"/>
        </w:rPr>
        <w:t>为确保集气罩有效性</w:t>
      </w:r>
      <w:r>
        <w:rPr>
          <w:rFonts w:hint="default" w:ascii="Times New Roman" w:hAnsi="Times New Roman" w:cs="Times New Roman"/>
          <w:color w:val="000000"/>
        </w:rPr>
        <w:t>，集气罩废气风速按照最低风速0.3m/s计算。</w:t>
      </w:r>
    </w:p>
    <w:p>
      <w:pPr>
        <w:pStyle w:val="1387"/>
        <w:ind w:firstLine="422"/>
        <w:jc w:val="center"/>
        <w:rPr>
          <w:rFonts w:hint="default" w:ascii="Times New Roman" w:hAnsi="Times New Roman" w:cs="Times New Roman"/>
          <w:b/>
          <w:bCs/>
          <w:color w:val="000000"/>
        </w:rPr>
      </w:pPr>
      <w:r>
        <w:rPr>
          <w:rFonts w:hint="default" w:ascii="Times New Roman" w:hAnsi="Times New Roman" w:cs="Times New Roman"/>
          <w:b/>
          <w:bCs/>
          <w:color w:val="000000"/>
        </w:rPr>
        <w:t>表4-</w:t>
      </w:r>
      <w:r>
        <w:rPr>
          <w:rFonts w:hint="default" w:ascii="Times New Roman" w:hAnsi="Times New Roman" w:cs="Times New Roman"/>
          <w:b/>
          <w:bCs/>
          <w:color w:val="000000"/>
          <w:lang w:val="en-US" w:eastAsia="zh-CN"/>
        </w:rPr>
        <w:t>18</w:t>
      </w:r>
      <w:r>
        <w:rPr>
          <w:rFonts w:hint="default" w:ascii="Times New Roman" w:hAnsi="Times New Roman" w:cs="Times New Roman"/>
          <w:b/>
          <w:bCs/>
          <w:color w:val="000000"/>
        </w:rPr>
        <w:t xml:space="preserve">  </w:t>
      </w:r>
      <w:r>
        <w:rPr>
          <w:rFonts w:hint="default" w:ascii="Times New Roman" w:hAnsi="Times New Roman" w:cs="Times New Roman"/>
          <w:b/>
          <w:bCs/>
          <w:color w:val="000000"/>
          <w:lang w:eastAsia="zh-CN"/>
        </w:rPr>
        <w:t>设备</w:t>
      </w:r>
      <w:r>
        <w:rPr>
          <w:rFonts w:hint="default" w:ascii="Times New Roman" w:hAnsi="Times New Roman" w:cs="Times New Roman"/>
          <w:b/>
          <w:bCs/>
          <w:color w:val="000000"/>
        </w:rPr>
        <w:t>废气收集风量核算</w:t>
      </w:r>
    </w:p>
    <w:tbl>
      <w:tblPr>
        <w:tblStyle w:val="85"/>
        <w:tblW w:w="8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3"/>
        <w:gridCol w:w="709"/>
        <w:gridCol w:w="850"/>
        <w:gridCol w:w="993"/>
        <w:gridCol w:w="708"/>
        <w:gridCol w:w="709"/>
        <w:gridCol w:w="851"/>
        <w:gridCol w:w="55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设备</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工作班制</w:t>
            </w:r>
          </w:p>
        </w:tc>
        <w:tc>
          <w:tcPr>
            <w:tcW w:w="850"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距离m</w:t>
            </w:r>
          </w:p>
        </w:tc>
        <w:tc>
          <w:tcPr>
            <w:tcW w:w="993"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集气罩长度m</w:t>
            </w:r>
          </w:p>
        </w:tc>
        <w:tc>
          <w:tcPr>
            <w:tcW w:w="708"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集气罩面积m</w:t>
            </w:r>
            <w:r>
              <w:rPr>
                <w:rFonts w:hint="default" w:ascii="Times New Roman" w:hAnsi="Times New Roman" w:cs="Times New Roman"/>
                <w:color w:val="000000"/>
                <w:sz w:val="18"/>
                <w:szCs w:val="18"/>
                <w:vertAlign w:val="superscript"/>
              </w:rPr>
              <w:t>2</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风速</w:t>
            </w:r>
          </w:p>
          <w:p>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m/s</w:t>
            </w:r>
          </w:p>
        </w:tc>
        <w:tc>
          <w:tcPr>
            <w:tcW w:w="851"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气罩风量m</w:t>
            </w:r>
            <w:r>
              <w:rPr>
                <w:rFonts w:hint="default" w:ascii="Times New Roman" w:hAnsi="Times New Roman" w:cs="Times New Roman"/>
                <w:color w:val="000000"/>
                <w:sz w:val="18"/>
                <w:szCs w:val="18"/>
                <w:vertAlign w:val="superscript"/>
              </w:rPr>
              <w:t>3</w:t>
            </w:r>
            <w:r>
              <w:rPr>
                <w:rFonts w:hint="default" w:ascii="Times New Roman" w:hAnsi="Times New Roman" w:cs="Times New Roman"/>
                <w:color w:val="000000"/>
                <w:sz w:val="18"/>
                <w:szCs w:val="18"/>
              </w:rPr>
              <w:t>/h</w:t>
            </w:r>
          </w:p>
        </w:tc>
        <w:tc>
          <w:tcPr>
            <w:tcW w:w="555"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数量</w:t>
            </w:r>
          </w:p>
          <w:p>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台</w:t>
            </w:r>
          </w:p>
        </w:tc>
        <w:tc>
          <w:tcPr>
            <w:tcW w:w="1004"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总风量</w:t>
            </w:r>
          </w:p>
          <w:p>
            <w:pPr>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m</w:t>
            </w:r>
            <w:r>
              <w:rPr>
                <w:rFonts w:hint="default" w:ascii="Times New Roman" w:hAnsi="Times New Roman" w:cs="Times New Roman"/>
                <w:color w:val="000000"/>
                <w:sz w:val="18"/>
                <w:szCs w:val="18"/>
                <w:vertAlign w:val="superscript"/>
              </w:rPr>
              <w:t>3</w:t>
            </w:r>
            <w:r>
              <w:rPr>
                <w:rFonts w:hint="default" w:ascii="Times New Roman" w:hAnsi="Times New Roman" w:cs="Times New Roman"/>
                <w:color w:val="000000"/>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eastAsia="zh-CN"/>
              </w:rPr>
            </w:pPr>
            <w:r>
              <w:rPr>
                <w:bCs/>
                <w:color w:val="000000"/>
                <w:kern w:val="0"/>
                <w:sz w:val="18"/>
                <w:szCs w:val="18"/>
                <w:lang w:bidi="ar"/>
              </w:rPr>
              <w:t>胶搅拌机</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白班</w:t>
            </w:r>
          </w:p>
        </w:tc>
        <w:tc>
          <w:tcPr>
            <w:tcW w:w="850" w:type="dxa"/>
            <w:shd w:val="clear" w:color="auto" w:fill="auto"/>
            <w:noWrap w:val="0"/>
            <w:vAlign w:val="center"/>
          </w:tcPr>
          <w:p>
            <w:pPr>
              <w:pStyle w:val="198"/>
              <w:spacing w:before="24" w:after="24"/>
              <w:rPr>
                <w:rFonts w:hint="eastAsia" w:ascii="Times New Roman" w:hAnsi="Times New Roman" w:eastAsia="宋体" w:cs="Times New Roman"/>
                <w:color w:val="000000"/>
                <w:sz w:val="18"/>
                <w:szCs w:val="18"/>
                <w:lang w:eastAsia="zh-CN"/>
              </w:rPr>
            </w:pPr>
            <w:r>
              <w:rPr>
                <w:rFonts w:hint="default" w:ascii="Times New Roman" w:hAnsi="Times New Roman" w:cs="Times New Roman"/>
                <w:color w:val="000000"/>
                <w:sz w:val="18"/>
                <w:szCs w:val="18"/>
              </w:rPr>
              <w:t>0.</w:t>
            </w:r>
            <w:r>
              <w:rPr>
                <w:rFonts w:hint="eastAsia" w:ascii="Times New Roman" w:hAnsi="Times New Roman" w:eastAsia="宋体" w:cs="Times New Roman"/>
                <w:color w:val="000000"/>
                <w:sz w:val="18"/>
                <w:szCs w:val="18"/>
                <w:lang w:val="en-US" w:eastAsia="zh-CN"/>
              </w:rPr>
              <w:t>1</w:t>
            </w:r>
          </w:p>
        </w:tc>
        <w:tc>
          <w:tcPr>
            <w:tcW w:w="993"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0.8</w:t>
            </w:r>
            <w:r>
              <w:rPr>
                <w:rFonts w:hint="default" w:ascii="Times New Roman" w:hAnsi="Times New Roman" w:cs="Times New Roman"/>
                <w:color w:val="000000"/>
                <w:sz w:val="18"/>
                <w:szCs w:val="18"/>
              </w:rPr>
              <w:t>×</w:t>
            </w:r>
            <w:r>
              <w:rPr>
                <w:rFonts w:hint="eastAsia" w:ascii="Times New Roman" w:hAnsi="Times New Roman" w:cs="Times New Roman"/>
                <w:color w:val="000000"/>
                <w:sz w:val="18"/>
                <w:szCs w:val="18"/>
                <w:lang w:val="en-US" w:eastAsia="zh-CN"/>
              </w:rPr>
              <w:t>0.375</w:t>
            </w:r>
          </w:p>
        </w:tc>
        <w:tc>
          <w:tcPr>
            <w:tcW w:w="708"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0.3</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w:t>
            </w:r>
          </w:p>
        </w:tc>
        <w:tc>
          <w:tcPr>
            <w:tcW w:w="851"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324</w:t>
            </w:r>
          </w:p>
        </w:tc>
        <w:tc>
          <w:tcPr>
            <w:tcW w:w="555"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eastAsia="zh-CN"/>
              </w:rPr>
            </w:pPr>
            <w:r>
              <w:rPr>
                <w:rFonts w:hint="eastAsia" w:ascii="Times New Roman" w:hAnsi="Times New Roman" w:eastAsia="等线" w:cs="Times New Roman"/>
                <w:color w:val="000000"/>
                <w:sz w:val="18"/>
                <w:szCs w:val="18"/>
                <w:lang w:val="en-US" w:eastAsia="zh-CN"/>
              </w:rPr>
              <w:t>3</w:t>
            </w:r>
          </w:p>
        </w:tc>
        <w:tc>
          <w:tcPr>
            <w:tcW w:w="1004"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shd w:val="clear" w:color="auto" w:fill="auto"/>
            <w:noWrap w:val="0"/>
            <w:vAlign w:val="center"/>
          </w:tcPr>
          <w:p>
            <w:pPr>
              <w:pStyle w:val="198"/>
              <w:spacing w:before="24" w:after="24"/>
              <w:rPr>
                <w:rFonts w:hint="default" w:ascii="Times New Roman" w:hAnsi="Times New Roman" w:cs="Times New Roman"/>
                <w:color w:val="000000"/>
                <w:sz w:val="18"/>
                <w:szCs w:val="18"/>
                <w:lang w:eastAsia="zh-CN"/>
              </w:rPr>
            </w:pPr>
            <w:r>
              <w:rPr>
                <w:rFonts w:hint="eastAsia"/>
                <w:bCs/>
                <w:color w:val="000000"/>
                <w:kern w:val="0"/>
                <w:sz w:val="18"/>
                <w:szCs w:val="18"/>
                <w:lang w:bidi="ar"/>
              </w:rPr>
              <w:t>切割</w:t>
            </w:r>
            <w:r>
              <w:rPr>
                <w:bCs/>
                <w:color w:val="000000"/>
                <w:kern w:val="0"/>
                <w:sz w:val="18"/>
                <w:szCs w:val="18"/>
                <w:lang w:bidi="ar"/>
              </w:rPr>
              <w:t>机</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eastAsia" w:ascii="Times New Roman" w:hAnsi="Times New Roman" w:eastAsia="宋体" w:cs="Times New Roman"/>
                <w:color w:val="000000"/>
                <w:sz w:val="18"/>
                <w:szCs w:val="18"/>
                <w:lang w:eastAsia="zh-CN"/>
              </w:rPr>
              <w:t>全天</w:t>
            </w:r>
          </w:p>
        </w:tc>
        <w:tc>
          <w:tcPr>
            <w:tcW w:w="850" w:type="dxa"/>
            <w:shd w:val="clear" w:color="auto" w:fill="auto"/>
            <w:noWrap w:val="0"/>
            <w:vAlign w:val="center"/>
          </w:tcPr>
          <w:p>
            <w:pPr>
              <w:spacing w:before="24" w:after="24"/>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r>
              <w:rPr>
                <w:rFonts w:hint="eastAsia" w:ascii="Times New Roman" w:hAnsi="Times New Roman" w:eastAsia="宋体" w:cs="Times New Roman"/>
                <w:color w:val="000000"/>
                <w:sz w:val="18"/>
                <w:szCs w:val="18"/>
                <w:lang w:val="en-US" w:eastAsia="zh-CN"/>
              </w:rPr>
              <w:t>1</w:t>
            </w:r>
          </w:p>
        </w:tc>
        <w:tc>
          <w:tcPr>
            <w:tcW w:w="993" w:type="dxa"/>
            <w:shd w:val="clear" w:color="auto" w:fill="auto"/>
            <w:noWrap w:val="0"/>
            <w:vAlign w:val="center"/>
          </w:tcPr>
          <w:p>
            <w:pPr>
              <w:pStyle w:val="198"/>
              <w:spacing w:before="24" w:after="24"/>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0.2</w:t>
            </w:r>
            <w:r>
              <w:rPr>
                <w:rFonts w:hint="default" w:ascii="Times New Roman" w:hAnsi="Times New Roman" w:cs="Times New Roman"/>
                <w:color w:val="000000"/>
                <w:sz w:val="18"/>
                <w:szCs w:val="18"/>
              </w:rPr>
              <w:t>×</w:t>
            </w:r>
            <w:r>
              <w:rPr>
                <w:rFonts w:hint="eastAsia" w:ascii="Times New Roman" w:hAnsi="Times New Roman" w:cs="Times New Roman"/>
                <w:color w:val="000000"/>
                <w:sz w:val="18"/>
                <w:szCs w:val="18"/>
                <w:lang w:val="en-US" w:eastAsia="zh-CN"/>
              </w:rPr>
              <w:t>0.1</w:t>
            </w:r>
          </w:p>
        </w:tc>
        <w:tc>
          <w:tcPr>
            <w:tcW w:w="708" w:type="dxa"/>
            <w:shd w:val="clear" w:color="auto" w:fill="auto"/>
            <w:noWrap w:val="0"/>
            <w:vAlign w:val="center"/>
          </w:tcPr>
          <w:p>
            <w:pPr>
              <w:pStyle w:val="198"/>
              <w:spacing w:before="24" w:after="24"/>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0.02</w:t>
            </w:r>
          </w:p>
        </w:tc>
        <w:tc>
          <w:tcPr>
            <w:tcW w:w="709" w:type="dxa"/>
            <w:shd w:val="clear" w:color="auto" w:fill="auto"/>
            <w:noWrap w:val="0"/>
            <w:vAlign w:val="center"/>
          </w:tcPr>
          <w:p>
            <w:pPr>
              <w:spacing w:before="24" w:after="24"/>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w:t>
            </w:r>
          </w:p>
        </w:tc>
        <w:tc>
          <w:tcPr>
            <w:tcW w:w="851"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97.2</w:t>
            </w:r>
          </w:p>
        </w:tc>
        <w:tc>
          <w:tcPr>
            <w:tcW w:w="555"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15</w:t>
            </w:r>
          </w:p>
        </w:tc>
        <w:tc>
          <w:tcPr>
            <w:tcW w:w="1004"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1458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shd w:val="clear" w:color="auto" w:fill="auto"/>
            <w:noWrap w:val="0"/>
            <w:vAlign w:val="center"/>
          </w:tcPr>
          <w:p>
            <w:pPr>
              <w:pStyle w:val="198"/>
              <w:spacing w:before="24" w:after="24"/>
              <w:rPr>
                <w:rFonts w:hint="eastAsia"/>
                <w:bCs/>
                <w:color w:val="000000"/>
                <w:kern w:val="0"/>
                <w:sz w:val="18"/>
                <w:szCs w:val="18"/>
                <w:lang w:bidi="ar"/>
              </w:rPr>
            </w:pPr>
            <w:r>
              <w:rPr>
                <w:rFonts w:hint="eastAsia" w:eastAsia="宋体"/>
                <w:bCs/>
                <w:color w:val="000000"/>
                <w:kern w:val="0"/>
                <w:sz w:val="18"/>
                <w:szCs w:val="18"/>
                <w:lang w:eastAsia="zh-CN" w:bidi="ar"/>
              </w:rPr>
              <w:t>固化机</w:t>
            </w:r>
          </w:p>
        </w:tc>
        <w:tc>
          <w:tcPr>
            <w:tcW w:w="709" w:type="dxa"/>
            <w:shd w:val="clear" w:color="auto" w:fill="auto"/>
            <w:noWrap w:val="0"/>
            <w:vAlign w:val="center"/>
          </w:tcPr>
          <w:p>
            <w:pPr>
              <w:pStyle w:val="198"/>
              <w:spacing w:before="24" w:after="24"/>
              <w:rPr>
                <w:rFonts w:hint="eastAsia" w:ascii="Times New Roman" w:hAnsi="Times New Roman" w:eastAsia="宋体" w:cs="Times New Roman"/>
                <w:color w:val="000000"/>
                <w:sz w:val="18"/>
                <w:szCs w:val="18"/>
                <w:lang w:eastAsia="zh-CN"/>
              </w:rPr>
            </w:pPr>
            <w:r>
              <w:rPr>
                <w:rFonts w:hint="eastAsia" w:ascii="Times New Roman" w:hAnsi="Times New Roman" w:eastAsia="宋体" w:cs="Times New Roman"/>
                <w:color w:val="000000"/>
                <w:sz w:val="18"/>
                <w:szCs w:val="18"/>
                <w:lang w:eastAsia="zh-CN"/>
              </w:rPr>
              <w:t>全天</w:t>
            </w:r>
          </w:p>
        </w:tc>
        <w:tc>
          <w:tcPr>
            <w:tcW w:w="850" w:type="dxa"/>
            <w:shd w:val="clear" w:color="auto" w:fill="auto"/>
            <w:noWrap w:val="0"/>
            <w:vAlign w:val="center"/>
          </w:tcPr>
          <w:p>
            <w:pPr>
              <w:spacing w:before="24" w:after="24"/>
              <w:jc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0.1</w:t>
            </w:r>
          </w:p>
        </w:tc>
        <w:tc>
          <w:tcPr>
            <w:tcW w:w="993"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val="en-US" w:eastAsia="zh-CN"/>
              </w:rPr>
            </w:pPr>
            <w:r>
              <w:rPr>
                <w:rFonts w:hint="eastAsia" w:ascii="Times New Roman" w:hAnsi="Times New Roman" w:cs="Times New Roman"/>
                <w:color w:val="000000"/>
                <w:sz w:val="18"/>
                <w:szCs w:val="18"/>
                <w:lang w:val="en-US" w:eastAsia="zh-CN"/>
              </w:rPr>
              <w:t>0.6</w:t>
            </w:r>
            <w:r>
              <w:rPr>
                <w:rFonts w:hint="default" w:ascii="Times New Roman" w:hAnsi="Times New Roman" w:cs="Times New Roman"/>
                <w:color w:val="000000"/>
                <w:sz w:val="18"/>
                <w:szCs w:val="18"/>
              </w:rPr>
              <w:t>×</w:t>
            </w:r>
            <w:r>
              <w:rPr>
                <w:rFonts w:hint="eastAsia" w:ascii="Times New Roman" w:hAnsi="Times New Roman" w:eastAsia="宋体" w:cs="Times New Roman"/>
                <w:color w:val="000000"/>
                <w:sz w:val="18"/>
                <w:szCs w:val="18"/>
                <w:lang w:val="en-US" w:eastAsia="zh-CN"/>
              </w:rPr>
              <w:t>0.4</w:t>
            </w:r>
          </w:p>
        </w:tc>
        <w:tc>
          <w:tcPr>
            <w:tcW w:w="708" w:type="dxa"/>
            <w:shd w:val="clear" w:color="auto" w:fill="auto"/>
            <w:noWrap w:val="0"/>
            <w:vAlign w:val="center"/>
          </w:tcPr>
          <w:p>
            <w:pPr>
              <w:pStyle w:val="198"/>
              <w:spacing w:before="24" w:after="24"/>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0.24</w:t>
            </w:r>
          </w:p>
        </w:tc>
        <w:tc>
          <w:tcPr>
            <w:tcW w:w="709" w:type="dxa"/>
            <w:shd w:val="clear" w:color="auto" w:fill="auto"/>
            <w:noWrap w:val="0"/>
            <w:vAlign w:val="center"/>
          </w:tcPr>
          <w:p>
            <w:pPr>
              <w:spacing w:before="24" w:after="24"/>
              <w:jc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0.3</w:t>
            </w:r>
          </w:p>
        </w:tc>
        <w:tc>
          <w:tcPr>
            <w:tcW w:w="851"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275.4</w:t>
            </w:r>
          </w:p>
        </w:tc>
        <w:tc>
          <w:tcPr>
            <w:tcW w:w="555"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15</w:t>
            </w:r>
          </w:p>
        </w:tc>
        <w:tc>
          <w:tcPr>
            <w:tcW w:w="1004"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4131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shd w:val="clear" w:color="auto" w:fill="auto"/>
            <w:noWrap w:val="0"/>
            <w:vAlign w:val="center"/>
          </w:tcPr>
          <w:p>
            <w:pPr>
              <w:pStyle w:val="198"/>
              <w:spacing w:before="24" w:after="24"/>
              <w:rPr>
                <w:rFonts w:hint="eastAsia"/>
                <w:bCs/>
                <w:color w:val="000000"/>
                <w:kern w:val="0"/>
                <w:sz w:val="18"/>
                <w:szCs w:val="18"/>
                <w:lang w:bidi="ar"/>
              </w:rPr>
            </w:pPr>
            <w:r>
              <w:rPr>
                <w:rFonts w:hint="eastAsia"/>
                <w:bCs/>
                <w:color w:val="000000"/>
                <w:kern w:val="0"/>
                <w:sz w:val="18"/>
                <w:szCs w:val="18"/>
                <w:lang w:bidi="ar"/>
              </w:rPr>
              <w:t>注塑机</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白班</w:t>
            </w:r>
          </w:p>
        </w:tc>
        <w:tc>
          <w:tcPr>
            <w:tcW w:w="850" w:type="dxa"/>
            <w:shd w:val="clear" w:color="auto" w:fill="auto"/>
            <w:noWrap w:val="0"/>
            <w:vAlign w:val="center"/>
          </w:tcPr>
          <w:p>
            <w:pPr>
              <w:spacing w:before="24" w:after="24"/>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w:t>
            </w:r>
            <w:r>
              <w:rPr>
                <w:rFonts w:hint="eastAsia" w:ascii="Times New Roman" w:hAnsi="Times New Roman" w:eastAsia="宋体" w:cs="Times New Roman"/>
                <w:color w:val="000000"/>
                <w:sz w:val="18"/>
                <w:szCs w:val="18"/>
                <w:lang w:val="en-US" w:eastAsia="zh-CN"/>
              </w:rPr>
              <w:t>2</w:t>
            </w:r>
          </w:p>
        </w:tc>
        <w:tc>
          <w:tcPr>
            <w:tcW w:w="993" w:type="dxa"/>
            <w:shd w:val="clear" w:color="auto" w:fill="auto"/>
            <w:noWrap w:val="0"/>
            <w:vAlign w:val="center"/>
          </w:tcPr>
          <w:p>
            <w:pPr>
              <w:pStyle w:val="198"/>
              <w:spacing w:before="24" w:after="24"/>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0.4</w:t>
            </w:r>
            <w:r>
              <w:rPr>
                <w:rFonts w:hint="default" w:ascii="Times New Roman" w:hAnsi="Times New Roman" w:cs="Times New Roman"/>
                <w:color w:val="000000"/>
                <w:sz w:val="18"/>
                <w:szCs w:val="18"/>
              </w:rPr>
              <w:t>×</w:t>
            </w:r>
            <w:r>
              <w:rPr>
                <w:rFonts w:hint="eastAsia" w:ascii="Times New Roman" w:hAnsi="Times New Roman" w:cs="Times New Roman"/>
                <w:color w:val="000000"/>
                <w:sz w:val="18"/>
                <w:szCs w:val="18"/>
                <w:lang w:val="en-US" w:eastAsia="zh-CN"/>
              </w:rPr>
              <w:t>0.5</w:t>
            </w:r>
          </w:p>
        </w:tc>
        <w:tc>
          <w:tcPr>
            <w:tcW w:w="708" w:type="dxa"/>
            <w:shd w:val="clear" w:color="auto" w:fill="auto"/>
            <w:noWrap w:val="0"/>
            <w:vAlign w:val="center"/>
          </w:tcPr>
          <w:p>
            <w:pPr>
              <w:pStyle w:val="198"/>
              <w:spacing w:before="24" w:after="24"/>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0.2</w:t>
            </w:r>
          </w:p>
        </w:tc>
        <w:tc>
          <w:tcPr>
            <w:tcW w:w="709" w:type="dxa"/>
            <w:shd w:val="clear" w:color="auto" w:fill="auto"/>
            <w:noWrap w:val="0"/>
            <w:vAlign w:val="center"/>
          </w:tcPr>
          <w:p>
            <w:pPr>
              <w:spacing w:before="24" w:after="24"/>
              <w:jc w:val="center"/>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0.3</w:t>
            </w:r>
          </w:p>
        </w:tc>
        <w:tc>
          <w:tcPr>
            <w:tcW w:w="851"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486</w:t>
            </w:r>
          </w:p>
        </w:tc>
        <w:tc>
          <w:tcPr>
            <w:tcW w:w="555"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4</w:t>
            </w:r>
          </w:p>
        </w:tc>
        <w:tc>
          <w:tcPr>
            <w:tcW w:w="1004"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shd w:val="clear" w:color="auto" w:fill="auto"/>
            <w:noWrap w:val="0"/>
            <w:vAlign w:val="center"/>
          </w:tcPr>
          <w:p>
            <w:pPr>
              <w:pStyle w:val="198"/>
              <w:spacing w:before="24" w:after="24"/>
              <w:rPr>
                <w:rFonts w:hint="eastAsia" w:eastAsia="宋体"/>
                <w:bCs/>
                <w:color w:val="000000"/>
                <w:kern w:val="0"/>
                <w:sz w:val="18"/>
                <w:szCs w:val="18"/>
                <w:lang w:eastAsia="zh-CN" w:bidi="ar"/>
              </w:rPr>
            </w:pPr>
            <w:r>
              <w:rPr>
                <w:rFonts w:hint="eastAsia" w:eastAsia="宋体"/>
                <w:bCs/>
                <w:color w:val="000000"/>
                <w:kern w:val="0"/>
                <w:sz w:val="18"/>
                <w:szCs w:val="18"/>
                <w:lang w:eastAsia="zh-CN" w:bidi="ar"/>
              </w:rPr>
              <w:t>烘干炉</w:t>
            </w:r>
          </w:p>
        </w:tc>
        <w:tc>
          <w:tcPr>
            <w:tcW w:w="709" w:type="dxa"/>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白班</w:t>
            </w:r>
          </w:p>
        </w:tc>
        <w:tc>
          <w:tcPr>
            <w:tcW w:w="850" w:type="dxa"/>
            <w:shd w:val="clear" w:color="auto" w:fill="auto"/>
            <w:noWrap w:val="0"/>
            <w:vAlign w:val="center"/>
          </w:tcPr>
          <w:p>
            <w:pPr>
              <w:spacing w:before="24" w:after="24"/>
              <w:jc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0.1</w:t>
            </w:r>
          </w:p>
        </w:tc>
        <w:tc>
          <w:tcPr>
            <w:tcW w:w="993" w:type="dxa"/>
            <w:shd w:val="clear" w:color="auto" w:fill="auto"/>
            <w:noWrap w:val="0"/>
            <w:vAlign w:val="center"/>
          </w:tcPr>
          <w:p>
            <w:pPr>
              <w:pStyle w:val="198"/>
              <w:spacing w:before="24" w:after="24"/>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0.6</w:t>
            </w:r>
            <w:r>
              <w:rPr>
                <w:rFonts w:hint="default" w:ascii="Times New Roman" w:hAnsi="Times New Roman" w:cs="Times New Roman"/>
                <w:color w:val="000000"/>
                <w:sz w:val="18"/>
                <w:szCs w:val="18"/>
              </w:rPr>
              <w:t>×</w:t>
            </w:r>
            <w:r>
              <w:rPr>
                <w:rFonts w:hint="eastAsia" w:ascii="Times New Roman" w:hAnsi="Times New Roman" w:eastAsia="宋体" w:cs="Times New Roman"/>
                <w:color w:val="000000"/>
                <w:sz w:val="18"/>
                <w:szCs w:val="18"/>
                <w:lang w:val="en-US" w:eastAsia="zh-CN"/>
              </w:rPr>
              <w:t>0.4</w:t>
            </w:r>
          </w:p>
        </w:tc>
        <w:tc>
          <w:tcPr>
            <w:tcW w:w="708" w:type="dxa"/>
            <w:shd w:val="clear" w:color="auto" w:fill="auto"/>
            <w:noWrap w:val="0"/>
            <w:vAlign w:val="center"/>
          </w:tcPr>
          <w:p>
            <w:pPr>
              <w:pStyle w:val="198"/>
              <w:spacing w:before="24" w:after="24"/>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0.24</w:t>
            </w:r>
          </w:p>
        </w:tc>
        <w:tc>
          <w:tcPr>
            <w:tcW w:w="709" w:type="dxa"/>
            <w:shd w:val="clear" w:color="auto" w:fill="auto"/>
            <w:noWrap w:val="0"/>
            <w:vAlign w:val="center"/>
          </w:tcPr>
          <w:p>
            <w:pPr>
              <w:spacing w:before="24" w:after="24"/>
              <w:jc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0.3</w:t>
            </w:r>
          </w:p>
        </w:tc>
        <w:tc>
          <w:tcPr>
            <w:tcW w:w="851"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275.4</w:t>
            </w:r>
          </w:p>
        </w:tc>
        <w:tc>
          <w:tcPr>
            <w:tcW w:w="555"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4</w:t>
            </w:r>
          </w:p>
        </w:tc>
        <w:tc>
          <w:tcPr>
            <w:tcW w:w="1004" w:type="dxa"/>
            <w:shd w:val="clear" w:color="auto" w:fill="auto"/>
            <w:noWrap w:val="0"/>
            <w:vAlign w:val="center"/>
          </w:tcPr>
          <w:p>
            <w:pPr>
              <w:pStyle w:val="198"/>
              <w:spacing w:before="24" w:after="24"/>
              <w:rPr>
                <w:rFonts w:hint="default" w:ascii="Times New Roman" w:hAnsi="Times New Roman" w:eastAsia="等线"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1101.6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028" w:type="dxa"/>
            <w:gridSpan w:val="8"/>
            <w:shd w:val="clear" w:color="auto" w:fill="auto"/>
            <w:noWrap w:val="0"/>
            <w:vAlign w:val="center"/>
          </w:tcPr>
          <w:p>
            <w:pPr>
              <w:pStyle w:val="198"/>
              <w:spacing w:before="24" w:after="24"/>
              <w:rPr>
                <w:rFonts w:hint="default" w:ascii="Times New Roman" w:hAnsi="Times New Roman" w:cs="Times New Roman"/>
                <w:color w:val="000000"/>
                <w:sz w:val="18"/>
                <w:szCs w:val="18"/>
              </w:rPr>
            </w:pPr>
            <w:r>
              <w:rPr>
                <w:rFonts w:hint="default" w:ascii="Times New Roman" w:hAnsi="Times New Roman" w:cs="Times New Roman"/>
                <w:color w:val="000000"/>
                <w:sz w:val="18"/>
                <w:szCs w:val="18"/>
              </w:rPr>
              <w:t>风机最大量总计</w:t>
            </w:r>
          </w:p>
        </w:tc>
        <w:tc>
          <w:tcPr>
            <w:tcW w:w="1004" w:type="dxa"/>
            <w:shd w:val="clear" w:color="auto" w:fill="auto"/>
            <w:noWrap w:val="0"/>
            <w:vAlign w:val="center"/>
          </w:tcPr>
          <w:p>
            <w:pPr>
              <w:pStyle w:val="198"/>
              <w:spacing w:before="24" w:after="24"/>
              <w:rPr>
                <w:rFonts w:hint="default" w:ascii="Times New Roman" w:hAnsi="Times New Roman" w:eastAsia="宋体" w:cs="Times New Roman"/>
                <w:color w:val="000000"/>
                <w:sz w:val="18"/>
                <w:szCs w:val="18"/>
                <w:lang w:val="en-US" w:eastAsia="zh-CN"/>
              </w:rPr>
            </w:pPr>
            <w:r>
              <w:rPr>
                <w:rFonts w:hint="eastAsia" w:ascii="Times New Roman" w:hAnsi="Times New Roman" w:eastAsia="等线" w:cs="Times New Roman"/>
                <w:color w:val="000000"/>
                <w:sz w:val="18"/>
                <w:szCs w:val="18"/>
                <w:lang w:val="en-US" w:eastAsia="zh-CN"/>
              </w:rPr>
              <w:t>9606.6</w:t>
            </w:r>
          </w:p>
        </w:tc>
      </w:tr>
    </w:tbl>
    <w:p>
      <w:pPr>
        <w:tabs>
          <w:tab w:val="left" w:pos="6198"/>
        </w:tabs>
        <w:spacing w:line="360" w:lineRule="auto"/>
        <w:ind w:firstLine="420" w:firstLineChars="200"/>
        <w:rPr>
          <w:rFonts w:hint="eastAsia"/>
          <w:b w:val="0"/>
          <w:bCs w:val="0"/>
          <w:color w:val="auto"/>
        </w:rPr>
      </w:pPr>
      <w:r>
        <w:rPr>
          <w:rFonts w:hint="eastAsia" w:eastAsia="宋体"/>
          <w:b w:val="0"/>
          <w:bCs w:val="0"/>
          <w:color w:val="auto"/>
          <w:lang w:eastAsia="zh-CN"/>
        </w:rPr>
        <w:t>根据上表数据，</w:t>
      </w:r>
      <w:r>
        <w:rPr>
          <w:rFonts w:hint="eastAsia"/>
          <w:b w:val="0"/>
          <w:bCs w:val="0"/>
          <w:color w:val="auto"/>
        </w:rPr>
        <w:t>本项目</w:t>
      </w:r>
      <w:r>
        <w:rPr>
          <w:rFonts w:hint="eastAsia" w:eastAsia="宋体"/>
          <w:b w:val="0"/>
          <w:bCs w:val="0"/>
          <w:color w:val="auto"/>
          <w:lang w:eastAsia="zh-CN"/>
        </w:rPr>
        <w:t>新增</w:t>
      </w:r>
      <w:r>
        <w:rPr>
          <w:rFonts w:hint="eastAsia" w:eastAsia="宋体"/>
          <w:b w:val="0"/>
          <w:bCs w:val="0"/>
          <w:color w:val="auto"/>
          <w:lang w:val="en-US" w:eastAsia="zh-CN"/>
        </w:rPr>
        <w:t>1#</w:t>
      </w:r>
      <w:r>
        <w:rPr>
          <w:rFonts w:hint="eastAsia" w:eastAsia="宋体"/>
          <w:b w:val="0"/>
          <w:bCs w:val="0"/>
          <w:color w:val="auto"/>
          <w:lang w:eastAsia="zh-CN"/>
        </w:rPr>
        <w:t>排气筒</w:t>
      </w:r>
      <w:r>
        <w:rPr>
          <w:rFonts w:hint="eastAsia"/>
          <w:b w:val="0"/>
          <w:bCs w:val="0"/>
          <w:color w:val="auto"/>
        </w:rPr>
        <w:t>配套风机</w:t>
      </w:r>
      <w:r>
        <w:rPr>
          <w:rFonts w:hint="eastAsia" w:eastAsia="宋体"/>
          <w:b w:val="0"/>
          <w:bCs w:val="0"/>
          <w:color w:val="auto"/>
          <w:lang w:eastAsia="zh-CN"/>
        </w:rPr>
        <w:t>最大</w:t>
      </w:r>
      <w:r>
        <w:rPr>
          <w:rFonts w:hint="eastAsia"/>
          <w:b w:val="0"/>
          <w:bCs w:val="0"/>
          <w:color w:val="auto"/>
        </w:rPr>
        <w:t>风量为</w:t>
      </w:r>
      <w:r>
        <w:rPr>
          <w:rFonts w:hint="eastAsia"/>
          <w:b w:val="0"/>
          <w:bCs w:val="0"/>
          <w:color w:val="auto"/>
          <w:lang w:val="en-US" w:eastAsia="zh-CN"/>
        </w:rPr>
        <w:t>10000</w:t>
      </w:r>
      <w:r>
        <w:rPr>
          <w:rFonts w:hint="eastAsia"/>
          <w:b w:val="0"/>
          <w:bCs w:val="0"/>
          <w:color w:val="auto"/>
        </w:rPr>
        <w:t>m</w:t>
      </w:r>
      <w:r>
        <w:rPr>
          <w:b w:val="0"/>
          <w:bCs w:val="0"/>
          <w:color w:val="auto"/>
          <w:vertAlign w:val="superscript"/>
        </w:rPr>
        <w:t>3</w:t>
      </w:r>
      <w:r>
        <w:rPr>
          <w:b w:val="0"/>
          <w:bCs w:val="0"/>
          <w:color w:val="auto"/>
        </w:rPr>
        <w:t>/</w:t>
      </w:r>
      <w:r>
        <w:rPr>
          <w:rFonts w:hint="eastAsia"/>
          <w:b w:val="0"/>
          <w:bCs w:val="0"/>
          <w:color w:val="auto"/>
        </w:rPr>
        <w:t>h</w:t>
      </w:r>
      <w:r>
        <w:rPr>
          <w:rFonts w:hint="eastAsia"/>
          <w:szCs w:val="24"/>
        </w:rPr>
        <w:t>，</w:t>
      </w:r>
      <w:r>
        <w:rPr>
          <w:rFonts w:hint="eastAsia" w:eastAsia="宋体"/>
          <w:b w:val="0"/>
          <w:bCs w:val="0"/>
          <w:szCs w:val="24"/>
          <w:lang w:eastAsia="zh-CN"/>
        </w:rPr>
        <w:t>风机</w:t>
      </w:r>
      <w:r>
        <w:rPr>
          <w:rFonts w:hint="eastAsia"/>
          <w:b w:val="0"/>
          <w:bCs w:val="0"/>
          <w:szCs w:val="24"/>
        </w:rPr>
        <w:t>配套风机风量可以满足本项目要求。</w:t>
      </w:r>
    </w:p>
    <w:p>
      <w:pPr>
        <w:autoSpaceDE w:val="0"/>
        <w:autoSpaceDN w:val="0"/>
        <w:adjustRightInd w:val="0"/>
        <w:spacing w:line="360" w:lineRule="auto"/>
        <w:ind w:firstLine="420" w:firstLineChars="200"/>
        <w:jc w:val="left"/>
        <w:rPr>
          <w:rFonts w:hint="default" w:ascii="Times New Roman" w:hAnsi="Times New Roman" w:cs="Times New Roman"/>
          <w:color w:val="auto"/>
          <w:szCs w:val="21"/>
        </w:rPr>
      </w:pPr>
      <w:r>
        <w:rPr>
          <w:rFonts w:hint="eastAsia" w:cs="Times New Roman"/>
          <w:color w:val="auto"/>
          <w:szCs w:val="21"/>
          <w:lang w:eastAsia="zh-CN"/>
        </w:rPr>
        <w:t>（</w:t>
      </w:r>
      <w:r>
        <w:rPr>
          <w:rFonts w:hint="eastAsia" w:cs="Times New Roman"/>
          <w:color w:val="auto"/>
          <w:szCs w:val="21"/>
          <w:lang w:val="en-US" w:eastAsia="zh-CN"/>
        </w:rPr>
        <w:t>3</w:t>
      </w:r>
      <w:r>
        <w:rPr>
          <w:rFonts w:hint="eastAsia" w:cs="Times New Roman"/>
          <w:color w:val="auto"/>
          <w:szCs w:val="21"/>
          <w:lang w:eastAsia="zh-CN"/>
        </w:rPr>
        <w:t>）</w:t>
      </w:r>
      <w:r>
        <w:rPr>
          <w:rFonts w:hint="default" w:ascii="Times New Roman" w:hAnsi="Times New Roman" w:cs="Times New Roman"/>
          <w:color w:val="auto"/>
          <w:szCs w:val="21"/>
        </w:rPr>
        <w:t>排气筒内径</w:t>
      </w:r>
    </w:p>
    <w:p>
      <w:pPr>
        <w:pStyle w:val="2"/>
        <w:wordWrap w:val="0"/>
        <w:spacing w:after="0" w:line="360" w:lineRule="auto"/>
        <w:ind w:left="0" w:leftChars="0"/>
        <w:jc w:val="both"/>
      </w:pPr>
      <w:r>
        <w:rPr>
          <w:rFonts w:hint="eastAsia"/>
        </w:rPr>
        <w:t>根据《大气污染治理工程技术导则》（H</w:t>
      </w:r>
      <w:r>
        <w:t>J2000-2010</w:t>
      </w:r>
      <w:r>
        <w:rPr>
          <w:rFonts w:hint="eastAsia"/>
        </w:rPr>
        <w:t>），排气筒的出口直径应根据出口流速确定，流速宜取1</w:t>
      </w:r>
      <w:r>
        <w:t>5</w:t>
      </w:r>
      <w:r>
        <w:rPr>
          <w:rFonts w:hint="eastAsia"/>
        </w:rPr>
        <w:t>m</w:t>
      </w:r>
      <w:r>
        <w:t>/</w:t>
      </w:r>
      <w:r>
        <w:rPr>
          <w:rFonts w:hint="eastAsia"/>
        </w:rPr>
        <w:t>s左右，当采用钢管烟囱且高度较高时或烟气量较大时，可适当提高出口流速至2</w:t>
      </w:r>
      <w:r>
        <w:t>0</w:t>
      </w:r>
      <w:r>
        <w:rPr>
          <w:rFonts w:hint="eastAsia"/>
        </w:rPr>
        <w:t>m</w:t>
      </w:r>
      <w:r>
        <w:t>/</w:t>
      </w:r>
      <w:r>
        <w:rPr>
          <w:rFonts w:hint="eastAsia"/>
        </w:rPr>
        <w:t>s</w:t>
      </w:r>
      <w:r>
        <w:rPr>
          <w:rFonts w:hint="eastAsia" w:ascii="宋体" w:hAnsi="宋体"/>
        </w:rPr>
        <w:t>～</w:t>
      </w:r>
      <w:r>
        <w:rPr>
          <w:rFonts w:hint="eastAsia"/>
        </w:rPr>
        <w:t>2</w:t>
      </w:r>
      <w:r>
        <w:t>5</w:t>
      </w:r>
      <w:r>
        <w:rPr>
          <w:rFonts w:hint="eastAsia"/>
        </w:rPr>
        <w:t>m</w:t>
      </w:r>
      <w:r>
        <w:t>/</w:t>
      </w:r>
      <w:r>
        <w:rPr>
          <w:rFonts w:hint="eastAsia"/>
        </w:rPr>
        <w:t>s左右。本项目</w:t>
      </w:r>
      <w:r>
        <w:rPr>
          <w:rFonts w:hint="eastAsia" w:eastAsia="宋体"/>
          <w:lang w:val="en-US" w:eastAsia="zh-CN"/>
        </w:rPr>
        <w:t>1#排气筒配套风机最大风量为10000</w:t>
      </w:r>
      <w:r>
        <w:rPr>
          <w:rFonts w:hint="eastAsia"/>
          <w:b w:val="0"/>
          <w:bCs w:val="0"/>
          <w:color w:val="auto"/>
        </w:rPr>
        <w:t>m</w:t>
      </w:r>
      <w:r>
        <w:rPr>
          <w:b w:val="0"/>
          <w:bCs w:val="0"/>
          <w:color w:val="auto"/>
          <w:vertAlign w:val="superscript"/>
        </w:rPr>
        <w:t>3</w:t>
      </w:r>
      <w:r>
        <w:rPr>
          <w:b w:val="0"/>
          <w:bCs w:val="0"/>
          <w:color w:val="auto"/>
        </w:rPr>
        <w:t>/</w:t>
      </w:r>
      <w:r>
        <w:rPr>
          <w:rFonts w:hint="eastAsia"/>
          <w:b w:val="0"/>
          <w:bCs w:val="0"/>
          <w:color w:val="auto"/>
        </w:rPr>
        <w:t>h</w:t>
      </w:r>
      <w:r>
        <w:rPr>
          <w:rFonts w:hint="eastAsia" w:eastAsia="宋体"/>
          <w:b w:val="0"/>
          <w:bCs w:val="0"/>
          <w:color w:val="auto"/>
          <w:lang w:eastAsia="zh-CN"/>
        </w:rPr>
        <w:t>，</w:t>
      </w:r>
      <w:r>
        <w:rPr>
          <w:rFonts w:hint="eastAsia" w:eastAsia="宋体"/>
          <w:lang w:val="en-US" w:eastAsia="zh-CN"/>
        </w:rPr>
        <w:t>出口流速</w:t>
      </w:r>
      <w:r>
        <w:rPr>
          <w:rFonts w:hint="eastAsia"/>
        </w:rPr>
        <w:t>按照</w:t>
      </w:r>
      <w:r>
        <w:rPr>
          <w:rFonts w:hint="eastAsia" w:eastAsia="宋体"/>
          <w:lang w:val="en-US" w:eastAsia="zh-CN"/>
        </w:rPr>
        <w:t>20</w:t>
      </w:r>
      <w:r>
        <w:rPr>
          <w:rFonts w:hint="eastAsia"/>
        </w:rPr>
        <w:t>m/</w:t>
      </w:r>
      <w:r>
        <w:t>s</w:t>
      </w:r>
      <w:r>
        <w:rPr>
          <w:rFonts w:hint="eastAsia"/>
        </w:rPr>
        <w:t>设计，则</w:t>
      </w:r>
      <w:r>
        <w:rPr>
          <w:rFonts w:hint="eastAsia" w:eastAsia="宋体"/>
          <w:lang w:val="en-US" w:eastAsia="zh-CN"/>
        </w:rPr>
        <w:t>1#</w:t>
      </w:r>
      <w:r>
        <w:rPr>
          <w:rFonts w:hint="eastAsia"/>
        </w:rPr>
        <w:t>排气筒内径</w:t>
      </w:r>
      <w:r>
        <w:rPr>
          <w:rFonts w:hint="eastAsia" w:eastAsia="宋体"/>
          <w:lang w:eastAsia="zh-CN"/>
        </w:rPr>
        <w:t>约</w:t>
      </w:r>
      <w:r>
        <w:rPr>
          <w:rFonts w:hint="eastAsia"/>
        </w:rPr>
        <w:t>为</w:t>
      </w:r>
      <w:r>
        <w:t>0.</w:t>
      </w:r>
      <w:r>
        <w:rPr>
          <w:rFonts w:hint="eastAsia" w:eastAsia="宋体"/>
          <w:lang w:val="en-US" w:eastAsia="zh-CN"/>
        </w:rPr>
        <w:t>4</w:t>
      </w:r>
      <w:r>
        <w:rPr>
          <w:rFonts w:hint="eastAsia"/>
        </w:rPr>
        <w:t>m。</w:t>
      </w:r>
    </w:p>
    <w:p>
      <w:pPr>
        <w:spacing w:line="360" w:lineRule="auto"/>
        <w:rPr>
          <w:rFonts w:hint="eastAsia"/>
          <w:lang w:eastAsia="zh-CN"/>
        </w:rPr>
      </w:pPr>
      <w:r>
        <w:rPr>
          <w:rFonts w:hint="eastAsia" w:eastAsiaTheme="minorEastAsia"/>
          <w:b/>
          <w:bCs/>
          <w:lang w:val="en-US" w:eastAsia="zh-CN"/>
        </w:rPr>
        <w:t>6.3</w:t>
      </w:r>
      <w:r>
        <w:rPr>
          <w:rFonts w:hint="eastAsia" w:eastAsiaTheme="minorEastAsia"/>
          <w:b/>
          <w:bCs/>
          <w:lang w:eastAsia="zh-CN"/>
        </w:rPr>
        <w:t>大气污染物控制措施方案比选</w:t>
      </w:r>
    </w:p>
    <w:p>
      <w:pPr>
        <w:spacing w:line="360" w:lineRule="auto"/>
        <w:ind w:firstLine="420" w:firstLineChars="200"/>
        <w:rPr>
          <w:bCs/>
          <w:lang w:eastAsia="zh-CN"/>
        </w:rPr>
      </w:pPr>
      <w:r>
        <w:rPr>
          <w:rFonts w:hint="eastAsia"/>
          <w:lang w:eastAsia="zh-CN"/>
        </w:rPr>
        <w:t>本项目位于</w:t>
      </w:r>
      <w:r>
        <w:rPr>
          <w:rFonts w:hint="eastAsia" w:eastAsia="宋体"/>
          <w:lang w:eastAsia="zh-CN"/>
        </w:rPr>
        <w:t>非甲烷总烃</w:t>
      </w:r>
      <w:r>
        <w:rPr>
          <w:rFonts w:hint="eastAsia"/>
          <w:lang w:eastAsia="zh-CN"/>
        </w:rPr>
        <w:t>达标区，选择大气污染治理设施、预防措施或多方案比选时，应优先</w:t>
      </w:r>
      <w:r>
        <w:rPr>
          <w:rFonts w:hint="eastAsia" w:eastAsia="宋体"/>
          <w:lang w:eastAsia="zh-CN"/>
        </w:rPr>
        <w:t>考虑有机废气治理设施</w:t>
      </w:r>
      <w:r>
        <w:rPr>
          <w:rFonts w:hint="eastAsia"/>
          <w:bCs/>
          <w:lang w:eastAsia="zh-CN"/>
        </w:rPr>
        <w:t>经济性、稳定性和维护便携性</w:t>
      </w:r>
      <w:r>
        <w:rPr>
          <w:rFonts w:hint="eastAsia" w:eastAsia="宋体"/>
          <w:lang w:eastAsia="zh-CN"/>
        </w:rPr>
        <w:t>，再</w:t>
      </w:r>
      <w:r>
        <w:rPr>
          <w:rFonts w:hint="eastAsia"/>
          <w:lang w:eastAsia="zh-CN"/>
        </w:rPr>
        <w:t>考虑治理措施有效可行</w:t>
      </w:r>
      <w:r>
        <w:rPr>
          <w:rFonts w:hint="eastAsia" w:eastAsia="宋体"/>
          <w:lang w:eastAsia="zh-CN"/>
        </w:rPr>
        <w:t>性</w:t>
      </w:r>
      <w:r>
        <w:rPr>
          <w:rFonts w:hint="eastAsia"/>
          <w:lang w:eastAsia="zh-CN"/>
        </w:rPr>
        <w:t>，可保证污染物达标排放。本项目新增的大气污染物有</w:t>
      </w:r>
      <w:r>
        <w:rPr>
          <w:rFonts w:hint="eastAsia" w:eastAsia="宋体"/>
          <w:lang w:eastAsia="zh-CN"/>
        </w:rPr>
        <w:t>VOCs（含苯酚、甲醛），主要产生环节为搅拌、涂胶、烘干、固化、切割、注塑工序</w:t>
      </w:r>
      <w:r>
        <w:rPr>
          <w:rFonts w:hint="eastAsia"/>
          <w:bCs/>
          <w:lang w:eastAsia="zh-CN"/>
        </w:rPr>
        <w:t>。</w:t>
      </w:r>
    </w:p>
    <w:p>
      <w:pPr>
        <w:spacing w:line="360" w:lineRule="auto"/>
        <w:ind w:firstLine="420" w:firstLineChars="200"/>
        <w:jc w:val="both"/>
        <w:rPr>
          <w:rFonts w:hint="eastAsia"/>
          <w:bCs/>
          <w:lang w:val="en-US" w:eastAsia="zh-CN"/>
        </w:rPr>
      </w:pPr>
      <w:r>
        <w:rPr>
          <w:rFonts w:hint="eastAsia" w:eastAsia="宋体"/>
          <w:bCs/>
          <w:lang w:eastAsia="zh-CN"/>
        </w:rPr>
        <w:t>目前，国内VOCs</w:t>
      </w:r>
      <w:r>
        <w:rPr>
          <w:rFonts w:hint="eastAsia"/>
          <w:bCs/>
          <w:lang w:eastAsia="zh-CN"/>
        </w:rPr>
        <w:t>治理措施</w:t>
      </w:r>
      <w:r>
        <w:rPr>
          <w:rFonts w:hint="eastAsia" w:eastAsia="宋体"/>
          <w:bCs/>
          <w:lang w:eastAsia="zh-CN"/>
        </w:rPr>
        <w:t>主要</w:t>
      </w:r>
      <w:r>
        <w:rPr>
          <w:rFonts w:hint="eastAsia"/>
          <w:bCs/>
          <w:lang w:eastAsia="zh-CN"/>
        </w:rPr>
        <w:t>有</w:t>
      </w:r>
      <w:r>
        <w:rPr>
          <w:rFonts w:hint="eastAsia" w:eastAsia="宋体"/>
          <w:bCs/>
          <w:lang w:eastAsia="zh-CN"/>
        </w:rPr>
        <w:t>UV光氧催化氧化、低温等离子、喷淋、吸附、吸附浓缩+热力燃烧/催化燃烧等</w:t>
      </w:r>
      <w:r>
        <w:rPr>
          <w:rFonts w:hint="eastAsia"/>
          <w:bCs/>
          <w:lang w:eastAsia="zh-CN"/>
        </w:rPr>
        <w:t>工</w:t>
      </w:r>
      <w:r>
        <w:rPr>
          <w:rFonts w:hint="eastAsia"/>
          <w:bCs/>
          <w:highlight w:val="none"/>
          <w:lang w:eastAsia="zh-CN"/>
        </w:rPr>
        <w:t xml:space="preserve">艺。根据《排污许可证申请与核发技术规范 </w:t>
      </w:r>
      <w:r>
        <w:rPr>
          <w:rFonts w:hint="eastAsia" w:eastAsia="宋体"/>
          <w:bCs/>
          <w:highlight w:val="none"/>
          <w:lang w:eastAsia="zh-CN"/>
        </w:rPr>
        <w:t>工业炉窑</w:t>
      </w:r>
      <w:r>
        <w:rPr>
          <w:rFonts w:hint="eastAsia"/>
          <w:bCs/>
          <w:highlight w:val="none"/>
          <w:lang w:eastAsia="zh-CN"/>
        </w:rPr>
        <w:t>》（H</w:t>
      </w:r>
      <w:r>
        <w:rPr>
          <w:bCs/>
          <w:highlight w:val="none"/>
          <w:lang w:eastAsia="zh-CN"/>
        </w:rPr>
        <w:t>J11</w:t>
      </w:r>
      <w:r>
        <w:rPr>
          <w:rFonts w:hint="eastAsia" w:eastAsia="宋体"/>
          <w:bCs/>
          <w:highlight w:val="none"/>
          <w:lang w:eastAsia="zh-CN"/>
        </w:rPr>
        <w:t>2</w:t>
      </w:r>
      <w:r>
        <w:rPr>
          <w:rFonts w:hint="eastAsia" w:eastAsia="宋体"/>
          <w:bCs/>
          <w:highlight w:val="none"/>
          <w:lang w:val="en-US" w:eastAsia="zh-CN"/>
        </w:rPr>
        <w:t>2</w:t>
      </w:r>
      <w:r>
        <w:rPr>
          <w:rFonts w:hint="eastAsia"/>
          <w:bCs/>
          <w:highlight w:val="none"/>
          <w:lang w:eastAsia="zh-CN"/>
        </w:rPr>
        <w:t>-</w:t>
      </w:r>
      <w:r>
        <w:rPr>
          <w:bCs/>
          <w:highlight w:val="none"/>
          <w:lang w:eastAsia="zh-CN"/>
        </w:rPr>
        <w:t>2020</w:t>
      </w:r>
      <w:r>
        <w:rPr>
          <w:rFonts w:hint="eastAsia"/>
          <w:bCs/>
          <w:highlight w:val="none"/>
          <w:lang w:eastAsia="zh-CN"/>
        </w:rPr>
        <w:t>）表 A.2 塑料制品工业排污单位废气污染防治可行技术参考表，喷淋；吸附；吸附浓缩+热力</w:t>
      </w:r>
      <w:r>
        <w:rPr>
          <w:rFonts w:hint="eastAsia"/>
          <w:bCs/>
          <w:lang w:eastAsia="zh-CN"/>
        </w:rPr>
        <w:t>燃烧/催化燃烧为</w:t>
      </w:r>
      <w:r>
        <w:rPr>
          <w:rFonts w:hint="eastAsia"/>
          <w:bCs/>
          <w:lang w:val="en-US" w:eastAsia="zh-CN"/>
        </w:rPr>
        <w:t>VOCs废气可行技术。本项目两级活性炭吸附装置VOCs处理效率约为80%，根据</w:t>
      </w:r>
      <w:r>
        <w:rPr>
          <w:rFonts w:hint="eastAsia"/>
          <w:lang w:eastAsia="zh-CN"/>
        </w:rPr>
        <w:t>主要环境影响和保护措施章节</w:t>
      </w:r>
      <w:r>
        <w:rPr>
          <w:rFonts w:hint="eastAsia"/>
          <w:bCs/>
          <w:lang w:val="en-US" w:eastAsia="zh-CN"/>
        </w:rPr>
        <w:t>计算数据，1#排气筒出口VOCs均能达标排放，可以认为本项目使用的有机废气处理技术属于可行技术。</w:t>
      </w:r>
    </w:p>
    <w:p>
      <w:pPr>
        <w:spacing w:line="360" w:lineRule="auto"/>
        <w:ind w:firstLine="420" w:firstLineChars="200"/>
        <w:jc w:val="both"/>
        <w:rPr>
          <w:bCs/>
          <w:lang w:eastAsia="zh-CN"/>
        </w:rPr>
      </w:pPr>
      <w:r>
        <w:rPr>
          <w:rFonts w:hint="eastAsia" w:eastAsia="宋体"/>
          <w:bCs/>
          <w:lang w:eastAsia="zh-CN"/>
        </w:rPr>
        <w:t>在考虑治理措施可行技术情况下，</w:t>
      </w:r>
      <w:r>
        <w:rPr>
          <w:rFonts w:hint="eastAsia"/>
          <w:bCs/>
          <w:lang w:eastAsia="zh-CN"/>
        </w:rPr>
        <w:t>根据</w:t>
      </w:r>
      <w:r>
        <w:rPr>
          <w:rFonts w:hint="eastAsia" w:eastAsia="宋体"/>
          <w:bCs/>
          <w:lang w:eastAsia="zh-CN"/>
        </w:rPr>
        <w:t>VOCs治理设施</w:t>
      </w:r>
      <w:r>
        <w:rPr>
          <w:rFonts w:hint="eastAsia"/>
          <w:bCs/>
          <w:lang w:eastAsia="zh-CN"/>
        </w:rPr>
        <w:t>经济性、稳定性和维护便携性分析，企业生产过程</w:t>
      </w:r>
      <w:r>
        <w:rPr>
          <w:rFonts w:hint="eastAsia" w:eastAsia="宋体"/>
          <w:bCs/>
          <w:lang w:eastAsia="zh-CN"/>
        </w:rPr>
        <w:t>产生的废气最终比选</w:t>
      </w:r>
      <w:r>
        <w:rPr>
          <w:rFonts w:hint="eastAsia"/>
          <w:bCs/>
          <w:lang w:eastAsia="zh-CN"/>
        </w:rPr>
        <w:t>采取的</w:t>
      </w:r>
      <w:r>
        <w:rPr>
          <w:rFonts w:hint="eastAsia" w:eastAsia="宋体"/>
          <w:bCs/>
          <w:lang w:eastAsia="zh-CN"/>
        </w:rPr>
        <w:t>VOCs治理</w:t>
      </w:r>
      <w:r>
        <w:rPr>
          <w:rFonts w:hint="eastAsia"/>
          <w:bCs/>
          <w:lang w:eastAsia="zh-CN"/>
        </w:rPr>
        <w:t>工艺为</w:t>
      </w:r>
      <w:r>
        <w:rPr>
          <w:rFonts w:hint="eastAsia" w:eastAsia="宋体"/>
          <w:bCs/>
          <w:lang w:eastAsia="zh-CN"/>
        </w:rPr>
        <w:t>两级活性炭吸附工艺</w:t>
      </w:r>
      <w:r>
        <w:rPr>
          <w:rFonts w:hint="eastAsia"/>
          <w:bCs/>
          <w:lang w:eastAsia="zh-CN"/>
        </w:rPr>
        <w:t>。</w:t>
      </w:r>
    </w:p>
    <w:p>
      <w:pPr>
        <w:spacing w:line="360" w:lineRule="auto"/>
        <w:ind w:firstLine="420" w:firstLineChars="200"/>
        <w:rPr>
          <w:lang w:eastAsia="zh-CN"/>
        </w:rPr>
      </w:pPr>
      <w:r>
        <w:rPr>
          <w:rFonts w:hint="eastAsia"/>
          <w:lang w:eastAsia="zh-CN"/>
        </w:rPr>
        <w:t>拟建项目</w:t>
      </w:r>
      <w:r>
        <w:rPr>
          <w:rFonts w:hint="eastAsia" w:eastAsia="宋体"/>
          <w:lang w:eastAsia="zh-CN"/>
        </w:rPr>
        <w:t>比</w:t>
      </w:r>
      <w:r>
        <w:rPr>
          <w:rFonts w:hint="eastAsia"/>
          <w:lang w:eastAsia="zh-CN"/>
        </w:rPr>
        <w:t>选后采用的</w:t>
      </w:r>
      <w:r>
        <w:rPr>
          <w:rFonts w:hint="eastAsia" w:eastAsia="宋体"/>
          <w:lang w:eastAsia="zh-CN"/>
        </w:rPr>
        <w:t>VOCs治理</w:t>
      </w:r>
      <w:r>
        <w:rPr>
          <w:rFonts w:hint="eastAsia"/>
          <w:lang w:eastAsia="zh-CN"/>
        </w:rPr>
        <w:t>措施是常用措施中效率</w:t>
      </w:r>
      <w:r>
        <w:rPr>
          <w:rFonts w:hint="eastAsia" w:eastAsia="宋体"/>
          <w:lang w:eastAsia="zh-CN"/>
        </w:rPr>
        <w:t>较</w:t>
      </w:r>
      <w:r>
        <w:rPr>
          <w:rFonts w:hint="eastAsia"/>
          <w:lang w:eastAsia="zh-CN"/>
        </w:rPr>
        <w:t>高、运行稳定的处理措施，只要定期进行活性炭更换，可保证本项目</w:t>
      </w:r>
      <w:r>
        <w:rPr>
          <w:rFonts w:hint="eastAsia"/>
          <w:lang w:val="en-US" w:eastAsia="zh-CN"/>
        </w:rPr>
        <w:t>VOCs达标排放</w:t>
      </w:r>
      <w:r>
        <w:rPr>
          <w:rFonts w:hint="eastAsia"/>
          <w:lang w:eastAsia="zh-CN"/>
        </w:rPr>
        <w:t>。</w:t>
      </w:r>
    </w:p>
    <w:p>
      <w:pPr>
        <w:keepNext/>
        <w:keepLines/>
        <w:widowControl/>
        <w:adjustRightInd w:val="0"/>
        <w:snapToGrid w:val="0"/>
        <w:spacing w:line="360" w:lineRule="auto"/>
        <w:outlineLvl w:val="2"/>
        <w:rPr>
          <w:rFonts w:eastAsiaTheme="minorEastAsia"/>
          <w:b/>
          <w:bCs/>
          <w:lang w:eastAsia="zh-CN"/>
        </w:rPr>
      </w:pPr>
      <w:r>
        <w:rPr>
          <w:rFonts w:hint="eastAsia" w:eastAsiaTheme="minorEastAsia"/>
          <w:b/>
          <w:bCs/>
          <w:lang w:val="en-US" w:eastAsia="zh-CN"/>
        </w:rPr>
        <w:t>6</w:t>
      </w:r>
      <w:r>
        <w:rPr>
          <w:rFonts w:eastAsiaTheme="minorEastAsia"/>
          <w:b/>
          <w:bCs/>
          <w:lang w:eastAsia="zh-CN"/>
        </w:rPr>
        <w:t>.</w:t>
      </w:r>
      <w:r>
        <w:rPr>
          <w:rFonts w:hint="eastAsia" w:eastAsiaTheme="minorEastAsia"/>
          <w:b/>
          <w:bCs/>
          <w:lang w:val="en-US" w:eastAsia="zh-CN"/>
        </w:rPr>
        <w:t>4</w:t>
      </w:r>
      <w:r>
        <w:rPr>
          <w:rFonts w:eastAsiaTheme="minorEastAsia"/>
          <w:b/>
          <w:bCs/>
          <w:lang w:eastAsia="zh-CN"/>
        </w:rPr>
        <w:t xml:space="preserve">  大气防护距离的确定</w:t>
      </w:r>
    </w:p>
    <w:p>
      <w:pPr>
        <w:adjustRightInd w:val="0"/>
        <w:snapToGrid w:val="0"/>
        <w:spacing w:line="360" w:lineRule="auto"/>
        <w:ind w:firstLine="420" w:firstLineChars="200"/>
        <w:rPr>
          <w:rFonts w:eastAsiaTheme="minorEastAsia"/>
          <w:bCs/>
          <w:lang w:eastAsia="zh-CN"/>
        </w:rPr>
      </w:pPr>
      <w:r>
        <w:rPr>
          <w:rFonts w:hint="eastAsia" w:eastAsiaTheme="minorEastAsia"/>
          <w:bCs/>
          <w:lang w:eastAsia="zh-CN"/>
        </w:rPr>
        <w:t>依据《环境影响评价技术导则 大气环境》（</w:t>
      </w:r>
      <w:r>
        <w:rPr>
          <w:rFonts w:eastAsiaTheme="minorEastAsia"/>
          <w:bCs/>
          <w:lang w:eastAsia="zh-CN"/>
        </w:rPr>
        <w:t>HJ2.2-2018</w:t>
      </w:r>
      <w:r>
        <w:rPr>
          <w:rFonts w:hint="eastAsia" w:eastAsiaTheme="minorEastAsia"/>
          <w:bCs/>
          <w:lang w:eastAsia="zh-CN"/>
        </w:rPr>
        <w:t>）“</w:t>
      </w:r>
      <w:r>
        <w:rPr>
          <w:rFonts w:eastAsiaTheme="minorEastAsia"/>
          <w:bCs/>
          <w:lang w:eastAsia="zh-CN"/>
        </w:rPr>
        <w:t>8.7.5.1</w:t>
      </w:r>
      <w:r>
        <w:rPr>
          <w:rFonts w:hint="eastAsia" w:eastAsiaTheme="minorEastAsia"/>
          <w:bCs/>
          <w:lang w:eastAsia="zh-CN"/>
        </w:rPr>
        <w:t xml:space="preserve">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 </w:t>
      </w:r>
    </w:p>
    <w:p>
      <w:pPr>
        <w:adjustRightInd w:val="0"/>
        <w:snapToGrid w:val="0"/>
        <w:spacing w:line="360" w:lineRule="auto"/>
        <w:ind w:firstLine="420" w:firstLineChars="200"/>
        <w:jc w:val="both"/>
        <w:rPr>
          <w:rFonts w:eastAsiaTheme="minorEastAsia"/>
          <w:bCs/>
          <w:lang w:eastAsia="zh-CN"/>
        </w:rPr>
      </w:pPr>
      <w:r>
        <w:rPr>
          <w:rFonts w:hint="eastAsia" w:eastAsiaTheme="minorEastAsia"/>
          <w:bCs/>
          <w:lang w:eastAsia="zh-CN"/>
        </w:rPr>
        <w:t>根据</w:t>
      </w:r>
      <w:r>
        <w:rPr>
          <w:rFonts w:hint="eastAsia" w:eastAsiaTheme="minorEastAsia"/>
          <w:bCs/>
          <w:highlight w:val="none"/>
          <w:lang w:eastAsia="zh-CN"/>
        </w:rPr>
        <w:t>《环境影响评价技术导则大气环境》（</w:t>
      </w:r>
      <w:r>
        <w:rPr>
          <w:rFonts w:eastAsiaTheme="minorEastAsia"/>
          <w:bCs/>
          <w:highlight w:val="none"/>
          <w:lang w:eastAsia="zh-CN"/>
        </w:rPr>
        <w:t>HJ2.2-2018</w:t>
      </w:r>
      <w:r>
        <w:rPr>
          <w:rFonts w:hint="eastAsia" w:eastAsiaTheme="minorEastAsia"/>
          <w:bCs/>
          <w:highlight w:val="none"/>
          <w:lang w:eastAsia="zh-CN"/>
        </w:rPr>
        <w:t>）</w:t>
      </w:r>
      <w:r>
        <w:rPr>
          <w:rFonts w:eastAsiaTheme="minorEastAsia"/>
          <w:bCs/>
          <w:highlight w:val="none"/>
          <w:lang w:eastAsia="zh-CN"/>
        </w:rPr>
        <w:t xml:space="preserve">AERSCREEN </w:t>
      </w:r>
      <w:r>
        <w:rPr>
          <w:rFonts w:hint="eastAsia" w:eastAsiaTheme="minorEastAsia"/>
          <w:bCs/>
          <w:highlight w:val="none"/>
          <w:lang w:eastAsia="zh-CN"/>
        </w:rPr>
        <w:t>模型估算结果，项目无组织排放的VOCs最大占标</w:t>
      </w:r>
      <w:r>
        <w:rPr>
          <w:rFonts w:hint="eastAsia" w:eastAsiaTheme="minorEastAsia"/>
          <w:bCs/>
          <w:sz w:val="24"/>
          <w:szCs w:val="24"/>
          <w:highlight w:val="none"/>
          <w:lang w:eastAsia="zh-CN"/>
        </w:rPr>
        <w:t>率为</w:t>
      </w:r>
      <w:r>
        <w:rPr>
          <w:rFonts w:hint="eastAsia" w:eastAsiaTheme="minorEastAsia"/>
          <w:bCs/>
          <w:sz w:val="24"/>
          <w:szCs w:val="24"/>
          <w:highlight w:val="none"/>
          <w:lang w:val="en-US" w:eastAsia="zh-CN"/>
        </w:rPr>
        <w:t>0.4</w:t>
      </w:r>
      <w:r>
        <w:rPr>
          <w:rFonts w:hint="eastAsia" w:eastAsiaTheme="minorEastAsia"/>
          <w:bCs/>
          <w:sz w:val="24"/>
          <w:szCs w:val="24"/>
          <w:highlight w:val="none"/>
          <w:lang w:eastAsia="zh-CN"/>
        </w:rPr>
        <w:t>%，最大落地浓度为</w:t>
      </w:r>
      <w:r>
        <w:rPr>
          <w:rFonts w:hint="eastAsia"/>
          <w:sz w:val="24"/>
          <w:szCs w:val="24"/>
          <w:highlight w:val="none"/>
        </w:rPr>
        <w:t>0.0</w:t>
      </w:r>
      <w:r>
        <w:rPr>
          <w:rFonts w:hint="eastAsia" w:eastAsia="宋体"/>
          <w:sz w:val="24"/>
          <w:szCs w:val="24"/>
          <w:highlight w:val="none"/>
          <w:lang w:val="en-US" w:eastAsia="zh-CN"/>
        </w:rPr>
        <w:t>0796mg/m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；无组织甲醛最大占标率为</w:t>
      </w:r>
      <w:r>
        <w:rPr>
          <w:rFonts w:hint="eastAsia" w:eastAsiaTheme="minorEastAsia"/>
          <w:bCs/>
          <w:sz w:val="24"/>
          <w:szCs w:val="24"/>
          <w:highlight w:val="none"/>
          <w:lang w:val="en-US" w:eastAsia="zh-CN"/>
        </w:rPr>
        <w:t>0.27</w:t>
      </w:r>
      <w:r>
        <w:rPr>
          <w:rFonts w:hint="eastAsia" w:eastAsiaTheme="minorEastAsia"/>
          <w:bCs/>
          <w:sz w:val="24"/>
          <w:szCs w:val="24"/>
          <w:highlight w:val="none"/>
          <w:lang w:eastAsia="zh-CN"/>
        </w:rPr>
        <w:t>%，最大落地浓度为</w:t>
      </w:r>
      <w:r>
        <w:rPr>
          <w:rFonts w:hint="eastAsia"/>
          <w:sz w:val="24"/>
          <w:szCs w:val="24"/>
          <w:highlight w:val="none"/>
        </w:rPr>
        <w:t>0.000</w:t>
      </w:r>
      <w:r>
        <w:rPr>
          <w:rFonts w:hint="eastAsia" w:eastAsia="宋体"/>
          <w:sz w:val="24"/>
          <w:szCs w:val="24"/>
          <w:highlight w:val="none"/>
          <w:lang w:val="en-US" w:eastAsia="zh-CN"/>
        </w:rPr>
        <w:t>137mg/m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；无组织苯酚最大占标率为</w:t>
      </w:r>
      <w:r>
        <w:rPr>
          <w:rFonts w:hint="eastAsia" w:eastAsiaTheme="minorEastAsia"/>
          <w:bCs/>
          <w:sz w:val="24"/>
          <w:szCs w:val="24"/>
          <w:highlight w:val="none"/>
          <w:lang w:val="en-US" w:eastAsia="zh-CN"/>
        </w:rPr>
        <w:t>3.83</w:t>
      </w:r>
      <w:r>
        <w:rPr>
          <w:rFonts w:hint="eastAsia" w:eastAsiaTheme="minorEastAsia"/>
          <w:bCs/>
          <w:sz w:val="24"/>
          <w:szCs w:val="24"/>
          <w:highlight w:val="none"/>
          <w:lang w:eastAsia="zh-CN"/>
        </w:rPr>
        <w:t>%，最大落地浓度为</w:t>
      </w:r>
      <w:r>
        <w:rPr>
          <w:rFonts w:hint="eastAsia"/>
          <w:sz w:val="24"/>
          <w:szCs w:val="24"/>
          <w:highlight w:val="none"/>
        </w:rPr>
        <w:t>0.00</w:t>
      </w:r>
      <w:r>
        <w:rPr>
          <w:rFonts w:hint="eastAsia" w:eastAsia="宋体"/>
          <w:sz w:val="24"/>
          <w:szCs w:val="24"/>
          <w:highlight w:val="none"/>
          <w:lang w:val="en-US" w:eastAsia="zh-CN"/>
        </w:rPr>
        <w:t>765mg/m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；有组织</w:t>
      </w:r>
      <w:r>
        <w:rPr>
          <w:rFonts w:hint="eastAsia" w:eastAsiaTheme="minorEastAsia"/>
          <w:bCs/>
          <w:sz w:val="24"/>
          <w:szCs w:val="24"/>
          <w:highlight w:val="none"/>
          <w:lang w:eastAsia="zh-CN"/>
        </w:rPr>
        <w:t>VOCs最大占标率为</w:t>
      </w:r>
      <w:r>
        <w:rPr>
          <w:rFonts w:hint="eastAsia" w:eastAsiaTheme="minorEastAsia"/>
          <w:bCs/>
          <w:sz w:val="24"/>
          <w:szCs w:val="24"/>
          <w:highlight w:val="none"/>
          <w:lang w:val="en-US" w:eastAsia="zh-CN"/>
        </w:rPr>
        <w:t>0.1</w:t>
      </w:r>
      <w:r>
        <w:rPr>
          <w:rFonts w:hint="eastAsia" w:eastAsiaTheme="minorEastAsia"/>
          <w:bCs/>
          <w:sz w:val="24"/>
          <w:szCs w:val="24"/>
          <w:highlight w:val="none"/>
          <w:lang w:eastAsia="zh-CN"/>
        </w:rPr>
        <w:t>%，最大落地浓度为</w:t>
      </w:r>
      <w:r>
        <w:rPr>
          <w:rFonts w:hint="eastAsia"/>
          <w:sz w:val="24"/>
          <w:szCs w:val="24"/>
          <w:highlight w:val="none"/>
        </w:rPr>
        <w:t>0.00</w:t>
      </w:r>
      <w:r>
        <w:rPr>
          <w:rFonts w:hint="eastAsia" w:eastAsia="宋体"/>
          <w:sz w:val="24"/>
          <w:szCs w:val="24"/>
          <w:highlight w:val="none"/>
          <w:lang w:val="en-US" w:eastAsia="zh-CN"/>
        </w:rPr>
        <w:t>204mg/m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；有组织甲醛最大占标率为</w:t>
      </w:r>
      <w:r>
        <w:rPr>
          <w:rFonts w:hint="eastAsia" w:eastAsiaTheme="minorEastAsia"/>
          <w:bCs/>
          <w:sz w:val="24"/>
          <w:szCs w:val="24"/>
          <w:highlight w:val="none"/>
          <w:lang w:val="en-US" w:eastAsia="zh-CN"/>
        </w:rPr>
        <w:t>0.1</w:t>
      </w:r>
      <w:r>
        <w:rPr>
          <w:rFonts w:hint="eastAsia" w:eastAsiaTheme="minorEastAsia"/>
          <w:bCs/>
          <w:sz w:val="24"/>
          <w:szCs w:val="24"/>
          <w:highlight w:val="none"/>
          <w:lang w:eastAsia="zh-CN"/>
        </w:rPr>
        <w:t>%，最大落地浓度为</w:t>
      </w:r>
      <w:r>
        <w:rPr>
          <w:rFonts w:hint="eastAsia"/>
          <w:sz w:val="24"/>
          <w:szCs w:val="24"/>
          <w:highlight w:val="none"/>
        </w:rPr>
        <w:t>0.0000</w:t>
      </w:r>
      <w:r>
        <w:rPr>
          <w:rFonts w:hint="eastAsia" w:eastAsia="宋体"/>
          <w:sz w:val="24"/>
          <w:szCs w:val="24"/>
          <w:highlight w:val="none"/>
          <w:lang w:val="en-US" w:eastAsia="zh-CN"/>
        </w:rPr>
        <w:t>481mg/m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，有组织苯酚最大占标率为</w:t>
      </w:r>
      <w:r>
        <w:rPr>
          <w:rFonts w:hint="eastAsia" w:eastAsiaTheme="minorEastAsia"/>
          <w:bCs/>
          <w:sz w:val="24"/>
          <w:szCs w:val="24"/>
          <w:highlight w:val="none"/>
          <w:lang w:val="en-US" w:eastAsia="zh-CN"/>
        </w:rPr>
        <w:t>0.97</w:t>
      </w:r>
      <w:r>
        <w:rPr>
          <w:rFonts w:hint="eastAsia" w:eastAsiaTheme="minorEastAsia"/>
          <w:bCs/>
          <w:sz w:val="24"/>
          <w:szCs w:val="24"/>
          <w:highlight w:val="none"/>
          <w:lang w:eastAsia="zh-CN"/>
        </w:rPr>
        <w:t>%，最大落地浓度为</w:t>
      </w:r>
      <w:r>
        <w:rPr>
          <w:rFonts w:hint="eastAsia"/>
          <w:sz w:val="24"/>
          <w:szCs w:val="24"/>
          <w:highlight w:val="none"/>
        </w:rPr>
        <w:t>0.00</w:t>
      </w:r>
      <w:r>
        <w:rPr>
          <w:rFonts w:hint="eastAsia" w:eastAsia="宋体"/>
          <w:sz w:val="24"/>
          <w:szCs w:val="24"/>
          <w:highlight w:val="none"/>
          <w:lang w:val="en-US" w:eastAsia="zh-CN"/>
        </w:rPr>
        <w:t>194mg/m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w:t>
      </w:r>
      <w:r>
        <w:rPr>
          <w:rFonts w:hint="eastAsia" w:eastAsiaTheme="minorEastAsia"/>
          <w:bCs/>
          <w:highlight w:val="none"/>
          <w:lang w:eastAsia="zh-CN"/>
        </w:rPr>
        <w:t xml:space="preserve">且最大落地浓度均小于环境质量标准值，因此项目不设置大气环境防护距离。 </w:t>
      </w:r>
    </w:p>
    <w:p>
      <w:pPr>
        <w:keepNext/>
        <w:keepLines/>
        <w:widowControl/>
        <w:adjustRightInd w:val="0"/>
        <w:snapToGrid w:val="0"/>
        <w:spacing w:line="360" w:lineRule="auto"/>
        <w:outlineLvl w:val="2"/>
        <w:rPr>
          <w:rFonts w:eastAsiaTheme="minorEastAsia"/>
          <w:b/>
          <w:bCs/>
          <w:lang w:eastAsia="zh-CN"/>
        </w:rPr>
      </w:pPr>
      <w:r>
        <w:rPr>
          <w:rFonts w:hint="eastAsia" w:eastAsiaTheme="minorEastAsia"/>
          <w:b/>
          <w:bCs/>
          <w:lang w:val="en-US" w:eastAsia="zh-CN"/>
        </w:rPr>
        <w:t>6</w:t>
      </w:r>
      <w:r>
        <w:rPr>
          <w:rFonts w:eastAsiaTheme="minorEastAsia"/>
          <w:b/>
          <w:bCs/>
          <w:lang w:eastAsia="zh-CN"/>
        </w:rPr>
        <w:t>.</w:t>
      </w:r>
      <w:r>
        <w:rPr>
          <w:rFonts w:hint="eastAsia" w:eastAsiaTheme="minorEastAsia"/>
          <w:b/>
          <w:bCs/>
          <w:lang w:val="en-US" w:eastAsia="zh-CN"/>
        </w:rPr>
        <w:t>5</w:t>
      </w:r>
      <w:r>
        <w:rPr>
          <w:rFonts w:eastAsiaTheme="minorEastAsia"/>
          <w:b/>
          <w:bCs/>
          <w:lang w:eastAsia="zh-CN"/>
        </w:rPr>
        <w:t>环境监测计划</w:t>
      </w:r>
    </w:p>
    <w:p>
      <w:pPr>
        <w:adjustRightInd w:val="0"/>
        <w:snapToGrid w:val="0"/>
        <w:spacing w:line="360" w:lineRule="auto"/>
        <w:ind w:firstLine="420" w:firstLineChars="200"/>
        <w:jc w:val="both"/>
        <w:rPr>
          <w:rFonts w:eastAsiaTheme="minorEastAsia"/>
          <w:lang w:eastAsia="zh-CN"/>
        </w:rPr>
      </w:pPr>
      <w:r>
        <w:rPr>
          <w:color w:val="auto"/>
          <w:highlight w:val="none"/>
        </w:rPr>
        <w:t>根据《淄博市污染源自动监控条例》、《关于开展全市纳入排污许可管理企业自动监控设施安装工作的通知》（淄环委办函[2021]45号）</w:t>
      </w:r>
      <w:r>
        <w:rPr>
          <w:rFonts w:hint="eastAsia" w:eastAsia="宋体"/>
          <w:color w:val="auto"/>
          <w:highlight w:val="none"/>
          <w:lang w:eastAsia="zh-CN"/>
        </w:rPr>
        <w:t>，</w:t>
      </w:r>
      <w:r>
        <w:rPr>
          <w:color w:val="auto"/>
          <w:highlight w:val="none"/>
        </w:rPr>
        <w:t>本项目</w:t>
      </w:r>
      <w:r>
        <w:rPr>
          <w:rFonts w:hint="eastAsia"/>
          <w:color w:val="auto"/>
          <w:highlight w:val="none"/>
        </w:rPr>
        <w:t>新增</w:t>
      </w:r>
      <w:r>
        <w:rPr>
          <w:rFonts w:hint="eastAsia" w:eastAsia="宋体"/>
          <w:color w:val="auto"/>
          <w:highlight w:val="none"/>
          <w:lang w:val="en-US" w:eastAsia="zh-CN"/>
        </w:rPr>
        <w:t>1</w:t>
      </w:r>
      <w:r>
        <w:rPr>
          <w:rFonts w:hint="eastAsia"/>
          <w:color w:val="auto"/>
          <w:highlight w:val="none"/>
        </w:rPr>
        <w:t>根排气筒，内径</w:t>
      </w:r>
      <w:r>
        <w:rPr>
          <w:rFonts w:hint="eastAsia" w:eastAsia="宋体"/>
          <w:color w:val="auto"/>
          <w:highlight w:val="none"/>
          <w:lang w:eastAsia="zh-CN"/>
        </w:rPr>
        <w:t>为</w:t>
      </w:r>
      <w:r>
        <w:rPr>
          <w:rFonts w:hint="eastAsia"/>
          <w:color w:val="auto"/>
          <w:highlight w:val="none"/>
        </w:rPr>
        <w:t>0.</w:t>
      </w:r>
      <w:r>
        <w:rPr>
          <w:rFonts w:hint="eastAsia" w:eastAsia="宋体"/>
          <w:color w:val="auto"/>
          <w:highlight w:val="none"/>
          <w:lang w:val="en-US" w:eastAsia="zh-CN"/>
        </w:rPr>
        <w:t>4</w:t>
      </w:r>
      <w:r>
        <w:rPr>
          <w:rFonts w:hint="eastAsia"/>
          <w:color w:val="auto"/>
          <w:highlight w:val="none"/>
        </w:rPr>
        <w:t>m，无需进行自动监控设施的安装。</w:t>
      </w:r>
      <w:r>
        <w:rPr>
          <w:rFonts w:hint="eastAsia"/>
          <w:szCs w:val="21"/>
          <w:lang w:eastAsia="zh-CN"/>
        </w:rPr>
        <w:t>为切实控制拟建项目污染物治理设施的有效运行和“达标排放”，落实排污总量控制制度，根据《建设项目环境保护管理条例》第八条的规定，本次评价对建设项目实施环境监测提出相应建议，本项目污染源监测计划参照</w:t>
      </w:r>
      <w:r>
        <w:rPr>
          <w:lang w:eastAsia="zh-CN"/>
        </w:rPr>
        <w:t>《排污</w:t>
      </w:r>
      <w:r>
        <w:rPr>
          <w:rFonts w:hint="eastAsia"/>
          <w:lang w:eastAsia="zh-CN"/>
        </w:rPr>
        <w:t>单位自行监</w:t>
      </w:r>
      <w:r>
        <w:rPr>
          <w:lang w:eastAsia="zh-CN"/>
        </w:rPr>
        <w:t>测技术指南</w:t>
      </w:r>
      <w:r>
        <w:rPr>
          <w:rFonts w:hint="eastAsia"/>
          <w:lang w:val="en-US" w:eastAsia="zh-CN"/>
        </w:rPr>
        <w:t>--</w:t>
      </w:r>
      <w:r>
        <w:rPr>
          <w:rFonts w:hint="eastAsia"/>
          <w:lang w:eastAsia="zh-CN"/>
        </w:rPr>
        <w:t>橡胶和塑料制品》（H</w:t>
      </w:r>
      <w:r>
        <w:rPr>
          <w:lang w:eastAsia="zh-CN"/>
        </w:rPr>
        <w:t>J</w:t>
      </w:r>
      <w:r>
        <w:rPr>
          <w:rFonts w:hint="eastAsia"/>
          <w:lang w:val="en-US" w:eastAsia="zh-CN"/>
        </w:rPr>
        <w:t>1207-2021</w:t>
      </w:r>
      <w:r>
        <w:rPr>
          <w:rFonts w:hint="eastAsia"/>
          <w:lang w:eastAsia="zh-CN"/>
        </w:rPr>
        <w:t>）</w:t>
      </w:r>
      <w:r>
        <w:rPr>
          <w:rFonts w:hint="eastAsia" w:eastAsia="宋体"/>
          <w:szCs w:val="21"/>
          <w:lang w:eastAsia="zh-CN"/>
        </w:rPr>
        <w:t>内容</w:t>
      </w:r>
      <w:r>
        <w:rPr>
          <w:rFonts w:hint="eastAsia"/>
          <w:szCs w:val="21"/>
          <w:lang w:eastAsia="zh-CN"/>
        </w:rPr>
        <w:t>制订，具体见下表</w:t>
      </w:r>
      <w:r>
        <w:rPr>
          <w:rFonts w:eastAsiaTheme="minorEastAsia"/>
          <w:lang w:eastAsia="zh-CN"/>
        </w:rPr>
        <w:t>。</w:t>
      </w:r>
    </w:p>
    <w:p>
      <w:pPr>
        <w:adjustRightInd w:val="0"/>
        <w:snapToGrid w:val="0"/>
        <w:spacing w:line="360" w:lineRule="auto"/>
        <w:jc w:val="center"/>
        <w:rPr>
          <w:rFonts w:eastAsiaTheme="minorEastAsia"/>
          <w:b/>
          <w:lang w:eastAsia="zh-CN"/>
        </w:rPr>
      </w:pPr>
      <w:r>
        <w:rPr>
          <w:rFonts w:eastAsiaTheme="minorEastAsia"/>
          <w:b/>
          <w:lang w:eastAsia="zh-CN"/>
        </w:rPr>
        <w:t>表</w:t>
      </w:r>
      <w:r>
        <w:rPr>
          <w:rFonts w:hint="eastAsia" w:eastAsiaTheme="minorEastAsia"/>
          <w:b/>
          <w:lang w:val="en-US" w:eastAsia="zh-CN"/>
        </w:rPr>
        <w:t>6</w:t>
      </w:r>
      <w:r>
        <w:rPr>
          <w:rFonts w:eastAsiaTheme="minorEastAsia"/>
          <w:b/>
          <w:lang w:eastAsia="zh-CN"/>
        </w:rPr>
        <w:t>.</w:t>
      </w:r>
      <w:r>
        <w:rPr>
          <w:rFonts w:hint="eastAsia" w:eastAsiaTheme="minorEastAsia"/>
          <w:b/>
          <w:lang w:val="en-US" w:eastAsia="zh-CN"/>
        </w:rPr>
        <w:t>5</w:t>
      </w:r>
      <w:r>
        <w:rPr>
          <w:rFonts w:eastAsiaTheme="minorEastAsia"/>
          <w:b/>
          <w:lang w:eastAsia="zh-CN"/>
        </w:rPr>
        <w:t>-1  本项目</w:t>
      </w:r>
      <w:r>
        <w:rPr>
          <w:rFonts w:hint="eastAsia" w:eastAsiaTheme="minorEastAsia"/>
          <w:b/>
          <w:lang w:eastAsia="zh-CN"/>
        </w:rPr>
        <w:t>废气</w:t>
      </w:r>
      <w:r>
        <w:rPr>
          <w:rFonts w:eastAsiaTheme="minorEastAsia"/>
          <w:b/>
          <w:lang w:eastAsia="zh-CN"/>
        </w:rPr>
        <w:t>监测计划一览表</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3"/>
        <w:gridCol w:w="2056"/>
        <w:gridCol w:w="1866"/>
        <w:gridCol w:w="226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003" w:type="dxa"/>
            <w:tcBorders>
              <w:bottom w:val="single" w:color="auto" w:sz="4" w:space="0"/>
            </w:tcBorders>
            <w:shd w:val="clear" w:color="auto" w:fill="auto"/>
            <w:vAlign w:val="center"/>
          </w:tcPr>
          <w:p>
            <w:pPr>
              <w:adjustRightInd w:val="0"/>
              <w:snapToGrid w:val="0"/>
              <w:spacing w:line="300" w:lineRule="exact"/>
              <w:jc w:val="center"/>
              <w:rPr>
                <w:rFonts w:eastAsiaTheme="minorEastAsia"/>
                <w:b/>
                <w:bCs/>
                <w:sz w:val="21"/>
                <w:szCs w:val="21"/>
              </w:rPr>
            </w:pPr>
            <w:r>
              <w:rPr>
                <w:rFonts w:eastAsiaTheme="minorEastAsia"/>
                <w:b/>
                <w:bCs/>
                <w:sz w:val="21"/>
                <w:szCs w:val="21"/>
              </w:rPr>
              <w:t>环境要素</w:t>
            </w:r>
          </w:p>
        </w:tc>
        <w:tc>
          <w:tcPr>
            <w:tcW w:w="2056" w:type="dxa"/>
            <w:tcBorders>
              <w:bottom w:val="single" w:color="auto" w:sz="4" w:space="0"/>
            </w:tcBorders>
            <w:shd w:val="clear" w:color="auto" w:fill="auto"/>
            <w:vAlign w:val="center"/>
          </w:tcPr>
          <w:p>
            <w:pPr>
              <w:adjustRightInd w:val="0"/>
              <w:snapToGrid w:val="0"/>
              <w:spacing w:line="300" w:lineRule="exact"/>
              <w:jc w:val="center"/>
              <w:rPr>
                <w:rFonts w:eastAsiaTheme="minorEastAsia"/>
                <w:b/>
                <w:bCs/>
                <w:sz w:val="21"/>
                <w:szCs w:val="21"/>
              </w:rPr>
            </w:pPr>
            <w:r>
              <w:rPr>
                <w:rFonts w:eastAsiaTheme="minorEastAsia"/>
                <w:b/>
                <w:bCs/>
                <w:sz w:val="21"/>
                <w:szCs w:val="21"/>
              </w:rPr>
              <w:t>监测位置</w:t>
            </w:r>
          </w:p>
        </w:tc>
        <w:tc>
          <w:tcPr>
            <w:tcW w:w="1866" w:type="dxa"/>
            <w:tcBorders>
              <w:bottom w:val="single" w:color="auto" w:sz="4" w:space="0"/>
            </w:tcBorders>
            <w:shd w:val="clear" w:color="auto" w:fill="auto"/>
            <w:vAlign w:val="center"/>
          </w:tcPr>
          <w:p>
            <w:pPr>
              <w:adjustRightInd w:val="0"/>
              <w:snapToGrid w:val="0"/>
              <w:spacing w:line="300" w:lineRule="exact"/>
              <w:jc w:val="center"/>
              <w:rPr>
                <w:rFonts w:eastAsiaTheme="minorEastAsia"/>
                <w:b/>
                <w:bCs/>
                <w:sz w:val="21"/>
                <w:szCs w:val="21"/>
              </w:rPr>
            </w:pPr>
            <w:r>
              <w:rPr>
                <w:rFonts w:eastAsiaTheme="minorEastAsia"/>
                <w:b/>
                <w:bCs/>
                <w:sz w:val="21"/>
                <w:szCs w:val="21"/>
              </w:rPr>
              <w:t>监测项目</w:t>
            </w:r>
          </w:p>
        </w:tc>
        <w:tc>
          <w:tcPr>
            <w:tcW w:w="2265" w:type="dxa"/>
            <w:tcBorders>
              <w:bottom w:val="single" w:color="auto" w:sz="4" w:space="0"/>
            </w:tcBorders>
            <w:shd w:val="clear" w:color="auto" w:fill="auto"/>
            <w:vAlign w:val="center"/>
          </w:tcPr>
          <w:p>
            <w:pPr>
              <w:adjustRightInd w:val="0"/>
              <w:snapToGrid w:val="0"/>
              <w:spacing w:line="300" w:lineRule="exact"/>
              <w:jc w:val="center"/>
              <w:rPr>
                <w:rFonts w:eastAsiaTheme="minorEastAsia"/>
                <w:b/>
                <w:bCs/>
                <w:sz w:val="21"/>
                <w:szCs w:val="21"/>
              </w:rPr>
            </w:pPr>
            <w:r>
              <w:rPr>
                <w:rFonts w:eastAsiaTheme="minorEastAsia"/>
                <w:b/>
                <w:bCs/>
                <w:sz w:val="21"/>
                <w:szCs w:val="21"/>
              </w:rPr>
              <w:t>频次</w:t>
            </w:r>
          </w:p>
        </w:tc>
        <w:tc>
          <w:tcPr>
            <w:tcW w:w="1332" w:type="dxa"/>
            <w:tcBorders>
              <w:bottom w:val="single" w:color="auto" w:sz="4" w:space="0"/>
            </w:tcBorders>
            <w:shd w:val="clear" w:color="auto" w:fill="auto"/>
            <w:vAlign w:val="center"/>
          </w:tcPr>
          <w:p>
            <w:pPr>
              <w:adjustRightInd w:val="0"/>
              <w:snapToGrid w:val="0"/>
              <w:spacing w:line="300" w:lineRule="exact"/>
              <w:jc w:val="center"/>
              <w:rPr>
                <w:rFonts w:eastAsiaTheme="minorEastAsia"/>
                <w:b/>
                <w:bCs/>
                <w:sz w:val="21"/>
                <w:szCs w:val="21"/>
              </w:rPr>
            </w:pPr>
            <w:r>
              <w:rPr>
                <w:rFonts w:eastAsiaTheme="minorEastAsia"/>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2" w:type="dxa"/>
            <w:gridSpan w:val="5"/>
            <w:tcBorders>
              <w:top w:val="single" w:color="auto" w:sz="4" w:space="0"/>
            </w:tcBorders>
            <w:shd w:val="clear" w:color="auto" w:fill="auto"/>
            <w:vAlign w:val="center"/>
          </w:tcPr>
          <w:p>
            <w:pPr>
              <w:adjustRightInd w:val="0"/>
              <w:snapToGrid w:val="0"/>
              <w:spacing w:line="300" w:lineRule="exact"/>
              <w:jc w:val="center"/>
              <w:rPr>
                <w:rFonts w:eastAsiaTheme="minorEastAsia"/>
                <w:sz w:val="21"/>
                <w:szCs w:val="21"/>
              </w:rPr>
            </w:pPr>
            <w:r>
              <w:rPr>
                <w:rFonts w:eastAsiaTheme="minorEastAsia"/>
                <w:sz w:val="21"/>
                <w:szCs w:val="21"/>
              </w:rPr>
              <w:t>污染源监测计划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003" w:type="dxa"/>
            <w:vMerge w:val="restart"/>
            <w:shd w:val="clear" w:color="auto" w:fill="auto"/>
            <w:vAlign w:val="center"/>
          </w:tcPr>
          <w:p>
            <w:pPr>
              <w:adjustRightInd w:val="0"/>
              <w:snapToGrid w:val="0"/>
              <w:spacing w:line="300" w:lineRule="exact"/>
              <w:jc w:val="center"/>
              <w:rPr>
                <w:rFonts w:eastAsiaTheme="minorEastAsia"/>
                <w:sz w:val="21"/>
                <w:szCs w:val="21"/>
              </w:rPr>
            </w:pPr>
            <w:r>
              <w:rPr>
                <w:rFonts w:eastAsiaTheme="minorEastAsia"/>
                <w:sz w:val="21"/>
                <w:szCs w:val="21"/>
              </w:rPr>
              <w:t>废气</w:t>
            </w:r>
          </w:p>
        </w:tc>
        <w:tc>
          <w:tcPr>
            <w:tcW w:w="2056" w:type="dxa"/>
            <w:vMerge w:val="restart"/>
            <w:shd w:val="clear" w:color="auto" w:fill="auto"/>
            <w:vAlign w:val="center"/>
          </w:tcPr>
          <w:p>
            <w:pPr>
              <w:adjustRightInd w:val="0"/>
              <w:snapToGrid w:val="0"/>
              <w:spacing w:line="300" w:lineRule="exact"/>
              <w:jc w:val="center"/>
              <w:rPr>
                <w:rFonts w:hint="default" w:eastAsiaTheme="minorEastAsia"/>
                <w:sz w:val="21"/>
                <w:szCs w:val="21"/>
                <w:lang w:val="en-US" w:eastAsia="zh-CN"/>
              </w:rPr>
            </w:pPr>
            <w:r>
              <w:rPr>
                <w:rFonts w:hint="eastAsia" w:eastAsiaTheme="minorEastAsia"/>
                <w:sz w:val="21"/>
                <w:szCs w:val="21"/>
                <w:lang w:val="en-US" w:eastAsia="zh-CN"/>
              </w:rPr>
              <w:t>1#排气筒进口、出口</w:t>
            </w:r>
          </w:p>
        </w:tc>
        <w:tc>
          <w:tcPr>
            <w:tcW w:w="1866" w:type="dxa"/>
            <w:shd w:val="clear" w:color="auto" w:fill="auto"/>
            <w:vAlign w:val="center"/>
          </w:tcPr>
          <w:p>
            <w:pPr>
              <w:tabs>
                <w:tab w:val="left" w:pos="3600"/>
              </w:tabs>
              <w:adjustRightInd w:val="0"/>
              <w:snapToGrid w:val="0"/>
              <w:spacing w:line="300" w:lineRule="exact"/>
              <w:jc w:val="center"/>
              <w:rPr>
                <w:rFonts w:eastAsiaTheme="minorEastAsia"/>
                <w:sz w:val="21"/>
                <w:szCs w:val="21"/>
                <w:lang w:eastAsia="zh-CN"/>
              </w:rPr>
            </w:pPr>
            <w:r>
              <w:rPr>
                <w:rFonts w:hint="eastAsia" w:eastAsiaTheme="minorEastAsia"/>
                <w:sz w:val="21"/>
                <w:szCs w:val="21"/>
                <w:lang w:eastAsia="zh-CN"/>
              </w:rPr>
              <w:t>VOCs</w:t>
            </w:r>
          </w:p>
        </w:tc>
        <w:tc>
          <w:tcPr>
            <w:tcW w:w="2265" w:type="dxa"/>
            <w:shd w:val="clear" w:color="auto" w:fill="auto"/>
            <w:vAlign w:val="center"/>
          </w:tcPr>
          <w:p>
            <w:pPr>
              <w:adjustRightInd w:val="0"/>
              <w:snapToGrid w:val="0"/>
              <w:spacing w:line="300" w:lineRule="exact"/>
              <w:jc w:val="center"/>
              <w:rPr>
                <w:rFonts w:eastAsiaTheme="minorEastAsia"/>
                <w:sz w:val="21"/>
                <w:szCs w:val="21"/>
                <w:lang w:eastAsia="zh-CN"/>
              </w:rPr>
            </w:pPr>
            <w:r>
              <w:rPr>
                <w:rFonts w:hint="eastAsia" w:eastAsiaTheme="minorEastAsia"/>
                <w:sz w:val="21"/>
                <w:szCs w:val="21"/>
                <w:lang w:eastAsia="zh-CN"/>
              </w:rPr>
              <w:t>每半</w:t>
            </w:r>
            <w:r>
              <w:rPr>
                <w:rFonts w:eastAsiaTheme="minorEastAsia"/>
                <w:sz w:val="21"/>
                <w:szCs w:val="21"/>
                <w:lang w:eastAsia="zh-CN"/>
              </w:rPr>
              <w:t>年一次</w:t>
            </w:r>
          </w:p>
        </w:tc>
        <w:tc>
          <w:tcPr>
            <w:tcW w:w="1332" w:type="dxa"/>
            <w:vMerge w:val="restart"/>
            <w:shd w:val="clear" w:color="auto" w:fill="auto"/>
            <w:vAlign w:val="center"/>
          </w:tcPr>
          <w:p>
            <w:pPr>
              <w:adjustRightInd w:val="0"/>
              <w:snapToGrid w:val="0"/>
              <w:spacing w:line="300" w:lineRule="exact"/>
              <w:jc w:val="center"/>
              <w:rPr>
                <w:rFonts w:eastAsiaTheme="minorEastAsia"/>
                <w:sz w:val="21"/>
                <w:szCs w:val="21"/>
                <w:lang w:eastAsia="zh-CN"/>
              </w:rPr>
            </w:pPr>
            <w:r>
              <w:rPr>
                <w:rFonts w:eastAsiaTheme="minorEastAsia"/>
                <w:sz w:val="21"/>
                <w:szCs w:val="21"/>
                <w:lang w:eastAsia="zh-CN"/>
              </w:rPr>
              <w:t>委托具有相应检测资质的单位检测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003" w:type="dxa"/>
            <w:vMerge w:val="continue"/>
            <w:shd w:val="clear" w:color="auto" w:fill="auto"/>
            <w:vAlign w:val="center"/>
          </w:tcPr>
          <w:p>
            <w:pPr>
              <w:adjustRightInd w:val="0"/>
              <w:snapToGrid w:val="0"/>
              <w:spacing w:line="300" w:lineRule="exact"/>
              <w:jc w:val="center"/>
              <w:rPr>
                <w:rFonts w:eastAsiaTheme="minorEastAsia"/>
                <w:sz w:val="21"/>
                <w:szCs w:val="21"/>
              </w:rPr>
            </w:pPr>
          </w:p>
        </w:tc>
        <w:tc>
          <w:tcPr>
            <w:tcW w:w="2056" w:type="dxa"/>
            <w:vMerge w:val="continue"/>
            <w:shd w:val="clear" w:color="auto" w:fill="auto"/>
            <w:vAlign w:val="center"/>
          </w:tcPr>
          <w:p>
            <w:pPr>
              <w:adjustRightInd w:val="0"/>
              <w:snapToGrid w:val="0"/>
              <w:spacing w:line="300" w:lineRule="exact"/>
              <w:jc w:val="center"/>
              <w:rPr>
                <w:rFonts w:hint="eastAsia" w:eastAsiaTheme="minorEastAsia"/>
                <w:sz w:val="21"/>
                <w:szCs w:val="21"/>
                <w:lang w:val="en-US" w:eastAsia="zh-CN"/>
              </w:rPr>
            </w:pPr>
          </w:p>
        </w:tc>
        <w:tc>
          <w:tcPr>
            <w:tcW w:w="1866" w:type="dxa"/>
            <w:shd w:val="clear" w:color="auto" w:fill="auto"/>
            <w:vAlign w:val="center"/>
          </w:tcPr>
          <w:p>
            <w:pPr>
              <w:tabs>
                <w:tab w:val="left" w:pos="3600"/>
              </w:tabs>
              <w:adjustRightInd w:val="0"/>
              <w:snapToGrid w:val="0"/>
              <w:spacing w:line="300" w:lineRule="exact"/>
              <w:jc w:val="center"/>
              <w:rPr>
                <w:rFonts w:hint="eastAsia" w:eastAsiaTheme="minorEastAsia"/>
                <w:sz w:val="21"/>
                <w:szCs w:val="21"/>
                <w:lang w:eastAsia="zh-CN"/>
              </w:rPr>
            </w:pPr>
            <w:r>
              <w:rPr>
                <w:rFonts w:hint="eastAsia" w:eastAsiaTheme="minorEastAsia"/>
                <w:sz w:val="21"/>
                <w:szCs w:val="21"/>
                <w:lang w:eastAsia="zh-CN"/>
              </w:rPr>
              <w:t>苯酚、甲醛</w:t>
            </w:r>
          </w:p>
        </w:tc>
        <w:tc>
          <w:tcPr>
            <w:tcW w:w="2265" w:type="dxa"/>
            <w:shd w:val="clear" w:color="auto" w:fill="auto"/>
            <w:vAlign w:val="center"/>
          </w:tcPr>
          <w:p>
            <w:pPr>
              <w:adjustRightInd w:val="0"/>
              <w:snapToGrid w:val="0"/>
              <w:spacing w:line="300" w:lineRule="exact"/>
              <w:jc w:val="center"/>
              <w:rPr>
                <w:rFonts w:hint="eastAsia" w:eastAsiaTheme="minorEastAsia"/>
                <w:sz w:val="21"/>
                <w:szCs w:val="21"/>
                <w:lang w:eastAsia="zh-CN"/>
              </w:rPr>
            </w:pPr>
            <w:r>
              <w:rPr>
                <w:rFonts w:hint="eastAsia" w:eastAsiaTheme="minorEastAsia"/>
                <w:sz w:val="21"/>
                <w:szCs w:val="21"/>
                <w:lang w:eastAsia="zh-CN"/>
              </w:rPr>
              <w:t>每</w:t>
            </w:r>
            <w:r>
              <w:rPr>
                <w:rFonts w:eastAsiaTheme="minorEastAsia"/>
                <w:sz w:val="21"/>
                <w:szCs w:val="21"/>
                <w:lang w:eastAsia="zh-CN"/>
              </w:rPr>
              <w:t>年一次</w:t>
            </w:r>
          </w:p>
        </w:tc>
        <w:tc>
          <w:tcPr>
            <w:tcW w:w="1332" w:type="dxa"/>
            <w:vMerge w:val="continue"/>
            <w:shd w:val="clear" w:color="auto" w:fill="auto"/>
            <w:vAlign w:val="center"/>
          </w:tcPr>
          <w:p>
            <w:pPr>
              <w:adjustRightInd w:val="0"/>
              <w:snapToGrid w:val="0"/>
              <w:spacing w:line="300" w:lineRule="exact"/>
              <w:jc w:val="center"/>
              <w:rPr>
                <w:rFonts w:eastAsia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003" w:type="dxa"/>
            <w:vMerge w:val="continue"/>
            <w:shd w:val="clear" w:color="auto" w:fill="auto"/>
            <w:vAlign w:val="center"/>
          </w:tcPr>
          <w:p>
            <w:pPr>
              <w:adjustRightInd w:val="0"/>
              <w:snapToGrid w:val="0"/>
              <w:spacing w:line="300" w:lineRule="exact"/>
              <w:jc w:val="center"/>
              <w:rPr>
                <w:rFonts w:eastAsiaTheme="minorEastAsia"/>
                <w:sz w:val="21"/>
                <w:szCs w:val="21"/>
              </w:rPr>
            </w:pPr>
          </w:p>
        </w:tc>
        <w:tc>
          <w:tcPr>
            <w:tcW w:w="2056" w:type="dxa"/>
            <w:shd w:val="clear" w:color="auto" w:fill="auto"/>
            <w:vAlign w:val="center"/>
          </w:tcPr>
          <w:p>
            <w:pPr>
              <w:adjustRightInd w:val="0"/>
              <w:snapToGrid w:val="0"/>
              <w:spacing w:line="300" w:lineRule="exact"/>
              <w:jc w:val="center"/>
              <w:rPr>
                <w:rFonts w:hint="default" w:eastAsiaTheme="minorEastAsia"/>
                <w:sz w:val="21"/>
                <w:szCs w:val="21"/>
                <w:lang w:val="en-US" w:eastAsia="zh-CN"/>
              </w:rPr>
            </w:pPr>
            <w:r>
              <w:rPr>
                <w:rFonts w:hint="eastAsia" w:eastAsiaTheme="minorEastAsia"/>
                <w:sz w:val="21"/>
                <w:szCs w:val="21"/>
                <w:lang w:val="en-US" w:eastAsia="zh-CN"/>
              </w:rPr>
              <w:t>厂区内VOCs</w:t>
            </w:r>
          </w:p>
        </w:tc>
        <w:tc>
          <w:tcPr>
            <w:tcW w:w="1866" w:type="dxa"/>
            <w:shd w:val="clear" w:color="auto" w:fill="auto"/>
            <w:vAlign w:val="center"/>
          </w:tcPr>
          <w:p>
            <w:pPr>
              <w:tabs>
                <w:tab w:val="left" w:pos="3600"/>
              </w:tabs>
              <w:adjustRightInd w:val="0"/>
              <w:snapToGrid w:val="0"/>
              <w:spacing w:line="300" w:lineRule="exact"/>
              <w:jc w:val="center"/>
              <w:rPr>
                <w:rFonts w:hint="default" w:eastAsiaTheme="minorEastAsia"/>
                <w:sz w:val="21"/>
                <w:szCs w:val="21"/>
                <w:lang w:val="en-US" w:eastAsia="zh-CN"/>
              </w:rPr>
            </w:pPr>
            <w:r>
              <w:rPr>
                <w:rFonts w:hint="eastAsia" w:eastAsiaTheme="minorEastAsia"/>
                <w:sz w:val="21"/>
                <w:szCs w:val="21"/>
                <w:lang w:val="en-US" w:eastAsia="zh-CN"/>
              </w:rPr>
              <w:t>NMHC</w:t>
            </w:r>
          </w:p>
        </w:tc>
        <w:tc>
          <w:tcPr>
            <w:tcW w:w="2265" w:type="dxa"/>
            <w:shd w:val="clear" w:color="auto" w:fill="auto"/>
            <w:vAlign w:val="center"/>
          </w:tcPr>
          <w:p>
            <w:pPr>
              <w:adjustRightInd w:val="0"/>
              <w:snapToGrid w:val="0"/>
              <w:spacing w:line="300" w:lineRule="exact"/>
              <w:jc w:val="center"/>
              <w:rPr>
                <w:rFonts w:hint="eastAsia" w:eastAsiaTheme="minorEastAsia"/>
                <w:sz w:val="21"/>
                <w:szCs w:val="21"/>
                <w:lang w:eastAsia="zh-CN"/>
              </w:rPr>
            </w:pPr>
            <w:r>
              <w:rPr>
                <w:rFonts w:hint="eastAsia" w:eastAsiaTheme="minorEastAsia"/>
                <w:sz w:val="21"/>
                <w:szCs w:val="21"/>
                <w:lang w:eastAsia="zh-CN"/>
              </w:rPr>
              <w:t>每年一次</w:t>
            </w:r>
          </w:p>
        </w:tc>
        <w:tc>
          <w:tcPr>
            <w:tcW w:w="1332" w:type="dxa"/>
            <w:vMerge w:val="continue"/>
            <w:shd w:val="clear" w:color="auto" w:fill="auto"/>
            <w:vAlign w:val="center"/>
          </w:tcPr>
          <w:p>
            <w:pPr>
              <w:adjustRightInd w:val="0"/>
              <w:snapToGrid w:val="0"/>
              <w:spacing w:line="300" w:lineRule="exact"/>
              <w:jc w:val="center"/>
              <w:rPr>
                <w:rFonts w:eastAsiaTheme="minorEastAsia"/>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003" w:type="dxa"/>
            <w:vMerge w:val="continue"/>
            <w:shd w:val="clear" w:color="auto" w:fill="auto"/>
            <w:vAlign w:val="center"/>
          </w:tcPr>
          <w:p>
            <w:pPr>
              <w:adjustRightInd w:val="0"/>
              <w:snapToGrid w:val="0"/>
              <w:spacing w:line="300" w:lineRule="exact"/>
              <w:jc w:val="center"/>
              <w:rPr>
                <w:rFonts w:eastAsiaTheme="minorEastAsia"/>
                <w:sz w:val="21"/>
                <w:szCs w:val="21"/>
                <w:lang w:eastAsia="zh-CN"/>
              </w:rPr>
            </w:pPr>
          </w:p>
        </w:tc>
        <w:tc>
          <w:tcPr>
            <w:tcW w:w="2056" w:type="dxa"/>
            <w:shd w:val="clear" w:color="auto" w:fill="auto"/>
            <w:vAlign w:val="center"/>
          </w:tcPr>
          <w:p>
            <w:pPr>
              <w:adjustRightInd w:val="0"/>
              <w:snapToGrid w:val="0"/>
              <w:spacing w:line="300" w:lineRule="exact"/>
              <w:jc w:val="center"/>
              <w:rPr>
                <w:rFonts w:eastAsiaTheme="minorEastAsia"/>
                <w:sz w:val="21"/>
                <w:szCs w:val="21"/>
                <w:lang w:eastAsia="zh-CN"/>
              </w:rPr>
            </w:pPr>
            <w:r>
              <w:rPr>
                <w:rFonts w:eastAsiaTheme="minorEastAsia"/>
                <w:sz w:val="21"/>
                <w:szCs w:val="21"/>
                <w:lang w:eastAsia="zh-CN"/>
              </w:rPr>
              <w:t>无组织排放源上风向设1点，下风向设3点</w:t>
            </w:r>
          </w:p>
        </w:tc>
        <w:tc>
          <w:tcPr>
            <w:tcW w:w="1866" w:type="dxa"/>
            <w:shd w:val="clear" w:color="auto" w:fill="auto"/>
            <w:vAlign w:val="center"/>
          </w:tcPr>
          <w:p>
            <w:pPr>
              <w:tabs>
                <w:tab w:val="left" w:pos="3600"/>
              </w:tabs>
              <w:adjustRightInd w:val="0"/>
              <w:snapToGrid w:val="0"/>
              <w:spacing w:line="300" w:lineRule="exact"/>
              <w:jc w:val="center"/>
              <w:rPr>
                <w:rFonts w:eastAsiaTheme="minorEastAsia"/>
                <w:sz w:val="21"/>
                <w:szCs w:val="21"/>
              </w:rPr>
            </w:pPr>
            <w:r>
              <w:rPr>
                <w:rFonts w:hint="eastAsia" w:eastAsiaTheme="minorEastAsia"/>
                <w:sz w:val="21"/>
                <w:szCs w:val="21"/>
                <w:lang w:eastAsia="zh-CN"/>
              </w:rPr>
              <w:t>VOCs、苯酚、甲醛</w:t>
            </w:r>
          </w:p>
        </w:tc>
        <w:tc>
          <w:tcPr>
            <w:tcW w:w="2265" w:type="dxa"/>
            <w:shd w:val="clear" w:color="auto" w:fill="auto"/>
            <w:vAlign w:val="center"/>
          </w:tcPr>
          <w:p>
            <w:pPr>
              <w:adjustRightInd w:val="0"/>
              <w:snapToGrid w:val="0"/>
              <w:spacing w:line="300" w:lineRule="exact"/>
              <w:jc w:val="center"/>
              <w:rPr>
                <w:rFonts w:eastAsiaTheme="minorEastAsia"/>
                <w:sz w:val="21"/>
                <w:szCs w:val="21"/>
                <w:lang w:eastAsia="zh-CN"/>
              </w:rPr>
            </w:pPr>
            <w:r>
              <w:rPr>
                <w:rFonts w:hint="eastAsia" w:eastAsiaTheme="minorEastAsia"/>
                <w:sz w:val="21"/>
                <w:szCs w:val="21"/>
                <w:lang w:eastAsia="zh-CN"/>
              </w:rPr>
              <w:t>每</w:t>
            </w:r>
            <w:r>
              <w:rPr>
                <w:rFonts w:eastAsiaTheme="minorEastAsia"/>
                <w:sz w:val="21"/>
                <w:szCs w:val="21"/>
                <w:lang w:eastAsia="zh-CN"/>
              </w:rPr>
              <w:t>年一次</w:t>
            </w:r>
          </w:p>
        </w:tc>
        <w:tc>
          <w:tcPr>
            <w:tcW w:w="1332" w:type="dxa"/>
            <w:vMerge w:val="continue"/>
            <w:shd w:val="clear" w:color="auto" w:fill="auto"/>
            <w:vAlign w:val="center"/>
          </w:tcPr>
          <w:p>
            <w:pPr>
              <w:adjustRightInd w:val="0"/>
              <w:snapToGrid w:val="0"/>
              <w:spacing w:line="300" w:lineRule="exact"/>
              <w:jc w:val="center"/>
              <w:rPr>
                <w:rFonts w:eastAsiaTheme="minorEastAsia"/>
                <w:sz w:val="21"/>
                <w:szCs w:val="21"/>
                <w:lang w:eastAsia="zh-CN"/>
              </w:rPr>
            </w:pPr>
          </w:p>
        </w:tc>
      </w:tr>
    </w:tbl>
    <w:p>
      <w:pPr>
        <w:adjustRightInd w:val="0"/>
        <w:snapToGrid w:val="0"/>
        <w:spacing w:line="360" w:lineRule="auto"/>
        <w:ind w:firstLine="420" w:firstLineChars="200"/>
        <w:rPr>
          <w:rFonts w:eastAsiaTheme="minorEastAsia"/>
          <w:lang w:eastAsia="zh-CN"/>
        </w:rPr>
      </w:pPr>
      <w:r>
        <w:rPr>
          <w:rFonts w:eastAsiaTheme="minorEastAsia"/>
          <w:lang w:eastAsia="zh-CN"/>
        </w:rPr>
        <w:t>项目监测委托当地具有相关资质的环境监测单位监测，在项目各废气排放筒设符合规范的取样孔。环境监测机构应将监测结果记录整理存档，并按规定编制表格或报告，报送环保管理部门和主管部门。</w:t>
      </w:r>
    </w:p>
    <w:p>
      <w:pPr>
        <w:keepNext/>
        <w:keepLines/>
        <w:widowControl/>
        <w:adjustRightInd w:val="0"/>
        <w:snapToGrid w:val="0"/>
        <w:spacing w:line="360" w:lineRule="auto"/>
        <w:outlineLvl w:val="2"/>
        <w:rPr>
          <w:rFonts w:eastAsiaTheme="minorEastAsia"/>
          <w:b/>
          <w:bCs/>
          <w:lang w:eastAsia="zh-CN"/>
        </w:rPr>
      </w:pPr>
      <w:r>
        <w:rPr>
          <w:rFonts w:hint="eastAsia" w:eastAsiaTheme="minorEastAsia"/>
          <w:b/>
          <w:bCs/>
          <w:lang w:val="en-US" w:eastAsia="zh-CN"/>
        </w:rPr>
        <w:t>6</w:t>
      </w:r>
      <w:r>
        <w:rPr>
          <w:rFonts w:hint="eastAsia" w:eastAsiaTheme="minorEastAsia"/>
          <w:b/>
          <w:bCs/>
          <w:lang w:eastAsia="zh-CN"/>
        </w:rPr>
        <w:t>.</w:t>
      </w:r>
      <w:r>
        <w:rPr>
          <w:rFonts w:hint="eastAsia" w:eastAsiaTheme="minorEastAsia"/>
          <w:b/>
          <w:bCs/>
          <w:lang w:val="en-US" w:eastAsia="zh-CN"/>
        </w:rPr>
        <w:t>6</w:t>
      </w:r>
      <w:r>
        <w:rPr>
          <w:rFonts w:eastAsiaTheme="minorEastAsia"/>
          <w:b/>
          <w:bCs/>
          <w:lang w:eastAsia="zh-CN"/>
        </w:rPr>
        <w:t>大气环境影响评价结论与建议</w:t>
      </w:r>
    </w:p>
    <w:p>
      <w:pPr>
        <w:adjustRightInd w:val="0"/>
        <w:snapToGrid w:val="0"/>
        <w:spacing w:line="360" w:lineRule="auto"/>
        <w:ind w:firstLine="422" w:firstLineChars="200"/>
        <w:rPr>
          <w:rFonts w:eastAsiaTheme="minorEastAsia"/>
          <w:b/>
          <w:bCs/>
          <w:lang w:eastAsia="zh-CN"/>
        </w:rPr>
      </w:pPr>
      <w:r>
        <w:rPr>
          <w:rFonts w:hint="eastAsia" w:eastAsiaTheme="minorEastAsia"/>
          <w:b/>
          <w:bCs/>
          <w:lang w:val="en-US" w:eastAsia="zh-CN"/>
        </w:rPr>
        <w:t>6.6.1</w:t>
      </w:r>
      <w:r>
        <w:rPr>
          <w:rFonts w:eastAsiaTheme="minorEastAsia"/>
          <w:b/>
          <w:bCs/>
          <w:lang w:eastAsia="zh-CN"/>
        </w:rPr>
        <w:t>大气环境影响评价结论</w:t>
      </w:r>
    </w:p>
    <w:p>
      <w:pPr>
        <w:adjustRightInd w:val="0"/>
        <w:snapToGrid w:val="0"/>
        <w:spacing w:line="360" w:lineRule="auto"/>
        <w:ind w:firstLine="420" w:firstLineChars="200"/>
        <w:rPr>
          <w:rFonts w:eastAsiaTheme="minorEastAsia"/>
          <w:lang w:eastAsia="zh-CN"/>
        </w:rPr>
      </w:pPr>
      <w:r>
        <w:rPr>
          <w:rFonts w:eastAsiaTheme="minorEastAsia"/>
          <w:bCs/>
          <w:lang w:eastAsia="zh-CN"/>
        </w:rPr>
        <w:t>（1）依据</w:t>
      </w:r>
      <w:r>
        <w:rPr>
          <w:rFonts w:eastAsiaTheme="minorEastAsia"/>
          <w:snapToGrid w:val="0"/>
          <w:lang w:eastAsia="zh-CN"/>
        </w:rPr>
        <w:t>《环境影响评价技术导则 大气环境》（HJ2.2-2018）中评价等级判据，本项目各污染因子1％≤P</w:t>
      </w:r>
      <w:r>
        <w:rPr>
          <w:rFonts w:eastAsiaTheme="minorEastAsia"/>
          <w:snapToGrid w:val="0"/>
          <w:vertAlign w:val="subscript"/>
          <w:lang w:eastAsia="zh-CN"/>
        </w:rPr>
        <w:t>max</w:t>
      </w:r>
      <w:r>
        <w:rPr>
          <w:rFonts w:eastAsiaTheme="minorEastAsia"/>
          <w:snapToGrid w:val="0"/>
          <w:lang w:eastAsia="zh-CN"/>
        </w:rPr>
        <w:t>&lt;10％，确定评价等级为二级。</w:t>
      </w:r>
    </w:p>
    <w:p>
      <w:pPr>
        <w:adjustRightInd w:val="0"/>
        <w:snapToGrid w:val="0"/>
        <w:spacing w:line="360" w:lineRule="auto"/>
        <w:ind w:firstLine="420" w:firstLineChars="200"/>
        <w:rPr>
          <w:rFonts w:eastAsiaTheme="minorEastAsia"/>
          <w:bCs/>
          <w:lang w:eastAsia="zh-CN"/>
        </w:rPr>
      </w:pPr>
      <w:r>
        <w:rPr>
          <w:rFonts w:eastAsiaTheme="minorEastAsia"/>
          <w:bCs/>
          <w:lang w:eastAsia="zh-CN"/>
        </w:rPr>
        <w:t>（2）本工程排放的各种污染物最大浓度贡献值均出现在污染源近距离范围内，且浓度贡献均相对较小，远低于标准限值。对远距离范围的评价区环境空气质量影响很小。污染物排放浓度均符合环保要求，厂界浓度均达标排放。说明该项目设计采用的环保治理措施是可行的。另外，运行时要切实加强监控措施，杜绝无组织排放可能造成的不良影响。应尽量加宽场址周围的绿化隔离带及选择种植相应树种。</w:t>
      </w:r>
    </w:p>
    <w:p>
      <w:pPr>
        <w:pStyle w:val="2"/>
        <w:spacing w:line="360" w:lineRule="auto"/>
        <w:ind w:left="0" w:leftChars="0" w:firstLine="420" w:firstLineChars="200"/>
        <w:rPr>
          <w:lang w:eastAsia="zh-CN"/>
        </w:rPr>
      </w:pPr>
      <w:r>
        <w:rPr>
          <w:rFonts w:hint="eastAsia" w:eastAsiaTheme="minorEastAsia"/>
          <w:bCs/>
          <w:lang w:eastAsia="zh-CN"/>
        </w:rPr>
        <w:t>综上，</w:t>
      </w:r>
      <w:r>
        <w:rPr>
          <w:rFonts w:hint="default" w:ascii="Times New Roman" w:hAnsi="Times New Roman" w:cs="Times New Roman"/>
          <w:color w:val="auto"/>
          <w:szCs w:val="21"/>
        </w:rPr>
        <w:t>本项目废气经过治理后有组织废气和无组织废气均能达标排放，且污染物浓度较小，均能满足相关特征污染物的环境质量标准值，在落实污染物治理措施后，对附近大气环境影响较小。</w:t>
      </w:r>
    </w:p>
    <w:p>
      <w:pPr>
        <w:adjustRightInd w:val="0"/>
        <w:snapToGrid w:val="0"/>
        <w:spacing w:line="360" w:lineRule="auto"/>
        <w:ind w:firstLine="422" w:firstLineChars="200"/>
        <w:rPr>
          <w:rFonts w:eastAsiaTheme="minorEastAsia"/>
          <w:b/>
          <w:bCs/>
          <w:lang w:eastAsia="zh-CN"/>
        </w:rPr>
      </w:pPr>
      <w:r>
        <w:rPr>
          <w:rFonts w:hint="eastAsia" w:eastAsiaTheme="minorEastAsia"/>
          <w:b/>
          <w:bCs/>
          <w:lang w:val="en-US" w:eastAsia="zh-CN"/>
        </w:rPr>
        <w:t>6.6.</w:t>
      </w:r>
      <w:r>
        <w:rPr>
          <w:rFonts w:eastAsiaTheme="minorEastAsia"/>
          <w:b/>
          <w:bCs/>
          <w:lang w:eastAsia="zh-CN"/>
        </w:rPr>
        <w:t xml:space="preserve">2污染控制措施可行性及方案比选结果 </w:t>
      </w:r>
    </w:p>
    <w:p>
      <w:pPr>
        <w:spacing w:line="360" w:lineRule="auto"/>
        <w:ind w:firstLine="420" w:firstLineChars="200"/>
        <w:rPr>
          <w:bCs/>
          <w:lang w:eastAsia="zh-CN"/>
        </w:rPr>
      </w:pPr>
      <w:r>
        <w:rPr>
          <w:rFonts w:hint="eastAsia"/>
          <w:lang w:eastAsia="zh-CN"/>
        </w:rPr>
        <w:t>本项目位于</w:t>
      </w:r>
      <w:r>
        <w:rPr>
          <w:rFonts w:hint="eastAsia" w:eastAsia="宋体"/>
          <w:lang w:eastAsia="zh-CN"/>
        </w:rPr>
        <w:t>非甲烷总烃</w:t>
      </w:r>
      <w:r>
        <w:rPr>
          <w:rFonts w:hint="eastAsia"/>
          <w:lang w:eastAsia="zh-CN"/>
        </w:rPr>
        <w:t>达标区，选择大气污染治理设施、预防措施或多方案比选时，应优先</w:t>
      </w:r>
      <w:r>
        <w:rPr>
          <w:rFonts w:hint="eastAsia" w:eastAsia="宋体"/>
          <w:lang w:eastAsia="zh-CN"/>
        </w:rPr>
        <w:t>考虑有机废气治理设施</w:t>
      </w:r>
      <w:r>
        <w:rPr>
          <w:rFonts w:hint="eastAsia"/>
          <w:bCs/>
          <w:lang w:eastAsia="zh-CN"/>
        </w:rPr>
        <w:t>经济性、稳定性和维护便携性</w:t>
      </w:r>
      <w:r>
        <w:rPr>
          <w:rFonts w:hint="eastAsia" w:eastAsia="宋体"/>
          <w:lang w:eastAsia="zh-CN"/>
        </w:rPr>
        <w:t>，再</w:t>
      </w:r>
      <w:r>
        <w:rPr>
          <w:rFonts w:hint="eastAsia"/>
          <w:lang w:eastAsia="zh-CN"/>
        </w:rPr>
        <w:t>考虑治理措施有效可行</w:t>
      </w:r>
      <w:r>
        <w:rPr>
          <w:rFonts w:hint="eastAsia" w:eastAsia="宋体"/>
          <w:lang w:eastAsia="zh-CN"/>
        </w:rPr>
        <w:t>性</w:t>
      </w:r>
      <w:r>
        <w:rPr>
          <w:rFonts w:hint="eastAsia"/>
          <w:lang w:eastAsia="zh-CN"/>
        </w:rPr>
        <w:t>，可保证污染物达标排放。本项目新增的大气污染物有</w:t>
      </w:r>
      <w:r>
        <w:rPr>
          <w:rFonts w:hint="eastAsia" w:eastAsia="宋体"/>
          <w:lang w:eastAsia="zh-CN"/>
        </w:rPr>
        <w:t>VOCs和苯酚、甲醛，主要产生环节为搅拌、涂胶、烘干、固化、切割、注塑</w:t>
      </w:r>
      <w:r>
        <w:rPr>
          <w:rFonts w:hint="eastAsia" w:eastAsia="宋体"/>
          <w:bCs/>
          <w:lang w:eastAsia="zh-CN"/>
        </w:rPr>
        <w:t>工序</w:t>
      </w:r>
      <w:r>
        <w:rPr>
          <w:rFonts w:hint="eastAsia"/>
          <w:bCs/>
          <w:lang w:eastAsia="zh-CN"/>
        </w:rPr>
        <w:t>。</w:t>
      </w:r>
    </w:p>
    <w:p>
      <w:pPr>
        <w:spacing w:line="360" w:lineRule="auto"/>
        <w:ind w:firstLine="420" w:firstLineChars="200"/>
        <w:jc w:val="both"/>
        <w:rPr>
          <w:rFonts w:hint="eastAsia"/>
          <w:bCs/>
          <w:lang w:val="en-US" w:eastAsia="zh-CN"/>
        </w:rPr>
      </w:pPr>
      <w:r>
        <w:rPr>
          <w:rFonts w:hint="eastAsia" w:eastAsia="宋体"/>
          <w:bCs/>
          <w:lang w:eastAsia="zh-CN"/>
        </w:rPr>
        <w:t>目前，国内VOCs</w:t>
      </w:r>
      <w:r>
        <w:rPr>
          <w:rFonts w:hint="eastAsia"/>
          <w:bCs/>
          <w:lang w:eastAsia="zh-CN"/>
        </w:rPr>
        <w:t>治理措施</w:t>
      </w:r>
      <w:r>
        <w:rPr>
          <w:rFonts w:hint="eastAsia" w:eastAsia="宋体"/>
          <w:bCs/>
          <w:lang w:eastAsia="zh-CN"/>
        </w:rPr>
        <w:t>主要</w:t>
      </w:r>
      <w:r>
        <w:rPr>
          <w:rFonts w:hint="eastAsia"/>
          <w:bCs/>
          <w:lang w:eastAsia="zh-CN"/>
        </w:rPr>
        <w:t>有</w:t>
      </w:r>
      <w:r>
        <w:rPr>
          <w:rFonts w:hint="eastAsia" w:eastAsia="宋体"/>
          <w:bCs/>
          <w:lang w:eastAsia="zh-CN"/>
        </w:rPr>
        <w:t>UV光氧催化氧化、低温等离子、喷淋、吸附、吸附浓缩+热力燃烧/催化燃烧等</w:t>
      </w:r>
      <w:r>
        <w:rPr>
          <w:rFonts w:hint="eastAsia"/>
          <w:bCs/>
          <w:lang w:eastAsia="zh-CN"/>
        </w:rPr>
        <w:t>工艺</w:t>
      </w:r>
      <w:r>
        <w:rPr>
          <w:rFonts w:hint="eastAsia"/>
          <w:bCs/>
          <w:highlight w:val="none"/>
          <w:lang w:eastAsia="zh-CN"/>
        </w:rPr>
        <w:t xml:space="preserve">。根据《排污许可证申请与核发技术规范 </w:t>
      </w:r>
      <w:r>
        <w:rPr>
          <w:rFonts w:hint="eastAsia" w:eastAsia="宋体"/>
          <w:bCs/>
          <w:highlight w:val="none"/>
          <w:lang w:eastAsia="zh-CN"/>
        </w:rPr>
        <w:t>橡胶和塑料制品工业</w:t>
      </w:r>
      <w:r>
        <w:rPr>
          <w:rFonts w:hint="eastAsia"/>
          <w:bCs/>
          <w:highlight w:val="none"/>
          <w:lang w:eastAsia="zh-CN"/>
        </w:rPr>
        <w:t>》（H</w:t>
      </w:r>
      <w:r>
        <w:rPr>
          <w:bCs/>
          <w:highlight w:val="none"/>
          <w:lang w:eastAsia="zh-CN"/>
        </w:rPr>
        <w:t>J11</w:t>
      </w:r>
      <w:r>
        <w:rPr>
          <w:rFonts w:hint="eastAsia" w:eastAsia="宋体"/>
          <w:bCs/>
          <w:highlight w:val="none"/>
          <w:lang w:eastAsia="zh-CN"/>
        </w:rPr>
        <w:t>2</w:t>
      </w:r>
      <w:r>
        <w:rPr>
          <w:rFonts w:hint="eastAsia" w:eastAsia="宋体"/>
          <w:bCs/>
          <w:highlight w:val="none"/>
          <w:lang w:val="en-US" w:eastAsia="zh-CN"/>
        </w:rPr>
        <w:t>2</w:t>
      </w:r>
      <w:r>
        <w:rPr>
          <w:rFonts w:hint="eastAsia"/>
          <w:bCs/>
          <w:highlight w:val="none"/>
          <w:lang w:eastAsia="zh-CN"/>
        </w:rPr>
        <w:t>-</w:t>
      </w:r>
      <w:r>
        <w:rPr>
          <w:bCs/>
          <w:highlight w:val="none"/>
          <w:lang w:eastAsia="zh-CN"/>
        </w:rPr>
        <w:t>2020</w:t>
      </w:r>
      <w:r>
        <w:rPr>
          <w:rFonts w:hint="eastAsia"/>
          <w:bCs/>
          <w:highlight w:val="none"/>
          <w:lang w:eastAsia="zh-CN"/>
        </w:rPr>
        <w:t>），表 A.2 塑料制品工业排污单位废气污染防治可行技术参考表，两级活性炭吸附属于</w:t>
      </w:r>
      <w:r>
        <w:rPr>
          <w:rFonts w:hint="eastAsia"/>
          <w:bCs/>
          <w:highlight w:val="none"/>
          <w:lang w:val="en-US" w:eastAsia="zh-CN"/>
        </w:rPr>
        <w:t>可行技术。两</w:t>
      </w:r>
      <w:r>
        <w:rPr>
          <w:rFonts w:hint="eastAsia"/>
          <w:bCs/>
          <w:lang w:val="en-US" w:eastAsia="zh-CN"/>
        </w:rPr>
        <w:t>级活性炭吸附装置VOCs处理效率约为80%，根据</w:t>
      </w:r>
      <w:r>
        <w:rPr>
          <w:rFonts w:hint="eastAsia"/>
          <w:lang w:eastAsia="zh-CN"/>
        </w:rPr>
        <w:t>主要环境影响和保护措施章节</w:t>
      </w:r>
      <w:r>
        <w:rPr>
          <w:rFonts w:hint="eastAsia"/>
          <w:bCs/>
          <w:lang w:val="en-US" w:eastAsia="zh-CN"/>
        </w:rPr>
        <w:t>计算数据，1#排气筒出口VOCs均能达标排放，可以认为本项目使用的有机废气处理技术属于可行技术。</w:t>
      </w:r>
    </w:p>
    <w:p>
      <w:pPr>
        <w:spacing w:line="360" w:lineRule="auto"/>
        <w:ind w:firstLine="420" w:firstLineChars="200"/>
        <w:jc w:val="both"/>
        <w:rPr>
          <w:bCs/>
          <w:lang w:eastAsia="zh-CN"/>
        </w:rPr>
      </w:pPr>
      <w:r>
        <w:rPr>
          <w:rFonts w:hint="eastAsia" w:eastAsia="宋体"/>
          <w:bCs/>
          <w:lang w:eastAsia="zh-CN"/>
        </w:rPr>
        <w:t>在考虑治理措施可行技术情况下，</w:t>
      </w:r>
      <w:r>
        <w:rPr>
          <w:rFonts w:hint="eastAsia"/>
          <w:bCs/>
          <w:lang w:eastAsia="zh-CN"/>
        </w:rPr>
        <w:t>根据</w:t>
      </w:r>
      <w:r>
        <w:rPr>
          <w:rFonts w:hint="eastAsia" w:eastAsia="宋体"/>
          <w:bCs/>
          <w:lang w:eastAsia="zh-CN"/>
        </w:rPr>
        <w:t>VOCs治理设施</w:t>
      </w:r>
      <w:r>
        <w:rPr>
          <w:rFonts w:hint="eastAsia"/>
          <w:bCs/>
          <w:lang w:eastAsia="zh-CN"/>
        </w:rPr>
        <w:t>经济性、稳定性和维护便携性分析，企业生产过程</w:t>
      </w:r>
      <w:r>
        <w:rPr>
          <w:rFonts w:hint="eastAsia" w:eastAsia="宋体"/>
          <w:bCs/>
          <w:lang w:eastAsia="zh-CN"/>
        </w:rPr>
        <w:t>产生的废气最终比选</w:t>
      </w:r>
      <w:r>
        <w:rPr>
          <w:rFonts w:hint="eastAsia"/>
          <w:bCs/>
          <w:lang w:eastAsia="zh-CN"/>
        </w:rPr>
        <w:t>采取的</w:t>
      </w:r>
      <w:r>
        <w:rPr>
          <w:rFonts w:hint="eastAsia" w:eastAsia="宋体"/>
          <w:bCs/>
          <w:lang w:eastAsia="zh-CN"/>
        </w:rPr>
        <w:t>VOCs治理</w:t>
      </w:r>
      <w:r>
        <w:rPr>
          <w:rFonts w:hint="eastAsia"/>
          <w:bCs/>
          <w:lang w:eastAsia="zh-CN"/>
        </w:rPr>
        <w:t>工艺为</w:t>
      </w:r>
      <w:r>
        <w:rPr>
          <w:rFonts w:hint="eastAsia" w:eastAsia="宋体"/>
          <w:bCs/>
          <w:lang w:eastAsia="zh-CN"/>
        </w:rPr>
        <w:t>两级活性炭吸附工艺</w:t>
      </w:r>
      <w:r>
        <w:rPr>
          <w:rFonts w:hint="eastAsia"/>
          <w:bCs/>
          <w:lang w:eastAsia="zh-CN"/>
        </w:rPr>
        <w:t>。</w:t>
      </w:r>
    </w:p>
    <w:p>
      <w:pPr>
        <w:spacing w:line="360" w:lineRule="auto"/>
        <w:ind w:firstLine="420" w:firstLineChars="200"/>
        <w:rPr>
          <w:lang w:eastAsia="zh-CN"/>
        </w:rPr>
      </w:pPr>
      <w:r>
        <w:rPr>
          <w:rFonts w:hint="eastAsia"/>
          <w:lang w:eastAsia="zh-CN"/>
        </w:rPr>
        <w:t>拟建项目</w:t>
      </w:r>
      <w:r>
        <w:rPr>
          <w:rFonts w:hint="eastAsia" w:eastAsia="宋体"/>
          <w:lang w:eastAsia="zh-CN"/>
        </w:rPr>
        <w:t>比</w:t>
      </w:r>
      <w:r>
        <w:rPr>
          <w:rFonts w:hint="eastAsia"/>
          <w:lang w:eastAsia="zh-CN"/>
        </w:rPr>
        <w:t>选后采用的</w:t>
      </w:r>
      <w:r>
        <w:rPr>
          <w:rFonts w:hint="eastAsia" w:eastAsia="宋体"/>
          <w:lang w:eastAsia="zh-CN"/>
        </w:rPr>
        <w:t>VOCs治理</w:t>
      </w:r>
      <w:r>
        <w:rPr>
          <w:rFonts w:hint="eastAsia"/>
          <w:lang w:eastAsia="zh-CN"/>
        </w:rPr>
        <w:t>措施是常用措施中效率</w:t>
      </w:r>
      <w:r>
        <w:rPr>
          <w:rFonts w:hint="eastAsia" w:eastAsia="宋体"/>
          <w:lang w:eastAsia="zh-CN"/>
        </w:rPr>
        <w:t>较</w:t>
      </w:r>
      <w:r>
        <w:rPr>
          <w:rFonts w:hint="eastAsia"/>
          <w:lang w:eastAsia="zh-CN"/>
        </w:rPr>
        <w:t>高、运行稳定的处理措施，可保证大气污染物达到</w:t>
      </w:r>
      <w:r>
        <w:rPr>
          <w:rFonts w:hint="eastAsia" w:eastAsia="宋体"/>
          <w:lang w:eastAsia="zh-CN"/>
        </w:rPr>
        <w:t>较</w:t>
      </w:r>
      <w:r>
        <w:rPr>
          <w:rFonts w:hint="eastAsia"/>
          <w:lang w:eastAsia="zh-CN"/>
        </w:rPr>
        <w:t>低排放强度和排放浓度，并使环境影响可以接受。</w:t>
      </w:r>
    </w:p>
    <w:p>
      <w:pPr>
        <w:spacing w:line="360" w:lineRule="auto"/>
        <w:ind w:firstLine="420" w:firstLineChars="200"/>
        <w:rPr>
          <w:lang w:eastAsia="zh-CN"/>
        </w:rPr>
      </w:pPr>
      <w:r>
        <w:rPr>
          <w:rFonts w:hint="eastAsia"/>
          <w:lang w:eastAsia="zh-CN"/>
        </w:rPr>
        <w:t>经A</w:t>
      </w:r>
      <w:r>
        <w:rPr>
          <w:lang w:eastAsia="zh-CN"/>
        </w:rPr>
        <w:t>ERSCREEN</w:t>
      </w:r>
      <w:r>
        <w:rPr>
          <w:rFonts w:hint="eastAsia"/>
          <w:lang w:eastAsia="zh-CN"/>
        </w:rPr>
        <w:t>估算模式估算，采取上述环保措施后，废气治理排放浓度可以稳定达标排放。其治理后达标排放情况如下：</w:t>
      </w:r>
    </w:p>
    <w:p>
      <w:pPr>
        <w:spacing w:line="360" w:lineRule="auto"/>
        <w:ind w:firstLine="420" w:firstLineChars="200"/>
        <w:rPr>
          <w:rFonts w:hint="eastAsia" w:ascii="Times New Roman" w:hAnsi="Times New Roman" w:eastAsia="宋体" w:cs="Times New Roman"/>
          <w:szCs w:val="21"/>
          <w:lang w:eastAsia="zh-CN"/>
        </w:rPr>
      </w:pPr>
      <w:r>
        <w:rPr>
          <w:rFonts w:hint="default" w:ascii="Times New Roman" w:hAnsi="Times New Roman" w:cs="Times New Roman"/>
          <w:szCs w:val="21"/>
        </w:rPr>
        <w:t>本项目</w:t>
      </w:r>
      <w:r>
        <w:rPr>
          <w:rFonts w:hint="eastAsia" w:ascii="Times New Roman" w:hAnsi="Times New Roman" w:cs="Times New Roman"/>
          <w:szCs w:val="21"/>
          <w:lang w:eastAsia="zh-CN"/>
        </w:rPr>
        <w:t>营运期</w:t>
      </w:r>
      <w:r>
        <w:rPr>
          <w:rFonts w:hint="default" w:ascii="Times New Roman" w:hAnsi="Times New Roman" w:cs="Times New Roman"/>
        </w:rPr>
        <w:t>有组织VOCs</w:t>
      </w:r>
      <w:r>
        <w:rPr>
          <w:rFonts w:hint="eastAsia" w:cs="Times New Roman"/>
          <w:lang w:eastAsia="zh-CN"/>
        </w:rPr>
        <w:t>、苯酚、甲醛排放满足</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）表</w:t>
      </w:r>
      <w:r>
        <w:rPr>
          <w:rFonts w:hint="eastAsia" w:cs="Times New Roman"/>
          <w:szCs w:val="21"/>
          <w:lang w:val="en-US" w:eastAsia="zh-CN"/>
        </w:rPr>
        <w:t>1、表2中</w:t>
      </w:r>
      <w:r>
        <w:rPr>
          <w:rFonts w:hint="default" w:ascii="Times New Roman" w:hAnsi="Times New Roman" w:cs="Times New Roman"/>
          <w:szCs w:val="21"/>
        </w:rPr>
        <w:t>排放限值</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VOCs：6</w:t>
      </w:r>
      <w:r>
        <w:rPr>
          <w:rFonts w:hint="eastAsia" w:ascii="Times New Roman" w:hAnsi="Times New Roman" w:eastAsia="宋体" w:cs="Times New Roman"/>
          <w:szCs w:val="21"/>
          <w:lang w:val="en-US" w:eastAsia="zh-CN"/>
        </w:rPr>
        <w:t>0mg/m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vertAlign w:val="baseline"/>
          <w:lang w:val="en-US" w:eastAsia="zh-CN"/>
        </w:rPr>
        <w:t>、</w:t>
      </w:r>
      <w:r>
        <w:rPr>
          <w:rFonts w:hint="eastAsia" w:ascii="Times New Roman" w:hAnsi="Times New Roman" w:eastAsia="宋体" w:cs="Times New Roman"/>
          <w:szCs w:val="21"/>
          <w:vertAlign w:val="baseline"/>
          <w:lang w:val="en-US" w:eastAsia="zh-CN"/>
        </w:rPr>
        <w:t>3kg/h</w:t>
      </w:r>
      <w:r>
        <w:rPr>
          <w:rFonts w:hint="eastAsia" w:ascii="Times New Roman" w:hAnsi="Times New Roman" w:cs="Times New Roman"/>
          <w:szCs w:val="21"/>
          <w:vertAlign w:val="baseline"/>
          <w:lang w:val="en-US" w:eastAsia="zh-CN"/>
        </w:rPr>
        <w:t>；</w:t>
      </w:r>
      <w:r>
        <w:rPr>
          <w:rFonts w:hint="eastAsia" w:cs="Times New Roman"/>
          <w:lang w:eastAsia="zh-CN"/>
        </w:rPr>
        <w:t>酚类化合物：</w:t>
      </w:r>
      <w:r>
        <w:rPr>
          <w:rFonts w:hint="eastAsia" w:ascii="Times New Roman" w:hAnsi="Times New Roman" w:cs="Times New Roman"/>
          <w:szCs w:val="21"/>
          <w:lang w:val="en-US" w:eastAsia="zh-CN"/>
        </w:rPr>
        <w:t>15</w:t>
      </w: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vertAlign w:val="baseline"/>
          <w:lang w:val="en-US" w:eastAsia="zh-CN"/>
        </w:rPr>
        <w:t>；</w:t>
      </w:r>
      <w:r>
        <w:rPr>
          <w:rFonts w:hint="eastAsia" w:cs="Times New Roman"/>
          <w:lang w:eastAsia="zh-CN"/>
        </w:rPr>
        <w:t>甲醛：</w:t>
      </w:r>
      <w:r>
        <w:rPr>
          <w:rFonts w:hint="eastAsia" w:ascii="Times New Roman" w:hAnsi="Times New Roman" w:cs="Times New Roman"/>
          <w:szCs w:val="21"/>
          <w:lang w:val="en-US" w:eastAsia="zh-CN"/>
        </w:rPr>
        <w:t>5</w:t>
      </w:r>
      <w:r>
        <w:rPr>
          <w:rFonts w:hint="eastAsia" w:ascii="Times New Roman" w:hAnsi="Times New Roman" w:eastAsia="宋体" w:cs="Times New Roman"/>
          <w:szCs w:val="21"/>
          <w:lang w:val="en-US" w:eastAsia="zh-CN"/>
        </w:rPr>
        <w:t>mg/m</w:t>
      </w:r>
      <w:r>
        <w:rPr>
          <w:rFonts w:hint="eastAsia" w:ascii="Times New Roman" w:hAnsi="Times New Roman" w:eastAsia="宋体" w:cs="Times New Roman"/>
          <w:szCs w:val="21"/>
          <w:vertAlign w:val="superscript"/>
          <w:lang w:val="en-US" w:eastAsia="zh-CN"/>
        </w:rPr>
        <w:t>3</w:t>
      </w:r>
      <w:r>
        <w:rPr>
          <w:rFonts w:hint="eastAsia" w:ascii="Times New Roman" w:hAnsi="Times New Roman" w:cs="Times New Roman"/>
          <w:szCs w:val="21"/>
          <w:lang w:eastAsia="zh-CN"/>
        </w:rPr>
        <w:t>）</w:t>
      </w:r>
      <w:r>
        <w:rPr>
          <w:rFonts w:hint="eastAsia" w:cs="Times New Roman"/>
          <w:szCs w:val="21"/>
          <w:lang w:eastAsia="zh-CN"/>
        </w:rPr>
        <w:t>；</w:t>
      </w:r>
      <w:r>
        <w:rPr>
          <w:rFonts w:hint="eastAsia" w:cs="Times New Roman"/>
          <w:lang w:eastAsia="zh-CN"/>
        </w:rPr>
        <w:t>酚类、甲醛有组织排放速率</w:t>
      </w:r>
      <w:r>
        <w:rPr>
          <w:rFonts w:hint="eastAsia" w:ascii="Times New Roman" w:hAnsi="Times New Roman" w:cs="Times New Roman"/>
          <w:lang w:eastAsia="zh-CN"/>
        </w:rPr>
        <w:t>满足</w:t>
      </w:r>
      <w:r>
        <w:rPr>
          <w:rFonts w:hint="default" w:ascii="Times New Roman" w:hAnsi="Times New Roman" w:cs="Times New Roman"/>
          <w:szCs w:val="21"/>
        </w:rPr>
        <w:t>《</w:t>
      </w:r>
      <w:r>
        <w:rPr>
          <w:rFonts w:hint="eastAsia" w:cs="Times New Roman"/>
          <w:szCs w:val="21"/>
          <w:lang w:eastAsia="zh-CN"/>
        </w:rPr>
        <w:t>大气污染物综合排放标准</w:t>
      </w:r>
      <w:r>
        <w:rPr>
          <w:rFonts w:hint="default" w:ascii="Times New Roman" w:hAnsi="Times New Roman" w:cs="Times New Roman"/>
          <w:szCs w:val="21"/>
        </w:rPr>
        <w:t>》（</w:t>
      </w:r>
      <w:r>
        <w:rPr>
          <w:rFonts w:hint="eastAsia" w:cs="Times New Roman"/>
          <w:szCs w:val="21"/>
          <w:lang w:val="en-US" w:eastAsia="zh-CN"/>
        </w:rPr>
        <w:t>GB16297-1996</w:t>
      </w:r>
      <w:r>
        <w:rPr>
          <w:rFonts w:hint="default" w:ascii="Times New Roman" w:hAnsi="Times New Roman" w:cs="Times New Roman"/>
          <w:szCs w:val="21"/>
        </w:rPr>
        <w:t>）表</w:t>
      </w:r>
      <w:r>
        <w:rPr>
          <w:rFonts w:hint="eastAsia" w:cs="Times New Roman"/>
          <w:szCs w:val="21"/>
          <w:lang w:val="en-US" w:eastAsia="zh-CN"/>
        </w:rPr>
        <w:t>2中酚类、甲醛15m有组织</w:t>
      </w:r>
      <w:r>
        <w:rPr>
          <w:rFonts w:hint="default" w:ascii="Times New Roman" w:hAnsi="Times New Roman" w:cs="Times New Roman"/>
          <w:szCs w:val="21"/>
        </w:rPr>
        <w:t>排放限值</w:t>
      </w:r>
      <w:r>
        <w:rPr>
          <w:rFonts w:hint="eastAsia" w:ascii="Times New Roman" w:hAnsi="Times New Roman" w:cs="Times New Roman"/>
          <w:szCs w:val="21"/>
          <w:lang w:eastAsia="zh-CN"/>
        </w:rPr>
        <w:t>（</w:t>
      </w:r>
      <w:r>
        <w:rPr>
          <w:rFonts w:hint="eastAsia" w:cs="Times New Roman"/>
          <w:lang w:eastAsia="zh-CN"/>
        </w:rPr>
        <w:t>酚类化合物：</w:t>
      </w:r>
      <w:r>
        <w:rPr>
          <w:rFonts w:hint="eastAsia" w:ascii="Times New Roman" w:hAnsi="Times New Roman" w:cs="Times New Roman"/>
          <w:szCs w:val="21"/>
          <w:lang w:val="en-US" w:eastAsia="zh-CN"/>
        </w:rPr>
        <w:t>0.1</w:t>
      </w:r>
      <w:r>
        <w:rPr>
          <w:rFonts w:hint="eastAsia" w:ascii="Times New Roman" w:hAnsi="Times New Roman" w:eastAsia="宋体" w:cs="Times New Roman"/>
          <w:szCs w:val="21"/>
          <w:vertAlign w:val="baseline"/>
          <w:lang w:val="en-US" w:eastAsia="zh-CN"/>
        </w:rPr>
        <w:t>kg/h</w:t>
      </w:r>
      <w:r>
        <w:rPr>
          <w:rFonts w:hint="eastAsia" w:ascii="Times New Roman" w:hAnsi="Times New Roman" w:cs="Times New Roman"/>
          <w:szCs w:val="21"/>
          <w:vertAlign w:val="baseline"/>
          <w:lang w:val="en-US" w:eastAsia="zh-CN"/>
        </w:rPr>
        <w:t>；</w:t>
      </w:r>
      <w:r>
        <w:rPr>
          <w:rFonts w:hint="eastAsia" w:cs="Times New Roman"/>
          <w:lang w:eastAsia="zh-CN"/>
        </w:rPr>
        <w:t>甲醛：</w:t>
      </w:r>
      <w:r>
        <w:rPr>
          <w:rFonts w:hint="eastAsia" w:ascii="Times New Roman" w:hAnsi="Times New Roman" w:cs="Times New Roman"/>
          <w:szCs w:val="21"/>
          <w:lang w:val="en-US" w:eastAsia="zh-CN"/>
        </w:rPr>
        <w:t>0.26</w:t>
      </w:r>
      <w:r>
        <w:rPr>
          <w:rFonts w:hint="eastAsia" w:ascii="Times New Roman" w:hAnsi="Times New Roman" w:eastAsia="宋体" w:cs="Times New Roman"/>
          <w:szCs w:val="21"/>
          <w:vertAlign w:val="baseline"/>
          <w:lang w:val="en-US" w:eastAsia="zh-CN"/>
        </w:rPr>
        <w:t>kg/h</w:t>
      </w:r>
      <w:r>
        <w:rPr>
          <w:rFonts w:hint="eastAsia" w:ascii="Times New Roman" w:hAnsi="Times New Roman" w:cs="Times New Roman"/>
          <w:szCs w:val="21"/>
          <w:lang w:eastAsia="zh-CN"/>
        </w:rPr>
        <w:t>）</w:t>
      </w:r>
    </w:p>
    <w:p>
      <w:pPr>
        <w:adjustRightInd w:val="0"/>
        <w:snapToGrid w:val="0"/>
        <w:spacing w:line="360" w:lineRule="auto"/>
        <w:ind w:firstLine="420" w:firstLineChars="200"/>
        <w:rPr>
          <w:lang w:eastAsia="zh-CN"/>
        </w:rPr>
      </w:pPr>
      <w:r>
        <w:rPr>
          <w:rFonts w:hint="eastAsia" w:eastAsia="宋体"/>
          <w:lang w:eastAsia="zh-CN"/>
        </w:rPr>
        <w:t>项目无组织废气主要为烘干床烘干工序</w:t>
      </w:r>
      <w:r>
        <w:rPr>
          <w:rFonts w:hint="eastAsia"/>
          <w:lang w:eastAsia="zh-CN"/>
        </w:rPr>
        <w:t>集气罩未收集的VOCs、苯酚、甲醛。</w:t>
      </w:r>
      <w:r>
        <w:rPr>
          <w:rFonts w:hint="default" w:ascii="Times New Roman" w:hAnsi="Times New Roman" w:cs="Times New Roman"/>
          <w:szCs w:val="21"/>
        </w:rPr>
        <w:t>本项目</w:t>
      </w:r>
      <w:r>
        <w:rPr>
          <w:rFonts w:hint="eastAsia" w:cs="Times New Roman"/>
          <w:szCs w:val="21"/>
          <w:lang w:eastAsia="zh-CN"/>
        </w:rPr>
        <w:t>营运期</w:t>
      </w:r>
      <w:r>
        <w:rPr>
          <w:rFonts w:hint="default" w:ascii="Times New Roman" w:hAnsi="Times New Roman" w:cs="Times New Roman"/>
        </w:rPr>
        <w:t>厂界无组织VOCs</w:t>
      </w:r>
      <w:r>
        <w:rPr>
          <w:rFonts w:hint="eastAsia" w:ascii="Times New Roman" w:hAnsi="Times New Roman" w:eastAsia="宋体" w:cs="Times New Roman"/>
          <w:lang w:eastAsia="zh-CN"/>
        </w:rPr>
        <w:t>满足</w:t>
      </w:r>
      <w:r>
        <w:rPr>
          <w:rFonts w:hint="default" w:ascii="Times New Roman" w:hAnsi="Times New Roman" w:cs="Times New Roman"/>
          <w:szCs w:val="21"/>
        </w:rPr>
        <w:t>《挥发性有机物排放标准 第</w:t>
      </w:r>
      <w:r>
        <w:rPr>
          <w:rFonts w:hint="eastAsia" w:cs="Times New Roman"/>
          <w:szCs w:val="21"/>
          <w:lang w:val="en-US" w:eastAsia="zh-CN"/>
        </w:rPr>
        <w:t>6</w:t>
      </w:r>
      <w:r>
        <w:rPr>
          <w:rFonts w:hint="default" w:ascii="Times New Roman" w:hAnsi="Times New Roman" w:cs="Times New Roman"/>
          <w:szCs w:val="21"/>
        </w:rPr>
        <w:t>部分：</w:t>
      </w:r>
      <w:r>
        <w:rPr>
          <w:rFonts w:hint="eastAsia" w:cs="Times New Roman"/>
          <w:szCs w:val="21"/>
          <w:lang w:eastAsia="zh-CN"/>
        </w:rPr>
        <w:t>有机化工</w:t>
      </w:r>
      <w:r>
        <w:rPr>
          <w:rFonts w:hint="default" w:ascii="Times New Roman" w:hAnsi="Times New Roman" w:cs="Times New Roman"/>
          <w:szCs w:val="21"/>
        </w:rPr>
        <w:t>行业》（DB37/2801.</w:t>
      </w:r>
      <w:r>
        <w:rPr>
          <w:rFonts w:hint="eastAsia" w:cs="Times New Roman"/>
          <w:szCs w:val="21"/>
          <w:lang w:val="en-US" w:eastAsia="zh-CN"/>
        </w:rPr>
        <w:t>6</w:t>
      </w:r>
      <w:r>
        <w:rPr>
          <w:rFonts w:hint="default" w:ascii="Times New Roman" w:hAnsi="Times New Roman" w:cs="Times New Roman"/>
          <w:szCs w:val="21"/>
        </w:rPr>
        <w:t>-201</w:t>
      </w:r>
      <w:r>
        <w:rPr>
          <w:rFonts w:hint="eastAsia" w:cs="Times New Roman"/>
          <w:szCs w:val="21"/>
          <w:lang w:val="en-US" w:eastAsia="zh-CN"/>
        </w:rPr>
        <w:t>8</w:t>
      </w:r>
      <w:r>
        <w:rPr>
          <w:rFonts w:hint="default" w:ascii="Times New Roman" w:hAnsi="Times New Roman" w:cs="Times New Roman"/>
          <w:szCs w:val="21"/>
        </w:rPr>
        <w:t>）表</w:t>
      </w:r>
      <w:r>
        <w:rPr>
          <w:rFonts w:hint="eastAsia" w:cs="Times New Roman"/>
          <w:szCs w:val="21"/>
          <w:lang w:val="en-US" w:eastAsia="zh-CN"/>
        </w:rPr>
        <w:t>2</w:t>
      </w:r>
      <w:r>
        <w:rPr>
          <w:rFonts w:hint="default" w:ascii="Times New Roman" w:hAnsi="Times New Roman" w:cs="Times New Roman"/>
          <w:szCs w:val="21"/>
        </w:rPr>
        <w:t>厂界监控点浓度限值</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VOCs：2mg/m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eastAsia="zh-CN"/>
        </w:rPr>
        <w:t>）</w:t>
      </w:r>
      <w:r>
        <w:rPr>
          <w:rFonts w:hint="default" w:ascii="Times New Roman" w:hAnsi="Times New Roman" w:cs="Times New Roman"/>
          <w:szCs w:val="21"/>
        </w:rPr>
        <w:t>；</w:t>
      </w:r>
      <w:r>
        <w:rPr>
          <w:rFonts w:hint="default" w:ascii="Times New Roman" w:hAnsi="Times New Roman" w:cs="Times New Roman"/>
        </w:rPr>
        <w:t>无组织</w:t>
      </w:r>
      <w:r>
        <w:rPr>
          <w:rFonts w:hint="eastAsia" w:cs="Times New Roman"/>
          <w:lang w:eastAsia="zh-CN"/>
        </w:rPr>
        <w:t>甲醛</w:t>
      </w:r>
      <w:r>
        <w:rPr>
          <w:rFonts w:hint="eastAsia" w:ascii="Times New Roman" w:hAnsi="Times New Roman" w:eastAsia="宋体" w:cs="Times New Roman"/>
          <w:lang w:eastAsia="zh-CN"/>
        </w:rPr>
        <w:t>满足</w:t>
      </w:r>
      <w:r>
        <w:rPr>
          <w:rFonts w:hint="default" w:ascii="Times New Roman" w:hAnsi="Times New Roman" w:cs="Times New Roman"/>
          <w:szCs w:val="21"/>
        </w:rPr>
        <w:t>《挥发性有机物排放标准 第</w:t>
      </w:r>
      <w:r>
        <w:rPr>
          <w:rFonts w:hint="eastAsia" w:cs="Times New Roman"/>
          <w:szCs w:val="21"/>
          <w:lang w:val="en-US" w:eastAsia="zh-CN"/>
        </w:rPr>
        <w:t>7</w:t>
      </w:r>
      <w:r>
        <w:rPr>
          <w:rFonts w:hint="default" w:ascii="Times New Roman" w:hAnsi="Times New Roman" w:cs="Times New Roman"/>
          <w:szCs w:val="21"/>
        </w:rPr>
        <w:t>部分：</w:t>
      </w:r>
      <w:r>
        <w:rPr>
          <w:rFonts w:hint="eastAsia" w:cs="Times New Roman"/>
          <w:szCs w:val="21"/>
          <w:lang w:eastAsia="zh-CN"/>
        </w:rPr>
        <w:t>其他</w:t>
      </w:r>
      <w:r>
        <w:rPr>
          <w:rFonts w:hint="default" w:ascii="Times New Roman" w:hAnsi="Times New Roman" w:cs="Times New Roman"/>
          <w:szCs w:val="21"/>
        </w:rPr>
        <w:t>行业》（DB37/2801.</w:t>
      </w:r>
      <w:r>
        <w:rPr>
          <w:rFonts w:hint="eastAsia" w:cs="Times New Roman"/>
          <w:szCs w:val="21"/>
          <w:lang w:val="en-US" w:eastAsia="zh-CN"/>
        </w:rPr>
        <w:t>7</w:t>
      </w:r>
      <w:r>
        <w:rPr>
          <w:rFonts w:hint="default" w:ascii="Times New Roman" w:hAnsi="Times New Roman" w:cs="Times New Roman"/>
          <w:szCs w:val="21"/>
        </w:rPr>
        <w:t>-201</w:t>
      </w:r>
      <w:r>
        <w:rPr>
          <w:rFonts w:hint="eastAsia" w:cs="Times New Roman"/>
          <w:szCs w:val="21"/>
          <w:lang w:val="en-US" w:eastAsia="zh-CN"/>
        </w:rPr>
        <w:t>9</w:t>
      </w:r>
      <w:r>
        <w:rPr>
          <w:rFonts w:hint="default" w:ascii="Times New Roman" w:hAnsi="Times New Roman" w:cs="Times New Roman"/>
          <w:szCs w:val="21"/>
        </w:rPr>
        <w:t>）</w:t>
      </w:r>
      <w:r>
        <w:rPr>
          <w:rFonts w:hint="eastAsia" w:cs="Times New Roman"/>
          <w:szCs w:val="21"/>
          <w:lang w:val="en-US" w:eastAsia="zh-CN"/>
        </w:rPr>
        <w:t>表3</w:t>
      </w:r>
      <w:r>
        <w:rPr>
          <w:rFonts w:hint="default" w:ascii="Times New Roman" w:hAnsi="Times New Roman" w:cs="Times New Roman"/>
          <w:szCs w:val="21"/>
        </w:rPr>
        <w:t>厂界监控点浓度限值</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vertAlign w:val="baseline"/>
          <w:lang w:val="en-US" w:eastAsia="zh-CN"/>
        </w:rPr>
        <w:t>甲醛：</w:t>
      </w:r>
      <w:r>
        <w:rPr>
          <w:rFonts w:hint="eastAsia" w:ascii="Times New Roman" w:hAnsi="Times New Roman" w:eastAsia="宋体" w:cs="Times New Roman"/>
          <w:szCs w:val="21"/>
          <w:lang w:val="en-US" w:eastAsia="zh-CN"/>
        </w:rPr>
        <w:t>0.05mg/m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eastAsia="zh-CN"/>
        </w:rPr>
        <w:t>）</w:t>
      </w:r>
      <w:r>
        <w:rPr>
          <w:rFonts w:hint="eastAsia" w:ascii="Times New Roman" w:hAnsi="Times New Roman" w:cs="Times New Roman"/>
          <w:szCs w:val="21"/>
          <w:lang w:eastAsia="zh-CN"/>
        </w:rPr>
        <w:t>；</w:t>
      </w:r>
      <w:r>
        <w:rPr>
          <w:rFonts w:hint="eastAsia" w:cs="Times New Roman"/>
          <w:szCs w:val="21"/>
          <w:lang w:eastAsia="zh-CN"/>
        </w:rPr>
        <w:t>无组织苯酚执行《大气污染物综合排放标准》（</w:t>
      </w:r>
      <w:r>
        <w:rPr>
          <w:rFonts w:hint="eastAsia" w:cs="Times New Roman"/>
          <w:szCs w:val="21"/>
          <w:lang w:val="en-US" w:eastAsia="zh-CN"/>
        </w:rPr>
        <w:t>GB16297-1996</w:t>
      </w:r>
      <w:r>
        <w:rPr>
          <w:rFonts w:hint="eastAsia" w:cs="Times New Roman"/>
          <w:szCs w:val="21"/>
          <w:lang w:eastAsia="zh-CN"/>
        </w:rPr>
        <w:t>）表</w:t>
      </w:r>
      <w:r>
        <w:rPr>
          <w:rFonts w:hint="eastAsia" w:cs="Times New Roman"/>
          <w:szCs w:val="21"/>
          <w:lang w:val="en-US" w:eastAsia="zh-CN"/>
        </w:rPr>
        <w:t>2厂界监控点浓度限值（</w:t>
      </w:r>
      <w:r>
        <w:rPr>
          <w:rFonts w:hint="eastAsia" w:ascii="Times New Roman" w:hAnsi="Times New Roman" w:eastAsia="宋体" w:cs="Times New Roman"/>
          <w:szCs w:val="21"/>
          <w:vertAlign w:val="baseline"/>
          <w:lang w:val="en-US" w:eastAsia="zh-CN"/>
        </w:rPr>
        <w:t>酚类</w:t>
      </w:r>
      <w:r>
        <w:rPr>
          <w:rFonts w:hint="eastAsia" w:eastAsia="宋体" w:cs="Times New Roman"/>
          <w:szCs w:val="21"/>
          <w:vertAlign w:val="baseline"/>
          <w:lang w:val="en-US" w:eastAsia="zh-CN"/>
        </w:rPr>
        <w:t>化合物</w:t>
      </w:r>
      <w:r>
        <w:rPr>
          <w:rFonts w:hint="eastAsia" w:ascii="Times New Roman" w:hAnsi="Times New Roman" w:eastAsia="宋体" w:cs="Times New Roman"/>
          <w:szCs w:val="21"/>
          <w:vertAlign w:val="baseline"/>
          <w:lang w:val="en-US" w:eastAsia="zh-CN"/>
        </w:rPr>
        <w:t>：</w:t>
      </w:r>
      <w:r>
        <w:rPr>
          <w:rFonts w:hint="eastAsia" w:ascii="Times New Roman" w:hAnsi="Times New Roman" w:eastAsia="宋体" w:cs="Times New Roman"/>
          <w:szCs w:val="21"/>
          <w:lang w:val="en-US" w:eastAsia="zh-CN"/>
        </w:rPr>
        <w:t>0.08mg/m</w:t>
      </w:r>
      <w:r>
        <w:rPr>
          <w:rFonts w:hint="eastAsia" w:ascii="Times New Roman" w:hAnsi="Times New Roman" w:eastAsia="宋体" w:cs="Times New Roman"/>
          <w:szCs w:val="21"/>
          <w:vertAlign w:val="superscript"/>
          <w:lang w:val="en-US" w:eastAsia="zh-CN"/>
        </w:rPr>
        <w:t>3</w:t>
      </w:r>
      <w:r>
        <w:rPr>
          <w:rFonts w:hint="eastAsia" w:ascii="Times New Roman" w:hAnsi="Times New Roman" w:eastAsia="宋体" w:cs="Times New Roman"/>
          <w:szCs w:val="21"/>
          <w:lang w:eastAsia="zh-CN"/>
        </w:rPr>
        <w:t>）</w:t>
      </w:r>
      <w:r>
        <w:rPr>
          <w:rFonts w:hint="eastAsia" w:cs="Times New Roman"/>
          <w:szCs w:val="21"/>
          <w:lang w:val="en-US" w:eastAsia="zh-CN"/>
        </w:rPr>
        <w:t>）</w:t>
      </w:r>
      <w:r>
        <w:rPr>
          <w:lang w:eastAsia="zh-CN"/>
        </w:rPr>
        <w:t>；厂区内无组织</w:t>
      </w:r>
      <w:r>
        <w:rPr>
          <w:rFonts w:hint="eastAsia"/>
          <w:lang w:val="en-US" w:eastAsia="zh-CN"/>
        </w:rPr>
        <w:t>VOCs</w:t>
      </w:r>
      <w:r>
        <w:rPr>
          <w:lang w:eastAsia="zh-CN"/>
        </w:rPr>
        <w:t>排放执行《挥发性有机物无组织排放控制标准》（GB37822-2019）中的控制标准及附录A中厂区内VOC</w:t>
      </w:r>
      <w:r>
        <w:rPr>
          <w:vertAlign w:val="subscript"/>
          <w:lang w:eastAsia="zh-CN"/>
        </w:rPr>
        <w:t>S</w:t>
      </w:r>
      <w:r>
        <w:rPr>
          <w:rFonts w:hint="eastAsia"/>
          <w:szCs w:val="16"/>
          <w:lang w:eastAsia="zh-CN"/>
        </w:rPr>
        <w:t>（</w:t>
      </w:r>
      <w:r>
        <w:rPr>
          <w:szCs w:val="16"/>
          <w:lang w:eastAsia="zh-CN"/>
        </w:rPr>
        <w:t>以NMHC表征</w:t>
      </w:r>
      <w:r>
        <w:rPr>
          <w:rFonts w:hint="eastAsia"/>
          <w:szCs w:val="16"/>
          <w:lang w:eastAsia="zh-CN"/>
        </w:rPr>
        <w:t>）</w:t>
      </w:r>
      <w:r>
        <w:rPr>
          <w:lang w:eastAsia="zh-CN"/>
        </w:rPr>
        <w:t>浓度（厂内监控处1h平均浓度值：6mg/m</w:t>
      </w:r>
      <w:r>
        <w:rPr>
          <w:vertAlign w:val="superscript"/>
          <w:lang w:eastAsia="zh-CN"/>
        </w:rPr>
        <w:t>3</w:t>
      </w:r>
      <w:r>
        <w:rPr>
          <w:lang w:eastAsia="zh-CN"/>
        </w:rPr>
        <w:t>，厂内监控处任意一次浓度值：20mg/m</w:t>
      </w:r>
      <w:r>
        <w:rPr>
          <w:vertAlign w:val="superscript"/>
          <w:lang w:eastAsia="zh-CN"/>
        </w:rPr>
        <w:t>3</w:t>
      </w:r>
      <w:r>
        <w:rPr>
          <w:lang w:eastAsia="zh-CN"/>
        </w:rPr>
        <w:t>）。</w:t>
      </w:r>
    </w:p>
    <w:p>
      <w:pPr>
        <w:adjustRightInd w:val="0"/>
        <w:snapToGrid w:val="0"/>
        <w:spacing w:line="360" w:lineRule="auto"/>
        <w:ind w:firstLine="422" w:firstLineChars="200"/>
        <w:rPr>
          <w:rFonts w:eastAsiaTheme="minorEastAsia"/>
          <w:b/>
          <w:bCs/>
          <w:lang w:eastAsia="zh-CN"/>
        </w:rPr>
      </w:pPr>
      <w:r>
        <w:rPr>
          <w:rFonts w:hint="eastAsia" w:eastAsiaTheme="minorEastAsia"/>
          <w:b/>
          <w:bCs/>
          <w:lang w:val="en-US" w:eastAsia="zh-CN"/>
        </w:rPr>
        <w:t>6.6.</w:t>
      </w:r>
      <w:r>
        <w:rPr>
          <w:rFonts w:eastAsiaTheme="minorEastAsia"/>
          <w:b/>
          <w:bCs/>
          <w:lang w:eastAsia="zh-CN"/>
        </w:rPr>
        <w:t xml:space="preserve">3大气环境防护距离 </w:t>
      </w:r>
    </w:p>
    <w:p>
      <w:pPr>
        <w:adjustRightInd w:val="0"/>
        <w:snapToGrid w:val="0"/>
        <w:spacing w:line="360" w:lineRule="auto"/>
        <w:ind w:firstLine="420" w:firstLineChars="200"/>
        <w:jc w:val="both"/>
        <w:rPr>
          <w:rFonts w:eastAsiaTheme="minorEastAsia"/>
          <w:bCs/>
          <w:lang w:eastAsia="zh-CN"/>
        </w:rPr>
      </w:pPr>
      <w:r>
        <w:rPr>
          <w:rFonts w:hint="eastAsia" w:eastAsiaTheme="minorEastAsia"/>
          <w:bCs/>
          <w:lang w:eastAsia="zh-CN"/>
        </w:rPr>
        <w:t>根据《环境影响评价技术导则大气环境》（</w:t>
      </w:r>
      <w:r>
        <w:rPr>
          <w:rFonts w:eastAsiaTheme="minorEastAsia"/>
          <w:bCs/>
          <w:lang w:eastAsia="zh-CN"/>
        </w:rPr>
        <w:t>HJ2.2-2018</w:t>
      </w:r>
      <w:r>
        <w:rPr>
          <w:rFonts w:hint="eastAsia" w:eastAsiaTheme="minorEastAsia"/>
          <w:bCs/>
          <w:lang w:eastAsia="zh-CN"/>
        </w:rPr>
        <w:t>）</w:t>
      </w:r>
      <w:r>
        <w:rPr>
          <w:rFonts w:eastAsiaTheme="minorEastAsia"/>
          <w:bCs/>
          <w:lang w:eastAsia="zh-CN"/>
        </w:rPr>
        <w:t xml:space="preserve">AERSCREEN </w:t>
      </w:r>
      <w:r>
        <w:rPr>
          <w:rFonts w:hint="eastAsia" w:eastAsiaTheme="minorEastAsia"/>
          <w:bCs/>
          <w:lang w:eastAsia="zh-CN"/>
        </w:rPr>
        <w:t>模型估算结果，项目</w:t>
      </w:r>
      <w:r>
        <w:rPr>
          <w:rFonts w:hint="eastAsia" w:eastAsiaTheme="minorEastAsia"/>
          <w:bCs/>
          <w:highlight w:val="none"/>
          <w:lang w:eastAsia="zh-CN"/>
        </w:rPr>
        <w:t>项目无组织排放的VOCs最大占标</w:t>
      </w:r>
      <w:r>
        <w:rPr>
          <w:rFonts w:hint="eastAsia" w:eastAsiaTheme="minorEastAsia"/>
          <w:bCs/>
          <w:sz w:val="24"/>
          <w:szCs w:val="24"/>
          <w:highlight w:val="none"/>
          <w:lang w:eastAsia="zh-CN"/>
        </w:rPr>
        <w:t>率为</w:t>
      </w:r>
      <w:r>
        <w:rPr>
          <w:rFonts w:hint="eastAsia" w:eastAsiaTheme="minorEastAsia"/>
          <w:bCs/>
          <w:sz w:val="24"/>
          <w:szCs w:val="24"/>
          <w:highlight w:val="none"/>
          <w:lang w:val="en-US" w:eastAsia="zh-CN"/>
        </w:rPr>
        <w:t>0.4</w:t>
      </w:r>
      <w:r>
        <w:rPr>
          <w:rFonts w:hint="eastAsia" w:eastAsiaTheme="minorEastAsia"/>
          <w:bCs/>
          <w:sz w:val="24"/>
          <w:szCs w:val="24"/>
          <w:highlight w:val="none"/>
          <w:lang w:eastAsia="zh-CN"/>
        </w:rPr>
        <w:t>%，最大落地浓度为</w:t>
      </w:r>
      <w:r>
        <w:rPr>
          <w:rFonts w:hint="eastAsia"/>
          <w:sz w:val="24"/>
          <w:szCs w:val="24"/>
          <w:highlight w:val="none"/>
        </w:rPr>
        <w:t>0.0</w:t>
      </w:r>
      <w:r>
        <w:rPr>
          <w:rFonts w:hint="eastAsia" w:eastAsia="宋体"/>
          <w:sz w:val="24"/>
          <w:szCs w:val="24"/>
          <w:highlight w:val="none"/>
          <w:lang w:val="en-US" w:eastAsia="zh-CN"/>
        </w:rPr>
        <w:t>0796mg/m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；无组织甲醛最大占标率为</w:t>
      </w:r>
      <w:r>
        <w:rPr>
          <w:rFonts w:hint="eastAsia" w:eastAsiaTheme="minorEastAsia"/>
          <w:bCs/>
          <w:sz w:val="24"/>
          <w:szCs w:val="24"/>
          <w:highlight w:val="none"/>
          <w:lang w:val="en-US" w:eastAsia="zh-CN"/>
        </w:rPr>
        <w:t>0.27</w:t>
      </w:r>
      <w:r>
        <w:rPr>
          <w:rFonts w:hint="eastAsia" w:eastAsiaTheme="minorEastAsia"/>
          <w:bCs/>
          <w:sz w:val="24"/>
          <w:szCs w:val="24"/>
          <w:highlight w:val="none"/>
          <w:lang w:eastAsia="zh-CN"/>
        </w:rPr>
        <w:t>%，最大落地浓度为</w:t>
      </w:r>
      <w:r>
        <w:rPr>
          <w:rFonts w:hint="eastAsia"/>
          <w:sz w:val="24"/>
          <w:szCs w:val="24"/>
          <w:highlight w:val="none"/>
        </w:rPr>
        <w:t>0.000</w:t>
      </w:r>
      <w:r>
        <w:rPr>
          <w:rFonts w:hint="eastAsia" w:eastAsia="宋体"/>
          <w:sz w:val="24"/>
          <w:szCs w:val="24"/>
          <w:highlight w:val="none"/>
          <w:lang w:val="en-US" w:eastAsia="zh-CN"/>
        </w:rPr>
        <w:t>137mg/m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；无组织苯酚最大占标率为</w:t>
      </w:r>
      <w:r>
        <w:rPr>
          <w:rFonts w:hint="eastAsia" w:eastAsiaTheme="minorEastAsia"/>
          <w:bCs/>
          <w:sz w:val="24"/>
          <w:szCs w:val="24"/>
          <w:highlight w:val="none"/>
          <w:lang w:val="en-US" w:eastAsia="zh-CN"/>
        </w:rPr>
        <w:t>3.83</w:t>
      </w:r>
      <w:r>
        <w:rPr>
          <w:rFonts w:hint="eastAsia" w:eastAsiaTheme="minorEastAsia"/>
          <w:bCs/>
          <w:sz w:val="24"/>
          <w:szCs w:val="24"/>
          <w:highlight w:val="none"/>
          <w:lang w:eastAsia="zh-CN"/>
        </w:rPr>
        <w:t>%，最大落地浓度为</w:t>
      </w:r>
      <w:r>
        <w:rPr>
          <w:rFonts w:hint="eastAsia"/>
          <w:sz w:val="24"/>
          <w:szCs w:val="24"/>
          <w:highlight w:val="none"/>
        </w:rPr>
        <w:t>0.00</w:t>
      </w:r>
      <w:r>
        <w:rPr>
          <w:rFonts w:hint="eastAsia" w:eastAsia="宋体"/>
          <w:sz w:val="24"/>
          <w:szCs w:val="24"/>
          <w:highlight w:val="none"/>
          <w:lang w:val="en-US" w:eastAsia="zh-CN"/>
        </w:rPr>
        <w:t>765mg/m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；有组织</w:t>
      </w:r>
      <w:r>
        <w:rPr>
          <w:rFonts w:hint="eastAsia" w:eastAsiaTheme="minorEastAsia"/>
          <w:bCs/>
          <w:sz w:val="24"/>
          <w:szCs w:val="24"/>
          <w:highlight w:val="none"/>
          <w:lang w:eastAsia="zh-CN"/>
        </w:rPr>
        <w:t>VOCs最大占标率为</w:t>
      </w:r>
      <w:r>
        <w:rPr>
          <w:rFonts w:hint="eastAsia" w:eastAsiaTheme="minorEastAsia"/>
          <w:bCs/>
          <w:sz w:val="24"/>
          <w:szCs w:val="24"/>
          <w:highlight w:val="none"/>
          <w:lang w:val="en-US" w:eastAsia="zh-CN"/>
        </w:rPr>
        <w:t>0.1</w:t>
      </w:r>
      <w:r>
        <w:rPr>
          <w:rFonts w:hint="eastAsia" w:eastAsiaTheme="minorEastAsia"/>
          <w:bCs/>
          <w:sz w:val="24"/>
          <w:szCs w:val="24"/>
          <w:highlight w:val="none"/>
          <w:lang w:eastAsia="zh-CN"/>
        </w:rPr>
        <w:t>%，最大落地浓度为</w:t>
      </w:r>
      <w:r>
        <w:rPr>
          <w:rFonts w:hint="eastAsia"/>
          <w:sz w:val="24"/>
          <w:szCs w:val="24"/>
          <w:highlight w:val="none"/>
        </w:rPr>
        <w:t>0.00</w:t>
      </w:r>
      <w:r>
        <w:rPr>
          <w:rFonts w:hint="eastAsia" w:eastAsia="宋体"/>
          <w:sz w:val="24"/>
          <w:szCs w:val="24"/>
          <w:highlight w:val="none"/>
          <w:lang w:val="en-US" w:eastAsia="zh-CN"/>
        </w:rPr>
        <w:t>204mg/m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；有组织甲醛最大占标率为</w:t>
      </w:r>
      <w:r>
        <w:rPr>
          <w:rFonts w:hint="eastAsia" w:eastAsiaTheme="minorEastAsia"/>
          <w:bCs/>
          <w:sz w:val="24"/>
          <w:szCs w:val="24"/>
          <w:highlight w:val="none"/>
          <w:lang w:val="en-US" w:eastAsia="zh-CN"/>
        </w:rPr>
        <w:t>0.1</w:t>
      </w:r>
      <w:r>
        <w:rPr>
          <w:rFonts w:hint="eastAsia" w:eastAsiaTheme="minorEastAsia"/>
          <w:bCs/>
          <w:sz w:val="24"/>
          <w:szCs w:val="24"/>
          <w:highlight w:val="none"/>
          <w:lang w:eastAsia="zh-CN"/>
        </w:rPr>
        <w:t>%，最大落地浓度为</w:t>
      </w:r>
      <w:r>
        <w:rPr>
          <w:rFonts w:hint="eastAsia"/>
          <w:sz w:val="24"/>
          <w:szCs w:val="24"/>
          <w:highlight w:val="none"/>
        </w:rPr>
        <w:t>0.0000</w:t>
      </w:r>
      <w:r>
        <w:rPr>
          <w:rFonts w:hint="eastAsia" w:eastAsia="宋体"/>
          <w:sz w:val="24"/>
          <w:szCs w:val="24"/>
          <w:highlight w:val="none"/>
          <w:lang w:val="en-US" w:eastAsia="zh-CN"/>
        </w:rPr>
        <w:t>481mg/m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，有组织苯酚最大占标率为</w:t>
      </w:r>
      <w:r>
        <w:rPr>
          <w:rFonts w:hint="eastAsia" w:eastAsiaTheme="minorEastAsia"/>
          <w:bCs/>
          <w:sz w:val="24"/>
          <w:szCs w:val="24"/>
          <w:highlight w:val="none"/>
          <w:lang w:val="en-US" w:eastAsia="zh-CN"/>
        </w:rPr>
        <w:t>0.97</w:t>
      </w:r>
      <w:r>
        <w:rPr>
          <w:rFonts w:hint="eastAsia" w:eastAsiaTheme="minorEastAsia"/>
          <w:bCs/>
          <w:sz w:val="24"/>
          <w:szCs w:val="24"/>
          <w:highlight w:val="none"/>
          <w:lang w:eastAsia="zh-CN"/>
        </w:rPr>
        <w:t>%，最大落地浓度为</w:t>
      </w:r>
      <w:r>
        <w:rPr>
          <w:rFonts w:hint="eastAsia"/>
          <w:sz w:val="24"/>
          <w:szCs w:val="24"/>
          <w:highlight w:val="none"/>
        </w:rPr>
        <w:t>0.00</w:t>
      </w:r>
      <w:r>
        <w:rPr>
          <w:rFonts w:hint="eastAsia" w:eastAsia="宋体"/>
          <w:sz w:val="24"/>
          <w:szCs w:val="24"/>
          <w:highlight w:val="none"/>
          <w:lang w:val="en-US" w:eastAsia="zh-CN"/>
        </w:rPr>
        <w:t>194mg/m</w:t>
      </w:r>
      <w:r>
        <w:rPr>
          <w:rFonts w:hint="eastAsia" w:eastAsia="宋体"/>
          <w:sz w:val="24"/>
          <w:szCs w:val="24"/>
          <w:highlight w:val="none"/>
          <w:vertAlign w:val="superscript"/>
          <w:lang w:val="en-US" w:eastAsia="zh-CN"/>
        </w:rPr>
        <w:t>3</w:t>
      </w:r>
      <w:r>
        <w:rPr>
          <w:rFonts w:hint="eastAsia" w:eastAsia="宋体"/>
          <w:sz w:val="24"/>
          <w:szCs w:val="24"/>
          <w:highlight w:val="none"/>
          <w:vertAlign w:val="baseline"/>
          <w:lang w:val="en-US" w:eastAsia="zh-CN"/>
        </w:rPr>
        <w:t>，</w:t>
      </w:r>
      <w:r>
        <w:rPr>
          <w:rFonts w:hint="eastAsia" w:eastAsiaTheme="minorEastAsia"/>
          <w:bCs/>
          <w:highlight w:val="none"/>
          <w:lang w:eastAsia="zh-CN"/>
        </w:rPr>
        <w:t>且最大落地浓度均小于环境质量标准值，因此项目不设置大气环境防护距离</w:t>
      </w:r>
      <w:r>
        <w:rPr>
          <w:rFonts w:hint="eastAsia" w:eastAsiaTheme="minorEastAsia"/>
          <w:bCs/>
          <w:lang w:eastAsia="zh-CN"/>
        </w:rPr>
        <w:t>。</w:t>
      </w:r>
    </w:p>
    <w:p>
      <w:pPr>
        <w:adjustRightInd w:val="0"/>
        <w:snapToGrid w:val="0"/>
        <w:spacing w:line="360" w:lineRule="auto"/>
        <w:ind w:firstLine="422" w:firstLineChars="200"/>
        <w:rPr>
          <w:rFonts w:eastAsiaTheme="minorEastAsia"/>
          <w:b/>
          <w:bCs/>
          <w:lang w:eastAsia="zh-CN"/>
        </w:rPr>
      </w:pPr>
      <w:r>
        <w:rPr>
          <w:rFonts w:hint="eastAsia" w:eastAsiaTheme="minorEastAsia"/>
          <w:b/>
          <w:bCs/>
          <w:lang w:val="en-US" w:eastAsia="zh-CN"/>
        </w:rPr>
        <w:t>6.5.4</w:t>
      </w:r>
      <w:r>
        <w:rPr>
          <w:rFonts w:eastAsiaTheme="minorEastAsia"/>
          <w:b/>
          <w:bCs/>
          <w:lang w:eastAsia="zh-CN"/>
        </w:rPr>
        <w:t>污染物排放量核算结果</w:t>
      </w:r>
    </w:p>
    <w:p>
      <w:pPr>
        <w:adjustRightInd w:val="0"/>
        <w:snapToGrid w:val="0"/>
        <w:spacing w:line="360" w:lineRule="auto"/>
        <w:ind w:firstLine="420" w:firstLineChars="200"/>
        <w:jc w:val="both"/>
        <w:rPr>
          <w:rFonts w:eastAsiaTheme="minorEastAsia"/>
          <w:lang w:eastAsia="zh-CN"/>
        </w:rPr>
      </w:pPr>
      <w:r>
        <w:rPr>
          <w:rFonts w:eastAsiaTheme="minorEastAsia"/>
          <w:lang w:eastAsia="zh-CN"/>
        </w:rPr>
        <w:t>本项目</w:t>
      </w:r>
      <w:r>
        <w:rPr>
          <w:rFonts w:hint="eastAsia" w:eastAsiaTheme="minorEastAsia"/>
          <w:lang w:eastAsia="zh-CN"/>
        </w:rPr>
        <w:t>不需申请</w:t>
      </w:r>
      <w:r>
        <w:rPr>
          <w:rFonts w:eastAsiaTheme="minorEastAsia"/>
          <w:lang w:eastAsia="zh-CN"/>
        </w:rPr>
        <w:t>总量指标</w:t>
      </w:r>
      <w:r>
        <w:rPr>
          <w:rFonts w:hint="eastAsia" w:eastAsiaTheme="minorEastAsia"/>
          <w:lang w:eastAsia="zh-CN"/>
        </w:rPr>
        <w:t>。</w:t>
      </w:r>
    </w:p>
    <w:p>
      <w:pPr>
        <w:adjustRightInd w:val="0"/>
        <w:snapToGrid w:val="0"/>
        <w:spacing w:line="360" w:lineRule="auto"/>
        <w:jc w:val="center"/>
        <w:rPr>
          <w:rFonts w:eastAsiaTheme="minorEastAsia"/>
          <w:b/>
          <w:bCs/>
          <w:lang w:eastAsia="zh-CN"/>
        </w:rPr>
      </w:pPr>
      <w:r>
        <w:rPr>
          <w:rFonts w:eastAsiaTheme="minorEastAsia"/>
          <w:b/>
          <w:bCs/>
          <w:lang w:eastAsia="zh-CN"/>
        </w:rPr>
        <w:t>表</w:t>
      </w:r>
      <w:r>
        <w:rPr>
          <w:rFonts w:hint="eastAsia" w:eastAsiaTheme="minorEastAsia"/>
          <w:b/>
          <w:bCs/>
          <w:lang w:val="en-US" w:eastAsia="zh-CN"/>
        </w:rPr>
        <w:t>6</w:t>
      </w:r>
      <w:r>
        <w:rPr>
          <w:rFonts w:eastAsiaTheme="minorEastAsia"/>
          <w:b/>
          <w:bCs/>
          <w:lang w:eastAsia="zh-CN"/>
        </w:rPr>
        <w:t>.</w:t>
      </w:r>
      <w:r>
        <w:rPr>
          <w:rFonts w:hint="eastAsia" w:eastAsiaTheme="minorEastAsia"/>
          <w:b/>
          <w:bCs/>
          <w:lang w:eastAsia="zh-CN"/>
        </w:rPr>
        <w:t>5</w:t>
      </w:r>
      <w:r>
        <w:rPr>
          <w:rFonts w:eastAsiaTheme="minorEastAsia"/>
          <w:b/>
          <w:bCs/>
          <w:lang w:eastAsia="zh-CN"/>
        </w:rPr>
        <w:t>-</w:t>
      </w:r>
      <w:r>
        <w:rPr>
          <w:rFonts w:hint="eastAsia" w:eastAsiaTheme="minorEastAsia"/>
          <w:b/>
          <w:bCs/>
          <w:lang w:eastAsia="zh-CN"/>
        </w:rPr>
        <w:t>1</w:t>
      </w:r>
      <w:r>
        <w:rPr>
          <w:rFonts w:eastAsiaTheme="minorEastAsia"/>
          <w:b/>
          <w:bCs/>
          <w:lang w:eastAsia="zh-CN"/>
        </w:rPr>
        <w:t xml:space="preserve">  建设项目大气环境影响评价自查表</w:t>
      </w:r>
    </w:p>
    <w:tbl>
      <w:tblPr>
        <w:tblStyle w:val="8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276"/>
        <w:gridCol w:w="971"/>
        <w:gridCol w:w="502"/>
        <w:gridCol w:w="340"/>
        <w:gridCol w:w="83"/>
        <w:gridCol w:w="917"/>
        <w:gridCol w:w="108"/>
        <w:gridCol w:w="127"/>
        <w:gridCol w:w="11"/>
        <w:gridCol w:w="247"/>
        <w:gridCol w:w="259"/>
        <w:gridCol w:w="18"/>
        <w:gridCol w:w="112"/>
        <w:gridCol w:w="128"/>
        <w:gridCol w:w="131"/>
        <w:gridCol w:w="188"/>
        <w:gridCol w:w="453"/>
        <w:gridCol w:w="9"/>
        <w:gridCol w:w="52"/>
        <w:gridCol w:w="511"/>
        <w:gridCol w:w="410"/>
        <w:gridCol w:w="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02" w:type="dxa"/>
            <w:gridSpan w:val="2"/>
            <w:tcBorders>
              <w:top w:val="single" w:color="auto" w:sz="12" w:space="0"/>
              <w:bottom w:val="single" w:color="auto" w:sz="4" w:space="0"/>
            </w:tcBorders>
            <w:shd w:val="clear" w:color="auto" w:fill="CAC2D9"/>
            <w:vAlign w:val="center"/>
          </w:tcPr>
          <w:p>
            <w:pPr>
              <w:adjustRightInd w:val="0"/>
              <w:snapToGrid w:val="0"/>
              <w:jc w:val="center"/>
              <w:rPr>
                <w:rFonts w:eastAsiaTheme="minorEastAsia"/>
                <w:b/>
                <w:sz w:val="21"/>
                <w:szCs w:val="21"/>
              </w:rPr>
            </w:pPr>
            <w:r>
              <w:rPr>
                <w:rFonts w:eastAsiaTheme="minorEastAsia"/>
                <w:b/>
                <w:sz w:val="21"/>
                <w:szCs w:val="21"/>
              </w:rPr>
              <w:t>工作内容</w:t>
            </w:r>
          </w:p>
        </w:tc>
        <w:tc>
          <w:tcPr>
            <w:tcW w:w="6320" w:type="dxa"/>
            <w:gridSpan w:val="21"/>
            <w:tcBorders>
              <w:top w:val="single" w:color="auto" w:sz="12" w:space="0"/>
              <w:bottom w:val="single" w:color="auto" w:sz="4" w:space="0"/>
            </w:tcBorders>
            <w:shd w:val="clear" w:color="auto" w:fill="CAC2D9"/>
            <w:vAlign w:val="center"/>
          </w:tcPr>
          <w:p>
            <w:pPr>
              <w:adjustRightInd w:val="0"/>
              <w:snapToGrid w:val="0"/>
              <w:jc w:val="center"/>
              <w:rPr>
                <w:rFonts w:eastAsiaTheme="minorEastAsia"/>
                <w:b/>
                <w:sz w:val="21"/>
                <w:szCs w:val="21"/>
              </w:rPr>
            </w:pPr>
            <w:r>
              <w:rPr>
                <w:rFonts w:eastAsiaTheme="minorEastAsia"/>
                <w:b/>
                <w:sz w:val="21"/>
                <w:szCs w:val="21"/>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tcBorders>
              <w:top w:val="single" w:color="auto" w:sz="4" w:space="0"/>
            </w:tcBorders>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评价等级与范围</w:t>
            </w:r>
          </w:p>
        </w:tc>
        <w:tc>
          <w:tcPr>
            <w:tcW w:w="1276" w:type="dxa"/>
            <w:tcBorders>
              <w:top w:val="single" w:color="auto" w:sz="4" w:space="0"/>
            </w:tcBorders>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评价等级</w:t>
            </w:r>
          </w:p>
        </w:tc>
        <w:tc>
          <w:tcPr>
            <w:tcW w:w="1896" w:type="dxa"/>
            <w:gridSpan w:val="4"/>
            <w:tcBorders>
              <w:top w:val="single" w:color="auto" w:sz="4" w:space="0"/>
            </w:tcBorders>
            <w:shd w:val="clear" w:color="auto" w:fill="auto"/>
            <w:vAlign w:val="center"/>
          </w:tcPr>
          <w:p>
            <w:pPr>
              <w:adjustRightInd w:val="0"/>
              <w:snapToGrid w:val="0"/>
              <w:jc w:val="center"/>
              <w:rPr>
                <w:rFonts w:eastAsiaTheme="minorEastAsia"/>
                <w:sz w:val="21"/>
                <w:szCs w:val="21"/>
              </w:rPr>
            </w:pPr>
            <w:r>
              <w:rPr>
                <w:rFonts w:eastAsiaTheme="minorEastAsia"/>
                <w:sz w:val="21"/>
                <w:szCs w:val="21"/>
              </w:rPr>
              <w:t>一级□</w:t>
            </w:r>
          </w:p>
        </w:tc>
        <w:tc>
          <w:tcPr>
            <w:tcW w:w="2246" w:type="dxa"/>
            <w:gridSpan w:val="11"/>
            <w:tcBorders>
              <w:top w:val="single" w:color="auto" w:sz="4" w:space="0"/>
            </w:tcBorders>
            <w:shd w:val="clear" w:color="auto" w:fill="auto"/>
            <w:vAlign w:val="center"/>
          </w:tcPr>
          <w:p>
            <w:pPr>
              <w:adjustRightInd w:val="0"/>
              <w:snapToGrid w:val="0"/>
              <w:jc w:val="center"/>
              <w:rPr>
                <w:rFonts w:eastAsiaTheme="minorEastAsia"/>
                <w:sz w:val="21"/>
                <w:szCs w:val="21"/>
              </w:rPr>
            </w:pPr>
            <w:r>
              <w:rPr>
                <w:rFonts w:eastAsiaTheme="minorEastAsia"/>
                <w:sz w:val="21"/>
                <w:szCs w:val="21"/>
              </w:rPr>
              <w:t>二级√</w:t>
            </w:r>
          </w:p>
        </w:tc>
        <w:tc>
          <w:tcPr>
            <w:tcW w:w="2178" w:type="dxa"/>
            <w:gridSpan w:val="6"/>
            <w:tcBorders>
              <w:top w:val="single" w:color="auto" w:sz="4" w:space="0"/>
            </w:tcBorders>
            <w:shd w:val="clear" w:color="auto" w:fill="auto"/>
            <w:vAlign w:val="center"/>
          </w:tcPr>
          <w:p>
            <w:pPr>
              <w:adjustRightInd w:val="0"/>
              <w:snapToGrid w:val="0"/>
              <w:jc w:val="center"/>
              <w:rPr>
                <w:rFonts w:eastAsiaTheme="minorEastAsia"/>
                <w:sz w:val="21"/>
                <w:szCs w:val="21"/>
              </w:rPr>
            </w:pPr>
            <w:r>
              <w:rPr>
                <w:rFonts w:eastAsiaTheme="minorEastAsia"/>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评价范围</w:t>
            </w:r>
          </w:p>
        </w:tc>
        <w:tc>
          <w:tcPr>
            <w:tcW w:w="1896" w:type="dxa"/>
            <w:gridSpan w:val="4"/>
            <w:shd w:val="clear" w:color="auto" w:fill="auto"/>
            <w:vAlign w:val="center"/>
          </w:tcPr>
          <w:p>
            <w:pPr>
              <w:adjustRightInd w:val="0"/>
              <w:snapToGrid w:val="0"/>
              <w:jc w:val="center"/>
              <w:rPr>
                <w:rFonts w:eastAsiaTheme="minorEastAsia"/>
                <w:sz w:val="21"/>
                <w:szCs w:val="21"/>
              </w:rPr>
            </w:pPr>
            <w:r>
              <w:rPr>
                <w:rFonts w:eastAsiaTheme="minorEastAsia"/>
                <w:sz w:val="21"/>
                <w:szCs w:val="21"/>
              </w:rPr>
              <w:t>边长=50km□</w:t>
            </w:r>
          </w:p>
        </w:tc>
        <w:tc>
          <w:tcPr>
            <w:tcW w:w="2246"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rPr>
              <w:t>边长5~50km□</w:t>
            </w:r>
          </w:p>
        </w:tc>
        <w:tc>
          <w:tcPr>
            <w:tcW w:w="2178"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边长=5km√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评价因子</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SO</w:t>
            </w:r>
            <w:r>
              <w:rPr>
                <w:rFonts w:eastAsiaTheme="minorEastAsia"/>
                <w:sz w:val="21"/>
                <w:szCs w:val="21"/>
                <w:vertAlign w:val="subscript"/>
              </w:rPr>
              <w:t>2</w:t>
            </w:r>
            <w:r>
              <w:rPr>
                <w:rFonts w:eastAsiaTheme="minorEastAsia"/>
                <w:sz w:val="21"/>
                <w:szCs w:val="21"/>
              </w:rPr>
              <w:t>+NO</w:t>
            </w:r>
            <w:r>
              <w:rPr>
                <w:rFonts w:eastAsiaTheme="minorEastAsia"/>
                <w:sz w:val="21"/>
                <w:szCs w:val="21"/>
                <w:vertAlign w:val="subscript"/>
              </w:rPr>
              <w:t>2</w:t>
            </w:r>
            <w:r>
              <w:rPr>
                <w:rFonts w:eastAsiaTheme="minorEastAsia"/>
                <w:sz w:val="21"/>
                <w:szCs w:val="21"/>
              </w:rPr>
              <w:t>排放量</w:t>
            </w:r>
          </w:p>
        </w:tc>
        <w:tc>
          <w:tcPr>
            <w:tcW w:w="1896" w:type="dxa"/>
            <w:gridSpan w:val="4"/>
            <w:shd w:val="clear" w:color="auto" w:fill="auto"/>
            <w:vAlign w:val="center"/>
          </w:tcPr>
          <w:p>
            <w:pPr>
              <w:adjustRightInd w:val="0"/>
              <w:snapToGrid w:val="0"/>
              <w:jc w:val="center"/>
              <w:rPr>
                <w:rFonts w:eastAsiaTheme="minorEastAsia"/>
                <w:sz w:val="21"/>
                <w:szCs w:val="21"/>
              </w:rPr>
            </w:pPr>
            <w:r>
              <w:rPr>
                <w:rFonts w:eastAsiaTheme="minorEastAsia"/>
                <w:sz w:val="21"/>
                <w:szCs w:val="21"/>
              </w:rPr>
              <w:t>≥2000t/a</w:t>
            </w:r>
          </w:p>
        </w:tc>
        <w:tc>
          <w:tcPr>
            <w:tcW w:w="2246"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rPr>
              <w:t>500~2000t/a</w:t>
            </w:r>
          </w:p>
        </w:tc>
        <w:tc>
          <w:tcPr>
            <w:tcW w:w="2178"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＜500t/a√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评价因子</w:t>
            </w:r>
          </w:p>
        </w:tc>
        <w:tc>
          <w:tcPr>
            <w:tcW w:w="3565" w:type="dxa"/>
            <w:gridSpan w:val="10"/>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其他污染物（</w:t>
            </w:r>
            <w:r>
              <w:rPr>
                <w:rFonts w:hint="eastAsia" w:eastAsiaTheme="minorEastAsia"/>
                <w:bCs/>
                <w:sz w:val="21"/>
                <w:szCs w:val="21"/>
                <w:lang w:eastAsia="zh-CN"/>
              </w:rPr>
              <w:t>非甲烷总烃、甲醛、苯酚</w:t>
            </w:r>
            <w:r>
              <w:rPr>
                <w:rFonts w:eastAsiaTheme="minorEastAsia"/>
                <w:sz w:val="21"/>
                <w:szCs w:val="21"/>
                <w:lang w:eastAsia="zh-CN"/>
              </w:rPr>
              <w:t>）</w:t>
            </w:r>
          </w:p>
        </w:tc>
        <w:tc>
          <w:tcPr>
            <w:tcW w:w="2755"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lang w:eastAsia="zh-CN"/>
              </w:rPr>
              <w:t xml:space="preserve">  </w:t>
            </w:r>
            <w:r>
              <w:rPr>
                <w:rFonts w:eastAsiaTheme="minorEastAsia"/>
                <w:sz w:val="21"/>
                <w:szCs w:val="21"/>
              </w:rPr>
              <w:t>包括二次PM</w:t>
            </w:r>
            <w:r>
              <w:rPr>
                <w:rFonts w:eastAsiaTheme="minorEastAsia"/>
                <w:sz w:val="21"/>
                <w:szCs w:val="21"/>
                <w:vertAlign w:val="subscript"/>
              </w:rPr>
              <w:t>2.5</w:t>
            </w:r>
            <w:r>
              <w:rPr>
                <w:rFonts w:eastAsiaTheme="minorEastAsia"/>
                <w:sz w:val="21"/>
                <w:szCs w:val="21"/>
              </w:rPr>
              <w:t>□</w:t>
            </w:r>
          </w:p>
          <w:p>
            <w:pPr>
              <w:adjustRightInd w:val="0"/>
              <w:snapToGrid w:val="0"/>
              <w:jc w:val="center"/>
              <w:rPr>
                <w:rFonts w:eastAsiaTheme="minorEastAsia"/>
                <w:sz w:val="21"/>
                <w:szCs w:val="21"/>
              </w:rPr>
            </w:pPr>
            <w:r>
              <w:rPr>
                <w:rFonts w:eastAsiaTheme="minorEastAsia"/>
                <w:sz w:val="21"/>
                <w:szCs w:val="21"/>
              </w:rPr>
              <w:t>不包括二次PM</w:t>
            </w:r>
            <w:r>
              <w:rPr>
                <w:rFonts w:eastAsiaTheme="minorEastAsia"/>
                <w:sz w:val="21"/>
                <w:szCs w:val="21"/>
                <w:vertAlign w:val="subscript"/>
              </w:rPr>
              <w:t>2.5</w:t>
            </w: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评价标准</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评价标准</w:t>
            </w:r>
          </w:p>
        </w:tc>
        <w:tc>
          <w:tcPr>
            <w:tcW w:w="1473" w:type="dxa"/>
            <w:gridSpan w:val="2"/>
            <w:shd w:val="clear" w:color="auto" w:fill="auto"/>
            <w:vAlign w:val="center"/>
          </w:tcPr>
          <w:p>
            <w:pPr>
              <w:adjustRightInd w:val="0"/>
              <w:snapToGrid w:val="0"/>
              <w:jc w:val="center"/>
              <w:rPr>
                <w:rFonts w:eastAsiaTheme="minorEastAsia"/>
                <w:sz w:val="21"/>
                <w:szCs w:val="21"/>
              </w:rPr>
            </w:pPr>
            <w:r>
              <w:rPr>
                <w:rFonts w:eastAsiaTheme="minorEastAsia"/>
                <w:sz w:val="21"/>
                <w:szCs w:val="21"/>
              </w:rPr>
              <w:t>国家标准√</w:t>
            </w:r>
          </w:p>
        </w:tc>
        <w:tc>
          <w:tcPr>
            <w:tcW w:w="1586"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地方标准</w:t>
            </w:r>
            <w:r>
              <w:rPr>
                <w:rFonts w:eastAsiaTheme="minorEastAsia"/>
                <w:sz w:val="21"/>
                <w:szCs w:val="21"/>
              </w:rPr>
              <w:sym w:font="Wingdings 2" w:char="00A3"/>
            </w:r>
          </w:p>
        </w:tc>
        <w:tc>
          <w:tcPr>
            <w:tcW w:w="1536" w:type="dxa"/>
            <w:gridSpan w:val="8"/>
            <w:shd w:val="clear" w:color="auto" w:fill="auto"/>
            <w:vAlign w:val="center"/>
          </w:tcPr>
          <w:p>
            <w:pPr>
              <w:adjustRightInd w:val="0"/>
              <w:snapToGrid w:val="0"/>
              <w:jc w:val="center"/>
              <w:rPr>
                <w:rFonts w:eastAsiaTheme="minorEastAsia"/>
                <w:sz w:val="21"/>
                <w:szCs w:val="21"/>
              </w:rPr>
            </w:pPr>
            <w:r>
              <w:rPr>
                <w:rFonts w:eastAsiaTheme="minorEastAsia"/>
                <w:sz w:val="21"/>
                <w:szCs w:val="21"/>
              </w:rPr>
              <w:t>附录D√</w:t>
            </w:r>
          </w:p>
        </w:tc>
        <w:tc>
          <w:tcPr>
            <w:tcW w:w="1725" w:type="dxa"/>
            <w:gridSpan w:val="5"/>
            <w:shd w:val="clear" w:color="auto" w:fill="auto"/>
            <w:vAlign w:val="center"/>
          </w:tcPr>
          <w:p>
            <w:pPr>
              <w:adjustRightInd w:val="0"/>
              <w:snapToGrid w:val="0"/>
              <w:jc w:val="center"/>
              <w:rPr>
                <w:rFonts w:eastAsiaTheme="minorEastAsia"/>
                <w:sz w:val="21"/>
                <w:szCs w:val="21"/>
              </w:rPr>
            </w:pPr>
            <w:r>
              <w:rPr>
                <w:rFonts w:eastAsiaTheme="minorEastAsia"/>
                <w:sz w:val="21"/>
                <w:szCs w:val="21"/>
              </w:rPr>
              <w:t>其他标准□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shd w:val="clear" w:color="auto" w:fill="auto"/>
            <w:vAlign w:val="center"/>
          </w:tcPr>
          <w:p>
            <w:pPr>
              <w:adjustRightInd w:val="0"/>
              <w:snapToGrid w:val="0"/>
              <w:jc w:val="center"/>
              <w:rPr>
                <w:rFonts w:eastAsiaTheme="minorEastAsia"/>
                <w:sz w:val="21"/>
                <w:szCs w:val="21"/>
              </w:rPr>
            </w:pPr>
            <w:r>
              <w:rPr>
                <w:rFonts w:eastAsiaTheme="minorEastAsia"/>
                <w:sz w:val="21"/>
                <w:szCs w:val="21"/>
              </w:rPr>
              <w:t>现状评价</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环境功能区</w:t>
            </w:r>
          </w:p>
        </w:tc>
        <w:tc>
          <w:tcPr>
            <w:tcW w:w="1896" w:type="dxa"/>
            <w:gridSpan w:val="4"/>
            <w:shd w:val="clear" w:color="auto" w:fill="auto"/>
            <w:vAlign w:val="center"/>
          </w:tcPr>
          <w:p>
            <w:pPr>
              <w:adjustRightInd w:val="0"/>
              <w:snapToGrid w:val="0"/>
              <w:jc w:val="center"/>
              <w:rPr>
                <w:rFonts w:eastAsiaTheme="minorEastAsia"/>
                <w:sz w:val="21"/>
                <w:szCs w:val="21"/>
              </w:rPr>
            </w:pPr>
            <w:r>
              <w:rPr>
                <w:rFonts w:eastAsiaTheme="minorEastAsia"/>
                <w:sz w:val="21"/>
                <w:szCs w:val="21"/>
              </w:rPr>
              <w:t>一类区□</w:t>
            </w:r>
          </w:p>
        </w:tc>
        <w:tc>
          <w:tcPr>
            <w:tcW w:w="2246"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rPr>
              <w:t>二类区√</w:t>
            </w:r>
          </w:p>
        </w:tc>
        <w:tc>
          <w:tcPr>
            <w:tcW w:w="2178"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评价基准年</w:t>
            </w:r>
          </w:p>
        </w:tc>
        <w:tc>
          <w:tcPr>
            <w:tcW w:w="6320" w:type="dxa"/>
            <w:gridSpan w:val="21"/>
            <w:shd w:val="clear" w:color="auto" w:fill="auto"/>
            <w:vAlign w:val="center"/>
          </w:tcPr>
          <w:p>
            <w:pPr>
              <w:adjustRightInd w:val="0"/>
              <w:snapToGrid w:val="0"/>
              <w:jc w:val="center"/>
              <w:rPr>
                <w:rFonts w:eastAsiaTheme="minorEastAsia"/>
                <w:sz w:val="21"/>
                <w:szCs w:val="21"/>
              </w:rPr>
            </w:pPr>
            <w:r>
              <w:rPr>
                <w:rFonts w:eastAsiaTheme="minorEastAsia"/>
                <w:sz w:val="21"/>
                <w:szCs w:val="21"/>
              </w:rPr>
              <w:t>（</w:t>
            </w:r>
            <w:r>
              <w:rPr>
                <w:rFonts w:hint="eastAsia" w:eastAsiaTheme="minorEastAsia"/>
                <w:sz w:val="21"/>
                <w:szCs w:val="21"/>
              </w:rPr>
              <w:t>20</w:t>
            </w:r>
            <w:r>
              <w:rPr>
                <w:rFonts w:hint="eastAsia" w:eastAsiaTheme="minorEastAsia"/>
                <w:sz w:val="21"/>
                <w:szCs w:val="21"/>
                <w:lang w:val="en-US" w:eastAsia="zh-CN"/>
              </w:rPr>
              <w:t>21</w:t>
            </w:r>
            <w:r>
              <w:rPr>
                <w:rFonts w:eastAsiaTheme="minorEastAsia"/>
                <w:sz w:val="21"/>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环境空气质量现状调查数据来源</w:t>
            </w:r>
          </w:p>
        </w:tc>
        <w:tc>
          <w:tcPr>
            <w:tcW w:w="1896" w:type="dxa"/>
            <w:gridSpan w:val="4"/>
            <w:shd w:val="clear" w:color="auto" w:fill="auto"/>
            <w:vAlign w:val="center"/>
          </w:tcPr>
          <w:p>
            <w:pPr>
              <w:adjustRightInd w:val="0"/>
              <w:snapToGrid w:val="0"/>
              <w:jc w:val="center"/>
              <w:rPr>
                <w:rFonts w:eastAsiaTheme="minorEastAsia"/>
                <w:sz w:val="21"/>
                <w:szCs w:val="21"/>
              </w:rPr>
            </w:pPr>
            <w:r>
              <w:rPr>
                <w:rFonts w:eastAsiaTheme="minorEastAsia"/>
                <w:sz w:val="21"/>
                <w:szCs w:val="21"/>
              </w:rPr>
              <w:t>长期例行监测数据□</w:t>
            </w:r>
          </w:p>
        </w:tc>
        <w:tc>
          <w:tcPr>
            <w:tcW w:w="2246" w:type="dxa"/>
            <w:gridSpan w:val="11"/>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主管部门发布的数据√</w:t>
            </w:r>
          </w:p>
        </w:tc>
        <w:tc>
          <w:tcPr>
            <w:tcW w:w="2178"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现状补充监测√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现状评价</w:t>
            </w:r>
          </w:p>
        </w:tc>
        <w:tc>
          <w:tcPr>
            <w:tcW w:w="4142" w:type="dxa"/>
            <w:gridSpan w:val="15"/>
            <w:shd w:val="clear" w:color="auto" w:fill="auto"/>
            <w:vAlign w:val="center"/>
          </w:tcPr>
          <w:p>
            <w:pPr>
              <w:adjustRightInd w:val="0"/>
              <w:snapToGrid w:val="0"/>
              <w:jc w:val="center"/>
              <w:rPr>
                <w:rFonts w:eastAsiaTheme="minorEastAsia"/>
                <w:sz w:val="21"/>
                <w:szCs w:val="21"/>
              </w:rPr>
            </w:pPr>
            <w:r>
              <w:rPr>
                <w:rFonts w:eastAsiaTheme="minorEastAsia"/>
                <w:sz w:val="21"/>
                <w:szCs w:val="21"/>
              </w:rPr>
              <w:t>达标区</w:t>
            </w:r>
            <w:r>
              <w:rPr>
                <w:rFonts w:eastAsiaTheme="minorEastAsia"/>
                <w:sz w:val="21"/>
                <w:szCs w:val="21"/>
              </w:rPr>
              <w:sym w:font="Wingdings 2" w:char="0052"/>
            </w:r>
          </w:p>
        </w:tc>
        <w:tc>
          <w:tcPr>
            <w:tcW w:w="2178"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不达标区</w:t>
            </w:r>
            <w:r>
              <w:rPr>
                <w:rFonts w:eastAsiaTheme="minorEastAsia"/>
                <w:sz w:val="21"/>
                <w:szCs w:val="21"/>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污染源调查</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调查内容</w:t>
            </w:r>
          </w:p>
        </w:tc>
        <w:tc>
          <w:tcPr>
            <w:tcW w:w="1896" w:type="dxa"/>
            <w:gridSpan w:val="4"/>
            <w:shd w:val="clear" w:color="auto" w:fill="auto"/>
            <w:vAlign w:val="center"/>
          </w:tcPr>
          <w:p>
            <w:pPr>
              <w:adjustRightInd w:val="0"/>
              <w:snapToGrid w:val="0"/>
              <w:rPr>
                <w:rFonts w:eastAsiaTheme="minorEastAsia"/>
                <w:sz w:val="21"/>
                <w:szCs w:val="21"/>
                <w:lang w:eastAsia="zh-CN"/>
              </w:rPr>
            </w:pPr>
            <w:r>
              <w:rPr>
                <w:rFonts w:eastAsiaTheme="minorEastAsia"/>
                <w:sz w:val="21"/>
                <w:szCs w:val="21"/>
                <w:lang w:eastAsia="zh-CN"/>
              </w:rPr>
              <w:t>本项目正常排放源√</w:t>
            </w:r>
          </w:p>
          <w:p>
            <w:pPr>
              <w:adjustRightInd w:val="0"/>
              <w:snapToGrid w:val="0"/>
              <w:rPr>
                <w:rFonts w:eastAsiaTheme="minorEastAsia"/>
                <w:sz w:val="21"/>
                <w:szCs w:val="21"/>
                <w:lang w:eastAsia="zh-CN"/>
              </w:rPr>
            </w:pPr>
            <w:r>
              <w:rPr>
                <w:rFonts w:eastAsiaTheme="minorEastAsia"/>
                <w:sz w:val="21"/>
                <w:szCs w:val="21"/>
                <w:lang w:eastAsia="zh-CN"/>
              </w:rPr>
              <w:t>本项目非正常排放源√</w:t>
            </w:r>
          </w:p>
          <w:p>
            <w:pPr>
              <w:adjustRightInd w:val="0"/>
              <w:snapToGrid w:val="0"/>
              <w:rPr>
                <w:rFonts w:eastAsiaTheme="minorEastAsia"/>
                <w:sz w:val="21"/>
                <w:szCs w:val="21"/>
              </w:rPr>
            </w:pPr>
            <w:r>
              <w:rPr>
                <w:rFonts w:eastAsiaTheme="minorEastAsia"/>
                <w:sz w:val="21"/>
                <w:szCs w:val="21"/>
              </w:rPr>
              <w:t>现有污染源</w:t>
            </w:r>
            <w:r>
              <w:rPr>
                <w:rFonts w:eastAsiaTheme="minorEastAsia"/>
                <w:sz w:val="21"/>
                <w:szCs w:val="21"/>
              </w:rPr>
              <w:sym w:font="Wingdings 2" w:char="0052"/>
            </w:r>
          </w:p>
        </w:tc>
        <w:tc>
          <w:tcPr>
            <w:tcW w:w="1687" w:type="dxa"/>
            <w:gridSpan w:val="7"/>
            <w:shd w:val="clear" w:color="auto" w:fill="auto"/>
            <w:vAlign w:val="center"/>
          </w:tcPr>
          <w:p>
            <w:pPr>
              <w:adjustRightInd w:val="0"/>
              <w:snapToGrid w:val="0"/>
              <w:jc w:val="center"/>
              <w:rPr>
                <w:rFonts w:eastAsiaTheme="minorEastAsia"/>
                <w:sz w:val="21"/>
                <w:szCs w:val="21"/>
              </w:rPr>
            </w:pPr>
            <w:r>
              <w:rPr>
                <w:rFonts w:eastAsiaTheme="minorEastAsia"/>
                <w:sz w:val="21"/>
                <w:szCs w:val="21"/>
              </w:rPr>
              <w:t>拟替代的污染源</w:t>
            </w:r>
            <w:r>
              <w:rPr>
                <w:rFonts w:eastAsiaTheme="minorEastAsia"/>
                <w:sz w:val="21"/>
                <w:szCs w:val="21"/>
              </w:rPr>
              <w:sym w:font="Wingdings 2" w:char="0052"/>
            </w:r>
          </w:p>
        </w:tc>
        <w:tc>
          <w:tcPr>
            <w:tcW w:w="1584" w:type="dxa"/>
            <w:gridSpan w:val="8"/>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其他在建、拟建项目污染源□</w:t>
            </w:r>
          </w:p>
        </w:tc>
        <w:tc>
          <w:tcPr>
            <w:tcW w:w="1153" w:type="dxa"/>
            <w:gridSpan w:val="2"/>
            <w:shd w:val="clear" w:color="auto" w:fill="auto"/>
            <w:vAlign w:val="center"/>
          </w:tcPr>
          <w:p>
            <w:pPr>
              <w:adjustRightInd w:val="0"/>
              <w:snapToGrid w:val="0"/>
              <w:jc w:val="center"/>
              <w:rPr>
                <w:rFonts w:eastAsiaTheme="minorEastAsia"/>
                <w:sz w:val="21"/>
                <w:szCs w:val="21"/>
              </w:rPr>
            </w:pPr>
            <w:r>
              <w:rPr>
                <w:rFonts w:eastAsiaTheme="minorEastAsia"/>
                <w:sz w:val="21"/>
                <w:szCs w:val="21"/>
              </w:rPr>
              <w:t>区域污染源□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大气环境影响预测与评价</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预测模型</w:t>
            </w:r>
          </w:p>
        </w:tc>
        <w:tc>
          <w:tcPr>
            <w:tcW w:w="971"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AERMOD□</w:t>
            </w:r>
          </w:p>
        </w:tc>
        <w:tc>
          <w:tcPr>
            <w:tcW w:w="925" w:type="dxa"/>
            <w:gridSpan w:val="3"/>
            <w:shd w:val="clear" w:color="auto" w:fill="auto"/>
            <w:vAlign w:val="center"/>
          </w:tcPr>
          <w:p>
            <w:pPr>
              <w:adjustRightInd w:val="0"/>
              <w:snapToGrid w:val="0"/>
              <w:jc w:val="center"/>
              <w:rPr>
                <w:rFonts w:eastAsiaTheme="minorEastAsia"/>
                <w:sz w:val="21"/>
                <w:szCs w:val="21"/>
              </w:rPr>
            </w:pPr>
            <w:r>
              <w:rPr>
                <w:rFonts w:eastAsiaTheme="minorEastAsia"/>
                <w:sz w:val="21"/>
                <w:szCs w:val="21"/>
              </w:rPr>
              <w:t>ADMS□</w:t>
            </w:r>
          </w:p>
        </w:tc>
        <w:tc>
          <w:tcPr>
            <w:tcW w:w="917"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AUSTAL2000□</w:t>
            </w:r>
          </w:p>
        </w:tc>
        <w:tc>
          <w:tcPr>
            <w:tcW w:w="882" w:type="dxa"/>
            <w:gridSpan w:val="7"/>
            <w:shd w:val="clear" w:color="auto" w:fill="auto"/>
            <w:vAlign w:val="center"/>
          </w:tcPr>
          <w:p>
            <w:pPr>
              <w:adjustRightInd w:val="0"/>
              <w:snapToGrid w:val="0"/>
              <w:jc w:val="center"/>
              <w:rPr>
                <w:rFonts w:eastAsiaTheme="minorEastAsia"/>
                <w:sz w:val="21"/>
                <w:szCs w:val="21"/>
              </w:rPr>
            </w:pPr>
            <w:r>
              <w:rPr>
                <w:rFonts w:eastAsiaTheme="minorEastAsia"/>
                <w:sz w:val="21"/>
                <w:szCs w:val="21"/>
              </w:rPr>
              <w:t>EDMS/AEDT□</w:t>
            </w:r>
          </w:p>
        </w:tc>
        <w:tc>
          <w:tcPr>
            <w:tcW w:w="961"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CALPUFF□</w:t>
            </w:r>
          </w:p>
        </w:tc>
        <w:tc>
          <w:tcPr>
            <w:tcW w:w="921" w:type="dxa"/>
            <w:gridSpan w:val="2"/>
            <w:shd w:val="clear" w:color="auto" w:fill="auto"/>
            <w:vAlign w:val="center"/>
          </w:tcPr>
          <w:p>
            <w:pPr>
              <w:adjustRightInd w:val="0"/>
              <w:snapToGrid w:val="0"/>
              <w:jc w:val="center"/>
              <w:rPr>
                <w:rFonts w:eastAsiaTheme="minorEastAsia"/>
                <w:sz w:val="21"/>
                <w:szCs w:val="21"/>
              </w:rPr>
            </w:pPr>
            <w:r>
              <w:rPr>
                <w:rFonts w:eastAsiaTheme="minorEastAsia"/>
                <w:sz w:val="21"/>
                <w:szCs w:val="21"/>
              </w:rPr>
              <w:t>网格模型□</w:t>
            </w:r>
          </w:p>
        </w:tc>
        <w:tc>
          <w:tcPr>
            <w:tcW w:w="743"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预测范围</w:t>
            </w:r>
          </w:p>
        </w:tc>
        <w:tc>
          <w:tcPr>
            <w:tcW w:w="1896" w:type="dxa"/>
            <w:gridSpan w:val="4"/>
            <w:shd w:val="clear" w:color="auto" w:fill="auto"/>
            <w:vAlign w:val="center"/>
          </w:tcPr>
          <w:p>
            <w:pPr>
              <w:adjustRightInd w:val="0"/>
              <w:snapToGrid w:val="0"/>
              <w:jc w:val="center"/>
              <w:rPr>
                <w:rFonts w:eastAsiaTheme="minorEastAsia"/>
                <w:sz w:val="21"/>
                <w:szCs w:val="21"/>
              </w:rPr>
            </w:pPr>
            <w:r>
              <w:rPr>
                <w:rFonts w:eastAsiaTheme="minorEastAsia"/>
                <w:sz w:val="21"/>
                <w:szCs w:val="21"/>
              </w:rPr>
              <w:t>边长≥50km□</w:t>
            </w:r>
          </w:p>
        </w:tc>
        <w:tc>
          <w:tcPr>
            <w:tcW w:w="2246"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rPr>
              <w:t>边长5~50km□</w:t>
            </w:r>
          </w:p>
        </w:tc>
        <w:tc>
          <w:tcPr>
            <w:tcW w:w="2178" w:type="dxa"/>
            <w:gridSpan w:val="6"/>
            <w:shd w:val="clear" w:color="auto" w:fill="auto"/>
            <w:vAlign w:val="center"/>
          </w:tcPr>
          <w:p>
            <w:pPr>
              <w:adjustRightInd w:val="0"/>
              <w:snapToGrid w:val="0"/>
              <w:jc w:val="center"/>
              <w:rPr>
                <w:rFonts w:eastAsiaTheme="minorEastAsia"/>
                <w:sz w:val="21"/>
                <w:szCs w:val="21"/>
              </w:rPr>
            </w:pPr>
            <w:r>
              <w:rPr>
                <w:rFonts w:eastAsiaTheme="minorEastAsia"/>
                <w:sz w:val="21"/>
                <w:szCs w:val="21"/>
              </w:rPr>
              <w:t>边长=5km□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预测因子</w:t>
            </w:r>
          </w:p>
        </w:tc>
        <w:tc>
          <w:tcPr>
            <w:tcW w:w="3306" w:type="dxa"/>
            <w:gridSpan w:val="9"/>
            <w:shd w:val="clear" w:color="auto" w:fill="auto"/>
            <w:vAlign w:val="center"/>
          </w:tcPr>
          <w:p>
            <w:pPr>
              <w:adjustRightInd w:val="0"/>
              <w:snapToGrid w:val="0"/>
              <w:jc w:val="center"/>
              <w:rPr>
                <w:rFonts w:eastAsiaTheme="minorEastAsia"/>
                <w:sz w:val="21"/>
                <w:szCs w:val="21"/>
              </w:rPr>
            </w:pPr>
            <w:r>
              <w:rPr>
                <w:rFonts w:eastAsiaTheme="minorEastAsia"/>
                <w:sz w:val="21"/>
                <w:szCs w:val="21"/>
              </w:rPr>
              <w:t>预测因子（）</w:t>
            </w:r>
          </w:p>
        </w:tc>
        <w:tc>
          <w:tcPr>
            <w:tcW w:w="3014" w:type="dxa"/>
            <w:gridSpan w:val="12"/>
            <w:shd w:val="clear" w:color="auto" w:fill="auto"/>
            <w:vAlign w:val="center"/>
          </w:tcPr>
          <w:p>
            <w:pPr>
              <w:adjustRightInd w:val="0"/>
              <w:snapToGrid w:val="0"/>
              <w:jc w:val="center"/>
              <w:rPr>
                <w:rFonts w:eastAsiaTheme="minorEastAsia"/>
                <w:b/>
                <w:sz w:val="21"/>
                <w:szCs w:val="21"/>
              </w:rPr>
            </w:pPr>
            <w:r>
              <w:rPr>
                <w:rFonts w:eastAsiaTheme="minorEastAsia"/>
                <w:sz w:val="21"/>
                <w:szCs w:val="21"/>
              </w:rPr>
              <w:t>包括二次PM</w:t>
            </w:r>
            <w:r>
              <w:rPr>
                <w:rFonts w:eastAsiaTheme="minorEastAsia"/>
                <w:sz w:val="21"/>
                <w:szCs w:val="21"/>
                <w:vertAlign w:val="subscript"/>
              </w:rPr>
              <w:t>2.5</w:t>
            </w:r>
            <w:r>
              <w:rPr>
                <w:rFonts w:eastAsiaTheme="minorEastAsia"/>
                <w:sz w:val="21"/>
                <w:szCs w:val="21"/>
              </w:rPr>
              <w:t>□</w:t>
            </w:r>
          </w:p>
          <w:p>
            <w:pPr>
              <w:adjustRightInd w:val="0"/>
              <w:snapToGrid w:val="0"/>
              <w:jc w:val="center"/>
              <w:rPr>
                <w:rFonts w:eastAsiaTheme="minorEastAsia"/>
                <w:sz w:val="21"/>
                <w:szCs w:val="21"/>
              </w:rPr>
            </w:pPr>
            <w:r>
              <w:rPr>
                <w:rFonts w:eastAsiaTheme="minorEastAsia"/>
                <w:sz w:val="21"/>
                <w:szCs w:val="21"/>
              </w:rPr>
              <w:t>不包括二次PM</w:t>
            </w:r>
            <w:r>
              <w:rPr>
                <w:rFonts w:eastAsiaTheme="minorEastAsia"/>
                <w:sz w:val="21"/>
                <w:szCs w:val="21"/>
                <w:vertAlign w:val="subscript"/>
              </w:rPr>
              <w:t>2.5</w:t>
            </w:r>
            <w:r>
              <w:rPr>
                <w:rFonts w:eastAsiaTheme="minor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正常排放短期浓度贡献值</w:t>
            </w:r>
          </w:p>
        </w:tc>
        <w:tc>
          <w:tcPr>
            <w:tcW w:w="3306" w:type="dxa"/>
            <w:gridSpan w:val="9"/>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C</w:t>
            </w:r>
            <w:r>
              <w:rPr>
                <w:rFonts w:eastAsiaTheme="minorEastAsia"/>
                <w:sz w:val="21"/>
                <w:szCs w:val="21"/>
                <w:vertAlign w:val="subscript"/>
                <w:lang w:eastAsia="zh-CN"/>
              </w:rPr>
              <w:t>本项目</w:t>
            </w:r>
            <w:r>
              <w:rPr>
                <w:rFonts w:eastAsiaTheme="minorEastAsia"/>
                <w:sz w:val="21"/>
                <w:szCs w:val="21"/>
                <w:lang w:eastAsia="zh-CN"/>
              </w:rPr>
              <w:t>最大占标率≤100%□</w:t>
            </w:r>
          </w:p>
        </w:tc>
        <w:tc>
          <w:tcPr>
            <w:tcW w:w="3014" w:type="dxa"/>
            <w:gridSpan w:val="12"/>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C</w:t>
            </w:r>
            <w:r>
              <w:rPr>
                <w:rFonts w:eastAsiaTheme="minorEastAsia"/>
                <w:sz w:val="21"/>
                <w:szCs w:val="21"/>
                <w:vertAlign w:val="subscript"/>
                <w:lang w:eastAsia="zh-CN"/>
              </w:rPr>
              <w:t>本项目</w:t>
            </w:r>
            <w:r>
              <w:rPr>
                <w:rFonts w:eastAsiaTheme="minorEastAsia"/>
                <w:sz w:val="21"/>
                <w:szCs w:val="21"/>
                <w:lang w:eastAsia="zh-CN"/>
              </w:rPr>
              <w:t>最大占标率＞100%□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lang w:eastAsia="zh-CN"/>
              </w:rPr>
            </w:pPr>
          </w:p>
        </w:tc>
        <w:tc>
          <w:tcPr>
            <w:tcW w:w="1276" w:type="dxa"/>
            <w:vMerge w:val="restart"/>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正常排放年均浓度贡献值</w:t>
            </w:r>
          </w:p>
        </w:tc>
        <w:tc>
          <w:tcPr>
            <w:tcW w:w="1473" w:type="dxa"/>
            <w:gridSpan w:val="2"/>
            <w:shd w:val="clear" w:color="auto" w:fill="auto"/>
            <w:vAlign w:val="center"/>
          </w:tcPr>
          <w:p>
            <w:pPr>
              <w:adjustRightInd w:val="0"/>
              <w:snapToGrid w:val="0"/>
              <w:jc w:val="center"/>
              <w:rPr>
                <w:rFonts w:eastAsiaTheme="minorEastAsia"/>
                <w:sz w:val="21"/>
                <w:szCs w:val="21"/>
              </w:rPr>
            </w:pPr>
            <w:r>
              <w:rPr>
                <w:rFonts w:eastAsiaTheme="minorEastAsia"/>
                <w:sz w:val="21"/>
                <w:szCs w:val="21"/>
              </w:rPr>
              <w:t>一类区</w:t>
            </w:r>
          </w:p>
        </w:tc>
        <w:tc>
          <w:tcPr>
            <w:tcW w:w="2350" w:type="dxa"/>
            <w:gridSpan w:val="11"/>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C</w:t>
            </w:r>
            <w:r>
              <w:rPr>
                <w:rFonts w:eastAsiaTheme="minorEastAsia"/>
                <w:sz w:val="21"/>
                <w:szCs w:val="21"/>
                <w:vertAlign w:val="subscript"/>
                <w:lang w:eastAsia="zh-CN"/>
              </w:rPr>
              <w:t>本项目</w:t>
            </w:r>
            <w:r>
              <w:rPr>
                <w:rFonts w:eastAsiaTheme="minorEastAsia"/>
                <w:sz w:val="21"/>
                <w:szCs w:val="21"/>
                <w:lang w:eastAsia="zh-CN"/>
              </w:rPr>
              <w:t>最大占标率≤10%□</w:t>
            </w:r>
          </w:p>
        </w:tc>
        <w:tc>
          <w:tcPr>
            <w:tcW w:w="2497" w:type="dxa"/>
            <w:gridSpan w:val="8"/>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C</w:t>
            </w:r>
            <w:r>
              <w:rPr>
                <w:rFonts w:eastAsiaTheme="minorEastAsia"/>
                <w:sz w:val="21"/>
                <w:szCs w:val="21"/>
                <w:vertAlign w:val="subscript"/>
                <w:lang w:eastAsia="zh-CN"/>
              </w:rPr>
              <w:t>本项目</w:t>
            </w:r>
            <w:r>
              <w:rPr>
                <w:rFonts w:eastAsiaTheme="minorEastAsia"/>
                <w:sz w:val="21"/>
                <w:szCs w:val="21"/>
                <w:lang w:eastAsia="zh-CN"/>
              </w:rPr>
              <w:t>最大占标率＞10%□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lang w:eastAsia="zh-CN"/>
              </w:rPr>
            </w:pPr>
          </w:p>
        </w:tc>
        <w:tc>
          <w:tcPr>
            <w:tcW w:w="1276" w:type="dxa"/>
            <w:vMerge w:val="continue"/>
            <w:shd w:val="clear" w:color="auto" w:fill="auto"/>
            <w:vAlign w:val="center"/>
          </w:tcPr>
          <w:p>
            <w:pPr>
              <w:adjustRightInd w:val="0"/>
              <w:snapToGrid w:val="0"/>
              <w:jc w:val="center"/>
              <w:rPr>
                <w:rFonts w:eastAsiaTheme="minorEastAsia"/>
                <w:sz w:val="21"/>
                <w:szCs w:val="21"/>
                <w:lang w:eastAsia="zh-CN"/>
              </w:rPr>
            </w:pPr>
          </w:p>
        </w:tc>
        <w:tc>
          <w:tcPr>
            <w:tcW w:w="1473" w:type="dxa"/>
            <w:gridSpan w:val="2"/>
            <w:shd w:val="clear" w:color="auto" w:fill="auto"/>
            <w:vAlign w:val="center"/>
          </w:tcPr>
          <w:p>
            <w:pPr>
              <w:adjustRightInd w:val="0"/>
              <w:snapToGrid w:val="0"/>
              <w:jc w:val="center"/>
              <w:rPr>
                <w:rFonts w:eastAsiaTheme="minorEastAsia"/>
                <w:sz w:val="21"/>
                <w:szCs w:val="21"/>
              </w:rPr>
            </w:pPr>
            <w:r>
              <w:rPr>
                <w:rFonts w:eastAsiaTheme="minorEastAsia"/>
                <w:sz w:val="21"/>
                <w:szCs w:val="21"/>
              </w:rPr>
              <w:t>二类区</w:t>
            </w:r>
          </w:p>
        </w:tc>
        <w:tc>
          <w:tcPr>
            <w:tcW w:w="2350" w:type="dxa"/>
            <w:gridSpan w:val="11"/>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C</w:t>
            </w:r>
            <w:r>
              <w:rPr>
                <w:rFonts w:eastAsiaTheme="minorEastAsia"/>
                <w:sz w:val="21"/>
                <w:szCs w:val="21"/>
                <w:vertAlign w:val="subscript"/>
                <w:lang w:eastAsia="zh-CN"/>
              </w:rPr>
              <w:t>本项目</w:t>
            </w:r>
            <w:r>
              <w:rPr>
                <w:rFonts w:eastAsiaTheme="minorEastAsia"/>
                <w:sz w:val="21"/>
                <w:szCs w:val="21"/>
                <w:lang w:eastAsia="zh-CN"/>
              </w:rPr>
              <w:t>最大占标率≤30%□</w:t>
            </w:r>
          </w:p>
        </w:tc>
        <w:tc>
          <w:tcPr>
            <w:tcW w:w="2497" w:type="dxa"/>
            <w:gridSpan w:val="8"/>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C</w:t>
            </w:r>
            <w:r>
              <w:rPr>
                <w:rFonts w:eastAsiaTheme="minorEastAsia"/>
                <w:sz w:val="21"/>
                <w:szCs w:val="21"/>
                <w:vertAlign w:val="subscript"/>
                <w:lang w:eastAsia="zh-CN"/>
              </w:rPr>
              <w:t>本项目</w:t>
            </w:r>
            <w:r>
              <w:rPr>
                <w:rFonts w:eastAsiaTheme="minorEastAsia"/>
                <w:sz w:val="21"/>
                <w:szCs w:val="21"/>
                <w:lang w:eastAsia="zh-CN"/>
              </w:rPr>
              <w:t>最大占标率＞30%□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lang w:eastAsia="zh-CN"/>
              </w:rPr>
            </w:pPr>
          </w:p>
        </w:tc>
        <w:tc>
          <w:tcPr>
            <w:tcW w:w="1276" w:type="dxa"/>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非正常排放1h浓度贡献值</w:t>
            </w:r>
          </w:p>
        </w:tc>
        <w:tc>
          <w:tcPr>
            <w:tcW w:w="1473" w:type="dxa"/>
            <w:gridSpan w:val="2"/>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非正常持续时长（）h</w:t>
            </w:r>
          </w:p>
        </w:tc>
        <w:tc>
          <w:tcPr>
            <w:tcW w:w="2350"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rPr>
              <w:t>c</w:t>
            </w:r>
            <w:r>
              <w:rPr>
                <w:rFonts w:eastAsiaTheme="minorEastAsia"/>
                <w:sz w:val="21"/>
                <w:szCs w:val="21"/>
                <w:vertAlign w:val="subscript"/>
              </w:rPr>
              <w:t>非正常</w:t>
            </w:r>
            <w:r>
              <w:rPr>
                <w:rFonts w:eastAsiaTheme="minorEastAsia"/>
                <w:sz w:val="21"/>
                <w:szCs w:val="21"/>
              </w:rPr>
              <w:t>占标率≤100%□</w:t>
            </w:r>
          </w:p>
        </w:tc>
        <w:tc>
          <w:tcPr>
            <w:tcW w:w="2497" w:type="dxa"/>
            <w:gridSpan w:val="8"/>
            <w:shd w:val="clear" w:color="auto" w:fill="auto"/>
            <w:vAlign w:val="center"/>
          </w:tcPr>
          <w:p>
            <w:pPr>
              <w:adjustRightInd w:val="0"/>
              <w:snapToGrid w:val="0"/>
              <w:jc w:val="center"/>
              <w:rPr>
                <w:rFonts w:eastAsiaTheme="minorEastAsia"/>
                <w:sz w:val="21"/>
                <w:szCs w:val="21"/>
              </w:rPr>
            </w:pPr>
            <w:r>
              <w:rPr>
                <w:rFonts w:eastAsiaTheme="minorEastAsia"/>
                <w:sz w:val="21"/>
                <w:szCs w:val="21"/>
              </w:rPr>
              <w:t>c</w:t>
            </w:r>
            <w:r>
              <w:rPr>
                <w:rFonts w:eastAsiaTheme="minorEastAsia"/>
                <w:sz w:val="21"/>
                <w:szCs w:val="21"/>
                <w:vertAlign w:val="subscript"/>
              </w:rPr>
              <w:t>非正常</w:t>
            </w:r>
            <w:r>
              <w:rPr>
                <w:rFonts w:eastAsiaTheme="minorEastAsia"/>
                <w:sz w:val="21"/>
                <w:szCs w:val="21"/>
              </w:rPr>
              <w:t>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保证率日平均浓度和年平均浓度叠加值</w:t>
            </w:r>
          </w:p>
        </w:tc>
        <w:tc>
          <w:tcPr>
            <w:tcW w:w="3048" w:type="dxa"/>
            <w:gridSpan w:val="7"/>
            <w:shd w:val="clear" w:color="auto" w:fill="auto"/>
            <w:vAlign w:val="center"/>
          </w:tcPr>
          <w:p>
            <w:pPr>
              <w:adjustRightInd w:val="0"/>
              <w:snapToGrid w:val="0"/>
              <w:jc w:val="center"/>
              <w:rPr>
                <w:rFonts w:eastAsiaTheme="minorEastAsia"/>
                <w:sz w:val="21"/>
                <w:szCs w:val="21"/>
              </w:rPr>
            </w:pPr>
            <w:r>
              <w:rPr>
                <w:rFonts w:eastAsiaTheme="minorEastAsia"/>
                <w:sz w:val="21"/>
                <w:szCs w:val="21"/>
              </w:rPr>
              <w:t>C</w:t>
            </w:r>
            <w:r>
              <w:rPr>
                <w:rFonts w:eastAsiaTheme="minorEastAsia"/>
                <w:sz w:val="21"/>
                <w:szCs w:val="21"/>
                <w:vertAlign w:val="subscript"/>
              </w:rPr>
              <w:t>叠加</w:t>
            </w:r>
            <w:r>
              <w:rPr>
                <w:rFonts w:eastAsiaTheme="minorEastAsia"/>
                <w:sz w:val="21"/>
                <w:szCs w:val="21"/>
              </w:rPr>
              <w:t>达标□</w:t>
            </w:r>
          </w:p>
        </w:tc>
        <w:tc>
          <w:tcPr>
            <w:tcW w:w="3272" w:type="dxa"/>
            <w:gridSpan w:val="14"/>
            <w:shd w:val="clear" w:color="auto" w:fill="auto"/>
            <w:vAlign w:val="center"/>
          </w:tcPr>
          <w:p>
            <w:pPr>
              <w:adjustRightInd w:val="0"/>
              <w:snapToGrid w:val="0"/>
              <w:jc w:val="center"/>
              <w:rPr>
                <w:rFonts w:eastAsiaTheme="minorEastAsia"/>
                <w:sz w:val="21"/>
                <w:szCs w:val="21"/>
              </w:rPr>
            </w:pPr>
            <w:r>
              <w:rPr>
                <w:rFonts w:eastAsiaTheme="minorEastAsia"/>
                <w:sz w:val="21"/>
                <w:szCs w:val="21"/>
              </w:rPr>
              <w:t>C</w:t>
            </w:r>
            <w:r>
              <w:rPr>
                <w:rFonts w:eastAsiaTheme="minorEastAsia"/>
                <w:sz w:val="21"/>
                <w:szCs w:val="21"/>
                <w:vertAlign w:val="subscript"/>
              </w:rPr>
              <w:t>叠加</w:t>
            </w:r>
            <w:r>
              <w:rPr>
                <w:rFonts w:eastAsiaTheme="minorEastAsia"/>
                <w:sz w:val="21"/>
                <w:szCs w:val="21"/>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区域环境质量的整体变化情况</w:t>
            </w:r>
          </w:p>
        </w:tc>
        <w:tc>
          <w:tcPr>
            <w:tcW w:w="3048" w:type="dxa"/>
            <w:gridSpan w:val="7"/>
            <w:shd w:val="clear" w:color="auto" w:fill="auto"/>
            <w:vAlign w:val="center"/>
          </w:tcPr>
          <w:p>
            <w:pPr>
              <w:adjustRightInd w:val="0"/>
              <w:snapToGrid w:val="0"/>
              <w:jc w:val="center"/>
              <w:rPr>
                <w:rFonts w:eastAsiaTheme="minorEastAsia"/>
                <w:sz w:val="21"/>
                <w:szCs w:val="21"/>
              </w:rPr>
            </w:pPr>
            <w:r>
              <w:rPr>
                <w:rFonts w:eastAsiaTheme="minorEastAsia"/>
                <w:sz w:val="21"/>
                <w:szCs w:val="21"/>
              </w:rPr>
              <w:t>k≤-20%□</w:t>
            </w:r>
          </w:p>
        </w:tc>
        <w:tc>
          <w:tcPr>
            <w:tcW w:w="3272" w:type="dxa"/>
            <w:gridSpan w:val="14"/>
            <w:shd w:val="clear" w:color="auto" w:fill="auto"/>
            <w:vAlign w:val="center"/>
          </w:tcPr>
          <w:p>
            <w:pPr>
              <w:adjustRightInd w:val="0"/>
              <w:snapToGrid w:val="0"/>
              <w:jc w:val="center"/>
              <w:rPr>
                <w:rFonts w:eastAsiaTheme="minorEastAsia"/>
                <w:sz w:val="21"/>
                <w:szCs w:val="21"/>
              </w:rPr>
            </w:pPr>
            <w:r>
              <w:rPr>
                <w:rFonts w:eastAsiaTheme="minorEastAsia"/>
                <w:sz w:val="21"/>
                <w:szCs w:val="21"/>
              </w:rPr>
              <w:t>k＞-20%□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shd w:val="clear" w:color="auto" w:fill="auto"/>
            <w:vAlign w:val="center"/>
          </w:tcPr>
          <w:p>
            <w:pPr>
              <w:adjustRightInd w:val="0"/>
              <w:snapToGrid w:val="0"/>
              <w:jc w:val="center"/>
              <w:rPr>
                <w:rFonts w:eastAsiaTheme="minorEastAsia"/>
                <w:sz w:val="21"/>
                <w:szCs w:val="21"/>
              </w:rPr>
            </w:pPr>
            <w:r>
              <w:rPr>
                <w:rFonts w:eastAsiaTheme="minorEastAsia"/>
                <w:sz w:val="21"/>
                <w:szCs w:val="21"/>
              </w:rPr>
              <w:t>环境监测计划</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污染源监测</w:t>
            </w:r>
          </w:p>
        </w:tc>
        <w:tc>
          <w:tcPr>
            <w:tcW w:w="1813" w:type="dxa"/>
            <w:gridSpan w:val="3"/>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监测因子：（</w:t>
            </w:r>
            <w:r>
              <w:rPr>
                <w:rFonts w:hint="eastAsia" w:eastAsiaTheme="minorEastAsia"/>
                <w:sz w:val="21"/>
                <w:szCs w:val="21"/>
                <w:lang w:eastAsia="zh-CN"/>
              </w:rPr>
              <w:t>VOCs、甲醛、苯酚</w:t>
            </w:r>
            <w:r>
              <w:rPr>
                <w:rFonts w:eastAsiaTheme="minorEastAsia"/>
                <w:sz w:val="21"/>
                <w:szCs w:val="21"/>
                <w:lang w:eastAsia="zh-CN"/>
              </w:rPr>
              <w:t>）</w:t>
            </w:r>
          </w:p>
        </w:tc>
        <w:tc>
          <w:tcPr>
            <w:tcW w:w="2141" w:type="dxa"/>
            <w:gridSpan w:val="11"/>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有组织废气监测√</w:t>
            </w:r>
          </w:p>
          <w:p>
            <w:pPr>
              <w:adjustRightInd w:val="0"/>
              <w:snapToGrid w:val="0"/>
              <w:jc w:val="center"/>
              <w:rPr>
                <w:rFonts w:eastAsiaTheme="minorEastAsia"/>
                <w:sz w:val="21"/>
                <w:szCs w:val="21"/>
                <w:lang w:eastAsia="zh-CN"/>
              </w:rPr>
            </w:pPr>
            <w:r>
              <w:rPr>
                <w:rFonts w:eastAsiaTheme="minorEastAsia"/>
                <w:sz w:val="21"/>
                <w:szCs w:val="21"/>
                <w:lang w:eastAsia="zh-CN"/>
              </w:rPr>
              <w:t>无组织废气监测√</w:t>
            </w:r>
          </w:p>
        </w:tc>
        <w:tc>
          <w:tcPr>
            <w:tcW w:w="2366" w:type="dxa"/>
            <w:gridSpan w:val="7"/>
            <w:shd w:val="clear" w:color="auto" w:fill="auto"/>
            <w:vAlign w:val="center"/>
          </w:tcPr>
          <w:p>
            <w:pPr>
              <w:adjustRightInd w:val="0"/>
              <w:snapToGrid w:val="0"/>
              <w:jc w:val="center"/>
              <w:rPr>
                <w:rFonts w:eastAsiaTheme="minorEastAsia"/>
                <w:sz w:val="21"/>
                <w:szCs w:val="21"/>
              </w:rPr>
            </w:pPr>
            <w:r>
              <w:rPr>
                <w:rFonts w:eastAsiaTheme="minorEastAsia"/>
                <w:sz w:val="21"/>
                <w:szCs w:val="21"/>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环境质量监测</w:t>
            </w:r>
          </w:p>
        </w:tc>
        <w:tc>
          <w:tcPr>
            <w:tcW w:w="1813" w:type="dxa"/>
            <w:gridSpan w:val="3"/>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监测因子：（）</w:t>
            </w:r>
          </w:p>
        </w:tc>
        <w:tc>
          <w:tcPr>
            <w:tcW w:w="2141" w:type="dxa"/>
            <w:gridSpan w:val="11"/>
            <w:shd w:val="clear" w:color="auto" w:fill="auto"/>
            <w:vAlign w:val="center"/>
          </w:tcPr>
          <w:p>
            <w:pPr>
              <w:adjustRightInd w:val="0"/>
              <w:snapToGrid w:val="0"/>
              <w:jc w:val="center"/>
              <w:rPr>
                <w:rFonts w:eastAsiaTheme="minorEastAsia"/>
                <w:sz w:val="21"/>
                <w:szCs w:val="21"/>
              </w:rPr>
            </w:pPr>
            <w:r>
              <w:rPr>
                <w:rFonts w:eastAsiaTheme="minorEastAsia"/>
                <w:sz w:val="21"/>
                <w:szCs w:val="21"/>
              </w:rPr>
              <w:t>监测点位数（）</w:t>
            </w:r>
          </w:p>
        </w:tc>
        <w:tc>
          <w:tcPr>
            <w:tcW w:w="2366" w:type="dxa"/>
            <w:gridSpan w:val="7"/>
            <w:shd w:val="clear" w:color="auto" w:fill="auto"/>
            <w:vAlign w:val="center"/>
          </w:tcPr>
          <w:p>
            <w:pPr>
              <w:adjustRightInd w:val="0"/>
              <w:snapToGrid w:val="0"/>
              <w:jc w:val="center"/>
              <w:rPr>
                <w:rFonts w:eastAsiaTheme="minorEastAsia"/>
                <w:sz w:val="21"/>
                <w:szCs w:val="21"/>
              </w:rPr>
            </w:pPr>
            <w:r>
              <w:rPr>
                <w:rFonts w:eastAsiaTheme="minorEastAsia"/>
                <w:sz w:val="21"/>
                <w:szCs w:val="21"/>
              </w:rPr>
              <w:t>无监测</w:t>
            </w:r>
            <w:r>
              <w:rPr>
                <w:rFonts w:eastAsiaTheme="minorEastAsia"/>
                <w:sz w:val="21"/>
                <w:szCs w:val="21"/>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shd w:val="clear" w:color="auto" w:fill="auto"/>
            <w:vAlign w:val="center"/>
          </w:tcPr>
          <w:p>
            <w:pPr>
              <w:adjustRightInd w:val="0"/>
              <w:snapToGrid w:val="0"/>
              <w:jc w:val="center"/>
              <w:rPr>
                <w:rFonts w:eastAsiaTheme="minorEastAsia"/>
                <w:sz w:val="21"/>
                <w:szCs w:val="21"/>
              </w:rPr>
            </w:pPr>
            <w:r>
              <w:rPr>
                <w:rFonts w:eastAsiaTheme="minorEastAsia"/>
                <w:sz w:val="21"/>
                <w:szCs w:val="21"/>
              </w:rPr>
              <w:t>评价结论</w:t>
            </w: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环境影响</w:t>
            </w:r>
          </w:p>
        </w:tc>
        <w:tc>
          <w:tcPr>
            <w:tcW w:w="6320" w:type="dxa"/>
            <w:gridSpan w:val="21"/>
            <w:shd w:val="clear" w:color="auto" w:fill="auto"/>
            <w:vAlign w:val="center"/>
          </w:tcPr>
          <w:p>
            <w:pPr>
              <w:adjustRightInd w:val="0"/>
              <w:snapToGrid w:val="0"/>
              <w:jc w:val="center"/>
              <w:rPr>
                <w:rFonts w:eastAsiaTheme="minorEastAsia"/>
                <w:sz w:val="21"/>
                <w:szCs w:val="21"/>
              </w:rPr>
            </w:pPr>
            <w:r>
              <w:rPr>
                <w:rFonts w:eastAsiaTheme="minorEastAsia"/>
                <w:sz w:val="21"/>
                <w:szCs w:val="21"/>
              </w:rPr>
              <w:t>可以接受√     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大气环境防护距离</w:t>
            </w:r>
          </w:p>
        </w:tc>
        <w:tc>
          <w:tcPr>
            <w:tcW w:w="6320" w:type="dxa"/>
            <w:gridSpan w:val="21"/>
            <w:shd w:val="clear" w:color="auto" w:fill="auto"/>
            <w:vAlign w:val="center"/>
          </w:tcPr>
          <w:p>
            <w:pPr>
              <w:adjustRightInd w:val="0"/>
              <w:snapToGrid w:val="0"/>
              <w:jc w:val="center"/>
              <w:rPr>
                <w:rFonts w:eastAsiaTheme="minorEastAsia"/>
                <w:sz w:val="21"/>
                <w:szCs w:val="21"/>
                <w:lang w:eastAsia="zh-CN"/>
              </w:rPr>
            </w:pPr>
            <w:r>
              <w:rPr>
                <w:rFonts w:eastAsiaTheme="minorEastAsia"/>
                <w:sz w:val="21"/>
                <w:szCs w:val="21"/>
                <w:lang w:eastAsia="zh-CN"/>
              </w:rPr>
              <w:t>本项目不需要设置大气防护距离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shd w:val="clear" w:color="auto" w:fill="auto"/>
            <w:vAlign w:val="center"/>
          </w:tcPr>
          <w:p>
            <w:pPr>
              <w:adjustRightInd w:val="0"/>
              <w:snapToGrid w:val="0"/>
              <w:jc w:val="center"/>
              <w:rPr>
                <w:rFonts w:eastAsiaTheme="minorEastAsia"/>
                <w:sz w:val="21"/>
                <w:szCs w:val="21"/>
                <w:lang w:eastAsia="zh-CN"/>
              </w:rPr>
            </w:pPr>
          </w:p>
        </w:tc>
        <w:tc>
          <w:tcPr>
            <w:tcW w:w="1276" w:type="dxa"/>
            <w:shd w:val="clear" w:color="auto" w:fill="auto"/>
            <w:vAlign w:val="center"/>
          </w:tcPr>
          <w:p>
            <w:pPr>
              <w:adjustRightInd w:val="0"/>
              <w:snapToGrid w:val="0"/>
              <w:jc w:val="center"/>
              <w:rPr>
                <w:rFonts w:eastAsiaTheme="minorEastAsia"/>
                <w:sz w:val="21"/>
                <w:szCs w:val="21"/>
              </w:rPr>
            </w:pPr>
            <w:r>
              <w:rPr>
                <w:rFonts w:eastAsiaTheme="minorEastAsia"/>
                <w:sz w:val="21"/>
                <w:szCs w:val="21"/>
              </w:rPr>
              <w:t>污染源年排放量</w:t>
            </w:r>
          </w:p>
        </w:tc>
        <w:tc>
          <w:tcPr>
            <w:tcW w:w="1473" w:type="dxa"/>
            <w:gridSpan w:val="2"/>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SO</w:t>
            </w:r>
            <w:r>
              <w:rPr>
                <w:rFonts w:eastAsiaTheme="minorEastAsia"/>
                <w:sz w:val="21"/>
                <w:szCs w:val="21"/>
                <w:highlight w:val="none"/>
                <w:vertAlign w:val="subscript"/>
              </w:rPr>
              <w:t>2</w:t>
            </w:r>
            <w:r>
              <w:rPr>
                <w:rFonts w:eastAsiaTheme="minorEastAsia"/>
                <w:sz w:val="21"/>
                <w:szCs w:val="21"/>
                <w:highlight w:val="none"/>
              </w:rPr>
              <w:t>：（</w:t>
            </w:r>
            <w:r>
              <w:rPr>
                <w:rFonts w:hint="eastAsia" w:eastAsiaTheme="minorEastAsia"/>
                <w:sz w:val="21"/>
                <w:szCs w:val="21"/>
                <w:highlight w:val="none"/>
                <w:lang w:val="en-US" w:eastAsia="zh-CN"/>
              </w:rPr>
              <w:t>0</w:t>
            </w:r>
            <w:r>
              <w:rPr>
                <w:rFonts w:eastAsiaTheme="minorEastAsia"/>
                <w:sz w:val="21"/>
                <w:szCs w:val="21"/>
                <w:highlight w:val="none"/>
              </w:rPr>
              <w:t>）t/a</w:t>
            </w:r>
          </w:p>
        </w:tc>
        <w:tc>
          <w:tcPr>
            <w:tcW w:w="1448" w:type="dxa"/>
            <w:gridSpan w:val="4"/>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NO</w:t>
            </w:r>
            <w:r>
              <w:rPr>
                <w:rFonts w:eastAsiaTheme="minorEastAsia"/>
                <w:sz w:val="21"/>
                <w:szCs w:val="21"/>
                <w:highlight w:val="none"/>
                <w:vertAlign w:val="subscript"/>
              </w:rPr>
              <w:t>x</w:t>
            </w:r>
            <w:r>
              <w:rPr>
                <w:rFonts w:eastAsiaTheme="minorEastAsia"/>
                <w:sz w:val="21"/>
                <w:szCs w:val="21"/>
                <w:highlight w:val="none"/>
              </w:rPr>
              <w:t>：（</w:t>
            </w:r>
            <w:r>
              <w:rPr>
                <w:rFonts w:hint="eastAsia" w:eastAsiaTheme="minorEastAsia"/>
                <w:sz w:val="21"/>
                <w:szCs w:val="21"/>
                <w:highlight w:val="none"/>
                <w:lang w:val="en-US" w:eastAsia="zh-CN"/>
              </w:rPr>
              <w:t>0</w:t>
            </w:r>
            <w:r>
              <w:rPr>
                <w:rFonts w:eastAsiaTheme="minorEastAsia"/>
                <w:sz w:val="21"/>
                <w:szCs w:val="21"/>
                <w:highlight w:val="none"/>
              </w:rPr>
              <w:t>）t/a</w:t>
            </w:r>
          </w:p>
        </w:tc>
        <w:tc>
          <w:tcPr>
            <w:tcW w:w="1683" w:type="dxa"/>
            <w:gridSpan w:val="11"/>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颗粒物：（</w:t>
            </w:r>
            <w:r>
              <w:rPr>
                <w:rFonts w:hint="eastAsia" w:eastAsiaTheme="minorEastAsia"/>
                <w:sz w:val="21"/>
                <w:szCs w:val="21"/>
                <w:highlight w:val="none"/>
                <w:lang w:val="en-US" w:eastAsia="zh-CN"/>
              </w:rPr>
              <w:t>0</w:t>
            </w:r>
            <w:r>
              <w:rPr>
                <w:rFonts w:eastAsiaTheme="minorEastAsia"/>
                <w:sz w:val="21"/>
                <w:szCs w:val="21"/>
                <w:highlight w:val="none"/>
              </w:rPr>
              <w:t>）t/a</w:t>
            </w:r>
          </w:p>
        </w:tc>
        <w:tc>
          <w:tcPr>
            <w:tcW w:w="1716" w:type="dxa"/>
            <w:gridSpan w:val="4"/>
            <w:shd w:val="clear" w:color="auto" w:fill="auto"/>
            <w:vAlign w:val="center"/>
          </w:tcPr>
          <w:p>
            <w:pPr>
              <w:adjustRightInd w:val="0"/>
              <w:snapToGrid w:val="0"/>
              <w:jc w:val="center"/>
              <w:rPr>
                <w:rFonts w:eastAsiaTheme="minorEastAsia"/>
                <w:sz w:val="21"/>
                <w:szCs w:val="21"/>
                <w:highlight w:val="none"/>
              </w:rPr>
            </w:pPr>
            <w:r>
              <w:rPr>
                <w:rFonts w:eastAsiaTheme="minorEastAsia"/>
                <w:sz w:val="21"/>
                <w:szCs w:val="21"/>
                <w:highlight w:val="none"/>
              </w:rPr>
              <w:t>VOCs：</w:t>
            </w:r>
          </w:p>
          <w:p>
            <w:pPr>
              <w:adjustRightInd w:val="0"/>
              <w:snapToGrid w:val="0"/>
              <w:jc w:val="center"/>
              <w:rPr>
                <w:rFonts w:eastAsiaTheme="minorEastAsia"/>
                <w:sz w:val="21"/>
                <w:szCs w:val="21"/>
                <w:highlight w:val="none"/>
              </w:rPr>
            </w:pPr>
            <w:r>
              <w:rPr>
                <w:rFonts w:eastAsiaTheme="minorEastAsia"/>
                <w:sz w:val="21"/>
                <w:szCs w:val="21"/>
                <w:highlight w:val="none"/>
              </w:rPr>
              <w:t>（</w:t>
            </w:r>
            <w:r>
              <w:rPr>
                <w:rFonts w:hint="eastAsia" w:eastAsiaTheme="minorEastAsia"/>
                <w:sz w:val="21"/>
                <w:szCs w:val="21"/>
                <w:highlight w:val="none"/>
                <w:lang w:eastAsia="zh-CN"/>
              </w:rPr>
              <w:t>0.</w:t>
            </w:r>
            <w:r>
              <w:rPr>
                <w:rFonts w:hint="eastAsia" w:eastAsiaTheme="minorEastAsia"/>
                <w:sz w:val="21"/>
                <w:szCs w:val="21"/>
                <w:highlight w:val="none"/>
                <w:lang w:val="en-US" w:eastAsia="zh-CN"/>
              </w:rPr>
              <w:t>47</w:t>
            </w:r>
            <w:r>
              <w:rPr>
                <w:rFonts w:eastAsiaTheme="minorEastAsia"/>
                <w:sz w:val="21"/>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3"/>
            <w:shd w:val="clear" w:color="auto" w:fill="auto"/>
            <w:vAlign w:val="center"/>
          </w:tcPr>
          <w:p>
            <w:pPr>
              <w:adjustRightInd w:val="0"/>
              <w:snapToGrid w:val="0"/>
              <w:rPr>
                <w:rFonts w:eastAsiaTheme="minorEastAsia"/>
                <w:sz w:val="21"/>
                <w:szCs w:val="21"/>
                <w:lang w:eastAsia="zh-CN"/>
              </w:rPr>
            </w:pPr>
            <w:r>
              <w:rPr>
                <w:rFonts w:eastAsiaTheme="minorEastAsia"/>
                <w:sz w:val="21"/>
                <w:szCs w:val="21"/>
                <w:lang w:eastAsia="zh-CN"/>
              </w:rPr>
              <w:t>注：“□”为勾选项，填“√”；“（）”为内容填写项</w:t>
            </w:r>
          </w:p>
        </w:tc>
      </w:tr>
    </w:tbl>
    <w:p>
      <w:pPr>
        <w:pStyle w:val="2"/>
        <w:ind w:left="0" w:leftChars="0" w:firstLine="0" w:firstLineChars="0"/>
        <w:rPr>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80F3C52" w:usb2="00000016" w:usb3="00000000" w:csb0="0004001F" w:csb1="00000000"/>
  </w:font>
  <w:font w:name="TimesNewRomanPS-Italic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A00002EF" w:usb1="4000207B" w:usb2="00000000" w:usb3="00000000" w:csb0="2000019F"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宋体-方正超大字符集">
    <w:altName w:val="宋体"/>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Sim Sun+ 2">
    <w:altName w:val="宋体"/>
    <w:panose1 w:val="00000000000000000000"/>
    <w:charset w:val="86"/>
    <w:family w:val="swiss"/>
    <w:pitch w:val="default"/>
    <w:sig w:usb0="00000000" w:usb1="00000000" w:usb2="00000010" w:usb3="00000000" w:csb0="00040000" w:csb1="00000000"/>
  </w:font>
  <w:font w:name="Courier">
    <w:panose1 w:val="02060409020205020404"/>
    <w:charset w:val="00"/>
    <w:family w:val="modern"/>
    <w:pitch w:val="default"/>
    <w:sig w:usb0="00000007" w:usb1="00000000" w:usb2="00000000" w:usb3="00000000" w:csb0="00000093" w:csb1="00000000"/>
  </w:font>
  <w:font w:name="PMingLiU">
    <w:panose1 w:val="02020500000000000000"/>
    <w:charset w:val="88"/>
    <w:family w:val="roman"/>
    <w:pitch w:val="default"/>
    <w:sig w:usb0="A00002FF" w:usb1="28CFFCFA" w:usb2="00000016" w:usb3="00000000" w:csb0="00100001" w:csb1="00000000"/>
  </w:font>
  <w:font w:name="MS Mincho">
    <w:panose1 w:val="02020609040205080304"/>
    <w:charset w:val="80"/>
    <w:family w:val="modern"/>
    <w:pitch w:val="default"/>
    <w:sig w:usb0="E00002FF" w:usb1="6AC7FDFB" w:usb2="00000012"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方正仿宋_GBK">
    <w:altName w:val="宋体"/>
    <w:panose1 w:val="00000000000000000000"/>
    <w:charset w:val="86"/>
    <w:family w:val="script"/>
    <w:pitch w:val="default"/>
    <w:sig w:usb0="00000000" w:usb1="00000000" w:usb2="00000010" w:usb3="00000000" w:csb0="00040000" w:csb1="00000000"/>
  </w:font>
  <w:font w:name="Fang Song">
    <w:altName w:val="黑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2FF" w:usb1="42002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jc w:val="center"/>
      <w:rPr>
        <w:rFonts w:hint="eastAsia"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AAE8kBAACZ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4AATyQEAAJkDAAAOAAAAAAAAAAEAIAAAAB4BAABkcnMvZTJvRG9j&#10;LnhtbFBLBQYAAAAABgAGAFkBAABZBQAAAAA=&#10;">
              <v:fill on="f" focussize="0,0"/>
              <v:stroke on="f"/>
              <v:imagedata o:title=""/>
              <o:lock v:ext="edit" aspectratio="f"/>
              <v:textbox inset="0mm,0mm,0mm,0mm" style="mso-fit-shape-to-text:t;">
                <w:txbxContent>
                  <w:p>
                    <w:pPr>
                      <w:pStyle w:val="54"/>
                    </w:pPr>
                    <w:r>
                      <w:fldChar w:fldCharType="begin"/>
                    </w:r>
                    <w:r>
                      <w:instrText xml:space="preserve"> PAGE  \* MERGEFORMAT </w:instrText>
                    </w:r>
                    <w:r>
                      <w:fldChar w:fldCharType="separate"/>
                    </w:r>
                    <w:r>
                      <w:t>1</w:t>
                    </w:r>
                    <w:r>
                      <w:fldChar w:fldCharType="end"/>
                    </w:r>
                  </w:p>
                </w:txbxContent>
              </v:textbox>
            </v:shape>
          </w:pict>
        </mc:Fallback>
      </mc:AlternateContent>
    </w:r>
  </w:p>
  <w:p>
    <w:pPr>
      <w:pStyle w:val="5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4"/>
                          </w:pPr>
                          <w:r>
                            <w:fldChar w:fldCharType="begin"/>
                          </w:r>
                          <w:r>
                            <w:instrText xml:space="preserve"> PAGE  \* MERGEFORMAT </w:instrText>
                          </w:r>
                          <w:r>
                            <w:fldChar w:fldCharType="separate"/>
                          </w:r>
                          <w:r>
                            <w:t>- 90 -</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lUKcgBAACZ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cWxO25x4OefP86/Hs8P38mb&#10;LE8foMasu4B5aXjvB1ya2Q/ozKwHFW3+Ih+CcRT3dBFXDomI/Gi1XK0qDAmMzRfEZ0/PQ4T0QXpL&#10;stHQiNMrovLjJ0hj6pySqzl/q40pEzTuLwdiZg/LvY89ZisNu2EitPPtCfn0OPiGOtxzSsxHh7rm&#10;HZmNOBu72TiEqPddWaJcD8K7Q8ImSm+5wgg7FcaJFXbTduWV+PNesp7+q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NnJVCnIAQAAmQMAAA4AAAAAAAAAAQAgAAAAHgEAAGRycy9lMm9Eb2Mu&#10;eG1sUEsFBgAAAAAGAAYAWQEAAFgFAAAAAA==&#10;">
              <v:fill on="f" focussize="0,0"/>
              <v:stroke on="f"/>
              <v:imagedata o:title=""/>
              <o:lock v:ext="edit" aspectratio="f"/>
              <v:textbox inset="0mm,0mm,0mm,0mm" style="mso-fit-shape-to-text:t;">
                <w:txbxContent>
                  <w:p>
                    <w:pPr>
                      <w:pStyle w:val="54"/>
                    </w:pPr>
                    <w:r>
                      <w:fldChar w:fldCharType="begin"/>
                    </w:r>
                    <w:r>
                      <w:instrText xml:space="preserve"> PAGE  \* MERGEFORMAT </w:instrText>
                    </w:r>
                    <w:r>
                      <w:fldChar w:fldCharType="separate"/>
                    </w:r>
                    <w:r>
                      <w:t>- 90 -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rPr>
        <w:rFonts w:hint="eastAsia" w:eastAsia="宋体"/>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5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eastAsia="宋体"/>
        <w:lang w:eastAsia="zh-CN"/>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26"/>
      <w:lvlText w:val="%1."/>
      <w:lvlJc w:val="left"/>
      <w:pPr>
        <w:tabs>
          <w:tab w:val="left" w:pos="780"/>
        </w:tabs>
        <w:ind w:left="780" w:hanging="360"/>
      </w:pPr>
      <w:rPr>
        <w:rFonts w:cs="Times New Roman"/>
      </w:rPr>
    </w:lvl>
  </w:abstractNum>
  <w:abstractNum w:abstractNumId="1">
    <w:nsid w:val="00000001"/>
    <w:multiLevelType w:val="multilevel"/>
    <w:tmpl w:val="00000001"/>
    <w:lvl w:ilvl="0" w:tentative="0">
      <w:start w:val="1"/>
      <w:numFmt w:val="decimalEnclosedCircle"/>
      <w:pStyle w:val="322"/>
      <w:lvlText w:val="%1"/>
      <w:lvlJc w:val="left"/>
      <w:pPr>
        <w:ind w:left="360" w:hanging="360"/>
      </w:pPr>
      <w:rPr>
        <w:rFonts w:hint="default" w:ascii="宋体" w:eastAsia="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00000005"/>
    <w:multiLevelType w:val="multilevel"/>
    <w:tmpl w:val="00000005"/>
    <w:lvl w:ilvl="0" w:tentative="0">
      <w:start w:val="1"/>
      <w:numFmt w:val="decimalEnclosedCircle"/>
      <w:pStyle w:val="1147"/>
      <w:lvlText w:val="%1"/>
      <w:lvlJc w:val="left"/>
      <w:pPr>
        <w:ind w:left="360" w:hanging="360"/>
      </w:pPr>
      <w:rPr>
        <w:rFonts w:hint="default" w:ascii="宋体" w:eastAsia="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00000016"/>
    <w:multiLevelType w:val="multilevel"/>
    <w:tmpl w:val="00000016"/>
    <w:lvl w:ilvl="0" w:tentative="0">
      <w:start w:val="1"/>
      <w:numFmt w:val="decimal"/>
      <w:pStyle w:val="866"/>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01D31CB4"/>
    <w:multiLevelType w:val="multilevel"/>
    <w:tmpl w:val="01D31CB4"/>
    <w:lvl w:ilvl="0" w:tentative="0">
      <w:start w:val="1"/>
      <w:numFmt w:val="decimal"/>
      <w:pStyle w:val="1189"/>
      <w:lvlText w:val="表7.2 -%1"/>
      <w:lvlJc w:val="center"/>
      <w:pPr>
        <w:tabs>
          <w:tab w:val="left" w:pos="726"/>
        </w:tabs>
        <w:ind w:left="2" w:firstLine="4"/>
      </w:pPr>
      <w:rPr>
        <w:rFonts w:hint="default" w:ascii="Times New Roman" w:hAnsi="Times New Roman" w:cs="Times New Roman"/>
        <w:b/>
        <w:i w:val="0"/>
        <w:sz w:val="24"/>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02E7176C"/>
    <w:multiLevelType w:val="singleLevel"/>
    <w:tmpl w:val="02E7176C"/>
    <w:lvl w:ilvl="0" w:tentative="0">
      <w:start w:val="1"/>
      <w:numFmt w:val="bullet"/>
      <w:pStyle w:val="1080"/>
      <w:lvlText w:val=""/>
      <w:lvlJc w:val="left"/>
      <w:pPr>
        <w:tabs>
          <w:tab w:val="left" w:pos="504"/>
        </w:tabs>
        <w:ind w:left="72" w:firstLine="72"/>
      </w:pPr>
      <w:rPr>
        <w:rFonts w:hint="default" w:ascii="Wingdings" w:hAnsi="Wingdings"/>
        <w:spacing w:val="0"/>
        <w:w w:val="100"/>
        <w:kern w:val="0"/>
        <w:position w:val="0"/>
        <w:sz w:val="28"/>
      </w:rPr>
    </w:lvl>
  </w:abstractNum>
  <w:abstractNum w:abstractNumId="6">
    <w:nsid w:val="0BBD0933"/>
    <w:multiLevelType w:val="multilevel"/>
    <w:tmpl w:val="0BBD0933"/>
    <w:lvl w:ilvl="0" w:tentative="0">
      <w:start w:val="4"/>
      <w:numFmt w:val="decimal"/>
      <w:pStyle w:val="1245"/>
      <w:suff w:val="space"/>
      <w:lvlText w:val="%1"/>
      <w:lvlJc w:val="left"/>
      <w:rPr>
        <w:rFonts w:hint="eastAsia" w:ascii="黑体" w:eastAsia="黑体" w:cs="Times New Roman"/>
        <w:b w:val="0"/>
        <w:bCs w:val="0"/>
        <w:i w:val="0"/>
        <w:iCs w:val="0"/>
        <w:color w:val="auto"/>
        <w:sz w:val="28"/>
        <w:szCs w:val="28"/>
      </w:rPr>
    </w:lvl>
    <w:lvl w:ilvl="1" w:tentative="0">
      <w:start w:val="1"/>
      <w:numFmt w:val="decimal"/>
      <w:suff w:val="space"/>
      <w:lvlText w:val="%1.%2"/>
      <w:lvlJc w:val="left"/>
      <w:rPr>
        <w:rFonts w:hint="eastAsia" w:ascii="黑体" w:eastAsia="黑体" w:cs="Times New Roman"/>
        <w:b w:val="0"/>
        <w:bCs w:val="0"/>
        <w:i w:val="0"/>
        <w:iCs w:val="0"/>
        <w:color w:val="auto"/>
        <w:sz w:val="28"/>
        <w:szCs w:val="28"/>
      </w:rPr>
    </w:lvl>
    <w:lvl w:ilvl="2" w:tentative="0">
      <w:start w:val="1"/>
      <w:numFmt w:val="decimal"/>
      <w:suff w:val="space"/>
      <w:lvlText w:val="%1.%2.%3"/>
      <w:lvlJc w:val="left"/>
      <w:rPr>
        <w:rFonts w:hint="eastAsia" w:ascii="宋体" w:eastAsia="宋体" w:cs="Times New Roman"/>
        <w:b w:val="0"/>
        <w:bCs w:val="0"/>
        <w:i w:val="0"/>
        <w:iCs w:val="0"/>
        <w:color w:val="auto"/>
        <w:sz w:val="28"/>
        <w:szCs w:val="28"/>
      </w:rPr>
    </w:lvl>
    <w:lvl w:ilvl="3" w:tentative="0">
      <w:start w:val="1"/>
      <w:numFmt w:val="decimal"/>
      <w:suff w:val="space"/>
      <w:lvlText w:val="%1.%2.%3.%4"/>
      <w:lvlJc w:val="left"/>
      <w:rPr>
        <w:rFonts w:hint="eastAsia" w:ascii="宋体" w:hAnsi="Arial" w:eastAsia="宋体" w:cs="Times New Roman"/>
        <w:b w:val="0"/>
        <w:bCs w:val="0"/>
        <w:i w:val="0"/>
        <w:iCs w:val="0"/>
        <w:color w:val="auto"/>
        <w:sz w:val="28"/>
        <w:szCs w:val="28"/>
      </w:rPr>
    </w:lvl>
    <w:lvl w:ilvl="4" w:tentative="0">
      <w:start w:val="1"/>
      <w:numFmt w:val="decimal"/>
      <w:suff w:val="space"/>
      <w:lvlText w:val="%5)"/>
      <w:lvlJc w:val="left"/>
      <w:pPr>
        <w:ind w:firstLine="567"/>
      </w:pPr>
      <w:rPr>
        <w:rFonts w:hint="eastAsia" w:ascii="宋体" w:hAnsi="Times New Roman" w:eastAsia="宋体" w:cs="Times New Roman"/>
        <w:b w:val="0"/>
        <w:bCs w:val="0"/>
        <w:i w:val="0"/>
        <w:iCs w:val="0"/>
        <w:sz w:val="28"/>
        <w:szCs w:val="28"/>
      </w:rPr>
    </w:lvl>
    <w:lvl w:ilvl="5" w:tentative="0">
      <w:start w:val="1"/>
      <w:numFmt w:val="decimal"/>
      <w:suff w:val="space"/>
      <w:lvlText w:val="(%6)"/>
      <w:lvlJc w:val="left"/>
      <w:pPr>
        <w:ind w:left="-102" w:firstLine="567"/>
      </w:pPr>
      <w:rPr>
        <w:rFonts w:hint="eastAsia" w:ascii="宋体" w:eastAsia="宋体" w:cs="Times New Roman"/>
        <w:b w:val="0"/>
        <w:bCs w:val="0"/>
        <w:i w:val="0"/>
        <w:iCs w:val="0"/>
        <w:sz w:val="28"/>
        <w:szCs w:val="28"/>
      </w:rPr>
    </w:lvl>
    <w:lvl w:ilvl="6" w:tentative="0">
      <w:start w:val="1"/>
      <w:numFmt w:val="decimal"/>
      <w:lvlText w:val="%1.%2.%3.%4.%5.%6.%7"/>
      <w:lvlJc w:val="left"/>
      <w:pPr>
        <w:tabs>
          <w:tab w:val="left" w:pos="396"/>
        </w:tabs>
        <w:ind w:left="396" w:hanging="1296"/>
      </w:pPr>
      <w:rPr>
        <w:rFonts w:hint="eastAsia" w:cs="Times New Roman"/>
      </w:rPr>
    </w:lvl>
    <w:lvl w:ilvl="7" w:tentative="0">
      <w:start w:val="1"/>
      <w:numFmt w:val="decimal"/>
      <w:lvlText w:val="%1.%2.%3.%4.%5.%6.%7.%8"/>
      <w:lvlJc w:val="left"/>
      <w:pPr>
        <w:tabs>
          <w:tab w:val="left" w:pos="540"/>
        </w:tabs>
        <w:ind w:left="540" w:hanging="1440"/>
      </w:pPr>
      <w:rPr>
        <w:rFonts w:hint="eastAsia" w:cs="Times New Roman"/>
      </w:rPr>
    </w:lvl>
    <w:lvl w:ilvl="8" w:tentative="0">
      <w:start w:val="1"/>
      <w:numFmt w:val="decimal"/>
      <w:lvlText w:val="%1.%2.%3.%4.%5.%6.%7.%8.%9"/>
      <w:lvlJc w:val="left"/>
      <w:pPr>
        <w:tabs>
          <w:tab w:val="left" w:pos="684"/>
        </w:tabs>
        <w:ind w:left="684" w:hanging="1584"/>
      </w:pPr>
      <w:rPr>
        <w:rFonts w:hint="eastAsia" w:cs="Times New Roman"/>
      </w:rPr>
    </w:lvl>
  </w:abstractNum>
  <w:abstractNum w:abstractNumId="7">
    <w:nsid w:val="1E9F78A5"/>
    <w:multiLevelType w:val="multilevel"/>
    <w:tmpl w:val="1E9F78A5"/>
    <w:lvl w:ilvl="0" w:tentative="0">
      <w:start w:val="1"/>
      <w:numFmt w:val="decimal"/>
      <w:pStyle w:val="1122"/>
      <w:lvlText w:val="%1."/>
      <w:lvlJc w:val="left"/>
      <w:pPr>
        <w:tabs>
          <w:tab w:val="left" w:pos="420"/>
        </w:tabs>
        <w:ind w:left="420" w:hanging="420"/>
      </w:pPr>
      <w:rPr>
        <w:rFonts w:hint="eastAsia" w:cs="Times New Roman"/>
      </w:rPr>
    </w:lvl>
    <w:lvl w:ilvl="1" w:tentative="0">
      <w:start w:val="1"/>
      <w:numFmt w:val="decimal"/>
      <w:lvlText w:val="（%2）"/>
      <w:lvlJc w:val="left"/>
      <w:pPr>
        <w:tabs>
          <w:tab w:val="left" w:pos="1710"/>
        </w:tabs>
        <w:ind w:left="1710" w:hanging="1290"/>
      </w:pPr>
      <w:rPr>
        <w:rFonts w:hint="default" w:cs="Times New Roman"/>
        <w:b/>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3460236C"/>
    <w:multiLevelType w:val="singleLevel"/>
    <w:tmpl w:val="3460236C"/>
    <w:lvl w:ilvl="0" w:tentative="0">
      <w:start w:val="2"/>
      <w:numFmt w:val="decimal"/>
      <w:suff w:val="nothing"/>
      <w:lvlText w:val="（%1）"/>
      <w:lvlJc w:val="left"/>
    </w:lvl>
  </w:abstractNum>
  <w:abstractNum w:abstractNumId="9">
    <w:nsid w:val="37660A18"/>
    <w:multiLevelType w:val="multilevel"/>
    <w:tmpl w:val="37660A18"/>
    <w:lvl w:ilvl="0" w:tentative="0">
      <w:start w:val="1"/>
      <w:numFmt w:val="decimal"/>
      <w:pStyle w:val="1244"/>
      <w:lvlText w:val="%1"/>
      <w:lvlJc w:val="left"/>
      <w:pPr>
        <w:ind w:left="425" w:hanging="425"/>
      </w:pPr>
      <w:rPr>
        <w:rFonts w:hint="default" w:ascii="Times New Roman" w:hAnsi="Times New Roman" w:cs="Times New Roman"/>
      </w:rPr>
    </w:lvl>
    <w:lvl w:ilvl="1" w:tentative="0">
      <w:start w:val="1"/>
      <w:numFmt w:val="decimal"/>
      <w:pStyle w:val="1094"/>
      <w:lvlText w:val="%1.%2"/>
      <w:lvlJc w:val="left"/>
      <w:pPr>
        <w:ind w:left="992" w:hanging="567"/>
      </w:pPr>
      <w:rPr>
        <w:rFonts w:cs="Times New Roman"/>
      </w:rPr>
    </w:lvl>
    <w:lvl w:ilvl="2" w:tentative="0">
      <w:start w:val="1"/>
      <w:numFmt w:val="decimal"/>
      <w:pStyle w:val="328"/>
      <w:lvlText w:val="%1.%2.%3"/>
      <w:lvlJc w:val="left"/>
      <w:pPr>
        <w:ind w:left="1418" w:hanging="567"/>
      </w:pPr>
      <w:rPr>
        <w:rFonts w:cs="Times New Roman"/>
      </w:rPr>
    </w:lvl>
    <w:lvl w:ilvl="3" w:tentative="0">
      <w:start w:val="1"/>
      <w:numFmt w:val="decimal"/>
      <w:pStyle w:val="880"/>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4"/>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10">
    <w:nsid w:val="37A04360"/>
    <w:multiLevelType w:val="multilevel"/>
    <w:tmpl w:val="37A04360"/>
    <w:lvl w:ilvl="0" w:tentative="0">
      <w:start w:val="1"/>
      <w:numFmt w:val="decimal"/>
      <w:pStyle w:val="683"/>
      <w:lvlText w:val="表1.11-%1"/>
      <w:lvlJc w:val="center"/>
      <w:pPr>
        <w:tabs>
          <w:tab w:val="left" w:pos="2444"/>
        </w:tabs>
        <w:ind w:left="1720" w:firstLine="4"/>
      </w:pPr>
      <w:rPr>
        <w:rFonts w:hint="default" w:ascii="Times New Roman" w:hAnsi="Times New Roman" w:cs="Times New Roman"/>
        <w:b/>
        <w:i w:val="0"/>
        <w:sz w:val="24"/>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3A9076B2"/>
    <w:multiLevelType w:val="multilevel"/>
    <w:tmpl w:val="3A9076B2"/>
    <w:lvl w:ilvl="0" w:tentative="0">
      <w:start w:val="2"/>
      <w:numFmt w:val="decimal"/>
      <w:lvlText w:val="%1、"/>
      <w:lvlJc w:val="left"/>
      <w:pPr>
        <w:tabs>
          <w:tab w:val="left" w:pos="929"/>
        </w:tabs>
        <w:ind w:left="929"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pStyle w:val="972"/>
      <w:lvlText w:val="%4."/>
      <w:lvlJc w:val="left"/>
      <w:pPr>
        <w:tabs>
          <w:tab w:val="left" w:pos="2249"/>
        </w:tabs>
        <w:ind w:left="2249" w:hanging="42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2">
    <w:nsid w:val="44B17BF9"/>
    <w:multiLevelType w:val="multilevel"/>
    <w:tmpl w:val="44B17BF9"/>
    <w:lvl w:ilvl="0" w:tentative="0">
      <w:start w:val="1"/>
      <w:numFmt w:val="decimal"/>
      <w:suff w:val="nothing"/>
      <w:lvlText w:val="%1"/>
      <w:lvlJc w:val="left"/>
      <w:rPr>
        <w:rFonts w:hint="eastAsia" w:cs="Times New Roman"/>
      </w:rPr>
    </w:lvl>
    <w:lvl w:ilvl="1" w:tentative="0">
      <w:start w:val="1"/>
      <w:numFmt w:val="lowerLetter"/>
      <w:lvlText w:val="%2)"/>
      <w:lvlJc w:val="left"/>
      <w:pPr>
        <w:ind w:left="697" w:hanging="420"/>
      </w:pPr>
      <w:rPr>
        <w:rFonts w:cs="Times New Roman"/>
      </w:rPr>
    </w:lvl>
    <w:lvl w:ilvl="2" w:tentative="0">
      <w:start w:val="1"/>
      <w:numFmt w:val="lowerRoman"/>
      <w:lvlText w:val="%3."/>
      <w:lvlJc w:val="right"/>
      <w:pPr>
        <w:ind w:left="1117" w:hanging="420"/>
      </w:pPr>
      <w:rPr>
        <w:rFonts w:cs="Times New Roman"/>
      </w:rPr>
    </w:lvl>
    <w:lvl w:ilvl="3" w:tentative="0">
      <w:start w:val="1"/>
      <w:numFmt w:val="decimal"/>
      <w:lvlText w:val="%4."/>
      <w:lvlJc w:val="left"/>
      <w:pPr>
        <w:ind w:left="1537" w:hanging="420"/>
      </w:pPr>
      <w:rPr>
        <w:rFonts w:cs="Times New Roman"/>
      </w:rPr>
    </w:lvl>
    <w:lvl w:ilvl="4" w:tentative="0">
      <w:start w:val="1"/>
      <w:numFmt w:val="lowerLetter"/>
      <w:lvlText w:val="%5)"/>
      <w:lvlJc w:val="left"/>
      <w:pPr>
        <w:ind w:left="1957" w:hanging="420"/>
      </w:pPr>
      <w:rPr>
        <w:rFonts w:cs="Times New Roman"/>
      </w:rPr>
    </w:lvl>
    <w:lvl w:ilvl="5" w:tentative="0">
      <w:start w:val="1"/>
      <w:numFmt w:val="lowerRoman"/>
      <w:lvlText w:val="%6."/>
      <w:lvlJc w:val="right"/>
      <w:pPr>
        <w:ind w:left="2377" w:hanging="420"/>
      </w:pPr>
      <w:rPr>
        <w:rFonts w:cs="Times New Roman"/>
      </w:rPr>
    </w:lvl>
    <w:lvl w:ilvl="6" w:tentative="0">
      <w:start w:val="1"/>
      <w:numFmt w:val="decimal"/>
      <w:lvlText w:val="%7."/>
      <w:lvlJc w:val="left"/>
      <w:pPr>
        <w:ind w:left="2797" w:hanging="420"/>
      </w:pPr>
      <w:rPr>
        <w:rFonts w:cs="Times New Roman"/>
      </w:rPr>
    </w:lvl>
    <w:lvl w:ilvl="7" w:tentative="0">
      <w:start w:val="1"/>
      <w:numFmt w:val="lowerLetter"/>
      <w:lvlText w:val="%8)"/>
      <w:lvlJc w:val="left"/>
      <w:pPr>
        <w:ind w:left="3217" w:hanging="420"/>
      </w:pPr>
      <w:rPr>
        <w:rFonts w:cs="Times New Roman"/>
      </w:rPr>
    </w:lvl>
    <w:lvl w:ilvl="8" w:tentative="0">
      <w:start w:val="1"/>
      <w:numFmt w:val="lowerRoman"/>
      <w:lvlText w:val="%9."/>
      <w:lvlJc w:val="right"/>
      <w:pPr>
        <w:ind w:left="3637" w:hanging="420"/>
      </w:pPr>
      <w:rPr>
        <w:rFonts w:cs="Times New Roman"/>
      </w:rPr>
    </w:lvl>
  </w:abstractNum>
  <w:abstractNum w:abstractNumId="13">
    <w:nsid w:val="47071C76"/>
    <w:multiLevelType w:val="multilevel"/>
    <w:tmpl w:val="47071C76"/>
    <w:lvl w:ilvl="0" w:tentative="0">
      <w:start w:val="1"/>
      <w:numFmt w:val="decimal"/>
      <w:lvlText w:val="%1"/>
      <w:lvlJc w:val="left"/>
      <w:pPr>
        <w:tabs>
          <w:tab w:val="left" w:pos="360"/>
        </w:tabs>
      </w:pPr>
      <w:rPr>
        <w:rFonts w:hint="eastAsia" w:ascii="仿宋_GB2312" w:eastAsia="仿宋_GB2312" w:cs="Times New Roman"/>
        <w:b/>
        <w:i w:val="0"/>
        <w:sz w:val="32"/>
      </w:rPr>
    </w:lvl>
    <w:lvl w:ilvl="1" w:tentative="0">
      <w:start w:val="1"/>
      <w:numFmt w:val="decimal"/>
      <w:pStyle w:val="1091"/>
      <w:lvlText w:val="%1.%2"/>
      <w:lvlJc w:val="left"/>
      <w:pPr>
        <w:tabs>
          <w:tab w:val="left" w:pos="720"/>
        </w:tabs>
      </w:pPr>
      <w:rPr>
        <w:rFonts w:hint="eastAsia" w:ascii="仿宋_GB2312" w:eastAsia="仿宋_GB2312" w:cs="Times New Roman"/>
        <w:b/>
        <w:i w:val="0"/>
        <w:sz w:val="30"/>
      </w:rPr>
    </w:lvl>
    <w:lvl w:ilvl="2" w:tentative="0">
      <w:start w:val="1"/>
      <w:numFmt w:val="none"/>
      <w:lvlText w:val="1.%21"/>
      <w:lvlJc w:val="left"/>
      <w:pPr>
        <w:tabs>
          <w:tab w:val="left" w:pos="1080"/>
        </w:tabs>
      </w:pPr>
      <w:rPr>
        <w:rFonts w:hint="eastAsia" w:ascii="仿宋_GB2312" w:eastAsia="仿宋_GB2312" w:cs="Times New Roman"/>
        <w:b w:val="0"/>
        <w:i w:val="0"/>
        <w:sz w:val="28"/>
      </w:rPr>
    </w:lvl>
    <w:lvl w:ilvl="3" w:tentative="0">
      <w:start w:val="1"/>
      <w:numFmt w:val="decimal"/>
      <w:lvlRestart w:val="0"/>
      <w:isLgl/>
      <w:lvlText w:val="%1.%2.%3.%4"/>
      <w:lvlJc w:val="left"/>
      <w:pPr>
        <w:tabs>
          <w:tab w:val="left" w:pos="1440"/>
        </w:tabs>
      </w:pPr>
      <w:rPr>
        <w:rFonts w:hint="eastAsia" w:ascii="仿宋_GB2312" w:eastAsia="仿宋_GB2312" w:cs="Times New Roman"/>
        <w:b w:val="0"/>
        <w:i w:val="0"/>
        <w:sz w:val="28"/>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4">
    <w:nsid w:val="4A0F785E"/>
    <w:multiLevelType w:val="multilevel"/>
    <w:tmpl w:val="4A0F785E"/>
    <w:lvl w:ilvl="0" w:tentative="0">
      <w:start w:val="1"/>
      <w:numFmt w:val="decimal"/>
      <w:lvlText w:val="%1、"/>
      <w:lvlJc w:val="left"/>
      <w:pPr>
        <w:ind w:left="857" w:hanging="375"/>
      </w:pPr>
      <w:rPr>
        <w:rFonts w:hint="default"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5">
    <w:nsid w:val="5089670E"/>
    <w:multiLevelType w:val="multilevel"/>
    <w:tmpl w:val="5089670E"/>
    <w:lvl w:ilvl="0" w:tentative="0">
      <w:start w:val="1"/>
      <w:numFmt w:val="decimal"/>
      <w:suff w:val="space"/>
      <w:lvlText w:val="%1"/>
      <w:lvlJc w:val="left"/>
      <w:pPr>
        <w:ind w:left="140"/>
      </w:pPr>
      <w:rPr>
        <w:rFonts w:hint="eastAsia" w:ascii="黑体" w:eastAsia="黑体" w:cs="Times New Roman"/>
        <w:b w:val="0"/>
        <w:bCs w:val="0"/>
        <w:i w:val="0"/>
        <w:iCs w:val="0"/>
        <w:color w:val="auto"/>
        <w:sz w:val="28"/>
        <w:szCs w:val="28"/>
      </w:rPr>
    </w:lvl>
    <w:lvl w:ilvl="1" w:tentative="0">
      <w:start w:val="1"/>
      <w:numFmt w:val="decimal"/>
      <w:suff w:val="space"/>
      <w:lvlText w:val="%1.%2"/>
      <w:lvlJc w:val="left"/>
      <w:pPr>
        <w:ind w:left="4962"/>
      </w:pPr>
      <w:rPr>
        <w:rFonts w:hint="eastAsia" w:ascii="黑体" w:eastAsia="黑体" w:cs="Times New Roman"/>
        <w:b w:val="0"/>
        <w:bCs w:val="0"/>
        <w:i w:val="0"/>
        <w:iCs w:val="0"/>
        <w:caps w:val="0"/>
        <w:smallCaps w:val="0"/>
        <w:strike w:val="0"/>
        <w:dstrike w:val="0"/>
        <w:vanish w:val="0"/>
        <w:color w:val="000000"/>
        <w:spacing w:val="0"/>
        <w:position w:val="0"/>
        <w:sz w:val="28"/>
        <w:szCs w:val="28"/>
        <w:u w:val="none"/>
        <w:vertAlign w:val="baseline"/>
      </w:rPr>
    </w:lvl>
    <w:lvl w:ilvl="2" w:tentative="0">
      <w:start w:val="1"/>
      <w:numFmt w:val="decimal"/>
      <w:suff w:val="space"/>
      <w:lvlText w:val="%1.%2.%3"/>
      <w:lvlJc w:val="left"/>
      <w:pPr>
        <w:ind w:left="700"/>
      </w:pPr>
      <w:rPr>
        <w:rFonts w:hint="eastAsia" w:ascii="宋体" w:eastAsia="宋体" w:cs="Times New Roman"/>
        <w:b w:val="0"/>
        <w:bCs w:val="0"/>
        <w:i w:val="0"/>
        <w:iCs w:val="0"/>
        <w:caps w:val="0"/>
        <w:smallCaps w:val="0"/>
        <w:strike w:val="0"/>
        <w:color w:val="auto"/>
        <w:spacing w:val="0"/>
        <w:sz w:val="28"/>
        <w:szCs w:val="28"/>
        <w:u w:val="none"/>
      </w:rPr>
    </w:lvl>
    <w:lvl w:ilvl="3" w:tentative="0">
      <w:start w:val="1"/>
      <w:numFmt w:val="decimal"/>
      <w:suff w:val="space"/>
      <w:lvlText w:val="%1.%2.%3.%4"/>
      <w:lvlJc w:val="left"/>
      <w:rPr>
        <w:rFonts w:hint="eastAsia" w:ascii="宋体" w:hAnsi="Arial" w:eastAsia="宋体" w:cs="Times New Roman"/>
        <w:b w:val="0"/>
        <w:bCs w:val="0"/>
        <w:i w:val="0"/>
        <w:iCs w:val="0"/>
        <w:color w:val="auto"/>
        <w:sz w:val="28"/>
        <w:szCs w:val="28"/>
      </w:rPr>
    </w:lvl>
    <w:lvl w:ilvl="4" w:tentative="0">
      <w:start w:val="1"/>
      <w:numFmt w:val="decimal"/>
      <w:pStyle w:val="593"/>
      <w:suff w:val="space"/>
      <w:lvlText w:val="%5)"/>
      <w:lvlJc w:val="left"/>
      <w:pPr>
        <w:ind w:left="-567" w:firstLine="567"/>
      </w:pPr>
      <w:rPr>
        <w:rFonts w:hint="eastAsia" w:ascii="宋体" w:eastAsia="宋体" w:cs="Times New Roman"/>
        <w:b w:val="0"/>
        <w:i w:val="0"/>
        <w:sz w:val="28"/>
        <w:szCs w:val="28"/>
      </w:rPr>
    </w:lvl>
    <w:lvl w:ilvl="5" w:tentative="0">
      <w:start w:val="1"/>
      <w:numFmt w:val="decimal"/>
      <w:suff w:val="space"/>
      <w:lvlText w:val="(%6)"/>
      <w:lvlJc w:val="left"/>
      <w:pPr>
        <w:ind w:left="-427" w:firstLine="567"/>
      </w:pPr>
      <w:rPr>
        <w:rFonts w:hint="eastAsia" w:ascii="宋体" w:eastAsia="宋体" w:cs="Times New Roman"/>
        <w:b w:val="0"/>
        <w:bCs w:val="0"/>
        <w:i w:val="0"/>
        <w:iCs w:val="0"/>
        <w:sz w:val="28"/>
        <w:szCs w:val="28"/>
      </w:rPr>
    </w:lvl>
    <w:lvl w:ilvl="6" w:tentative="0">
      <w:start w:val="1"/>
      <w:numFmt w:val="decimal"/>
      <w:lvlText w:val="%1.%2.%3.%4.%5.%6.%7"/>
      <w:lvlJc w:val="left"/>
      <w:pPr>
        <w:tabs>
          <w:tab w:val="left" w:pos="936"/>
        </w:tabs>
        <w:ind w:left="936" w:hanging="1296"/>
      </w:pPr>
      <w:rPr>
        <w:rFonts w:hint="eastAsia" w:cs="Times New Roman"/>
      </w:rPr>
    </w:lvl>
    <w:lvl w:ilvl="7" w:tentative="0">
      <w:start w:val="1"/>
      <w:numFmt w:val="decimal"/>
      <w:lvlText w:val="%1.%2.%3.%4.%5.%6.%7.%8"/>
      <w:lvlJc w:val="left"/>
      <w:pPr>
        <w:tabs>
          <w:tab w:val="left" w:pos="1080"/>
        </w:tabs>
        <w:ind w:left="1080" w:hanging="1440"/>
      </w:pPr>
      <w:rPr>
        <w:rFonts w:hint="eastAsia" w:cs="Times New Roman"/>
      </w:rPr>
    </w:lvl>
    <w:lvl w:ilvl="8" w:tentative="0">
      <w:start w:val="1"/>
      <w:numFmt w:val="decimal"/>
      <w:lvlText w:val="%1.%2.%3.%4.%5.%6.%7.%8.%9"/>
      <w:lvlJc w:val="left"/>
      <w:pPr>
        <w:tabs>
          <w:tab w:val="left" w:pos="1224"/>
        </w:tabs>
        <w:ind w:left="1224" w:hanging="1584"/>
      </w:pPr>
      <w:rPr>
        <w:rFonts w:hint="eastAsia" w:cs="Times New Roman"/>
      </w:rPr>
    </w:lvl>
  </w:abstractNum>
  <w:abstractNum w:abstractNumId="16">
    <w:nsid w:val="557C2AF5"/>
    <w:multiLevelType w:val="multilevel"/>
    <w:tmpl w:val="557C2AF5"/>
    <w:lvl w:ilvl="0" w:tentative="0">
      <w:start w:val="1"/>
      <w:numFmt w:val="decimal"/>
      <w:pStyle w:val="642"/>
      <w:suff w:val="nothing"/>
      <w:lvlText w:val="图%1　"/>
      <w:lvlJc w:val="left"/>
      <w:rPr>
        <w:rFonts w:hint="eastAsia" w:ascii="黑体"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7">
    <w:nsid w:val="646260FA"/>
    <w:multiLevelType w:val="multilevel"/>
    <w:tmpl w:val="646260FA"/>
    <w:lvl w:ilvl="0" w:tentative="0">
      <w:start w:val="1"/>
      <w:numFmt w:val="decimal"/>
      <w:pStyle w:val="939"/>
      <w:suff w:val="nothing"/>
      <w:lvlText w:val="表%1　"/>
      <w:lvlJc w:val="left"/>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8">
    <w:nsid w:val="766D7B15"/>
    <w:multiLevelType w:val="multilevel"/>
    <w:tmpl w:val="766D7B15"/>
    <w:lvl w:ilvl="0" w:tentative="0">
      <w:start w:val="1"/>
      <w:numFmt w:val="decimal"/>
      <w:pStyle w:val="284"/>
      <w:lvlText w:val="%1"/>
      <w:lvlJc w:val="left"/>
      <w:pPr>
        <w:tabs>
          <w:tab w:val="left" w:pos="425"/>
        </w:tabs>
        <w:ind w:left="425" w:hanging="425"/>
      </w:pPr>
      <w:rPr>
        <w:rFonts w:hint="eastAsia" w:cs="Times New Roman"/>
      </w:rPr>
    </w:lvl>
    <w:lvl w:ilvl="1" w:tentative="0">
      <w:start w:val="1"/>
      <w:numFmt w:val="decimal"/>
      <w:lvlText w:val="%1.%2"/>
      <w:lvlJc w:val="left"/>
      <w:pPr>
        <w:tabs>
          <w:tab w:val="left" w:pos="1865"/>
        </w:tabs>
        <w:ind w:left="992" w:hanging="567"/>
      </w:pPr>
      <w:rPr>
        <w:rFonts w:hint="eastAsia" w:cs="Times New Roman"/>
      </w:rPr>
    </w:lvl>
    <w:lvl w:ilvl="2" w:tentative="0">
      <w:start w:val="1"/>
      <w:numFmt w:val="decimal"/>
      <w:lvlText w:val="%1.%2.%3"/>
      <w:lvlJc w:val="left"/>
      <w:pPr>
        <w:tabs>
          <w:tab w:val="left" w:pos="3011"/>
        </w:tabs>
        <w:ind w:left="1418" w:hanging="567"/>
      </w:pPr>
      <w:rPr>
        <w:rFonts w:hint="eastAsia" w:cs="Times New Roman"/>
      </w:rPr>
    </w:lvl>
    <w:lvl w:ilvl="3" w:tentative="0">
      <w:start w:val="1"/>
      <w:numFmt w:val="decimal"/>
      <w:lvlText w:val="%1.%2.%3.%4"/>
      <w:lvlJc w:val="left"/>
      <w:pPr>
        <w:tabs>
          <w:tab w:val="left" w:pos="4156"/>
        </w:tabs>
        <w:ind w:left="1984" w:hanging="708"/>
      </w:pPr>
      <w:rPr>
        <w:rFonts w:hint="eastAsia" w:cs="Times New Roman"/>
      </w:rPr>
    </w:lvl>
    <w:lvl w:ilvl="4" w:tentative="0">
      <w:start w:val="1"/>
      <w:numFmt w:val="decimal"/>
      <w:lvlText w:val="%1.%2.%3.%4.%5"/>
      <w:lvlJc w:val="left"/>
      <w:pPr>
        <w:tabs>
          <w:tab w:val="left" w:pos="5301"/>
        </w:tabs>
        <w:ind w:left="2551" w:hanging="850"/>
      </w:pPr>
      <w:rPr>
        <w:rFonts w:hint="eastAsia" w:cs="Times New Roman"/>
      </w:rPr>
    </w:lvl>
    <w:lvl w:ilvl="5" w:tentative="0">
      <w:start w:val="1"/>
      <w:numFmt w:val="decimal"/>
      <w:lvlText w:val="%1.%2.%3.%4.%5.%6"/>
      <w:lvlJc w:val="left"/>
      <w:pPr>
        <w:tabs>
          <w:tab w:val="left" w:pos="6446"/>
        </w:tabs>
        <w:ind w:left="3260" w:hanging="1134"/>
      </w:pPr>
      <w:rPr>
        <w:rFonts w:hint="eastAsia" w:cs="Times New Roman"/>
      </w:rPr>
    </w:lvl>
    <w:lvl w:ilvl="6" w:tentative="0">
      <w:start w:val="1"/>
      <w:numFmt w:val="decimal"/>
      <w:lvlText w:val="%1.%2.%3.%4.%5.%6.%7"/>
      <w:lvlJc w:val="left"/>
      <w:pPr>
        <w:tabs>
          <w:tab w:val="left" w:pos="7591"/>
        </w:tabs>
        <w:ind w:left="3827" w:hanging="1276"/>
      </w:pPr>
      <w:rPr>
        <w:rFonts w:hint="eastAsia" w:cs="Times New Roman"/>
      </w:rPr>
    </w:lvl>
    <w:lvl w:ilvl="7" w:tentative="0">
      <w:start w:val="1"/>
      <w:numFmt w:val="decimal"/>
      <w:lvlText w:val="%1.%2.%3.%4.%5.%6.%7.%8"/>
      <w:lvlJc w:val="left"/>
      <w:pPr>
        <w:tabs>
          <w:tab w:val="left" w:pos="8736"/>
        </w:tabs>
        <w:ind w:left="4394" w:hanging="1418"/>
      </w:pPr>
      <w:rPr>
        <w:rFonts w:hint="eastAsia" w:cs="Times New Roman"/>
      </w:rPr>
    </w:lvl>
    <w:lvl w:ilvl="8" w:tentative="0">
      <w:start w:val="1"/>
      <w:numFmt w:val="decimal"/>
      <w:lvlText w:val="%1.%2.%3.%4.%5.%6.%7.%8.%9"/>
      <w:lvlJc w:val="left"/>
      <w:pPr>
        <w:tabs>
          <w:tab w:val="left" w:pos="10242"/>
        </w:tabs>
        <w:ind w:left="5102" w:hanging="1700"/>
      </w:pPr>
      <w:rPr>
        <w:rFonts w:hint="eastAsia" w:cs="Times New Roman"/>
      </w:rPr>
    </w:lvl>
  </w:abstractNum>
  <w:abstractNum w:abstractNumId="19">
    <w:nsid w:val="7B606C55"/>
    <w:multiLevelType w:val="multilevel"/>
    <w:tmpl w:val="7B606C55"/>
    <w:lvl w:ilvl="0" w:tentative="0">
      <w:start w:val="1"/>
      <w:numFmt w:val="decimal"/>
      <w:suff w:val="nothing"/>
      <w:lvlText w:val="%1"/>
      <w:lvlJc w:val="left"/>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8"/>
  </w:num>
  <w:num w:numId="3">
    <w:abstractNumId w:val="1"/>
  </w:num>
  <w:num w:numId="4">
    <w:abstractNumId w:val="9"/>
  </w:num>
  <w:num w:numId="5">
    <w:abstractNumId w:val="15"/>
  </w:num>
  <w:num w:numId="6">
    <w:abstractNumId w:val="16"/>
  </w:num>
  <w:num w:numId="7">
    <w:abstractNumId w:val="10"/>
  </w:num>
  <w:num w:numId="8">
    <w:abstractNumId w:val="3"/>
  </w:num>
  <w:num w:numId="9">
    <w:abstractNumId w:val="17"/>
  </w:num>
  <w:num w:numId="1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7"/>
  </w:num>
  <w:num w:numId="14">
    <w:abstractNumId w:val="2"/>
  </w:num>
  <w:num w:numId="15">
    <w:abstractNumId w:val="4"/>
  </w:num>
  <w:num w:numId="16">
    <w:abstractNumId w:val="6"/>
  </w:num>
  <w:num w:numId="17">
    <w:abstractNumId w:val="14"/>
  </w:num>
  <w:num w:numId="18">
    <w:abstractNumId w:val="8"/>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attachedTemplate r:id="rId1"/>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2"/>
    </o:shapelayout>
  </w:hdrShapeDefaults>
  <w:compat>
    <w:doNotExpandShiftReturn/>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4OGMxNWE5YjdmOTExMTJlZDQyZDdiNzdhMzVhMzAifQ=="/>
  </w:docVars>
  <w:rsids>
    <w:rsidRoot w:val="00A14947"/>
    <w:rsid w:val="00001D6C"/>
    <w:rsid w:val="000021EB"/>
    <w:rsid w:val="00002202"/>
    <w:rsid w:val="00002EA3"/>
    <w:rsid w:val="000035A2"/>
    <w:rsid w:val="000035D3"/>
    <w:rsid w:val="000041BF"/>
    <w:rsid w:val="000055E6"/>
    <w:rsid w:val="000060B3"/>
    <w:rsid w:val="000065E9"/>
    <w:rsid w:val="000075FB"/>
    <w:rsid w:val="00007CD0"/>
    <w:rsid w:val="00010986"/>
    <w:rsid w:val="0001326D"/>
    <w:rsid w:val="00014574"/>
    <w:rsid w:val="0001493C"/>
    <w:rsid w:val="00014AF0"/>
    <w:rsid w:val="00016298"/>
    <w:rsid w:val="00016C4D"/>
    <w:rsid w:val="000200D6"/>
    <w:rsid w:val="00020E33"/>
    <w:rsid w:val="00026E66"/>
    <w:rsid w:val="000275C7"/>
    <w:rsid w:val="00027EEB"/>
    <w:rsid w:val="00027FE5"/>
    <w:rsid w:val="0003264C"/>
    <w:rsid w:val="0003336B"/>
    <w:rsid w:val="000338A8"/>
    <w:rsid w:val="00034071"/>
    <w:rsid w:val="00034098"/>
    <w:rsid w:val="00034FB5"/>
    <w:rsid w:val="0003538D"/>
    <w:rsid w:val="00043081"/>
    <w:rsid w:val="0004364B"/>
    <w:rsid w:val="00043678"/>
    <w:rsid w:val="00044FC1"/>
    <w:rsid w:val="00046162"/>
    <w:rsid w:val="00047E84"/>
    <w:rsid w:val="00050F17"/>
    <w:rsid w:val="0005412A"/>
    <w:rsid w:val="000549B8"/>
    <w:rsid w:val="000566DF"/>
    <w:rsid w:val="00056F0E"/>
    <w:rsid w:val="00057C67"/>
    <w:rsid w:val="00061721"/>
    <w:rsid w:val="000619AC"/>
    <w:rsid w:val="00061B1F"/>
    <w:rsid w:val="00061EB2"/>
    <w:rsid w:val="00062CF9"/>
    <w:rsid w:val="000630D7"/>
    <w:rsid w:val="00063B81"/>
    <w:rsid w:val="0006548F"/>
    <w:rsid w:val="00065D14"/>
    <w:rsid w:val="000662EF"/>
    <w:rsid w:val="0006664E"/>
    <w:rsid w:val="00066DC8"/>
    <w:rsid w:val="000705F0"/>
    <w:rsid w:val="000706A2"/>
    <w:rsid w:val="00070780"/>
    <w:rsid w:val="00070C7E"/>
    <w:rsid w:val="00071B94"/>
    <w:rsid w:val="00072FB6"/>
    <w:rsid w:val="000733C4"/>
    <w:rsid w:val="00074396"/>
    <w:rsid w:val="00074783"/>
    <w:rsid w:val="00076D47"/>
    <w:rsid w:val="000778EF"/>
    <w:rsid w:val="0008070B"/>
    <w:rsid w:val="000810AC"/>
    <w:rsid w:val="00081A02"/>
    <w:rsid w:val="00081F66"/>
    <w:rsid w:val="00082231"/>
    <w:rsid w:val="00082364"/>
    <w:rsid w:val="00082ACE"/>
    <w:rsid w:val="000835C2"/>
    <w:rsid w:val="00084005"/>
    <w:rsid w:val="00085022"/>
    <w:rsid w:val="000851C5"/>
    <w:rsid w:val="00085B44"/>
    <w:rsid w:val="000923ED"/>
    <w:rsid w:val="00092A10"/>
    <w:rsid w:val="00092D38"/>
    <w:rsid w:val="0009377B"/>
    <w:rsid w:val="00093910"/>
    <w:rsid w:val="00094CC6"/>
    <w:rsid w:val="00095395"/>
    <w:rsid w:val="00095564"/>
    <w:rsid w:val="000956D2"/>
    <w:rsid w:val="00095B5A"/>
    <w:rsid w:val="00095BF8"/>
    <w:rsid w:val="000968FA"/>
    <w:rsid w:val="00096A33"/>
    <w:rsid w:val="00097967"/>
    <w:rsid w:val="000A0073"/>
    <w:rsid w:val="000A03C7"/>
    <w:rsid w:val="000A0848"/>
    <w:rsid w:val="000A1430"/>
    <w:rsid w:val="000A1F09"/>
    <w:rsid w:val="000A20C9"/>
    <w:rsid w:val="000A265A"/>
    <w:rsid w:val="000A3AFA"/>
    <w:rsid w:val="000A428E"/>
    <w:rsid w:val="000A5422"/>
    <w:rsid w:val="000A626D"/>
    <w:rsid w:val="000B058F"/>
    <w:rsid w:val="000B11C2"/>
    <w:rsid w:val="000B181B"/>
    <w:rsid w:val="000B1C40"/>
    <w:rsid w:val="000B3D8B"/>
    <w:rsid w:val="000B4467"/>
    <w:rsid w:val="000B498A"/>
    <w:rsid w:val="000B4A7A"/>
    <w:rsid w:val="000B4DB9"/>
    <w:rsid w:val="000B792D"/>
    <w:rsid w:val="000B7AE8"/>
    <w:rsid w:val="000C0328"/>
    <w:rsid w:val="000C0662"/>
    <w:rsid w:val="000C09AC"/>
    <w:rsid w:val="000C0A6A"/>
    <w:rsid w:val="000C1646"/>
    <w:rsid w:val="000C1A6F"/>
    <w:rsid w:val="000C1A95"/>
    <w:rsid w:val="000C31CA"/>
    <w:rsid w:val="000C3A6C"/>
    <w:rsid w:val="000C3C3C"/>
    <w:rsid w:val="000C3F8C"/>
    <w:rsid w:val="000C5918"/>
    <w:rsid w:val="000C6185"/>
    <w:rsid w:val="000C6BC9"/>
    <w:rsid w:val="000C767F"/>
    <w:rsid w:val="000C7890"/>
    <w:rsid w:val="000C7C2C"/>
    <w:rsid w:val="000D093F"/>
    <w:rsid w:val="000D11D6"/>
    <w:rsid w:val="000D136E"/>
    <w:rsid w:val="000D1547"/>
    <w:rsid w:val="000D1FD2"/>
    <w:rsid w:val="000D24A1"/>
    <w:rsid w:val="000D28A0"/>
    <w:rsid w:val="000D3788"/>
    <w:rsid w:val="000D45D1"/>
    <w:rsid w:val="000D45ED"/>
    <w:rsid w:val="000D5A44"/>
    <w:rsid w:val="000D5EDC"/>
    <w:rsid w:val="000D5F3C"/>
    <w:rsid w:val="000D767A"/>
    <w:rsid w:val="000E060C"/>
    <w:rsid w:val="000E1926"/>
    <w:rsid w:val="000E1ACB"/>
    <w:rsid w:val="000E3ED2"/>
    <w:rsid w:val="000E4C10"/>
    <w:rsid w:val="000E4CFE"/>
    <w:rsid w:val="000E7337"/>
    <w:rsid w:val="000E7B81"/>
    <w:rsid w:val="000E7DEE"/>
    <w:rsid w:val="000F01C9"/>
    <w:rsid w:val="000F109D"/>
    <w:rsid w:val="000F467B"/>
    <w:rsid w:val="000F469A"/>
    <w:rsid w:val="000F69E3"/>
    <w:rsid w:val="000F79DF"/>
    <w:rsid w:val="000F7F3B"/>
    <w:rsid w:val="00100296"/>
    <w:rsid w:val="00100FDD"/>
    <w:rsid w:val="001016A2"/>
    <w:rsid w:val="001023C0"/>
    <w:rsid w:val="00104497"/>
    <w:rsid w:val="00106CF3"/>
    <w:rsid w:val="00107780"/>
    <w:rsid w:val="001079BE"/>
    <w:rsid w:val="001102F1"/>
    <w:rsid w:val="00111460"/>
    <w:rsid w:val="00113679"/>
    <w:rsid w:val="00114F6E"/>
    <w:rsid w:val="00115FB9"/>
    <w:rsid w:val="00120431"/>
    <w:rsid w:val="001241C2"/>
    <w:rsid w:val="00124362"/>
    <w:rsid w:val="00124486"/>
    <w:rsid w:val="00124DB2"/>
    <w:rsid w:val="001250FE"/>
    <w:rsid w:val="00125332"/>
    <w:rsid w:val="001253E6"/>
    <w:rsid w:val="00125DD4"/>
    <w:rsid w:val="00126237"/>
    <w:rsid w:val="00127CBE"/>
    <w:rsid w:val="00130F40"/>
    <w:rsid w:val="00131F42"/>
    <w:rsid w:val="001357E9"/>
    <w:rsid w:val="001357F1"/>
    <w:rsid w:val="00135BB2"/>
    <w:rsid w:val="001364DA"/>
    <w:rsid w:val="00140FA8"/>
    <w:rsid w:val="0014175A"/>
    <w:rsid w:val="00141A36"/>
    <w:rsid w:val="00141F3F"/>
    <w:rsid w:val="001420E6"/>
    <w:rsid w:val="001425EA"/>
    <w:rsid w:val="0014262B"/>
    <w:rsid w:val="001428ED"/>
    <w:rsid w:val="00142AA2"/>
    <w:rsid w:val="00142E31"/>
    <w:rsid w:val="00142FEB"/>
    <w:rsid w:val="0014368D"/>
    <w:rsid w:val="00143A2D"/>
    <w:rsid w:val="00144424"/>
    <w:rsid w:val="00144B6D"/>
    <w:rsid w:val="00145557"/>
    <w:rsid w:val="00145A41"/>
    <w:rsid w:val="001468E0"/>
    <w:rsid w:val="0014698A"/>
    <w:rsid w:val="00146B23"/>
    <w:rsid w:val="00146D9D"/>
    <w:rsid w:val="001471C2"/>
    <w:rsid w:val="001506EB"/>
    <w:rsid w:val="00150A51"/>
    <w:rsid w:val="00151675"/>
    <w:rsid w:val="00154D3A"/>
    <w:rsid w:val="00155318"/>
    <w:rsid w:val="0015685F"/>
    <w:rsid w:val="00157435"/>
    <w:rsid w:val="001574E9"/>
    <w:rsid w:val="00157921"/>
    <w:rsid w:val="001604C1"/>
    <w:rsid w:val="00160690"/>
    <w:rsid w:val="00160C15"/>
    <w:rsid w:val="0016179A"/>
    <w:rsid w:val="00162D90"/>
    <w:rsid w:val="001632E4"/>
    <w:rsid w:val="00164262"/>
    <w:rsid w:val="001642F3"/>
    <w:rsid w:val="00165D73"/>
    <w:rsid w:val="00165D9A"/>
    <w:rsid w:val="00166848"/>
    <w:rsid w:val="00167666"/>
    <w:rsid w:val="00170218"/>
    <w:rsid w:val="0017041F"/>
    <w:rsid w:val="00170A17"/>
    <w:rsid w:val="00171125"/>
    <w:rsid w:val="00174C30"/>
    <w:rsid w:val="0017504D"/>
    <w:rsid w:val="00175DAA"/>
    <w:rsid w:val="0017671A"/>
    <w:rsid w:val="00176D7C"/>
    <w:rsid w:val="00177422"/>
    <w:rsid w:val="00177CD4"/>
    <w:rsid w:val="00177DC1"/>
    <w:rsid w:val="00180061"/>
    <w:rsid w:val="00180C70"/>
    <w:rsid w:val="00183596"/>
    <w:rsid w:val="001843DF"/>
    <w:rsid w:val="00184590"/>
    <w:rsid w:val="0018461B"/>
    <w:rsid w:val="00184EE3"/>
    <w:rsid w:val="00185566"/>
    <w:rsid w:val="00185C84"/>
    <w:rsid w:val="00186AF9"/>
    <w:rsid w:val="001870D1"/>
    <w:rsid w:val="00187190"/>
    <w:rsid w:val="0018781E"/>
    <w:rsid w:val="00190859"/>
    <w:rsid w:val="001917CD"/>
    <w:rsid w:val="001919BA"/>
    <w:rsid w:val="001922F4"/>
    <w:rsid w:val="00192460"/>
    <w:rsid w:val="0019262D"/>
    <w:rsid w:val="001942B8"/>
    <w:rsid w:val="0019449D"/>
    <w:rsid w:val="00194C2D"/>
    <w:rsid w:val="00194F0F"/>
    <w:rsid w:val="001958FD"/>
    <w:rsid w:val="00195BE8"/>
    <w:rsid w:val="0019652F"/>
    <w:rsid w:val="001969D9"/>
    <w:rsid w:val="001A004B"/>
    <w:rsid w:val="001A1250"/>
    <w:rsid w:val="001A1AAC"/>
    <w:rsid w:val="001A1B35"/>
    <w:rsid w:val="001A21DD"/>
    <w:rsid w:val="001A2B68"/>
    <w:rsid w:val="001A3B4D"/>
    <w:rsid w:val="001A4025"/>
    <w:rsid w:val="001A4614"/>
    <w:rsid w:val="001A48A2"/>
    <w:rsid w:val="001A4C21"/>
    <w:rsid w:val="001A4C97"/>
    <w:rsid w:val="001A6F61"/>
    <w:rsid w:val="001B24B0"/>
    <w:rsid w:val="001B2BC6"/>
    <w:rsid w:val="001B3103"/>
    <w:rsid w:val="001B4DC6"/>
    <w:rsid w:val="001B551E"/>
    <w:rsid w:val="001B72B8"/>
    <w:rsid w:val="001B7F36"/>
    <w:rsid w:val="001C0F36"/>
    <w:rsid w:val="001C1F22"/>
    <w:rsid w:val="001C2255"/>
    <w:rsid w:val="001C359D"/>
    <w:rsid w:val="001C420E"/>
    <w:rsid w:val="001C46AD"/>
    <w:rsid w:val="001C5C46"/>
    <w:rsid w:val="001C5D50"/>
    <w:rsid w:val="001C5E9A"/>
    <w:rsid w:val="001C6132"/>
    <w:rsid w:val="001C6772"/>
    <w:rsid w:val="001C6925"/>
    <w:rsid w:val="001C69B3"/>
    <w:rsid w:val="001C6F64"/>
    <w:rsid w:val="001D057D"/>
    <w:rsid w:val="001D0961"/>
    <w:rsid w:val="001D0BCF"/>
    <w:rsid w:val="001D0E1F"/>
    <w:rsid w:val="001D16CC"/>
    <w:rsid w:val="001D1F3F"/>
    <w:rsid w:val="001D3496"/>
    <w:rsid w:val="001D5284"/>
    <w:rsid w:val="001D5595"/>
    <w:rsid w:val="001D5908"/>
    <w:rsid w:val="001D5EB1"/>
    <w:rsid w:val="001D5F0C"/>
    <w:rsid w:val="001D60E6"/>
    <w:rsid w:val="001D7874"/>
    <w:rsid w:val="001D7F22"/>
    <w:rsid w:val="001E0B7F"/>
    <w:rsid w:val="001E100F"/>
    <w:rsid w:val="001E21D6"/>
    <w:rsid w:val="001E3A81"/>
    <w:rsid w:val="001E4A86"/>
    <w:rsid w:val="001E589F"/>
    <w:rsid w:val="001E5B80"/>
    <w:rsid w:val="001E6B09"/>
    <w:rsid w:val="001E7CA4"/>
    <w:rsid w:val="001F0A6D"/>
    <w:rsid w:val="001F0DD6"/>
    <w:rsid w:val="001F0F17"/>
    <w:rsid w:val="001F1D3F"/>
    <w:rsid w:val="001F2BD9"/>
    <w:rsid w:val="001F2C1E"/>
    <w:rsid w:val="001F3347"/>
    <w:rsid w:val="001F4FB8"/>
    <w:rsid w:val="001F5B74"/>
    <w:rsid w:val="001F69E4"/>
    <w:rsid w:val="001F7EB9"/>
    <w:rsid w:val="002009D3"/>
    <w:rsid w:val="00200BA3"/>
    <w:rsid w:val="00202E1A"/>
    <w:rsid w:val="00203113"/>
    <w:rsid w:val="00204101"/>
    <w:rsid w:val="00206FC1"/>
    <w:rsid w:val="00207079"/>
    <w:rsid w:val="002078FA"/>
    <w:rsid w:val="002101F0"/>
    <w:rsid w:val="002125B4"/>
    <w:rsid w:val="002129A1"/>
    <w:rsid w:val="00214A01"/>
    <w:rsid w:val="00215493"/>
    <w:rsid w:val="002155B8"/>
    <w:rsid w:val="00215E0D"/>
    <w:rsid w:val="002171CC"/>
    <w:rsid w:val="00217FCA"/>
    <w:rsid w:val="0022094E"/>
    <w:rsid w:val="00220DF1"/>
    <w:rsid w:val="00221154"/>
    <w:rsid w:val="00222D00"/>
    <w:rsid w:val="00224839"/>
    <w:rsid w:val="002249B2"/>
    <w:rsid w:val="00226215"/>
    <w:rsid w:val="00226574"/>
    <w:rsid w:val="0022659E"/>
    <w:rsid w:val="0022723E"/>
    <w:rsid w:val="002278D0"/>
    <w:rsid w:val="002278EC"/>
    <w:rsid w:val="0023048C"/>
    <w:rsid w:val="0023280E"/>
    <w:rsid w:val="00233C2B"/>
    <w:rsid w:val="00233D88"/>
    <w:rsid w:val="00234610"/>
    <w:rsid w:val="00234D4E"/>
    <w:rsid w:val="00235795"/>
    <w:rsid w:val="002365FF"/>
    <w:rsid w:val="00237144"/>
    <w:rsid w:val="0023726D"/>
    <w:rsid w:val="002377D1"/>
    <w:rsid w:val="0023783F"/>
    <w:rsid w:val="0024055C"/>
    <w:rsid w:val="00241D58"/>
    <w:rsid w:val="002426CC"/>
    <w:rsid w:val="002467F1"/>
    <w:rsid w:val="00246D8F"/>
    <w:rsid w:val="00247B3A"/>
    <w:rsid w:val="002506BC"/>
    <w:rsid w:val="00251DCE"/>
    <w:rsid w:val="00252AD3"/>
    <w:rsid w:val="00253935"/>
    <w:rsid w:val="00253F2C"/>
    <w:rsid w:val="00254345"/>
    <w:rsid w:val="0025445D"/>
    <w:rsid w:val="00255776"/>
    <w:rsid w:val="00255871"/>
    <w:rsid w:val="00256491"/>
    <w:rsid w:val="002567F5"/>
    <w:rsid w:val="00260838"/>
    <w:rsid w:val="00260E90"/>
    <w:rsid w:val="002640A2"/>
    <w:rsid w:val="002642F9"/>
    <w:rsid w:val="00264557"/>
    <w:rsid w:val="0026504F"/>
    <w:rsid w:val="00265398"/>
    <w:rsid w:val="002664E5"/>
    <w:rsid w:val="00266D1B"/>
    <w:rsid w:val="00271948"/>
    <w:rsid w:val="00271E37"/>
    <w:rsid w:val="002720FB"/>
    <w:rsid w:val="00273026"/>
    <w:rsid w:val="0027329B"/>
    <w:rsid w:val="00273621"/>
    <w:rsid w:val="0027364A"/>
    <w:rsid w:val="00273784"/>
    <w:rsid w:val="002741F2"/>
    <w:rsid w:val="0027458C"/>
    <w:rsid w:val="00274DDF"/>
    <w:rsid w:val="002752D0"/>
    <w:rsid w:val="002753CA"/>
    <w:rsid w:val="00276034"/>
    <w:rsid w:val="00276094"/>
    <w:rsid w:val="002805AB"/>
    <w:rsid w:val="00282534"/>
    <w:rsid w:val="002829ED"/>
    <w:rsid w:val="00282EAE"/>
    <w:rsid w:val="00283CA6"/>
    <w:rsid w:val="00283F8C"/>
    <w:rsid w:val="00284204"/>
    <w:rsid w:val="00290318"/>
    <w:rsid w:val="00290561"/>
    <w:rsid w:val="00291773"/>
    <w:rsid w:val="00294441"/>
    <w:rsid w:val="002954F5"/>
    <w:rsid w:val="002A168C"/>
    <w:rsid w:val="002A2B1A"/>
    <w:rsid w:val="002A3DC7"/>
    <w:rsid w:val="002A57A3"/>
    <w:rsid w:val="002A77BD"/>
    <w:rsid w:val="002B0437"/>
    <w:rsid w:val="002B0445"/>
    <w:rsid w:val="002B18BB"/>
    <w:rsid w:val="002B199D"/>
    <w:rsid w:val="002B2941"/>
    <w:rsid w:val="002B3243"/>
    <w:rsid w:val="002B3C9A"/>
    <w:rsid w:val="002B49E2"/>
    <w:rsid w:val="002B556B"/>
    <w:rsid w:val="002B5EE1"/>
    <w:rsid w:val="002B7B00"/>
    <w:rsid w:val="002B7C44"/>
    <w:rsid w:val="002B7E77"/>
    <w:rsid w:val="002C2B17"/>
    <w:rsid w:val="002C2C88"/>
    <w:rsid w:val="002C2FA6"/>
    <w:rsid w:val="002C464F"/>
    <w:rsid w:val="002C60B1"/>
    <w:rsid w:val="002C6243"/>
    <w:rsid w:val="002D13C3"/>
    <w:rsid w:val="002D3DD0"/>
    <w:rsid w:val="002D4A97"/>
    <w:rsid w:val="002D5DFA"/>
    <w:rsid w:val="002D5F14"/>
    <w:rsid w:val="002D616A"/>
    <w:rsid w:val="002D62F4"/>
    <w:rsid w:val="002D71C7"/>
    <w:rsid w:val="002D7DB7"/>
    <w:rsid w:val="002E0096"/>
    <w:rsid w:val="002E0578"/>
    <w:rsid w:val="002E0973"/>
    <w:rsid w:val="002E097B"/>
    <w:rsid w:val="002E0A7F"/>
    <w:rsid w:val="002E0B3B"/>
    <w:rsid w:val="002E0DAE"/>
    <w:rsid w:val="002E15EF"/>
    <w:rsid w:val="002E1EA6"/>
    <w:rsid w:val="002E1F3A"/>
    <w:rsid w:val="002E23C1"/>
    <w:rsid w:val="002E25D8"/>
    <w:rsid w:val="002E25EF"/>
    <w:rsid w:val="002E298A"/>
    <w:rsid w:val="002E375C"/>
    <w:rsid w:val="002E3D1A"/>
    <w:rsid w:val="002E3D82"/>
    <w:rsid w:val="002E44EC"/>
    <w:rsid w:val="002E5255"/>
    <w:rsid w:val="002E5655"/>
    <w:rsid w:val="002E6C2B"/>
    <w:rsid w:val="002F0486"/>
    <w:rsid w:val="002F05F7"/>
    <w:rsid w:val="002F0FAE"/>
    <w:rsid w:val="002F2912"/>
    <w:rsid w:val="002F4A8A"/>
    <w:rsid w:val="002F548E"/>
    <w:rsid w:val="002F5B95"/>
    <w:rsid w:val="002F6036"/>
    <w:rsid w:val="002F6CB5"/>
    <w:rsid w:val="002F6D50"/>
    <w:rsid w:val="002F72D9"/>
    <w:rsid w:val="00301978"/>
    <w:rsid w:val="00301E54"/>
    <w:rsid w:val="00301F1F"/>
    <w:rsid w:val="00302DDF"/>
    <w:rsid w:val="0030332C"/>
    <w:rsid w:val="00303736"/>
    <w:rsid w:val="0030399B"/>
    <w:rsid w:val="00304FD9"/>
    <w:rsid w:val="003051C2"/>
    <w:rsid w:val="00305467"/>
    <w:rsid w:val="00306F6C"/>
    <w:rsid w:val="00310D87"/>
    <w:rsid w:val="00312296"/>
    <w:rsid w:val="00314B1E"/>
    <w:rsid w:val="00314F0E"/>
    <w:rsid w:val="0031545A"/>
    <w:rsid w:val="003155D0"/>
    <w:rsid w:val="00316929"/>
    <w:rsid w:val="003174B1"/>
    <w:rsid w:val="00317935"/>
    <w:rsid w:val="0032008D"/>
    <w:rsid w:val="00320499"/>
    <w:rsid w:val="0032058C"/>
    <w:rsid w:val="003211E1"/>
    <w:rsid w:val="0032145E"/>
    <w:rsid w:val="00321D8E"/>
    <w:rsid w:val="00322394"/>
    <w:rsid w:val="00325928"/>
    <w:rsid w:val="00327420"/>
    <w:rsid w:val="00327FDA"/>
    <w:rsid w:val="00330110"/>
    <w:rsid w:val="0033068E"/>
    <w:rsid w:val="00331636"/>
    <w:rsid w:val="00332863"/>
    <w:rsid w:val="00333610"/>
    <w:rsid w:val="00333EEC"/>
    <w:rsid w:val="003349D0"/>
    <w:rsid w:val="003352FE"/>
    <w:rsid w:val="0033684D"/>
    <w:rsid w:val="00337A58"/>
    <w:rsid w:val="00337B42"/>
    <w:rsid w:val="00340096"/>
    <w:rsid w:val="00341B42"/>
    <w:rsid w:val="00341BF7"/>
    <w:rsid w:val="0034348F"/>
    <w:rsid w:val="003444EF"/>
    <w:rsid w:val="00344E3B"/>
    <w:rsid w:val="003461E0"/>
    <w:rsid w:val="00346EFA"/>
    <w:rsid w:val="00353FC9"/>
    <w:rsid w:val="003562EE"/>
    <w:rsid w:val="00356653"/>
    <w:rsid w:val="00356958"/>
    <w:rsid w:val="00356B84"/>
    <w:rsid w:val="00356F6A"/>
    <w:rsid w:val="0035743F"/>
    <w:rsid w:val="00357BE2"/>
    <w:rsid w:val="0036170C"/>
    <w:rsid w:val="00361D0A"/>
    <w:rsid w:val="00361DA4"/>
    <w:rsid w:val="00361F4C"/>
    <w:rsid w:val="0036210F"/>
    <w:rsid w:val="0036212B"/>
    <w:rsid w:val="003641A6"/>
    <w:rsid w:val="00365A1B"/>
    <w:rsid w:val="00365F89"/>
    <w:rsid w:val="00366485"/>
    <w:rsid w:val="003668DC"/>
    <w:rsid w:val="00366904"/>
    <w:rsid w:val="00366E0F"/>
    <w:rsid w:val="00366E75"/>
    <w:rsid w:val="00374717"/>
    <w:rsid w:val="0037477E"/>
    <w:rsid w:val="0037514D"/>
    <w:rsid w:val="003751DC"/>
    <w:rsid w:val="003762AD"/>
    <w:rsid w:val="00377510"/>
    <w:rsid w:val="003813A8"/>
    <w:rsid w:val="003817AA"/>
    <w:rsid w:val="00381998"/>
    <w:rsid w:val="00381A72"/>
    <w:rsid w:val="00381AD3"/>
    <w:rsid w:val="00381B71"/>
    <w:rsid w:val="0038205F"/>
    <w:rsid w:val="0038258E"/>
    <w:rsid w:val="003834DB"/>
    <w:rsid w:val="00383D68"/>
    <w:rsid w:val="00384676"/>
    <w:rsid w:val="003868E0"/>
    <w:rsid w:val="00386FD7"/>
    <w:rsid w:val="00387027"/>
    <w:rsid w:val="0038793B"/>
    <w:rsid w:val="00387A68"/>
    <w:rsid w:val="00390857"/>
    <w:rsid w:val="00390947"/>
    <w:rsid w:val="00391D7F"/>
    <w:rsid w:val="00392BCE"/>
    <w:rsid w:val="00392D24"/>
    <w:rsid w:val="00394421"/>
    <w:rsid w:val="0039498C"/>
    <w:rsid w:val="00395386"/>
    <w:rsid w:val="003A0CA8"/>
    <w:rsid w:val="003A0F1D"/>
    <w:rsid w:val="003A1F83"/>
    <w:rsid w:val="003A32B4"/>
    <w:rsid w:val="003A46AE"/>
    <w:rsid w:val="003A4BF3"/>
    <w:rsid w:val="003A5905"/>
    <w:rsid w:val="003A6017"/>
    <w:rsid w:val="003A75AF"/>
    <w:rsid w:val="003B0D48"/>
    <w:rsid w:val="003B1012"/>
    <w:rsid w:val="003B1812"/>
    <w:rsid w:val="003B4141"/>
    <w:rsid w:val="003B420D"/>
    <w:rsid w:val="003B4F39"/>
    <w:rsid w:val="003B4FDA"/>
    <w:rsid w:val="003B5253"/>
    <w:rsid w:val="003B53F8"/>
    <w:rsid w:val="003B5571"/>
    <w:rsid w:val="003B58F0"/>
    <w:rsid w:val="003B656B"/>
    <w:rsid w:val="003B75F7"/>
    <w:rsid w:val="003B7AE8"/>
    <w:rsid w:val="003C0F5A"/>
    <w:rsid w:val="003C1369"/>
    <w:rsid w:val="003C475F"/>
    <w:rsid w:val="003C4B6F"/>
    <w:rsid w:val="003C51D2"/>
    <w:rsid w:val="003C5304"/>
    <w:rsid w:val="003C65D4"/>
    <w:rsid w:val="003C6A9B"/>
    <w:rsid w:val="003C6C16"/>
    <w:rsid w:val="003C6F20"/>
    <w:rsid w:val="003C7957"/>
    <w:rsid w:val="003D113D"/>
    <w:rsid w:val="003D2656"/>
    <w:rsid w:val="003D30B7"/>
    <w:rsid w:val="003D34D7"/>
    <w:rsid w:val="003D3ABB"/>
    <w:rsid w:val="003D3CE3"/>
    <w:rsid w:val="003D3D2D"/>
    <w:rsid w:val="003D4562"/>
    <w:rsid w:val="003D4935"/>
    <w:rsid w:val="003D55CD"/>
    <w:rsid w:val="003D66CB"/>
    <w:rsid w:val="003D6D06"/>
    <w:rsid w:val="003D794D"/>
    <w:rsid w:val="003D7FB3"/>
    <w:rsid w:val="003E0446"/>
    <w:rsid w:val="003E2055"/>
    <w:rsid w:val="003E2264"/>
    <w:rsid w:val="003E2630"/>
    <w:rsid w:val="003E3058"/>
    <w:rsid w:val="003E3A06"/>
    <w:rsid w:val="003E4820"/>
    <w:rsid w:val="003E50C7"/>
    <w:rsid w:val="003E550C"/>
    <w:rsid w:val="003E5D6D"/>
    <w:rsid w:val="003E5DE6"/>
    <w:rsid w:val="003E5F5F"/>
    <w:rsid w:val="003E6B1C"/>
    <w:rsid w:val="003E76A9"/>
    <w:rsid w:val="003E76EB"/>
    <w:rsid w:val="003F0809"/>
    <w:rsid w:val="003F14DD"/>
    <w:rsid w:val="003F1880"/>
    <w:rsid w:val="003F2259"/>
    <w:rsid w:val="003F33DD"/>
    <w:rsid w:val="003F36BE"/>
    <w:rsid w:val="003F3B55"/>
    <w:rsid w:val="003F448B"/>
    <w:rsid w:val="003F488D"/>
    <w:rsid w:val="003F57DE"/>
    <w:rsid w:val="003F5E0E"/>
    <w:rsid w:val="003F6A8C"/>
    <w:rsid w:val="003F755C"/>
    <w:rsid w:val="003F778D"/>
    <w:rsid w:val="003F785F"/>
    <w:rsid w:val="00400A7D"/>
    <w:rsid w:val="00401CD5"/>
    <w:rsid w:val="00403EC2"/>
    <w:rsid w:val="004041BD"/>
    <w:rsid w:val="004052AF"/>
    <w:rsid w:val="004068EE"/>
    <w:rsid w:val="00406F01"/>
    <w:rsid w:val="00411F21"/>
    <w:rsid w:val="00412BB1"/>
    <w:rsid w:val="00412C5D"/>
    <w:rsid w:val="00412E16"/>
    <w:rsid w:val="00413436"/>
    <w:rsid w:val="00414830"/>
    <w:rsid w:val="00415604"/>
    <w:rsid w:val="0041619A"/>
    <w:rsid w:val="004162C1"/>
    <w:rsid w:val="00416D50"/>
    <w:rsid w:val="00416FD5"/>
    <w:rsid w:val="00417772"/>
    <w:rsid w:val="00417DFB"/>
    <w:rsid w:val="004200F2"/>
    <w:rsid w:val="00420E6A"/>
    <w:rsid w:val="00421CF6"/>
    <w:rsid w:val="00422499"/>
    <w:rsid w:val="004233FE"/>
    <w:rsid w:val="004251A6"/>
    <w:rsid w:val="00425A9E"/>
    <w:rsid w:val="00426D6B"/>
    <w:rsid w:val="0043115C"/>
    <w:rsid w:val="004316E8"/>
    <w:rsid w:val="00431E6C"/>
    <w:rsid w:val="004322BD"/>
    <w:rsid w:val="00432892"/>
    <w:rsid w:val="00432B5C"/>
    <w:rsid w:val="00432B6B"/>
    <w:rsid w:val="00433C4E"/>
    <w:rsid w:val="00433CE7"/>
    <w:rsid w:val="0043505F"/>
    <w:rsid w:val="00435227"/>
    <w:rsid w:val="00436729"/>
    <w:rsid w:val="00436D1A"/>
    <w:rsid w:val="0043701E"/>
    <w:rsid w:val="00437152"/>
    <w:rsid w:val="004378E5"/>
    <w:rsid w:val="00440AEE"/>
    <w:rsid w:val="00440B15"/>
    <w:rsid w:val="00441ACE"/>
    <w:rsid w:val="00441E38"/>
    <w:rsid w:val="00442D88"/>
    <w:rsid w:val="00443F63"/>
    <w:rsid w:val="00444228"/>
    <w:rsid w:val="00444240"/>
    <w:rsid w:val="004442BD"/>
    <w:rsid w:val="00445D61"/>
    <w:rsid w:val="00446AEC"/>
    <w:rsid w:val="00450709"/>
    <w:rsid w:val="004507D6"/>
    <w:rsid w:val="00450F86"/>
    <w:rsid w:val="00451076"/>
    <w:rsid w:val="004510A0"/>
    <w:rsid w:val="004524CB"/>
    <w:rsid w:val="004524DC"/>
    <w:rsid w:val="00452738"/>
    <w:rsid w:val="00452CB7"/>
    <w:rsid w:val="004532C7"/>
    <w:rsid w:val="00453A11"/>
    <w:rsid w:val="00456091"/>
    <w:rsid w:val="0045731C"/>
    <w:rsid w:val="0046004D"/>
    <w:rsid w:val="0046075E"/>
    <w:rsid w:val="00460819"/>
    <w:rsid w:val="00460901"/>
    <w:rsid w:val="00462FFB"/>
    <w:rsid w:val="00463ACC"/>
    <w:rsid w:val="00463EEC"/>
    <w:rsid w:val="00464718"/>
    <w:rsid w:val="00466159"/>
    <w:rsid w:val="00466321"/>
    <w:rsid w:val="0046679F"/>
    <w:rsid w:val="00466FB4"/>
    <w:rsid w:val="0046730C"/>
    <w:rsid w:val="0046760F"/>
    <w:rsid w:val="00470926"/>
    <w:rsid w:val="004723A7"/>
    <w:rsid w:val="00472C44"/>
    <w:rsid w:val="00473FDE"/>
    <w:rsid w:val="004743FD"/>
    <w:rsid w:val="0047687D"/>
    <w:rsid w:val="0047773D"/>
    <w:rsid w:val="004778A0"/>
    <w:rsid w:val="004778E5"/>
    <w:rsid w:val="0048047E"/>
    <w:rsid w:val="004807C7"/>
    <w:rsid w:val="004819DA"/>
    <w:rsid w:val="00481F79"/>
    <w:rsid w:val="0048230B"/>
    <w:rsid w:val="0048259B"/>
    <w:rsid w:val="0048278D"/>
    <w:rsid w:val="00484B9B"/>
    <w:rsid w:val="004855F6"/>
    <w:rsid w:val="00486327"/>
    <w:rsid w:val="0048661E"/>
    <w:rsid w:val="00486B54"/>
    <w:rsid w:val="00487CCE"/>
    <w:rsid w:val="00490390"/>
    <w:rsid w:val="00490D88"/>
    <w:rsid w:val="00491612"/>
    <w:rsid w:val="00492167"/>
    <w:rsid w:val="0049299B"/>
    <w:rsid w:val="0049333D"/>
    <w:rsid w:val="004934B8"/>
    <w:rsid w:val="0049420B"/>
    <w:rsid w:val="00494670"/>
    <w:rsid w:val="004948A1"/>
    <w:rsid w:val="00494E02"/>
    <w:rsid w:val="00495D23"/>
    <w:rsid w:val="00495F15"/>
    <w:rsid w:val="004A0B28"/>
    <w:rsid w:val="004A1BCC"/>
    <w:rsid w:val="004A2AAC"/>
    <w:rsid w:val="004A307C"/>
    <w:rsid w:val="004A33DB"/>
    <w:rsid w:val="004A3823"/>
    <w:rsid w:val="004A3909"/>
    <w:rsid w:val="004A4568"/>
    <w:rsid w:val="004A4B89"/>
    <w:rsid w:val="004A6D4F"/>
    <w:rsid w:val="004A7152"/>
    <w:rsid w:val="004A72DE"/>
    <w:rsid w:val="004A7ECF"/>
    <w:rsid w:val="004B010B"/>
    <w:rsid w:val="004B028B"/>
    <w:rsid w:val="004B171A"/>
    <w:rsid w:val="004B1C70"/>
    <w:rsid w:val="004B6722"/>
    <w:rsid w:val="004B7D31"/>
    <w:rsid w:val="004C1265"/>
    <w:rsid w:val="004C1351"/>
    <w:rsid w:val="004C2F3A"/>
    <w:rsid w:val="004C3124"/>
    <w:rsid w:val="004C313C"/>
    <w:rsid w:val="004C4130"/>
    <w:rsid w:val="004C5910"/>
    <w:rsid w:val="004C59EE"/>
    <w:rsid w:val="004C5BCC"/>
    <w:rsid w:val="004C5CA4"/>
    <w:rsid w:val="004C6DFD"/>
    <w:rsid w:val="004C7902"/>
    <w:rsid w:val="004D0E8B"/>
    <w:rsid w:val="004D10E4"/>
    <w:rsid w:val="004D1493"/>
    <w:rsid w:val="004D2783"/>
    <w:rsid w:val="004D2A10"/>
    <w:rsid w:val="004D33F3"/>
    <w:rsid w:val="004D361B"/>
    <w:rsid w:val="004D4154"/>
    <w:rsid w:val="004D666D"/>
    <w:rsid w:val="004E08A6"/>
    <w:rsid w:val="004E0B08"/>
    <w:rsid w:val="004E272C"/>
    <w:rsid w:val="004E2C6D"/>
    <w:rsid w:val="004E2F52"/>
    <w:rsid w:val="004E38F9"/>
    <w:rsid w:val="004E5476"/>
    <w:rsid w:val="004E55B5"/>
    <w:rsid w:val="004E63C9"/>
    <w:rsid w:val="004E6946"/>
    <w:rsid w:val="004F0A1F"/>
    <w:rsid w:val="004F1AD8"/>
    <w:rsid w:val="004F2BC0"/>
    <w:rsid w:val="004F336A"/>
    <w:rsid w:val="004F57AC"/>
    <w:rsid w:val="004F615A"/>
    <w:rsid w:val="004F6832"/>
    <w:rsid w:val="004F6BDC"/>
    <w:rsid w:val="004F6D37"/>
    <w:rsid w:val="00500040"/>
    <w:rsid w:val="005000E3"/>
    <w:rsid w:val="00501BE1"/>
    <w:rsid w:val="00502B5E"/>
    <w:rsid w:val="005039CB"/>
    <w:rsid w:val="005045F2"/>
    <w:rsid w:val="0050492F"/>
    <w:rsid w:val="00504ED8"/>
    <w:rsid w:val="0050558F"/>
    <w:rsid w:val="00506286"/>
    <w:rsid w:val="00506FE3"/>
    <w:rsid w:val="00507F3A"/>
    <w:rsid w:val="00510488"/>
    <w:rsid w:val="0051064A"/>
    <w:rsid w:val="00510813"/>
    <w:rsid w:val="005116DD"/>
    <w:rsid w:val="00511803"/>
    <w:rsid w:val="00511990"/>
    <w:rsid w:val="00511DE0"/>
    <w:rsid w:val="00512EA4"/>
    <w:rsid w:val="0051457C"/>
    <w:rsid w:val="00514870"/>
    <w:rsid w:val="00514B9B"/>
    <w:rsid w:val="00514E7E"/>
    <w:rsid w:val="00516EF6"/>
    <w:rsid w:val="005171BA"/>
    <w:rsid w:val="005176AF"/>
    <w:rsid w:val="00517D24"/>
    <w:rsid w:val="00517F02"/>
    <w:rsid w:val="00521263"/>
    <w:rsid w:val="00521981"/>
    <w:rsid w:val="005225AD"/>
    <w:rsid w:val="0052327B"/>
    <w:rsid w:val="0052419F"/>
    <w:rsid w:val="00524303"/>
    <w:rsid w:val="0052540D"/>
    <w:rsid w:val="005258A2"/>
    <w:rsid w:val="005266D4"/>
    <w:rsid w:val="005278FF"/>
    <w:rsid w:val="00530B0F"/>
    <w:rsid w:val="0053194B"/>
    <w:rsid w:val="005355E0"/>
    <w:rsid w:val="00535BDE"/>
    <w:rsid w:val="005369D0"/>
    <w:rsid w:val="00536B9E"/>
    <w:rsid w:val="00537EA3"/>
    <w:rsid w:val="005400F1"/>
    <w:rsid w:val="005401AE"/>
    <w:rsid w:val="00541332"/>
    <w:rsid w:val="00542E07"/>
    <w:rsid w:val="00545424"/>
    <w:rsid w:val="0054545D"/>
    <w:rsid w:val="00547321"/>
    <w:rsid w:val="0055083C"/>
    <w:rsid w:val="0055092E"/>
    <w:rsid w:val="005511C7"/>
    <w:rsid w:val="00553AA7"/>
    <w:rsid w:val="00554A7B"/>
    <w:rsid w:val="0055572C"/>
    <w:rsid w:val="0055694B"/>
    <w:rsid w:val="0056106A"/>
    <w:rsid w:val="00561550"/>
    <w:rsid w:val="005620FB"/>
    <w:rsid w:val="0056342C"/>
    <w:rsid w:val="0056357A"/>
    <w:rsid w:val="005656C6"/>
    <w:rsid w:val="0056615D"/>
    <w:rsid w:val="0057051A"/>
    <w:rsid w:val="00570600"/>
    <w:rsid w:val="005720AE"/>
    <w:rsid w:val="005743C4"/>
    <w:rsid w:val="0057470E"/>
    <w:rsid w:val="00576373"/>
    <w:rsid w:val="00576DBA"/>
    <w:rsid w:val="00576F22"/>
    <w:rsid w:val="00577095"/>
    <w:rsid w:val="005778E1"/>
    <w:rsid w:val="00580DC3"/>
    <w:rsid w:val="0058164F"/>
    <w:rsid w:val="00582585"/>
    <w:rsid w:val="00582C01"/>
    <w:rsid w:val="00582CBA"/>
    <w:rsid w:val="00583F35"/>
    <w:rsid w:val="0058430E"/>
    <w:rsid w:val="00584F2B"/>
    <w:rsid w:val="00585409"/>
    <w:rsid w:val="0059278E"/>
    <w:rsid w:val="00593180"/>
    <w:rsid w:val="00593D1E"/>
    <w:rsid w:val="00594D77"/>
    <w:rsid w:val="005969E4"/>
    <w:rsid w:val="0059784F"/>
    <w:rsid w:val="00597DA0"/>
    <w:rsid w:val="005A06B7"/>
    <w:rsid w:val="005A0E3F"/>
    <w:rsid w:val="005A1759"/>
    <w:rsid w:val="005A2574"/>
    <w:rsid w:val="005A40E5"/>
    <w:rsid w:val="005A5C36"/>
    <w:rsid w:val="005A68A7"/>
    <w:rsid w:val="005A71AD"/>
    <w:rsid w:val="005A7A21"/>
    <w:rsid w:val="005B07FE"/>
    <w:rsid w:val="005B201B"/>
    <w:rsid w:val="005B2817"/>
    <w:rsid w:val="005B2D8F"/>
    <w:rsid w:val="005B38C9"/>
    <w:rsid w:val="005B3D88"/>
    <w:rsid w:val="005B445B"/>
    <w:rsid w:val="005B467B"/>
    <w:rsid w:val="005B4D07"/>
    <w:rsid w:val="005B51D3"/>
    <w:rsid w:val="005B5B1A"/>
    <w:rsid w:val="005B6933"/>
    <w:rsid w:val="005C026D"/>
    <w:rsid w:val="005C0632"/>
    <w:rsid w:val="005C077A"/>
    <w:rsid w:val="005C11C7"/>
    <w:rsid w:val="005C1454"/>
    <w:rsid w:val="005C1BD3"/>
    <w:rsid w:val="005C1D96"/>
    <w:rsid w:val="005C287F"/>
    <w:rsid w:val="005C57BC"/>
    <w:rsid w:val="005C65A1"/>
    <w:rsid w:val="005C75EB"/>
    <w:rsid w:val="005D1964"/>
    <w:rsid w:val="005D21E8"/>
    <w:rsid w:val="005D2621"/>
    <w:rsid w:val="005D36AB"/>
    <w:rsid w:val="005D676E"/>
    <w:rsid w:val="005D6CFE"/>
    <w:rsid w:val="005D7207"/>
    <w:rsid w:val="005D73EA"/>
    <w:rsid w:val="005D79BE"/>
    <w:rsid w:val="005E06DE"/>
    <w:rsid w:val="005E1417"/>
    <w:rsid w:val="005E1F69"/>
    <w:rsid w:val="005E27D7"/>
    <w:rsid w:val="005E2979"/>
    <w:rsid w:val="005E55A8"/>
    <w:rsid w:val="005E62A3"/>
    <w:rsid w:val="005E6BEE"/>
    <w:rsid w:val="005E7EA0"/>
    <w:rsid w:val="005F0D38"/>
    <w:rsid w:val="005F176D"/>
    <w:rsid w:val="005F1BE6"/>
    <w:rsid w:val="005F312C"/>
    <w:rsid w:val="005F3CC6"/>
    <w:rsid w:val="005F5E54"/>
    <w:rsid w:val="005F5EBE"/>
    <w:rsid w:val="0060046B"/>
    <w:rsid w:val="00602368"/>
    <w:rsid w:val="00603ED8"/>
    <w:rsid w:val="00604025"/>
    <w:rsid w:val="00604061"/>
    <w:rsid w:val="00604223"/>
    <w:rsid w:val="00604C00"/>
    <w:rsid w:val="00607652"/>
    <w:rsid w:val="00607680"/>
    <w:rsid w:val="006100E8"/>
    <w:rsid w:val="0061106F"/>
    <w:rsid w:val="00611AB9"/>
    <w:rsid w:val="00612192"/>
    <w:rsid w:val="00612451"/>
    <w:rsid w:val="00613508"/>
    <w:rsid w:val="00614028"/>
    <w:rsid w:val="00614119"/>
    <w:rsid w:val="00614277"/>
    <w:rsid w:val="00615BE8"/>
    <w:rsid w:val="00617CC3"/>
    <w:rsid w:val="00621C9F"/>
    <w:rsid w:val="00623180"/>
    <w:rsid w:val="006232E3"/>
    <w:rsid w:val="00624DE1"/>
    <w:rsid w:val="00626631"/>
    <w:rsid w:val="00627D31"/>
    <w:rsid w:val="00631FAF"/>
    <w:rsid w:val="00632FEA"/>
    <w:rsid w:val="0063373E"/>
    <w:rsid w:val="006377A6"/>
    <w:rsid w:val="00637A3D"/>
    <w:rsid w:val="00637AB4"/>
    <w:rsid w:val="00640D79"/>
    <w:rsid w:val="006411EF"/>
    <w:rsid w:val="00641250"/>
    <w:rsid w:val="006418DF"/>
    <w:rsid w:val="00641CB2"/>
    <w:rsid w:val="00642DFE"/>
    <w:rsid w:val="006431E2"/>
    <w:rsid w:val="006445C6"/>
    <w:rsid w:val="00645A98"/>
    <w:rsid w:val="0064629D"/>
    <w:rsid w:val="00646778"/>
    <w:rsid w:val="006468AD"/>
    <w:rsid w:val="00651534"/>
    <w:rsid w:val="0065255A"/>
    <w:rsid w:val="00653CC9"/>
    <w:rsid w:val="006544CA"/>
    <w:rsid w:val="00656BD3"/>
    <w:rsid w:val="00656EFC"/>
    <w:rsid w:val="00661B18"/>
    <w:rsid w:val="00662EEB"/>
    <w:rsid w:val="00663822"/>
    <w:rsid w:val="00664649"/>
    <w:rsid w:val="00664DE7"/>
    <w:rsid w:val="006651B9"/>
    <w:rsid w:val="006664A1"/>
    <w:rsid w:val="0067185F"/>
    <w:rsid w:val="00672166"/>
    <w:rsid w:val="006726F8"/>
    <w:rsid w:val="00672826"/>
    <w:rsid w:val="00673DE2"/>
    <w:rsid w:val="006748B8"/>
    <w:rsid w:val="00674B9E"/>
    <w:rsid w:val="00675C95"/>
    <w:rsid w:val="00676052"/>
    <w:rsid w:val="00676220"/>
    <w:rsid w:val="00676A8D"/>
    <w:rsid w:val="006775C3"/>
    <w:rsid w:val="00680742"/>
    <w:rsid w:val="00680913"/>
    <w:rsid w:val="00681707"/>
    <w:rsid w:val="00684078"/>
    <w:rsid w:val="00684A51"/>
    <w:rsid w:val="00684AD4"/>
    <w:rsid w:val="0068555B"/>
    <w:rsid w:val="00686F85"/>
    <w:rsid w:val="006872DE"/>
    <w:rsid w:val="00687510"/>
    <w:rsid w:val="00687B7A"/>
    <w:rsid w:val="00687C7B"/>
    <w:rsid w:val="006902F2"/>
    <w:rsid w:val="00690AB9"/>
    <w:rsid w:val="0069175A"/>
    <w:rsid w:val="0069290A"/>
    <w:rsid w:val="0069375E"/>
    <w:rsid w:val="00693848"/>
    <w:rsid w:val="00693EB4"/>
    <w:rsid w:val="00693ECA"/>
    <w:rsid w:val="0069460A"/>
    <w:rsid w:val="00694CDB"/>
    <w:rsid w:val="0069539E"/>
    <w:rsid w:val="006956C4"/>
    <w:rsid w:val="006969BB"/>
    <w:rsid w:val="00696B55"/>
    <w:rsid w:val="00696D37"/>
    <w:rsid w:val="00697659"/>
    <w:rsid w:val="0069775A"/>
    <w:rsid w:val="00697813"/>
    <w:rsid w:val="00697926"/>
    <w:rsid w:val="006A06F8"/>
    <w:rsid w:val="006A1265"/>
    <w:rsid w:val="006A1368"/>
    <w:rsid w:val="006A1D5B"/>
    <w:rsid w:val="006A31E3"/>
    <w:rsid w:val="006A3EE8"/>
    <w:rsid w:val="006A4788"/>
    <w:rsid w:val="006A53B9"/>
    <w:rsid w:val="006A6506"/>
    <w:rsid w:val="006A72BF"/>
    <w:rsid w:val="006B00AE"/>
    <w:rsid w:val="006B03F2"/>
    <w:rsid w:val="006B1213"/>
    <w:rsid w:val="006B31A9"/>
    <w:rsid w:val="006B37DC"/>
    <w:rsid w:val="006B4E92"/>
    <w:rsid w:val="006B4F68"/>
    <w:rsid w:val="006B6AC1"/>
    <w:rsid w:val="006C0592"/>
    <w:rsid w:val="006C0813"/>
    <w:rsid w:val="006C1CAB"/>
    <w:rsid w:val="006C21B6"/>
    <w:rsid w:val="006C272E"/>
    <w:rsid w:val="006C2849"/>
    <w:rsid w:val="006C2C71"/>
    <w:rsid w:val="006C5479"/>
    <w:rsid w:val="006C62BB"/>
    <w:rsid w:val="006C6891"/>
    <w:rsid w:val="006D0AC0"/>
    <w:rsid w:val="006D12B4"/>
    <w:rsid w:val="006D13B5"/>
    <w:rsid w:val="006D4368"/>
    <w:rsid w:val="006D713C"/>
    <w:rsid w:val="006E12FF"/>
    <w:rsid w:val="006E1A1C"/>
    <w:rsid w:val="006E2348"/>
    <w:rsid w:val="006E2F97"/>
    <w:rsid w:val="006E30C4"/>
    <w:rsid w:val="006E607E"/>
    <w:rsid w:val="006E690A"/>
    <w:rsid w:val="006F1220"/>
    <w:rsid w:val="006F16C5"/>
    <w:rsid w:val="006F1AC8"/>
    <w:rsid w:val="006F42CD"/>
    <w:rsid w:val="006F5F86"/>
    <w:rsid w:val="006F7B83"/>
    <w:rsid w:val="006F7E41"/>
    <w:rsid w:val="00700CF4"/>
    <w:rsid w:val="00700E55"/>
    <w:rsid w:val="00701372"/>
    <w:rsid w:val="007014D4"/>
    <w:rsid w:val="00702C5B"/>
    <w:rsid w:val="00702E4C"/>
    <w:rsid w:val="00702FE5"/>
    <w:rsid w:val="00703DC3"/>
    <w:rsid w:val="007041DB"/>
    <w:rsid w:val="00705C30"/>
    <w:rsid w:val="00705D7F"/>
    <w:rsid w:val="00706C5D"/>
    <w:rsid w:val="00711A20"/>
    <w:rsid w:val="007122D1"/>
    <w:rsid w:val="00713075"/>
    <w:rsid w:val="00715CDB"/>
    <w:rsid w:val="00716B70"/>
    <w:rsid w:val="007177E1"/>
    <w:rsid w:val="00720EF6"/>
    <w:rsid w:val="007211E2"/>
    <w:rsid w:val="00721B23"/>
    <w:rsid w:val="00722F1E"/>
    <w:rsid w:val="00724739"/>
    <w:rsid w:val="00725D27"/>
    <w:rsid w:val="0072630F"/>
    <w:rsid w:val="00732922"/>
    <w:rsid w:val="00732F99"/>
    <w:rsid w:val="00733137"/>
    <w:rsid w:val="0073383D"/>
    <w:rsid w:val="007351FB"/>
    <w:rsid w:val="007355E9"/>
    <w:rsid w:val="00736510"/>
    <w:rsid w:val="00736D41"/>
    <w:rsid w:val="00737003"/>
    <w:rsid w:val="0073704F"/>
    <w:rsid w:val="00740B6A"/>
    <w:rsid w:val="007421DE"/>
    <w:rsid w:val="0074425F"/>
    <w:rsid w:val="00745A3C"/>
    <w:rsid w:val="007461A4"/>
    <w:rsid w:val="007475C1"/>
    <w:rsid w:val="007475EE"/>
    <w:rsid w:val="00750EBB"/>
    <w:rsid w:val="0075154C"/>
    <w:rsid w:val="0075162E"/>
    <w:rsid w:val="00752005"/>
    <w:rsid w:val="00752348"/>
    <w:rsid w:val="00753329"/>
    <w:rsid w:val="00753494"/>
    <w:rsid w:val="00754034"/>
    <w:rsid w:val="00754DCC"/>
    <w:rsid w:val="00755393"/>
    <w:rsid w:val="00755ADB"/>
    <w:rsid w:val="00756556"/>
    <w:rsid w:val="00756D2F"/>
    <w:rsid w:val="00757702"/>
    <w:rsid w:val="007577DE"/>
    <w:rsid w:val="007605AF"/>
    <w:rsid w:val="007618C4"/>
    <w:rsid w:val="00763BAE"/>
    <w:rsid w:val="00766C94"/>
    <w:rsid w:val="00767690"/>
    <w:rsid w:val="00767750"/>
    <w:rsid w:val="007677DD"/>
    <w:rsid w:val="00767980"/>
    <w:rsid w:val="0077018E"/>
    <w:rsid w:val="00770B19"/>
    <w:rsid w:val="0077125F"/>
    <w:rsid w:val="00772056"/>
    <w:rsid w:val="0077463F"/>
    <w:rsid w:val="007751FA"/>
    <w:rsid w:val="00775565"/>
    <w:rsid w:val="00775F4A"/>
    <w:rsid w:val="007767A1"/>
    <w:rsid w:val="007769DA"/>
    <w:rsid w:val="007806A7"/>
    <w:rsid w:val="00780A0F"/>
    <w:rsid w:val="00781B32"/>
    <w:rsid w:val="007835E4"/>
    <w:rsid w:val="007836EA"/>
    <w:rsid w:val="00783A69"/>
    <w:rsid w:val="0078410E"/>
    <w:rsid w:val="00784508"/>
    <w:rsid w:val="00784CDA"/>
    <w:rsid w:val="007869B8"/>
    <w:rsid w:val="007871E0"/>
    <w:rsid w:val="00787591"/>
    <w:rsid w:val="007906C4"/>
    <w:rsid w:val="00792FC2"/>
    <w:rsid w:val="007940EA"/>
    <w:rsid w:val="007967E8"/>
    <w:rsid w:val="00797A0D"/>
    <w:rsid w:val="007A1EB0"/>
    <w:rsid w:val="007A2170"/>
    <w:rsid w:val="007A22BF"/>
    <w:rsid w:val="007A2AE0"/>
    <w:rsid w:val="007A3323"/>
    <w:rsid w:val="007A40F6"/>
    <w:rsid w:val="007A4AD5"/>
    <w:rsid w:val="007A6734"/>
    <w:rsid w:val="007A7099"/>
    <w:rsid w:val="007B07DF"/>
    <w:rsid w:val="007B093F"/>
    <w:rsid w:val="007B09D0"/>
    <w:rsid w:val="007B4CEC"/>
    <w:rsid w:val="007B72B8"/>
    <w:rsid w:val="007B7A58"/>
    <w:rsid w:val="007C1EEB"/>
    <w:rsid w:val="007C21B5"/>
    <w:rsid w:val="007C2D4F"/>
    <w:rsid w:val="007D1479"/>
    <w:rsid w:val="007D23E6"/>
    <w:rsid w:val="007D3243"/>
    <w:rsid w:val="007D67FA"/>
    <w:rsid w:val="007E243D"/>
    <w:rsid w:val="007E4BD2"/>
    <w:rsid w:val="007E522C"/>
    <w:rsid w:val="007E5841"/>
    <w:rsid w:val="007E67A3"/>
    <w:rsid w:val="007E6DC8"/>
    <w:rsid w:val="007E7331"/>
    <w:rsid w:val="007E7D70"/>
    <w:rsid w:val="007F0084"/>
    <w:rsid w:val="007F5919"/>
    <w:rsid w:val="007F5E3D"/>
    <w:rsid w:val="007F5F20"/>
    <w:rsid w:val="007F62E1"/>
    <w:rsid w:val="007F67B5"/>
    <w:rsid w:val="007F7DB4"/>
    <w:rsid w:val="008004B3"/>
    <w:rsid w:val="00801393"/>
    <w:rsid w:val="00802AB4"/>
    <w:rsid w:val="00802F88"/>
    <w:rsid w:val="00803139"/>
    <w:rsid w:val="00803CB9"/>
    <w:rsid w:val="008059B8"/>
    <w:rsid w:val="0080681D"/>
    <w:rsid w:val="00806C33"/>
    <w:rsid w:val="00807ABB"/>
    <w:rsid w:val="00807CD6"/>
    <w:rsid w:val="008116C6"/>
    <w:rsid w:val="008124DC"/>
    <w:rsid w:val="0081293E"/>
    <w:rsid w:val="0081357C"/>
    <w:rsid w:val="00815465"/>
    <w:rsid w:val="00815A63"/>
    <w:rsid w:val="008169DE"/>
    <w:rsid w:val="00817E9A"/>
    <w:rsid w:val="0082062A"/>
    <w:rsid w:val="00820F4C"/>
    <w:rsid w:val="00821641"/>
    <w:rsid w:val="00822FFD"/>
    <w:rsid w:val="008263A5"/>
    <w:rsid w:val="00827438"/>
    <w:rsid w:val="00827451"/>
    <w:rsid w:val="00827806"/>
    <w:rsid w:val="008306BD"/>
    <w:rsid w:val="008308B2"/>
    <w:rsid w:val="00830F16"/>
    <w:rsid w:val="00831A80"/>
    <w:rsid w:val="00831D99"/>
    <w:rsid w:val="00833743"/>
    <w:rsid w:val="008340A4"/>
    <w:rsid w:val="00840491"/>
    <w:rsid w:val="00840EF2"/>
    <w:rsid w:val="00841137"/>
    <w:rsid w:val="008425FF"/>
    <w:rsid w:val="00843652"/>
    <w:rsid w:val="008438A8"/>
    <w:rsid w:val="008441C1"/>
    <w:rsid w:val="008443F5"/>
    <w:rsid w:val="00844DC9"/>
    <w:rsid w:val="00847158"/>
    <w:rsid w:val="008475A9"/>
    <w:rsid w:val="0084798A"/>
    <w:rsid w:val="00850518"/>
    <w:rsid w:val="008519B6"/>
    <w:rsid w:val="00852065"/>
    <w:rsid w:val="008522C8"/>
    <w:rsid w:val="008525B3"/>
    <w:rsid w:val="00852CA9"/>
    <w:rsid w:val="00853A06"/>
    <w:rsid w:val="00855E23"/>
    <w:rsid w:val="00856799"/>
    <w:rsid w:val="00857337"/>
    <w:rsid w:val="00857D93"/>
    <w:rsid w:val="00861A23"/>
    <w:rsid w:val="00862301"/>
    <w:rsid w:val="00864AFB"/>
    <w:rsid w:val="00865E65"/>
    <w:rsid w:val="00866396"/>
    <w:rsid w:val="00866506"/>
    <w:rsid w:val="00866A40"/>
    <w:rsid w:val="00867489"/>
    <w:rsid w:val="00867B8F"/>
    <w:rsid w:val="00870099"/>
    <w:rsid w:val="00870174"/>
    <w:rsid w:val="00870883"/>
    <w:rsid w:val="00870993"/>
    <w:rsid w:val="0087135F"/>
    <w:rsid w:val="0087289B"/>
    <w:rsid w:val="00872D94"/>
    <w:rsid w:val="008736E0"/>
    <w:rsid w:val="00873988"/>
    <w:rsid w:val="00873B38"/>
    <w:rsid w:val="00873E43"/>
    <w:rsid w:val="00874899"/>
    <w:rsid w:val="0087529B"/>
    <w:rsid w:val="0087665F"/>
    <w:rsid w:val="00876944"/>
    <w:rsid w:val="00877838"/>
    <w:rsid w:val="00877E36"/>
    <w:rsid w:val="00877ED7"/>
    <w:rsid w:val="00880364"/>
    <w:rsid w:val="00880898"/>
    <w:rsid w:val="00881D13"/>
    <w:rsid w:val="00882862"/>
    <w:rsid w:val="00884567"/>
    <w:rsid w:val="00884E84"/>
    <w:rsid w:val="008858C2"/>
    <w:rsid w:val="00885AD0"/>
    <w:rsid w:val="00887462"/>
    <w:rsid w:val="008903FA"/>
    <w:rsid w:val="00891592"/>
    <w:rsid w:val="00891E9E"/>
    <w:rsid w:val="0089539F"/>
    <w:rsid w:val="0089547D"/>
    <w:rsid w:val="00896CB4"/>
    <w:rsid w:val="00897542"/>
    <w:rsid w:val="00897735"/>
    <w:rsid w:val="008A2CEC"/>
    <w:rsid w:val="008A2F68"/>
    <w:rsid w:val="008A331E"/>
    <w:rsid w:val="008A332E"/>
    <w:rsid w:val="008A3947"/>
    <w:rsid w:val="008A573F"/>
    <w:rsid w:val="008A5DDB"/>
    <w:rsid w:val="008A7A44"/>
    <w:rsid w:val="008B015A"/>
    <w:rsid w:val="008B017A"/>
    <w:rsid w:val="008B1647"/>
    <w:rsid w:val="008B1C2B"/>
    <w:rsid w:val="008B24E5"/>
    <w:rsid w:val="008B4FA6"/>
    <w:rsid w:val="008B5282"/>
    <w:rsid w:val="008B5C94"/>
    <w:rsid w:val="008B63AA"/>
    <w:rsid w:val="008B65DD"/>
    <w:rsid w:val="008B7C17"/>
    <w:rsid w:val="008C0A1F"/>
    <w:rsid w:val="008C1E04"/>
    <w:rsid w:val="008C2D01"/>
    <w:rsid w:val="008C3B4C"/>
    <w:rsid w:val="008C40E6"/>
    <w:rsid w:val="008C7791"/>
    <w:rsid w:val="008C78F5"/>
    <w:rsid w:val="008D0302"/>
    <w:rsid w:val="008D038C"/>
    <w:rsid w:val="008D0A6C"/>
    <w:rsid w:val="008D0F7A"/>
    <w:rsid w:val="008D25EB"/>
    <w:rsid w:val="008D3C06"/>
    <w:rsid w:val="008D52D9"/>
    <w:rsid w:val="008D64B8"/>
    <w:rsid w:val="008D68E4"/>
    <w:rsid w:val="008D72F1"/>
    <w:rsid w:val="008E0506"/>
    <w:rsid w:val="008E05EE"/>
    <w:rsid w:val="008E0B50"/>
    <w:rsid w:val="008E0CFF"/>
    <w:rsid w:val="008E1774"/>
    <w:rsid w:val="008E1BB7"/>
    <w:rsid w:val="008E389A"/>
    <w:rsid w:val="008E4E49"/>
    <w:rsid w:val="008E588A"/>
    <w:rsid w:val="008E5D6B"/>
    <w:rsid w:val="008E641C"/>
    <w:rsid w:val="008E643D"/>
    <w:rsid w:val="008E6BA1"/>
    <w:rsid w:val="008E76F0"/>
    <w:rsid w:val="008F01EB"/>
    <w:rsid w:val="008F15FE"/>
    <w:rsid w:val="008F2938"/>
    <w:rsid w:val="008F2D29"/>
    <w:rsid w:val="008F37F9"/>
    <w:rsid w:val="008F3B3F"/>
    <w:rsid w:val="008F4649"/>
    <w:rsid w:val="008F5187"/>
    <w:rsid w:val="008F60D8"/>
    <w:rsid w:val="008F744F"/>
    <w:rsid w:val="00901851"/>
    <w:rsid w:val="0090268D"/>
    <w:rsid w:val="00902727"/>
    <w:rsid w:val="00903050"/>
    <w:rsid w:val="0090312B"/>
    <w:rsid w:val="00903761"/>
    <w:rsid w:val="00904232"/>
    <w:rsid w:val="0090428F"/>
    <w:rsid w:val="00904F0B"/>
    <w:rsid w:val="00910736"/>
    <w:rsid w:val="0091226D"/>
    <w:rsid w:val="00915748"/>
    <w:rsid w:val="009164DD"/>
    <w:rsid w:val="0091736D"/>
    <w:rsid w:val="00921078"/>
    <w:rsid w:val="009212DF"/>
    <w:rsid w:val="009218A3"/>
    <w:rsid w:val="00923B28"/>
    <w:rsid w:val="00924B74"/>
    <w:rsid w:val="00925685"/>
    <w:rsid w:val="009256C7"/>
    <w:rsid w:val="00927FCE"/>
    <w:rsid w:val="0093037A"/>
    <w:rsid w:val="009373E6"/>
    <w:rsid w:val="0094154D"/>
    <w:rsid w:val="0094211F"/>
    <w:rsid w:val="009434FA"/>
    <w:rsid w:val="009438FB"/>
    <w:rsid w:val="00944801"/>
    <w:rsid w:val="00945725"/>
    <w:rsid w:val="00946006"/>
    <w:rsid w:val="009462D7"/>
    <w:rsid w:val="0094654B"/>
    <w:rsid w:val="009465E2"/>
    <w:rsid w:val="009476A6"/>
    <w:rsid w:val="00947A85"/>
    <w:rsid w:val="00950BCC"/>
    <w:rsid w:val="0095155F"/>
    <w:rsid w:val="0095171A"/>
    <w:rsid w:val="009521B9"/>
    <w:rsid w:val="00953C5C"/>
    <w:rsid w:val="00954429"/>
    <w:rsid w:val="00955321"/>
    <w:rsid w:val="009555DD"/>
    <w:rsid w:val="00955D69"/>
    <w:rsid w:val="009563CE"/>
    <w:rsid w:val="00956757"/>
    <w:rsid w:val="00956A52"/>
    <w:rsid w:val="009575E7"/>
    <w:rsid w:val="00957BCD"/>
    <w:rsid w:val="00957F65"/>
    <w:rsid w:val="00957F8F"/>
    <w:rsid w:val="0096272C"/>
    <w:rsid w:val="00962796"/>
    <w:rsid w:val="00962E84"/>
    <w:rsid w:val="009651F4"/>
    <w:rsid w:val="009727CA"/>
    <w:rsid w:val="00973A97"/>
    <w:rsid w:val="00973C29"/>
    <w:rsid w:val="00974E54"/>
    <w:rsid w:val="0097577F"/>
    <w:rsid w:val="009757C9"/>
    <w:rsid w:val="00975E46"/>
    <w:rsid w:val="00976045"/>
    <w:rsid w:val="00976328"/>
    <w:rsid w:val="009763B2"/>
    <w:rsid w:val="0097680D"/>
    <w:rsid w:val="00980C3F"/>
    <w:rsid w:val="00980DF8"/>
    <w:rsid w:val="00981A0E"/>
    <w:rsid w:val="00981D4C"/>
    <w:rsid w:val="00982438"/>
    <w:rsid w:val="00983FED"/>
    <w:rsid w:val="0098404C"/>
    <w:rsid w:val="009846E1"/>
    <w:rsid w:val="00984A41"/>
    <w:rsid w:val="00985283"/>
    <w:rsid w:val="00985767"/>
    <w:rsid w:val="00987073"/>
    <w:rsid w:val="00987458"/>
    <w:rsid w:val="009877DE"/>
    <w:rsid w:val="00987DDB"/>
    <w:rsid w:val="009908B2"/>
    <w:rsid w:val="00990E5A"/>
    <w:rsid w:val="00992DAA"/>
    <w:rsid w:val="00993720"/>
    <w:rsid w:val="00995992"/>
    <w:rsid w:val="00995D76"/>
    <w:rsid w:val="009A03E5"/>
    <w:rsid w:val="009A07A9"/>
    <w:rsid w:val="009A0F3B"/>
    <w:rsid w:val="009A1BB4"/>
    <w:rsid w:val="009A2628"/>
    <w:rsid w:val="009A3200"/>
    <w:rsid w:val="009A3839"/>
    <w:rsid w:val="009A45B4"/>
    <w:rsid w:val="009A4ADA"/>
    <w:rsid w:val="009A4F0A"/>
    <w:rsid w:val="009A5451"/>
    <w:rsid w:val="009A6CD7"/>
    <w:rsid w:val="009B027F"/>
    <w:rsid w:val="009B04B9"/>
    <w:rsid w:val="009B079E"/>
    <w:rsid w:val="009B0897"/>
    <w:rsid w:val="009B1242"/>
    <w:rsid w:val="009B4250"/>
    <w:rsid w:val="009B42A7"/>
    <w:rsid w:val="009B4B6E"/>
    <w:rsid w:val="009B4F19"/>
    <w:rsid w:val="009B54B8"/>
    <w:rsid w:val="009B59A1"/>
    <w:rsid w:val="009B669E"/>
    <w:rsid w:val="009B7571"/>
    <w:rsid w:val="009B7BD9"/>
    <w:rsid w:val="009C0973"/>
    <w:rsid w:val="009C180A"/>
    <w:rsid w:val="009C196D"/>
    <w:rsid w:val="009C2381"/>
    <w:rsid w:val="009C27DC"/>
    <w:rsid w:val="009C2A56"/>
    <w:rsid w:val="009C2FB5"/>
    <w:rsid w:val="009C36F8"/>
    <w:rsid w:val="009C3FE9"/>
    <w:rsid w:val="009C42C2"/>
    <w:rsid w:val="009C5784"/>
    <w:rsid w:val="009C6C4D"/>
    <w:rsid w:val="009C7DD5"/>
    <w:rsid w:val="009C7E65"/>
    <w:rsid w:val="009D3368"/>
    <w:rsid w:val="009D5A1C"/>
    <w:rsid w:val="009D5F1A"/>
    <w:rsid w:val="009D69FB"/>
    <w:rsid w:val="009D6C21"/>
    <w:rsid w:val="009D6EC8"/>
    <w:rsid w:val="009D7C70"/>
    <w:rsid w:val="009E0651"/>
    <w:rsid w:val="009E08D7"/>
    <w:rsid w:val="009E0CC1"/>
    <w:rsid w:val="009E1C63"/>
    <w:rsid w:val="009E227D"/>
    <w:rsid w:val="009E23ED"/>
    <w:rsid w:val="009E2E5C"/>
    <w:rsid w:val="009E43A3"/>
    <w:rsid w:val="009E5019"/>
    <w:rsid w:val="009E55AB"/>
    <w:rsid w:val="009E721F"/>
    <w:rsid w:val="009E7982"/>
    <w:rsid w:val="009F0662"/>
    <w:rsid w:val="009F0B43"/>
    <w:rsid w:val="009F1832"/>
    <w:rsid w:val="009F2193"/>
    <w:rsid w:val="009F2829"/>
    <w:rsid w:val="009F43CE"/>
    <w:rsid w:val="009F4EC9"/>
    <w:rsid w:val="009F5151"/>
    <w:rsid w:val="009F62FD"/>
    <w:rsid w:val="009F6758"/>
    <w:rsid w:val="009F74AE"/>
    <w:rsid w:val="00A0044F"/>
    <w:rsid w:val="00A00786"/>
    <w:rsid w:val="00A00B94"/>
    <w:rsid w:val="00A00F81"/>
    <w:rsid w:val="00A04F1B"/>
    <w:rsid w:val="00A0501B"/>
    <w:rsid w:val="00A05EE5"/>
    <w:rsid w:val="00A06581"/>
    <w:rsid w:val="00A06723"/>
    <w:rsid w:val="00A06F1B"/>
    <w:rsid w:val="00A07123"/>
    <w:rsid w:val="00A0759D"/>
    <w:rsid w:val="00A07DF8"/>
    <w:rsid w:val="00A11633"/>
    <w:rsid w:val="00A12C8F"/>
    <w:rsid w:val="00A14947"/>
    <w:rsid w:val="00A15ACC"/>
    <w:rsid w:val="00A15D7B"/>
    <w:rsid w:val="00A17461"/>
    <w:rsid w:val="00A22340"/>
    <w:rsid w:val="00A2259C"/>
    <w:rsid w:val="00A24335"/>
    <w:rsid w:val="00A247FC"/>
    <w:rsid w:val="00A2511A"/>
    <w:rsid w:val="00A2542C"/>
    <w:rsid w:val="00A26260"/>
    <w:rsid w:val="00A26389"/>
    <w:rsid w:val="00A2648B"/>
    <w:rsid w:val="00A2719A"/>
    <w:rsid w:val="00A27267"/>
    <w:rsid w:val="00A27AEC"/>
    <w:rsid w:val="00A306F9"/>
    <w:rsid w:val="00A3072A"/>
    <w:rsid w:val="00A30BAD"/>
    <w:rsid w:val="00A32127"/>
    <w:rsid w:val="00A32A83"/>
    <w:rsid w:val="00A332A4"/>
    <w:rsid w:val="00A3457F"/>
    <w:rsid w:val="00A34A0E"/>
    <w:rsid w:val="00A35047"/>
    <w:rsid w:val="00A35CE0"/>
    <w:rsid w:val="00A35D08"/>
    <w:rsid w:val="00A368DB"/>
    <w:rsid w:val="00A402DF"/>
    <w:rsid w:val="00A423AA"/>
    <w:rsid w:val="00A44DFD"/>
    <w:rsid w:val="00A45EE2"/>
    <w:rsid w:val="00A460CE"/>
    <w:rsid w:val="00A46A70"/>
    <w:rsid w:val="00A47645"/>
    <w:rsid w:val="00A50630"/>
    <w:rsid w:val="00A50865"/>
    <w:rsid w:val="00A5222C"/>
    <w:rsid w:val="00A52358"/>
    <w:rsid w:val="00A52BD4"/>
    <w:rsid w:val="00A53EC3"/>
    <w:rsid w:val="00A53EC6"/>
    <w:rsid w:val="00A54FAE"/>
    <w:rsid w:val="00A55C0F"/>
    <w:rsid w:val="00A568C5"/>
    <w:rsid w:val="00A56A24"/>
    <w:rsid w:val="00A56AA8"/>
    <w:rsid w:val="00A6111D"/>
    <w:rsid w:val="00A615B2"/>
    <w:rsid w:val="00A62B57"/>
    <w:rsid w:val="00A63AF1"/>
    <w:rsid w:val="00A65966"/>
    <w:rsid w:val="00A65CFC"/>
    <w:rsid w:val="00A665EA"/>
    <w:rsid w:val="00A67511"/>
    <w:rsid w:val="00A676D3"/>
    <w:rsid w:val="00A67B61"/>
    <w:rsid w:val="00A70C4E"/>
    <w:rsid w:val="00A70F07"/>
    <w:rsid w:val="00A719EF"/>
    <w:rsid w:val="00A71E13"/>
    <w:rsid w:val="00A7207F"/>
    <w:rsid w:val="00A72565"/>
    <w:rsid w:val="00A7343E"/>
    <w:rsid w:val="00A74426"/>
    <w:rsid w:val="00A80664"/>
    <w:rsid w:val="00A835AB"/>
    <w:rsid w:val="00A85324"/>
    <w:rsid w:val="00A86E71"/>
    <w:rsid w:val="00A86F01"/>
    <w:rsid w:val="00A8713F"/>
    <w:rsid w:val="00A87AC1"/>
    <w:rsid w:val="00A90764"/>
    <w:rsid w:val="00A90805"/>
    <w:rsid w:val="00A90BA1"/>
    <w:rsid w:val="00A9128C"/>
    <w:rsid w:val="00A91B6D"/>
    <w:rsid w:val="00A923BD"/>
    <w:rsid w:val="00A92CD7"/>
    <w:rsid w:val="00A93A06"/>
    <w:rsid w:val="00A93BCC"/>
    <w:rsid w:val="00A948BC"/>
    <w:rsid w:val="00A9581F"/>
    <w:rsid w:val="00A97A9A"/>
    <w:rsid w:val="00AA0671"/>
    <w:rsid w:val="00AA0B0C"/>
    <w:rsid w:val="00AA20BB"/>
    <w:rsid w:val="00AA2531"/>
    <w:rsid w:val="00AA3214"/>
    <w:rsid w:val="00AA459F"/>
    <w:rsid w:val="00AA476B"/>
    <w:rsid w:val="00AA492E"/>
    <w:rsid w:val="00AA57AE"/>
    <w:rsid w:val="00AA5DCC"/>
    <w:rsid w:val="00AA7617"/>
    <w:rsid w:val="00AA7EAF"/>
    <w:rsid w:val="00AB05F4"/>
    <w:rsid w:val="00AB07FD"/>
    <w:rsid w:val="00AB1AF2"/>
    <w:rsid w:val="00AB1E09"/>
    <w:rsid w:val="00AB1F78"/>
    <w:rsid w:val="00AB1F80"/>
    <w:rsid w:val="00AB28C7"/>
    <w:rsid w:val="00AB2DB3"/>
    <w:rsid w:val="00AB2FCE"/>
    <w:rsid w:val="00AB33AB"/>
    <w:rsid w:val="00AB4A59"/>
    <w:rsid w:val="00AB523B"/>
    <w:rsid w:val="00AB5330"/>
    <w:rsid w:val="00AB5D0A"/>
    <w:rsid w:val="00AB6EBD"/>
    <w:rsid w:val="00AB7747"/>
    <w:rsid w:val="00AC14CE"/>
    <w:rsid w:val="00AC182E"/>
    <w:rsid w:val="00AC22B6"/>
    <w:rsid w:val="00AC2A56"/>
    <w:rsid w:val="00AC31EF"/>
    <w:rsid w:val="00AC3440"/>
    <w:rsid w:val="00AC3488"/>
    <w:rsid w:val="00AC4010"/>
    <w:rsid w:val="00AC59B1"/>
    <w:rsid w:val="00AC6867"/>
    <w:rsid w:val="00AC6B0C"/>
    <w:rsid w:val="00AC73BC"/>
    <w:rsid w:val="00AC73E0"/>
    <w:rsid w:val="00AC791F"/>
    <w:rsid w:val="00AC7CF7"/>
    <w:rsid w:val="00AD055E"/>
    <w:rsid w:val="00AD0DF5"/>
    <w:rsid w:val="00AD17AB"/>
    <w:rsid w:val="00AD28B2"/>
    <w:rsid w:val="00AD47A7"/>
    <w:rsid w:val="00AD47AC"/>
    <w:rsid w:val="00AD6238"/>
    <w:rsid w:val="00AD7BE0"/>
    <w:rsid w:val="00AE039F"/>
    <w:rsid w:val="00AE0EB1"/>
    <w:rsid w:val="00AE14C8"/>
    <w:rsid w:val="00AE2F2D"/>
    <w:rsid w:val="00AE3194"/>
    <w:rsid w:val="00AE3D5E"/>
    <w:rsid w:val="00AE3E37"/>
    <w:rsid w:val="00AE3F62"/>
    <w:rsid w:val="00AE44F9"/>
    <w:rsid w:val="00AE542E"/>
    <w:rsid w:val="00AE5C1A"/>
    <w:rsid w:val="00AE5E31"/>
    <w:rsid w:val="00AF0BCB"/>
    <w:rsid w:val="00AF0CBF"/>
    <w:rsid w:val="00AF107C"/>
    <w:rsid w:val="00AF2410"/>
    <w:rsid w:val="00AF257F"/>
    <w:rsid w:val="00AF33CF"/>
    <w:rsid w:val="00AF4003"/>
    <w:rsid w:val="00AF4C91"/>
    <w:rsid w:val="00AF4D50"/>
    <w:rsid w:val="00AF4E65"/>
    <w:rsid w:val="00AF4FB1"/>
    <w:rsid w:val="00AF54BD"/>
    <w:rsid w:val="00AF6179"/>
    <w:rsid w:val="00AF6E0C"/>
    <w:rsid w:val="00AF731C"/>
    <w:rsid w:val="00AF7B33"/>
    <w:rsid w:val="00B006D1"/>
    <w:rsid w:val="00B00702"/>
    <w:rsid w:val="00B00E60"/>
    <w:rsid w:val="00B0137F"/>
    <w:rsid w:val="00B01AC5"/>
    <w:rsid w:val="00B03EAF"/>
    <w:rsid w:val="00B04105"/>
    <w:rsid w:val="00B0686D"/>
    <w:rsid w:val="00B06A50"/>
    <w:rsid w:val="00B06D0A"/>
    <w:rsid w:val="00B11049"/>
    <w:rsid w:val="00B12256"/>
    <w:rsid w:val="00B12628"/>
    <w:rsid w:val="00B12953"/>
    <w:rsid w:val="00B1295A"/>
    <w:rsid w:val="00B12D80"/>
    <w:rsid w:val="00B17B45"/>
    <w:rsid w:val="00B17D1E"/>
    <w:rsid w:val="00B207A8"/>
    <w:rsid w:val="00B20A45"/>
    <w:rsid w:val="00B2154A"/>
    <w:rsid w:val="00B227DB"/>
    <w:rsid w:val="00B22C5C"/>
    <w:rsid w:val="00B232D2"/>
    <w:rsid w:val="00B23641"/>
    <w:rsid w:val="00B23CFB"/>
    <w:rsid w:val="00B242E4"/>
    <w:rsid w:val="00B24672"/>
    <w:rsid w:val="00B24F30"/>
    <w:rsid w:val="00B269BD"/>
    <w:rsid w:val="00B30169"/>
    <w:rsid w:val="00B31280"/>
    <w:rsid w:val="00B31ABF"/>
    <w:rsid w:val="00B33BE3"/>
    <w:rsid w:val="00B34017"/>
    <w:rsid w:val="00B341A1"/>
    <w:rsid w:val="00B34FA4"/>
    <w:rsid w:val="00B35C93"/>
    <w:rsid w:val="00B35CEC"/>
    <w:rsid w:val="00B36EB0"/>
    <w:rsid w:val="00B377F6"/>
    <w:rsid w:val="00B4054D"/>
    <w:rsid w:val="00B42331"/>
    <w:rsid w:val="00B43BC1"/>
    <w:rsid w:val="00B4419D"/>
    <w:rsid w:val="00B505A0"/>
    <w:rsid w:val="00B51B4D"/>
    <w:rsid w:val="00B528E8"/>
    <w:rsid w:val="00B53B5D"/>
    <w:rsid w:val="00B6055E"/>
    <w:rsid w:val="00B6132A"/>
    <w:rsid w:val="00B6317D"/>
    <w:rsid w:val="00B633FD"/>
    <w:rsid w:val="00B639F6"/>
    <w:rsid w:val="00B644E2"/>
    <w:rsid w:val="00B64669"/>
    <w:rsid w:val="00B64C53"/>
    <w:rsid w:val="00B64E77"/>
    <w:rsid w:val="00B657AF"/>
    <w:rsid w:val="00B6639F"/>
    <w:rsid w:val="00B6662B"/>
    <w:rsid w:val="00B67957"/>
    <w:rsid w:val="00B70E15"/>
    <w:rsid w:val="00B72670"/>
    <w:rsid w:val="00B73444"/>
    <w:rsid w:val="00B751B3"/>
    <w:rsid w:val="00B75426"/>
    <w:rsid w:val="00B760CC"/>
    <w:rsid w:val="00B7723F"/>
    <w:rsid w:val="00B77778"/>
    <w:rsid w:val="00B77F8C"/>
    <w:rsid w:val="00B80534"/>
    <w:rsid w:val="00B828F4"/>
    <w:rsid w:val="00B837CB"/>
    <w:rsid w:val="00B838D4"/>
    <w:rsid w:val="00B8412C"/>
    <w:rsid w:val="00B8433C"/>
    <w:rsid w:val="00B84C2F"/>
    <w:rsid w:val="00B87491"/>
    <w:rsid w:val="00B87C28"/>
    <w:rsid w:val="00B941C3"/>
    <w:rsid w:val="00B967A6"/>
    <w:rsid w:val="00B96845"/>
    <w:rsid w:val="00B96ECF"/>
    <w:rsid w:val="00B97C2B"/>
    <w:rsid w:val="00B97C75"/>
    <w:rsid w:val="00BA0ED8"/>
    <w:rsid w:val="00BA29E9"/>
    <w:rsid w:val="00BA2BFC"/>
    <w:rsid w:val="00BA37DD"/>
    <w:rsid w:val="00BA4E6B"/>
    <w:rsid w:val="00BA5371"/>
    <w:rsid w:val="00BA7142"/>
    <w:rsid w:val="00BB0FB5"/>
    <w:rsid w:val="00BB237C"/>
    <w:rsid w:val="00BB35B7"/>
    <w:rsid w:val="00BB41A3"/>
    <w:rsid w:val="00BB5517"/>
    <w:rsid w:val="00BB6604"/>
    <w:rsid w:val="00BB7ABD"/>
    <w:rsid w:val="00BC0043"/>
    <w:rsid w:val="00BC06E9"/>
    <w:rsid w:val="00BC0FAE"/>
    <w:rsid w:val="00BC1086"/>
    <w:rsid w:val="00BC1117"/>
    <w:rsid w:val="00BC2207"/>
    <w:rsid w:val="00BC32DC"/>
    <w:rsid w:val="00BC35B6"/>
    <w:rsid w:val="00BC3F09"/>
    <w:rsid w:val="00BC7271"/>
    <w:rsid w:val="00BD085D"/>
    <w:rsid w:val="00BD0BF1"/>
    <w:rsid w:val="00BD1B51"/>
    <w:rsid w:val="00BD2D38"/>
    <w:rsid w:val="00BD4596"/>
    <w:rsid w:val="00BD5D70"/>
    <w:rsid w:val="00BD6018"/>
    <w:rsid w:val="00BD622E"/>
    <w:rsid w:val="00BD64A6"/>
    <w:rsid w:val="00BD7A2B"/>
    <w:rsid w:val="00BE1405"/>
    <w:rsid w:val="00BE26CD"/>
    <w:rsid w:val="00BE2C9A"/>
    <w:rsid w:val="00BE312D"/>
    <w:rsid w:val="00BF04E8"/>
    <w:rsid w:val="00BF0873"/>
    <w:rsid w:val="00BF0FDD"/>
    <w:rsid w:val="00BF1054"/>
    <w:rsid w:val="00BF1C20"/>
    <w:rsid w:val="00BF25F3"/>
    <w:rsid w:val="00BF2CE8"/>
    <w:rsid w:val="00BF303B"/>
    <w:rsid w:val="00BF4185"/>
    <w:rsid w:val="00BF418E"/>
    <w:rsid w:val="00BF4B54"/>
    <w:rsid w:val="00BF57F5"/>
    <w:rsid w:val="00BF709E"/>
    <w:rsid w:val="00BF716C"/>
    <w:rsid w:val="00C01748"/>
    <w:rsid w:val="00C0190D"/>
    <w:rsid w:val="00C039FE"/>
    <w:rsid w:val="00C03E0F"/>
    <w:rsid w:val="00C05C64"/>
    <w:rsid w:val="00C067F8"/>
    <w:rsid w:val="00C069E8"/>
    <w:rsid w:val="00C06BD6"/>
    <w:rsid w:val="00C10578"/>
    <w:rsid w:val="00C10A3D"/>
    <w:rsid w:val="00C135BC"/>
    <w:rsid w:val="00C15554"/>
    <w:rsid w:val="00C15C95"/>
    <w:rsid w:val="00C15E1A"/>
    <w:rsid w:val="00C1640A"/>
    <w:rsid w:val="00C16DEE"/>
    <w:rsid w:val="00C16F2C"/>
    <w:rsid w:val="00C202CB"/>
    <w:rsid w:val="00C2046A"/>
    <w:rsid w:val="00C211E6"/>
    <w:rsid w:val="00C21B47"/>
    <w:rsid w:val="00C21CC2"/>
    <w:rsid w:val="00C2212E"/>
    <w:rsid w:val="00C22A2E"/>
    <w:rsid w:val="00C22CBA"/>
    <w:rsid w:val="00C2596A"/>
    <w:rsid w:val="00C265D2"/>
    <w:rsid w:val="00C27537"/>
    <w:rsid w:val="00C27A22"/>
    <w:rsid w:val="00C27A6F"/>
    <w:rsid w:val="00C301AA"/>
    <w:rsid w:val="00C3042D"/>
    <w:rsid w:val="00C32793"/>
    <w:rsid w:val="00C328FE"/>
    <w:rsid w:val="00C33507"/>
    <w:rsid w:val="00C33BFB"/>
    <w:rsid w:val="00C4153E"/>
    <w:rsid w:val="00C4231E"/>
    <w:rsid w:val="00C424E7"/>
    <w:rsid w:val="00C4394C"/>
    <w:rsid w:val="00C4409D"/>
    <w:rsid w:val="00C4421C"/>
    <w:rsid w:val="00C44E72"/>
    <w:rsid w:val="00C45041"/>
    <w:rsid w:val="00C45A06"/>
    <w:rsid w:val="00C46D9F"/>
    <w:rsid w:val="00C47E5B"/>
    <w:rsid w:val="00C47ED2"/>
    <w:rsid w:val="00C5233F"/>
    <w:rsid w:val="00C54201"/>
    <w:rsid w:val="00C544CC"/>
    <w:rsid w:val="00C54D0B"/>
    <w:rsid w:val="00C574BE"/>
    <w:rsid w:val="00C60300"/>
    <w:rsid w:val="00C60AD0"/>
    <w:rsid w:val="00C6170F"/>
    <w:rsid w:val="00C61E4B"/>
    <w:rsid w:val="00C62525"/>
    <w:rsid w:val="00C64353"/>
    <w:rsid w:val="00C64BFF"/>
    <w:rsid w:val="00C65357"/>
    <w:rsid w:val="00C65A9F"/>
    <w:rsid w:val="00C6721F"/>
    <w:rsid w:val="00C704E9"/>
    <w:rsid w:val="00C70613"/>
    <w:rsid w:val="00C72FCB"/>
    <w:rsid w:val="00C75095"/>
    <w:rsid w:val="00C75B0C"/>
    <w:rsid w:val="00C75BE6"/>
    <w:rsid w:val="00C75CDC"/>
    <w:rsid w:val="00C763C9"/>
    <w:rsid w:val="00C80057"/>
    <w:rsid w:val="00C801CA"/>
    <w:rsid w:val="00C82232"/>
    <w:rsid w:val="00C82913"/>
    <w:rsid w:val="00C82F07"/>
    <w:rsid w:val="00C8386E"/>
    <w:rsid w:val="00C8572E"/>
    <w:rsid w:val="00C8671C"/>
    <w:rsid w:val="00C867C9"/>
    <w:rsid w:val="00C872F4"/>
    <w:rsid w:val="00C877C2"/>
    <w:rsid w:val="00C878A2"/>
    <w:rsid w:val="00C924B0"/>
    <w:rsid w:val="00C9336A"/>
    <w:rsid w:val="00C94DB6"/>
    <w:rsid w:val="00C9504D"/>
    <w:rsid w:val="00C954B5"/>
    <w:rsid w:val="00C95951"/>
    <w:rsid w:val="00C96451"/>
    <w:rsid w:val="00C972B1"/>
    <w:rsid w:val="00C9759C"/>
    <w:rsid w:val="00CA2614"/>
    <w:rsid w:val="00CA2BE7"/>
    <w:rsid w:val="00CA2CCE"/>
    <w:rsid w:val="00CA3227"/>
    <w:rsid w:val="00CA43FD"/>
    <w:rsid w:val="00CA541A"/>
    <w:rsid w:val="00CA564C"/>
    <w:rsid w:val="00CA5D66"/>
    <w:rsid w:val="00CA6678"/>
    <w:rsid w:val="00CA68EA"/>
    <w:rsid w:val="00CA7780"/>
    <w:rsid w:val="00CA786E"/>
    <w:rsid w:val="00CA7EF8"/>
    <w:rsid w:val="00CB0355"/>
    <w:rsid w:val="00CB0655"/>
    <w:rsid w:val="00CB11A0"/>
    <w:rsid w:val="00CB2975"/>
    <w:rsid w:val="00CB2C83"/>
    <w:rsid w:val="00CB2DEF"/>
    <w:rsid w:val="00CB4615"/>
    <w:rsid w:val="00CB4C57"/>
    <w:rsid w:val="00CB4DC9"/>
    <w:rsid w:val="00CB5CBD"/>
    <w:rsid w:val="00CB5D3B"/>
    <w:rsid w:val="00CB5E1E"/>
    <w:rsid w:val="00CB60E2"/>
    <w:rsid w:val="00CB64ED"/>
    <w:rsid w:val="00CC012F"/>
    <w:rsid w:val="00CC0BB6"/>
    <w:rsid w:val="00CC489B"/>
    <w:rsid w:val="00CC4ADD"/>
    <w:rsid w:val="00CC5251"/>
    <w:rsid w:val="00CC57C4"/>
    <w:rsid w:val="00CC5BE3"/>
    <w:rsid w:val="00CC6129"/>
    <w:rsid w:val="00CC6B9E"/>
    <w:rsid w:val="00CC776B"/>
    <w:rsid w:val="00CC78F2"/>
    <w:rsid w:val="00CD2BCD"/>
    <w:rsid w:val="00CD2C15"/>
    <w:rsid w:val="00CD2D06"/>
    <w:rsid w:val="00CD2D3D"/>
    <w:rsid w:val="00CD3A4C"/>
    <w:rsid w:val="00CD538F"/>
    <w:rsid w:val="00CD6D0D"/>
    <w:rsid w:val="00CD6E1A"/>
    <w:rsid w:val="00CD722D"/>
    <w:rsid w:val="00CD7776"/>
    <w:rsid w:val="00CD7921"/>
    <w:rsid w:val="00CE10E9"/>
    <w:rsid w:val="00CE12ED"/>
    <w:rsid w:val="00CE1369"/>
    <w:rsid w:val="00CE2910"/>
    <w:rsid w:val="00CE2A16"/>
    <w:rsid w:val="00CE2A54"/>
    <w:rsid w:val="00CE2A59"/>
    <w:rsid w:val="00CE3AAB"/>
    <w:rsid w:val="00CE3C4B"/>
    <w:rsid w:val="00CE5393"/>
    <w:rsid w:val="00CE565B"/>
    <w:rsid w:val="00CE59C2"/>
    <w:rsid w:val="00CE5BBB"/>
    <w:rsid w:val="00CF36BE"/>
    <w:rsid w:val="00CF4EE7"/>
    <w:rsid w:val="00CF6000"/>
    <w:rsid w:val="00CF6C03"/>
    <w:rsid w:val="00CF7833"/>
    <w:rsid w:val="00CF7D4B"/>
    <w:rsid w:val="00D003F3"/>
    <w:rsid w:val="00D005A1"/>
    <w:rsid w:val="00D015CB"/>
    <w:rsid w:val="00D0179B"/>
    <w:rsid w:val="00D023C1"/>
    <w:rsid w:val="00D033AF"/>
    <w:rsid w:val="00D0364F"/>
    <w:rsid w:val="00D03AA5"/>
    <w:rsid w:val="00D0402C"/>
    <w:rsid w:val="00D04EC7"/>
    <w:rsid w:val="00D0505B"/>
    <w:rsid w:val="00D056DC"/>
    <w:rsid w:val="00D06834"/>
    <w:rsid w:val="00D06DB7"/>
    <w:rsid w:val="00D06EED"/>
    <w:rsid w:val="00D10483"/>
    <w:rsid w:val="00D10739"/>
    <w:rsid w:val="00D10AC6"/>
    <w:rsid w:val="00D10B32"/>
    <w:rsid w:val="00D111F1"/>
    <w:rsid w:val="00D11DFB"/>
    <w:rsid w:val="00D14426"/>
    <w:rsid w:val="00D15E6A"/>
    <w:rsid w:val="00D20FDE"/>
    <w:rsid w:val="00D22CBD"/>
    <w:rsid w:val="00D22FDE"/>
    <w:rsid w:val="00D24183"/>
    <w:rsid w:val="00D308ED"/>
    <w:rsid w:val="00D3129A"/>
    <w:rsid w:val="00D315DA"/>
    <w:rsid w:val="00D31EA6"/>
    <w:rsid w:val="00D3215C"/>
    <w:rsid w:val="00D32384"/>
    <w:rsid w:val="00D32B4D"/>
    <w:rsid w:val="00D34163"/>
    <w:rsid w:val="00D3448D"/>
    <w:rsid w:val="00D34EB1"/>
    <w:rsid w:val="00D36D86"/>
    <w:rsid w:val="00D37B8C"/>
    <w:rsid w:val="00D37D6B"/>
    <w:rsid w:val="00D40A81"/>
    <w:rsid w:val="00D41559"/>
    <w:rsid w:val="00D42042"/>
    <w:rsid w:val="00D428AA"/>
    <w:rsid w:val="00D440BC"/>
    <w:rsid w:val="00D4697B"/>
    <w:rsid w:val="00D46EE2"/>
    <w:rsid w:val="00D50314"/>
    <w:rsid w:val="00D503F2"/>
    <w:rsid w:val="00D50A34"/>
    <w:rsid w:val="00D5398C"/>
    <w:rsid w:val="00D53EFA"/>
    <w:rsid w:val="00D54462"/>
    <w:rsid w:val="00D552B8"/>
    <w:rsid w:val="00D5580F"/>
    <w:rsid w:val="00D6087A"/>
    <w:rsid w:val="00D60D2C"/>
    <w:rsid w:val="00D618BE"/>
    <w:rsid w:val="00D61F9D"/>
    <w:rsid w:val="00D62C72"/>
    <w:rsid w:val="00D64E9C"/>
    <w:rsid w:val="00D65789"/>
    <w:rsid w:val="00D66EB1"/>
    <w:rsid w:val="00D677FC"/>
    <w:rsid w:val="00D70313"/>
    <w:rsid w:val="00D70823"/>
    <w:rsid w:val="00D71EA8"/>
    <w:rsid w:val="00D7259C"/>
    <w:rsid w:val="00D73CA8"/>
    <w:rsid w:val="00D7599A"/>
    <w:rsid w:val="00D75C1C"/>
    <w:rsid w:val="00D77E33"/>
    <w:rsid w:val="00D8214F"/>
    <w:rsid w:val="00D83B25"/>
    <w:rsid w:val="00D83B50"/>
    <w:rsid w:val="00D85129"/>
    <w:rsid w:val="00D86C43"/>
    <w:rsid w:val="00D87DF9"/>
    <w:rsid w:val="00D90CCD"/>
    <w:rsid w:val="00D911A2"/>
    <w:rsid w:val="00D91B75"/>
    <w:rsid w:val="00D92271"/>
    <w:rsid w:val="00D92443"/>
    <w:rsid w:val="00D92CFD"/>
    <w:rsid w:val="00D94764"/>
    <w:rsid w:val="00D94A7C"/>
    <w:rsid w:val="00D9518E"/>
    <w:rsid w:val="00D95896"/>
    <w:rsid w:val="00D95DB9"/>
    <w:rsid w:val="00D964E1"/>
    <w:rsid w:val="00D972ED"/>
    <w:rsid w:val="00D975DF"/>
    <w:rsid w:val="00DA03E4"/>
    <w:rsid w:val="00DA1286"/>
    <w:rsid w:val="00DA13BE"/>
    <w:rsid w:val="00DA1E89"/>
    <w:rsid w:val="00DA2EE7"/>
    <w:rsid w:val="00DA3621"/>
    <w:rsid w:val="00DA5593"/>
    <w:rsid w:val="00DA68DE"/>
    <w:rsid w:val="00DA7FE5"/>
    <w:rsid w:val="00DB0085"/>
    <w:rsid w:val="00DB0A5F"/>
    <w:rsid w:val="00DB1B50"/>
    <w:rsid w:val="00DB2100"/>
    <w:rsid w:val="00DB237A"/>
    <w:rsid w:val="00DB2983"/>
    <w:rsid w:val="00DB33A3"/>
    <w:rsid w:val="00DB3857"/>
    <w:rsid w:val="00DB4957"/>
    <w:rsid w:val="00DB556D"/>
    <w:rsid w:val="00DB6E1C"/>
    <w:rsid w:val="00DC1257"/>
    <w:rsid w:val="00DC26EE"/>
    <w:rsid w:val="00DC3475"/>
    <w:rsid w:val="00DC37EC"/>
    <w:rsid w:val="00DC3DC0"/>
    <w:rsid w:val="00DC5B2B"/>
    <w:rsid w:val="00DC63A8"/>
    <w:rsid w:val="00DC79E9"/>
    <w:rsid w:val="00DD0456"/>
    <w:rsid w:val="00DD1098"/>
    <w:rsid w:val="00DD318D"/>
    <w:rsid w:val="00DD3866"/>
    <w:rsid w:val="00DD39ED"/>
    <w:rsid w:val="00DD3B05"/>
    <w:rsid w:val="00DD42A4"/>
    <w:rsid w:val="00DD5B17"/>
    <w:rsid w:val="00DD6368"/>
    <w:rsid w:val="00DD648B"/>
    <w:rsid w:val="00DD7D6F"/>
    <w:rsid w:val="00DE14FA"/>
    <w:rsid w:val="00DE197A"/>
    <w:rsid w:val="00DE1A0D"/>
    <w:rsid w:val="00DE4F52"/>
    <w:rsid w:val="00DE6865"/>
    <w:rsid w:val="00DE6C26"/>
    <w:rsid w:val="00DF093E"/>
    <w:rsid w:val="00DF291D"/>
    <w:rsid w:val="00DF29F5"/>
    <w:rsid w:val="00DF2E12"/>
    <w:rsid w:val="00DF3F28"/>
    <w:rsid w:val="00DF40AC"/>
    <w:rsid w:val="00DF48A3"/>
    <w:rsid w:val="00DF514A"/>
    <w:rsid w:val="00DF6690"/>
    <w:rsid w:val="00DF66C0"/>
    <w:rsid w:val="00DF6804"/>
    <w:rsid w:val="00DF796D"/>
    <w:rsid w:val="00DF7F2E"/>
    <w:rsid w:val="00E000DC"/>
    <w:rsid w:val="00E020B0"/>
    <w:rsid w:val="00E0228D"/>
    <w:rsid w:val="00E0358D"/>
    <w:rsid w:val="00E04323"/>
    <w:rsid w:val="00E04D74"/>
    <w:rsid w:val="00E070A2"/>
    <w:rsid w:val="00E07915"/>
    <w:rsid w:val="00E10651"/>
    <w:rsid w:val="00E111CE"/>
    <w:rsid w:val="00E12797"/>
    <w:rsid w:val="00E13B47"/>
    <w:rsid w:val="00E14078"/>
    <w:rsid w:val="00E14806"/>
    <w:rsid w:val="00E160E6"/>
    <w:rsid w:val="00E17F0A"/>
    <w:rsid w:val="00E23B9C"/>
    <w:rsid w:val="00E259BD"/>
    <w:rsid w:val="00E2644F"/>
    <w:rsid w:val="00E2656A"/>
    <w:rsid w:val="00E27498"/>
    <w:rsid w:val="00E27A34"/>
    <w:rsid w:val="00E31080"/>
    <w:rsid w:val="00E31541"/>
    <w:rsid w:val="00E33BEE"/>
    <w:rsid w:val="00E33ED2"/>
    <w:rsid w:val="00E34E3D"/>
    <w:rsid w:val="00E34E85"/>
    <w:rsid w:val="00E35E9A"/>
    <w:rsid w:val="00E35EFE"/>
    <w:rsid w:val="00E35F8D"/>
    <w:rsid w:val="00E373AB"/>
    <w:rsid w:val="00E40361"/>
    <w:rsid w:val="00E4063B"/>
    <w:rsid w:val="00E40F77"/>
    <w:rsid w:val="00E412D0"/>
    <w:rsid w:val="00E42934"/>
    <w:rsid w:val="00E42CF0"/>
    <w:rsid w:val="00E43B76"/>
    <w:rsid w:val="00E44A2E"/>
    <w:rsid w:val="00E44A38"/>
    <w:rsid w:val="00E452E4"/>
    <w:rsid w:val="00E45461"/>
    <w:rsid w:val="00E46754"/>
    <w:rsid w:val="00E47914"/>
    <w:rsid w:val="00E50F9E"/>
    <w:rsid w:val="00E51327"/>
    <w:rsid w:val="00E5438E"/>
    <w:rsid w:val="00E54A4F"/>
    <w:rsid w:val="00E56322"/>
    <w:rsid w:val="00E57AE0"/>
    <w:rsid w:val="00E57F89"/>
    <w:rsid w:val="00E6017D"/>
    <w:rsid w:val="00E605EB"/>
    <w:rsid w:val="00E60982"/>
    <w:rsid w:val="00E62C62"/>
    <w:rsid w:val="00E63453"/>
    <w:rsid w:val="00E63A8D"/>
    <w:rsid w:val="00E63C6D"/>
    <w:rsid w:val="00E654C1"/>
    <w:rsid w:val="00E65D97"/>
    <w:rsid w:val="00E66B3E"/>
    <w:rsid w:val="00E67662"/>
    <w:rsid w:val="00E676B1"/>
    <w:rsid w:val="00E7009D"/>
    <w:rsid w:val="00E70E88"/>
    <w:rsid w:val="00E71F02"/>
    <w:rsid w:val="00E725F3"/>
    <w:rsid w:val="00E72A5A"/>
    <w:rsid w:val="00E72A81"/>
    <w:rsid w:val="00E73354"/>
    <w:rsid w:val="00E7388A"/>
    <w:rsid w:val="00E74187"/>
    <w:rsid w:val="00E74537"/>
    <w:rsid w:val="00E767BE"/>
    <w:rsid w:val="00E7773F"/>
    <w:rsid w:val="00E8256A"/>
    <w:rsid w:val="00E82ACB"/>
    <w:rsid w:val="00E82C38"/>
    <w:rsid w:val="00E83220"/>
    <w:rsid w:val="00E83806"/>
    <w:rsid w:val="00E8383A"/>
    <w:rsid w:val="00E83CD1"/>
    <w:rsid w:val="00E83E90"/>
    <w:rsid w:val="00E86C4C"/>
    <w:rsid w:val="00E91E0C"/>
    <w:rsid w:val="00E9242D"/>
    <w:rsid w:val="00E93F84"/>
    <w:rsid w:val="00E940FD"/>
    <w:rsid w:val="00E94703"/>
    <w:rsid w:val="00E94E20"/>
    <w:rsid w:val="00E96757"/>
    <w:rsid w:val="00E9697B"/>
    <w:rsid w:val="00EA011D"/>
    <w:rsid w:val="00EA0488"/>
    <w:rsid w:val="00EA1332"/>
    <w:rsid w:val="00EA3F4C"/>
    <w:rsid w:val="00EA4258"/>
    <w:rsid w:val="00EA4379"/>
    <w:rsid w:val="00EA4F77"/>
    <w:rsid w:val="00EA7C66"/>
    <w:rsid w:val="00EB0C61"/>
    <w:rsid w:val="00EB29DC"/>
    <w:rsid w:val="00EB2EA2"/>
    <w:rsid w:val="00EB30D6"/>
    <w:rsid w:val="00EB3688"/>
    <w:rsid w:val="00EB5255"/>
    <w:rsid w:val="00EB5C47"/>
    <w:rsid w:val="00EB5C6B"/>
    <w:rsid w:val="00EB5F6D"/>
    <w:rsid w:val="00EB6FC0"/>
    <w:rsid w:val="00EB735F"/>
    <w:rsid w:val="00EB756C"/>
    <w:rsid w:val="00EB780D"/>
    <w:rsid w:val="00EB7FDD"/>
    <w:rsid w:val="00EC08BD"/>
    <w:rsid w:val="00EC3B3B"/>
    <w:rsid w:val="00EC3C25"/>
    <w:rsid w:val="00EC44D8"/>
    <w:rsid w:val="00EC5E83"/>
    <w:rsid w:val="00EC5F16"/>
    <w:rsid w:val="00EC60DE"/>
    <w:rsid w:val="00ED0639"/>
    <w:rsid w:val="00ED095B"/>
    <w:rsid w:val="00ED0ED0"/>
    <w:rsid w:val="00ED3C08"/>
    <w:rsid w:val="00ED49C4"/>
    <w:rsid w:val="00ED59C7"/>
    <w:rsid w:val="00ED7AC8"/>
    <w:rsid w:val="00EE17CB"/>
    <w:rsid w:val="00EE44DE"/>
    <w:rsid w:val="00EE4521"/>
    <w:rsid w:val="00EE5242"/>
    <w:rsid w:val="00EE5C1F"/>
    <w:rsid w:val="00EE60DD"/>
    <w:rsid w:val="00EE6F25"/>
    <w:rsid w:val="00EE7677"/>
    <w:rsid w:val="00EF0EED"/>
    <w:rsid w:val="00EF18E7"/>
    <w:rsid w:val="00EF4755"/>
    <w:rsid w:val="00EF544F"/>
    <w:rsid w:val="00EF58C3"/>
    <w:rsid w:val="00EF6616"/>
    <w:rsid w:val="00EF7135"/>
    <w:rsid w:val="00EF7DBD"/>
    <w:rsid w:val="00F001FD"/>
    <w:rsid w:val="00F00297"/>
    <w:rsid w:val="00F00643"/>
    <w:rsid w:val="00F00CF5"/>
    <w:rsid w:val="00F027DB"/>
    <w:rsid w:val="00F045E5"/>
    <w:rsid w:val="00F04899"/>
    <w:rsid w:val="00F05E1E"/>
    <w:rsid w:val="00F05F7C"/>
    <w:rsid w:val="00F0616A"/>
    <w:rsid w:val="00F06507"/>
    <w:rsid w:val="00F06614"/>
    <w:rsid w:val="00F06674"/>
    <w:rsid w:val="00F06B2D"/>
    <w:rsid w:val="00F07675"/>
    <w:rsid w:val="00F11490"/>
    <w:rsid w:val="00F122A3"/>
    <w:rsid w:val="00F12E0D"/>
    <w:rsid w:val="00F147D8"/>
    <w:rsid w:val="00F14A7A"/>
    <w:rsid w:val="00F15811"/>
    <w:rsid w:val="00F15BDB"/>
    <w:rsid w:val="00F15BEC"/>
    <w:rsid w:val="00F15FB7"/>
    <w:rsid w:val="00F163FF"/>
    <w:rsid w:val="00F17352"/>
    <w:rsid w:val="00F20759"/>
    <w:rsid w:val="00F20D80"/>
    <w:rsid w:val="00F216A2"/>
    <w:rsid w:val="00F22985"/>
    <w:rsid w:val="00F23E1C"/>
    <w:rsid w:val="00F26510"/>
    <w:rsid w:val="00F26B6B"/>
    <w:rsid w:val="00F26DB1"/>
    <w:rsid w:val="00F30642"/>
    <w:rsid w:val="00F319ED"/>
    <w:rsid w:val="00F326D3"/>
    <w:rsid w:val="00F32904"/>
    <w:rsid w:val="00F3383E"/>
    <w:rsid w:val="00F33EC8"/>
    <w:rsid w:val="00F34209"/>
    <w:rsid w:val="00F3556B"/>
    <w:rsid w:val="00F36141"/>
    <w:rsid w:val="00F3633A"/>
    <w:rsid w:val="00F3668E"/>
    <w:rsid w:val="00F37073"/>
    <w:rsid w:val="00F37622"/>
    <w:rsid w:val="00F40229"/>
    <w:rsid w:val="00F41F91"/>
    <w:rsid w:val="00F42405"/>
    <w:rsid w:val="00F42DD0"/>
    <w:rsid w:val="00F43CD1"/>
    <w:rsid w:val="00F446F6"/>
    <w:rsid w:val="00F44BFC"/>
    <w:rsid w:val="00F459E4"/>
    <w:rsid w:val="00F465A7"/>
    <w:rsid w:val="00F505CD"/>
    <w:rsid w:val="00F50772"/>
    <w:rsid w:val="00F50AA2"/>
    <w:rsid w:val="00F50B7C"/>
    <w:rsid w:val="00F51BD5"/>
    <w:rsid w:val="00F52903"/>
    <w:rsid w:val="00F5334A"/>
    <w:rsid w:val="00F536C6"/>
    <w:rsid w:val="00F550E6"/>
    <w:rsid w:val="00F56017"/>
    <w:rsid w:val="00F56D02"/>
    <w:rsid w:val="00F56EB5"/>
    <w:rsid w:val="00F56ED0"/>
    <w:rsid w:val="00F571BE"/>
    <w:rsid w:val="00F5747D"/>
    <w:rsid w:val="00F57802"/>
    <w:rsid w:val="00F60987"/>
    <w:rsid w:val="00F619EF"/>
    <w:rsid w:val="00F61C6D"/>
    <w:rsid w:val="00F636DB"/>
    <w:rsid w:val="00F64BAB"/>
    <w:rsid w:val="00F66EAD"/>
    <w:rsid w:val="00F6748A"/>
    <w:rsid w:val="00F71FD7"/>
    <w:rsid w:val="00F726D2"/>
    <w:rsid w:val="00F728B2"/>
    <w:rsid w:val="00F72E0A"/>
    <w:rsid w:val="00F74345"/>
    <w:rsid w:val="00F75466"/>
    <w:rsid w:val="00F77B2F"/>
    <w:rsid w:val="00F77C37"/>
    <w:rsid w:val="00F77C52"/>
    <w:rsid w:val="00F804C1"/>
    <w:rsid w:val="00F80A0A"/>
    <w:rsid w:val="00F813D9"/>
    <w:rsid w:val="00F81C36"/>
    <w:rsid w:val="00F81F4B"/>
    <w:rsid w:val="00F825D6"/>
    <w:rsid w:val="00F82B19"/>
    <w:rsid w:val="00F831FB"/>
    <w:rsid w:val="00F83548"/>
    <w:rsid w:val="00F83C4E"/>
    <w:rsid w:val="00F90948"/>
    <w:rsid w:val="00F9212D"/>
    <w:rsid w:val="00F92658"/>
    <w:rsid w:val="00F934F7"/>
    <w:rsid w:val="00F93E67"/>
    <w:rsid w:val="00F93EBE"/>
    <w:rsid w:val="00F94ABE"/>
    <w:rsid w:val="00F94D91"/>
    <w:rsid w:val="00F96272"/>
    <w:rsid w:val="00F965DA"/>
    <w:rsid w:val="00F96709"/>
    <w:rsid w:val="00F9744C"/>
    <w:rsid w:val="00FA02A7"/>
    <w:rsid w:val="00FA04C8"/>
    <w:rsid w:val="00FA0A9F"/>
    <w:rsid w:val="00FA3442"/>
    <w:rsid w:val="00FA3C1D"/>
    <w:rsid w:val="00FA406A"/>
    <w:rsid w:val="00FA4EC1"/>
    <w:rsid w:val="00FA5638"/>
    <w:rsid w:val="00FA58C1"/>
    <w:rsid w:val="00FA5DEF"/>
    <w:rsid w:val="00FA6112"/>
    <w:rsid w:val="00FA738B"/>
    <w:rsid w:val="00FA7F66"/>
    <w:rsid w:val="00FB11DB"/>
    <w:rsid w:val="00FB184F"/>
    <w:rsid w:val="00FB22C2"/>
    <w:rsid w:val="00FB27D8"/>
    <w:rsid w:val="00FB2F3D"/>
    <w:rsid w:val="00FB32CA"/>
    <w:rsid w:val="00FB3BC6"/>
    <w:rsid w:val="00FB49A8"/>
    <w:rsid w:val="00FB503A"/>
    <w:rsid w:val="00FB516C"/>
    <w:rsid w:val="00FB6A3D"/>
    <w:rsid w:val="00FB6DB1"/>
    <w:rsid w:val="00FB717D"/>
    <w:rsid w:val="00FC1E7A"/>
    <w:rsid w:val="00FC3C84"/>
    <w:rsid w:val="00FC4132"/>
    <w:rsid w:val="00FC47F0"/>
    <w:rsid w:val="00FC5E92"/>
    <w:rsid w:val="00FC6BF1"/>
    <w:rsid w:val="00FC738F"/>
    <w:rsid w:val="00FD0236"/>
    <w:rsid w:val="00FD059F"/>
    <w:rsid w:val="00FD1786"/>
    <w:rsid w:val="00FD18F4"/>
    <w:rsid w:val="00FD448E"/>
    <w:rsid w:val="00FD54DB"/>
    <w:rsid w:val="00FD619F"/>
    <w:rsid w:val="00FD6BC1"/>
    <w:rsid w:val="00FD741C"/>
    <w:rsid w:val="00FD7D4D"/>
    <w:rsid w:val="00FE0885"/>
    <w:rsid w:val="00FE0B91"/>
    <w:rsid w:val="00FE0BA5"/>
    <w:rsid w:val="00FE150D"/>
    <w:rsid w:val="00FE2CB2"/>
    <w:rsid w:val="00FE4E72"/>
    <w:rsid w:val="00FE6409"/>
    <w:rsid w:val="00FE6760"/>
    <w:rsid w:val="00FE6A7E"/>
    <w:rsid w:val="00FF0DF9"/>
    <w:rsid w:val="00FF103A"/>
    <w:rsid w:val="00FF10F6"/>
    <w:rsid w:val="00FF3327"/>
    <w:rsid w:val="00FF4CB4"/>
    <w:rsid w:val="00FF5CDC"/>
    <w:rsid w:val="00FF6353"/>
    <w:rsid w:val="01290F7E"/>
    <w:rsid w:val="015D1E09"/>
    <w:rsid w:val="01BA087D"/>
    <w:rsid w:val="022352DD"/>
    <w:rsid w:val="02523AA0"/>
    <w:rsid w:val="02697903"/>
    <w:rsid w:val="02721529"/>
    <w:rsid w:val="028247F4"/>
    <w:rsid w:val="02C167B0"/>
    <w:rsid w:val="02D87C83"/>
    <w:rsid w:val="02F96569"/>
    <w:rsid w:val="03EA7B21"/>
    <w:rsid w:val="03EE1F26"/>
    <w:rsid w:val="0410030A"/>
    <w:rsid w:val="04D379E7"/>
    <w:rsid w:val="05694015"/>
    <w:rsid w:val="05967A84"/>
    <w:rsid w:val="05D046FC"/>
    <w:rsid w:val="05F83EAE"/>
    <w:rsid w:val="061F466C"/>
    <w:rsid w:val="063E7D85"/>
    <w:rsid w:val="06C17CF0"/>
    <w:rsid w:val="07041C7C"/>
    <w:rsid w:val="070D0A7D"/>
    <w:rsid w:val="071D3FB7"/>
    <w:rsid w:val="07293586"/>
    <w:rsid w:val="07295285"/>
    <w:rsid w:val="07636392"/>
    <w:rsid w:val="07770C56"/>
    <w:rsid w:val="07BC1A40"/>
    <w:rsid w:val="07F438B2"/>
    <w:rsid w:val="083D399C"/>
    <w:rsid w:val="08F106C5"/>
    <w:rsid w:val="092217DD"/>
    <w:rsid w:val="093A7294"/>
    <w:rsid w:val="0A263993"/>
    <w:rsid w:val="0A2D3AC2"/>
    <w:rsid w:val="0A83605A"/>
    <w:rsid w:val="0AA755DF"/>
    <w:rsid w:val="0B120D44"/>
    <w:rsid w:val="0BB21CA6"/>
    <w:rsid w:val="0BD27BF6"/>
    <w:rsid w:val="0BED6AF9"/>
    <w:rsid w:val="0C3B3C7D"/>
    <w:rsid w:val="0C6306C8"/>
    <w:rsid w:val="0CAB2EAE"/>
    <w:rsid w:val="0D621C7D"/>
    <w:rsid w:val="0D7C07BE"/>
    <w:rsid w:val="0E73034D"/>
    <w:rsid w:val="0E7C42F6"/>
    <w:rsid w:val="0F13775A"/>
    <w:rsid w:val="0F5F45FE"/>
    <w:rsid w:val="0F9A112B"/>
    <w:rsid w:val="0F9C0108"/>
    <w:rsid w:val="0FA63C27"/>
    <w:rsid w:val="0FC3201A"/>
    <w:rsid w:val="0FD320EE"/>
    <w:rsid w:val="106D2F64"/>
    <w:rsid w:val="10802FDB"/>
    <w:rsid w:val="109E2A05"/>
    <w:rsid w:val="10B01855"/>
    <w:rsid w:val="10B63710"/>
    <w:rsid w:val="10F10820"/>
    <w:rsid w:val="111C2F7A"/>
    <w:rsid w:val="11533EE2"/>
    <w:rsid w:val="11665CA1"/>
    <w:rsid w:val="118250EA"/>
    <w:rsid w:val="12BE54B9"/>
    <w:rsid w:val="133402B9"/>
    <w:rsid w:val="13951726"/>
    <w:rsid w:val="14396509"/>
    <w:rsid w:val="14DD2C3C"/>
    <w:rsid w:val="14EB396E"/>
    <w:rsid w:val="15594F42"/>
    <w:rsid w:val="16087E1D"/>
    <w:rsid w:val="16134661"/>
    <w:rsid w:val="162D6610"/>
    <w:rsid w:val="16740B82"/>
    <w:rsid w:val="17497BD2"/>
    <w:rsid w:val="17670398"/>
    <w:rsid w:val="17701D14"/>
    <w:rsid w:val="17735226"/>
    <w:rsid w:val="17852997"/>
    <w:rsid w:val="18904C65"/>
    <w:rsid w:val="189F624C"/>
    <w:rsid w:val="18B32B18"/>
    <w:rsid w:val="1A1C66C0"/>
    <w:rsid w:val="1A3D7454"/>
    <w:rsid w:val="1A42393B"/>
    <w:rsid w:val="1A476E2F"/>
    <w:rsid w:val="1A767105"/>
    <w:rsid w:val="1A852996"/>
    <w:rsid w:val="1AAD45DE"/>
    <w:rsid w:val="1AB153E1"/>
    <w:rsid w:val="1AE10A1D"/>
    <w:rsid w:val="1B046F80"/>
    <w:rsid w:val="1B1F577F"/>
    <w:rsid w:val="1B3267B5"/>
    <w:rsid w:val="1B3774C3"/>
    <w:rsid w:val="1B40161D"/>
    <w:rsid w:val="1B441859"/>
    <w:rsid w:val="1B6606B1"/>
    <w:rsid w:val="1BEA2B96"/>
    <w:rsid w:val="1BEB6AF1"/>
    <w:rsid w:val="1C5E7925"/>
    <w:rsid w:val="1CFD070F"/>
    <w:rsid w:val="1D5F6196"/>
    <w:rsid w:val="1D6132A5"/>
    <w:rsid w:val="1D8A3384"/>
    <w:rsid w:val="1D8E56D5"/>
    <w:rsid w:val="1DCD7725"/>
    <w:rsid w:val="1E0C3498"/>
    <w:rsid w:val="1E290D81"/>
    <w:rsid w:val="1E62203C"/>
    <w:rsid w:val="1E7A43DA"/>
    <w:rsid w:val="1E7B133C"/>
    <w:rsid w:val="1E9B2DD4"/>
    <w:rsid w:val="1F9A0241"/>
    <w:rsid w:val="1FE7539E"/>
    <w:rsid w:val="20671BE0"/>
    <w:rsid w:val="20692E24"/>
    <w:rsid w:val="20914BD8"/>
    <w:rsid w:val="20963CB8"/>
    <w:rsid w:val="20A81A1B"/>
    <w:rsid w:val="20B07FB6"/>
    <w:rsid w:val="20B646FB"/>
    <w:rsid w:val="20C33E97"/>
    <w:rsid w:val="213B74B1"/>
    <w:rsid w:val="214320A3"/>
    <w:rsid w:val="215A2310"/>
    <w:rsid w:val="216A5446"/>
    <w:rsid w:val="21995419"/>
    <w:rsid w:val="21CB3B2E"/>
    <w:rsid w:val="21DE318A"/>
    <w:rsid w:val="21EF5B80"/>
    <w:rsid w:val="2220587A"/>
    <w:rsid w:val="22576990"/>
    <w:rsid w:val="22756D47"/>
    <w:rsid w:val="22F47480"/>
    <w:rsid w:val="235513DD"/>
    <w:rsid w:val="23B17BC4"/>
    <w:rsid w:val="23DE1C48"/>
    <w:rsid w:val="240210CD"/>
    <w:rsid w:val="24150BCD"/>
    <w:rsid w:val="243C319A"/>
    <w:rsid w:val="24494EA3"/>
    <w:rsid w:val="248A3369"/>
    <w:rsid w:val="24BF09F7"/>
    <w:rsid w:val="252D53FE"/>
    <w:rsid w:val="25EC2D81"/>
    <w:rsid w:val="2685163A"/>
    <w:rsid w:val="2694099E"/>
    <w:rsid w:val="27670CCB"/>
    <w:rsid w:val="277057A2"/>
    <w:rsid w:val="27AE656C"/>
    <w:rsid w:val="28482E36"/>
    <w:rsid w:val="29206EB8"/>
    <w:rsid w:val="29595666"/>
    <w:rsid w:val="2961556C"/>
    <w:rsid w:val="29874881"/>
    <w:rsid w:val="29A82C80"/>
    <w:rsid w:val="29E325E0"/>
    <w:rsid w:val="2A452503"/>
    <w:rsid w:val="2A5211C9"/>
    <w:rsid w:val="2AC966AE"/>
    <w:rsid w:val="2AE3365B"/>
    <w:rsid w:val="2B5E45D9"/>
    <w:rsid w:val="2BA936A8"/>
    <w:rsid w:val="2C315A5A"/>
    <w:rsid w:val="2C4B1C25"/>
    <w:rsid w:val="2D663A16"/>
    <w:rsid w:val="2D6C440C"/>
    <w:rsid w:val="2D9E56F5"/>
    <w:rsid w:val="2E667F96"/>
    <w:rsid w:val="2E8226AB"/>
    <w:rsid w:val="2E9C5E9B"/>
    <w:rsid w:val="2F29582F"/>
    <w:rsid w:val="2F3A60E3"/>
    <w:rsid w:val="2FBE76D7"/>
    <w:rsid w:val="2FD065E6"/>
    <w:rsid w:val="2FD96870"/>
    <w:rsid w:val="30580BC9"/>
    <w:rsid w:val="30944237"/>
    <w:rsid w:val="311E2ED7"/>
    <w:rsid w:val="315619EE"/>
    <w:rsid w:val="315C449C"/>
    <w:rsid w:val="317D4AA0"/>
    <w:rsid w:val="31B82709"/>
    <w:rsid w:val="31D05482"/>
    <w:rsid w:val="32400B34"/>
    <w:rsid w:val="326071AE"/>
    <w:rsid w:val="329E6876"/>
    <w:rsid w:val="32F1739C"/>
    <w:rsid w:val="333015F2"/>
    <w:rsid w:val="334B6320"/>
    <w:rsid w:val="33501E4A"/>
    <w:rsid w:val="335D331F"/>
    <w:rsid w:val="339801DB"/>
    <w:rsid w:val="33D5469E"/>
    <w:rsid w:val="33D934D4"/>
    <w:rsid w:val="33FE2F6A"/>
    <w:rsid w:val="340E07E5"/>
    <w:rsid w:val="34235BF7"/>
    <w:rsid w:val="343C6163"/>
    <w:rsid w:val="3464436D"/>
    <w:rsid w:val="350A1FD9"/>
    <w:rsid w:val="3586450E"/>
    <w:rsid w:val="358C5FA8"/>
    <w:rsid w:val="3596327C"/>
    <w:rsid w:val="35C15DF1"/>
    <w:rsid w:val="35C61178"/>
    <w:rsid w:val="35DE52C2"/>
    <w:rsid w:val="36074A7F"/>
    <w:rsid w:val="36923549"/>
    <w:rsid w:val="36B75FBF"/>
    <w:rsid w:val="36BD0C45"/>
    <w:rsid w:val="36F86BA6"/>
    <w:rsid w:val="36FF69FB"/>
    <w:rsid w:val="37166D64"/>
    <w:rsid w:val="372D32A3"/>
    <w:rsid w:val="37334E50"/>
    <w:rsid w:val="37976071"/>
    <w:rsid w:val="37A86D11"/>
    <w:rsid w:val="37E00298"/>
    <w:rsid w:val="383E4E28"/>
    <w:rsid w:val="38424BAE"/>
    <w:rsid w:val="385E160E"/>
    <w:rsid w:val="38B302F9"/>
    <w:rsid w:val="38F12CD3"/>
    <w:rsid w:val="38F94775"/>
    <w:rsid w:val="390A22DA"/>
    <w:rsid w:val="392971ED"/>
    <w:rsid w:val="39325651"/>
    <w:rsid w:val="39885F17"/>
    <w:rsid w:val="3A872856"/>
    <w:rsid w:val="3AB63A6A"/>
    <w:rsid w:val="3ACD4224"/>
    <w:rsid w:val="3AE90B6B"/>
    <w:rsid w:val="3B117E4D"/>
    <w:rsid w:val="3B3763D1"/>
    <w:rsid w:val="3BA3121E"/>
    <w:rsid w:val="3C2F6E1E"/>
    <w:rsid w:val="3C4F64BA"/>
    <w:rsid w:val="3C6B4749"/>
    <w:rsid w:val="3CDA245A"/>
    <w:rsid w:val="3D1E06B7"/>
    <w:rsid w:val="3D3D5401"/>
    <w:rsid w:val="3D9E5CFE"/>
    <w:rsid w:val="3DFD6240"/>
    <w:rsid w:val="3E625830"/>
    <w:rsid w:val="3E78202C"/>
    <w:rsid w:val="3EA54974"/>
    <w:rsid w:val="3EDA0523"/>
    <w:rsid w:val="3FE255A9"/>
    <w:rsid w:val="403503FB"/>
    <w:rsid w:val="407A6407"/>
    <w:rsid w:val="41393388"/>
    <w:rsid w:val="4200449D"/>
    <w:rsid w:val="422175A8"/>
    <w:rsid w:val="423A3BCC"/>
    <w:rsid w:val="424E57D2"/>
    <w:rsid w:val="42B26C49"/>
    <w:rsid w:val="433A6FE6"/>
    <w:rsid w:val="43480868"/>
    <w:rsid w:val="4350713C"/>
    <w:rsid w:val="436653E0"/>
    <w:rsid w:val="43957E18"/>
    <w:rsid w:val="43BD1F36"/>
    <w:rsid w:val="43C05462"/>
    <w:rsid w:val="43C4431A"/>
    <w:rsid w:val="44383A3A"/>
    <w:rsid w:val="444C01E3"/>
    <w:rsid w:val="44B951CC"/>
    <w:rsid w:val="44CD14E0"/>
    <w:rsid w:val="44F20B0B"/>
    <w:rsid w:val="450827C1"/>
    <w:rsid w:val="452E5F4C"/>
    <w:rsid w:val="45612018"/>
    <w:rsid w:val="458946E9"/>
    <w:rsid w:val="45A47C0E"/>
    <w:rsid w:val="45D453B7"/>
    <w:rsid w:val="46072A72"/>
    <w:rsid w:val="46577FD6"/>
    <w:rsid w:val="46695971"/>
    <w:rsid w:val="46D955A7"/>
    <w:rsid w:val="46F14E69"/>
    <w:rsid w:val="47133957"/>
    <w:rsid w:val="471757E7"/>
    <w:rsid w:val="47A07E0C"/>
    <w:rsid w:val="47D2124A"/>
    <w:rsid w:val="47DE55F6"/>
    <w:rsid w:val="47F16A4D"/>
    <w:rsid w:val="48264C12"/>
    <w:rsid w:val="48685479"/>
    <w:rsid w:val="4870272E"/>
    <w:rsid w:val="48EC175E"/>
    <w:rsid w:val="49251EF8"/>
    <w:rsid w:val="49DC7715"/>
    <w:rsid w:val="4A023139"/>
    <w:rsid w:val="4A7B576F"/>
    <w:rsid w:val="4AF561A9"/>
    <w:rsid w:val="4B4F58DA"/>
    <w:rsid w:val="4B9E75B0"/>
    <w:rsid w:val="4BB10662"/>
    <w:rsid w:val="4BB70638"/>
    <w:rsid w:val="4C29008A"/>
    <w:rsid w:val="4C4657D2"/>
    <w:rsid w:val="4C4A0649"/>
    <w:rsid w:val="4C7D3A02"/>
    <w:rsid w:val="4C7E5ECA"/>
    <w:rsid w:val="4C876AA5"/>
    <w:rsid w:val="4CB37051"/>
    <w:rsid w:val="4CD679A4"/>
    <w:rsid w:val="4D0E00FB"/>
    <w:rsid w:val="4D176606"/>
    <w:rsid w:val="4DC03F62"/>
    <w:rsid w:val="4DEC4FB0"/>
    <w:rsid w:val="4E075D8A"/>
    <w:rsid w:val="4E0F1241"/>
    <w:rsid w:val="4E313EB5"/>
    <w:rsid w:val="4EB75EF6"/>
    <w:rsid w:val="4EC00FAD"/>
    <w:rsid w:val="4F50252A"/>
    <w:rsid w:val="4F9843DC"/>
    <w:rsid w:val="4FC62A8C"/>
    <w:rsid w:val="4FE20F0D"/>
    <w:rsid w:val="4FE51552"/>
    <w:rsid w:val="50504C4B"/>
    <w:rsid w:val="509C6E7C"/>
    <w:rsid w:val="512D3B8A"/>
    <w:rsid w:val="5162104E"/>
    <w:rsid w:val="52097713"/>
    <w:rsid w:val="52FF2454"/>
    <w:rsid w:val="53A039CC"/>
    <w:rsid w:val="53A1505A"/>
    <w:rsid w:val="53BF0408"/>
    <w:rsid w:val="54063E08"/>
    <w:rsid w:val="541A3F1C"/>
    <w:rsid w:val="543437E8"/>
    <w:rsid w:val="548A4ADA"/>
    <w:rsid w:val="54B41F2C"/>
    <w:rsid w:val="54F73313"/>
    <w:rsid w:val="54F80955"/>
    <w:rsid w:val="555170A7"/>
    <w:rsid w:val="5587536D"/>
    <w:rsid w:val="559B174B"/>
    <w:rsid w:val="55CE0CF4"/>
    <w:rsid w:val="56352C8B"/>
    <w:rsid w:val="56592F10"/>
    <w:rsid w:val="569E13A2"/>
    <w:rsid w:val="56B22A9C"/>
    <w:rsid w:val="575E37D4"/>
    <w:rsid w:val="576F0454"/>
    <w:rsid w:val="57B72A76"/>
    <w:rsid w:val="57C3426C"/>
    <w:rsid w:val="57CE1F93"/>
    <w:rsid w:val="58212C26"/>
    <w:rsid w:val="583A3974"/>
    <w:rsid w:val="588743D1"/>
    <w:rsid w:val="5887701A"/>
    <w:rsid w:val="594E4AA2"/>
    <w:rsid w:val="59C0439F"/>
    <w:rsid w:val="5ABE2233"/>
    <w:rsid w:val="5BDF5D95"/>
    <w:rsid w:val="5BFE7528"/>
    <w:rsid w:val="5C46111F"/>
    <w:rsid w:val="5C4667FF"/>
    <w:rsid w:val="5C8843C4"/>
    <w:rsid w:val="5CF214D0"/>
    <w:rsid w:val="5DA43C7F"/>
    <w:rsid w:val="5E2467F1"/>
    <w:rsid w:val="5E821EE9"/>
    <w:rsid w:val="5F1A2B43"/>
    <w:rsid w:val="5F3E1E41"/>
    <w:rsid w:val="5FB837BB"/>
    <w:rsid w:val="60AA43AF"/>
    <w:rsid w:val="60CC405A"/>
    <w:rsid w:val="60CD18BE"/>
    <w:rsid w:val="61096D16"/>
    <w:rsid w:val="612536DA"/>
    <w:rsid w:val="614B4949"/>
    <w:rsid w:val="61821C8B"/>
    <w:rsid w:val="618E7A79"/>
    <w:rsid w:val="61E215D8"/>
    <w:rsid w:val="621B3775"/>
    <w:rsid w:val="62364782"/>
    <w:rsid w:val="63586F35"/>
    <w:rsid w:val="6394356A"/>
    <w:rsid w:val="63C61B2C"/>
    <w:rsid w:val="63D40BE9"/>
    <w:rsid w:val="63F70A4B"/>
    <w:rsid w:val="64102431"/>
    <w:rsid w:val="64103DA1"/>
    <w:rsid w:val="64A5243A"/>
    <w:rsid w:val="64F531DE"/>
    <w:rsid w:val="65067136"/>
    <w:rsid w:val="65095641"/>
    <w:rsid w:val="65373578"/>
    <w:rsid w:val="65437753"/>
    <w:rsid w:val="6557354E"/>
    <w:rsid w:val="65706983"/>
    <w:rsid w:val="658057EC"/>
    <w:rsid w:val="65EB2E1D"/>
    <w:rsid w:val="66222F6B"/>
    <w:rsid w:val="66B654CB"/>
    <w:rsid w:val="671F124A"/>
    <w:rsid w:val="675875E6"/>
    <w:rsid w:val="677A33C6"/>
    <w:rsid w:val="679D472E"/>
    <w:rsid w:val="67BF4206"/>
    <w:rsid w:val="67F657B3"/>
    <w:rsid w:val="680839A1"/>
    <w:rsid w:val="681F6961"/>
    <w:rsid w:val="68610A2F"/>
    <w:rsid w:val="68805514"/>
    <w:rsid w:val="6892654B"/>
    <w:rsid w:val="69316E2F"/>
    <w:rsid w:val="694E2071"/>
    <w:rsid w:val="69766163"/>
    <w:rsid w:val="697A3B33"/>
    <w:rsid w:val="69892FFC"/>
    <w:rsid w:val="69D44760"/>
    <w:rsid w:val="6A2922A9"/>
    <w:rsid w:val="6A520EC7"/>
    <w:rsid w:val="6A5E40F1"/>
    <w:rsid w:val="6AF87E20"/>
    <w:rsid w:val="6B1865C7"/>
    <w:rsid w:val="6B31548E"/>
    <w:rsid w:val="6B322639"/>
    <w:rsid w:val="6C636C38"/>
    <w:rsid w:val="6D246B76"/>
    <w:rsid w:val="6D4D2752"/>
    <w:rsid w:val="6DB34098"/>
    <w:rsid w:val="6DB545B6"/>
    <w:rsid w:val="6DD53761"/>
    <w:rsid w:val="6DE02FB4"/>
    <w:rsid w:val="6E514CED"/>
    <w:rsid w:val="6E565D05"/>
    <w:rsid w:val="6EB563D5"/>
    <w:rsid w:val="6ED92677"/>
    <w:rsid w:val="6F225983"/>
    <w:rsid w:val="6F5E4E25"/>
    <w:rsid w:val="6FF0072D"/>
    <w:rsid w:val="6FFC5590"/>
    <w:rsid w:val="70312E18"/>
    <w:rsid w:val="706D1DD0"/>
    <w:rsid w:val="70856B87"/>
    <w:rsid w:val="708D0F8E"/>
    <w:rsid w:val="70CB230C"/>
    <w:rsid w:val="70D527EE"/>
    <w:rsid w:val="70F74EAF"/>
    <w:rsid w:val="712E63F7"/>
    <w:rsid w:val="715B5300"/>
    <w:rsid w:val="71664AA5"/>
    <w:rsid w:val="71D27F8A"/>
    <w:rsid w:val="72035F9A"/>
    <w:rsid w:val="723D4B43"/>
    <w:rsid w:val="72553024"/>
    <w:rsid w:val="7296690A"/>
    <w:rsid w:val="72DB435C"/>
    <w:rsid w:val="72EF6F2C"/>
    <w:rsid w:val="73122968"/>
    <w:rsid w:val="731F5D5E"/>
    <w:rsid w:val="7353424F"/>
    <w:rsid w:val="73C51AD5"/>
    <w:rsid w:val="73D74BB0"/>
    <w:rsid w:val="74155BB4"/>
    <w:rsid w:val="741E793C"/>
    <w:rsid w:val="742C21A0"/>
    <w:rsid w:val="745E3944"/>
    <w:rsid w:val="74911BBA"/>
    <w:rsid w:val="74B27F9C"/>
    <w:rsid w:val="74CE5F27"/>
    <w:rsid w:val="74F27E88"/>
    <w:rsid w:val="75073186"/>
    <w:rsid w:val="7635099D"/>
    <w:rsid w:val="766F0953"/>
    <w:rsid w:val="769A5C9C"/>
    <w:rsid w:val="77140E87"/>
    <w:rsid w:val="77762421"/>
    <w:rsid w:val="779144B6"/>
    <w:rsid w:val="77B56B1F"/>
    <w:rsid w:val="780F09F4"/>
    <w:rsid w:val="78650950"/>
    <w:rsid w:val="78A23952"/>
    <w:rsid w:val="78A90480"/>
    <w:rsid w:val="78E053F7"/>
    <w:rsid w:val="79712FF4"/>
    <w:rsid w:val="79D712F7"/>
    <w:rsid w:val="79E25DD3"/>
    <w:rsid w:val="7A1C3FAC"/>
    <w:rsid w:val="7A364017"/>
    <w:rsid w:val="7A431E85"/>
    <w:rsid w:val="7A5064F5"/>
    <w:rsid w:val="7A8265E1"/>
    <w:rsid w:val="7B5F3EB1"/>
    <w:rsid w:val="7B686D42"/>
    <w:rsid w:val="7B841746"/>
    <w:rsid w:val="7BDB28B1"/>
    <w:rsid w:val="7BE67FFA"/>
    <w:rsid w:val="7C635808"/>
    <w:rsid w:val="7C6C5AC7"/>
    <w:rsid w:val="7CC6544B"/>
    <w:rsid w:val="7CC97C9E"/>
    <w:rsid w:val="7CD15E8F"/>
    <w:rsid w:val="7D0239FF"/>
    <w:rsid w:val="7D152518"/>
    <w:rsid w:val="7D5E40CD"/>
    <w:rsid w:val="7D772FC3"/>
    <w:rsid w:val="7DCD56F2"/>
    <w:rsid w:val="7E3C487A"/>
    <w:rsid w:val="7E4C1C9E"/>
    <w:rsid w:val="7F001CE7"/>
    <w:rsid w:val="7F495E91"/>
    <w:rsid w:val="7F593063"/>
    <w:rsid w:val="7F8B2A0B"/>
    <w:rsid w:val="7FE47E5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nhideWhenUsed="0" w:uiPriority="99" w:semiHidden="0" w:name="heading 5" w:locked="1"/>
    <w:lsdException w:qFormat="1" w:unhideWhenUsed="0" w:uiPriority="99" w:semiHidden="0" w:name="heading 6" w:locked="1"/>
    <w:lsdException w:qFormat="1" w:unhideWhenUsed="0" w:uiPriority="99" w:semiHidden="0" w:name="heading 7" w:locked="1"/>
    <w:lsdException w:qFormat="1" w:unhideWhenUsed="0" w:uiPriority="99" w:semiHidden="0" w:name="heading 8" w:locked="1"/>
    <w:lsdException w:qFormat="1" w:unhideWhenUsed="0" w:uiPriority="99" w:semiHidden="0" w:name="heading 9" w:locked="1"/>
    <w:lsdException w:qFormat="1" w:unhideWhenUsed="0" w:uiPriority="99" w:semiHidden="0" w:name="index 1" w:locked="1"/>
    <w:lsdException w:uiPriority="99" w:name="index 2" w:locked="1"/>
    <w:lsdException w:uiPriority="99" w:name="index 3" w:locked="1"/>
    <w:lsdException w:qFormat="1" w:unhideWhenUsed="0" w:uiPriority="99" w:semiHidden="0"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ocked="1"/>
    <w:lsdException w:qFormat="1" w:unhideWhenUsed="0" w:uiPriority="99" w:semiHidden="0" w:name="toc 2" w:locked="1"/>
    <w:lsdException w:qFormat="1" w:unhideWhenUsed="0" w:uiPriority="99" w:semiHidden="0" w:name="toc 3" w:locked="1"/>
    <w:lsdException w:qFormat="1" w:unhideWhenUsed="0" w:uiPriority="99" w:semiHidden="0" w:name="toc 4" w:locked="1"/>
    <w:lsdException w:qFormat="1" w:unhideWhenUsed="0" w:uiPriority="99" w:semiHidden="0" w:name="toc 5" w:locked="1"/>
    <w:lsdException w:qFormat="1" w:unhideWhenUsed="0" w:uiPriority="99" w:semiHidden="0" w:name="toc 6" w:locked="1"/>
    <w:lsdException w:qFormat="1" w:unhideWhenUsed="0" w:uiPriority="99" w:semiHidden="0" w:name="toc 7" w:locked="1"/>
    <w:lsdException w:qFormat="1" w:unhideWhenUsed="0" w:uiPriority="99" w:semiHidden="0" w:name="toc 8" w:locked="1"/>
    <w:lsdException w:qFormat="1" w:unhideWhenUsed="0" w:uiPriority="99" w:semiHidden="0" w:name="toc 9" w:locked="1"/>
    <w:lsdException w:qFormat="1" w:unhideWhenUsed="0" w:uiPriority="99" w:semiHidden="0" w:name="Normal Indent" w:locked="1"/>
    <w:lsdException w:qFormat="1" w:unhideWhenUsed="0" w:uiPriority="99"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ocked="1"/>
    <w:lsdException w:qFormat="1" w:unhideWhenUsed="0" w:uiPriority="99" w:semiHidden="0" w:name="caption" w:locked="1"/>
    <w:lsdException w:qFormat="1" w:unhideWhenUsed="0" w:uiPriority="99" w:semiHidden="0" w:name="table of figures" w:locked="1"/>
    <w:lsdException w:qFormat="1" w:unhideWhenUsed="0" w:uiPriority="99" w:semiHidden="0" w:name="envelope address" w:locked="1"/>
    <w:lsdException w:qFormat="1" w:unhideWhenUsed="0" w:uiPriority="99" w:semiHidden="0" w:name="envelope return" w:locked="1"/>
    <w:lsdException w:qFormat="1" w:unhideWhenUsed="0" w:uiPriority="99" w:semiHidden="0" w:name="footnote reference" w:locked="1"/>
    <w:lsdException w:qFormat="1" w:unhideWhenUsed="0" w:uiPriority="99" w:name="annotation reference"/>
    <w:lsdException w:uiPriority="99" w:name="line number" w:locked="1"/>
    <w:lsdException w:qFormat="1" w:unhideWhenUsed="0" w:uiPriority="99" w:semiHidden="0" w:name="page number" w:locked="1"/>
    <w:lsdException w:qFormat="1" w:unhideWhenUsed="0" w:uiPriority="99" w:semiHidden="0" w:name="endnote reference" w:locked="1"/>
    <w:lsdException w:qFormat="1" w:unhideWhenUsed="0" w:uiPriority="99" w:semiHidden="0" w:name="endnote text" w:locked="1"/>
    <w:lsdException w:qFormat="1" w:unhideWhenUsed="0" w:uiPriority="99" w:semiHidden="0" w:name="table of authorities" w:locked="1"/>
    <w:lsdException w:qFormat="1" w:unhideWhenUsed="0" w:uiPriority="99" w:semiHidden="0" w:name="macro" w:locked="1"/>
    <w:lsdException w:qFormat="1" w:unhideWhenUsed="0" w:uiPriority="99" w:semiHidden="0" w:name="toa heading" w:locked="1"/>
    <w:lsdException w:qFormat="1" w:unhideWhenUsed="0" w:uiPriority="99" w:semiHidden="0" w:name="List" w:locked="1"/>
    <w:lsdException w:qFormat="1" w:unhideWhenUsed="0" w:uiPriority="99" w:semiHidden="0" w:name="List Bullet" w:locked="1"/>
    <w:lsdException w:qFormat="1" w:unhideWhenUsed="0" w:uiPriority="99" w:semiHidden="0" w:name="List Number" w:locked="1"/>
    <w:lsdException w:qFormat="1" w:unhideWhenUsed="0" w:uiPriority="99" w:semiHidden="0" w:name="List 2" w:locked="1"/>
    <w:lsdException w:qFormat="1" w:unhideWhenUsed="0" w:uiPriority="99" w:semiHidden="0" w:name="List 3" w:locked="1"/>
    <w:lsdException w:qFormat="1" w:unhideWhenUsed="0" w:uiPriority="99" w:semiHidden="0" w:name="List 4" w:locked="1"/>
    <w:lsdException w:qFormat="1" w:unhideWhenUsed="0" w:uiPriority="99" w:semiHidden="0" w:name="List 5" w:locked="1"/>
    <w:lsdException w:qFormat="1" w:unhideWhenUsed="0" w:uiPriority="99" w:semiHidden="0" w:name="List Bullet 2" w:locked="1"/>
    <w:lsdException w:qFormat="1" w:unhideWhenUsed="0" w:uiPriority="99" w:semiHidden="0" w:name="List Bullet 3" w:locked="1"/>
    <w:lsdException w:qFormat="1" w:unhideWhenUsed="0" w:uiPriority="99" w:semiHidden="0" w:name="List Bullet 4" w:locked="1"/>
    <w:lsdException w:qFormat="1" w:unhideWhenUsed="0" w:uiPriority="99" w:semiHidden="0" w:name="List Bullet 5" w:locked="1"/>
    <w:lsdException w:qFormat="1" w:unhideWhenUsed="0" w:uiPriority="99" w:semiHidden="0" w:name="List Number 2" w:locked="1"/>
    <w:lsdException w:qFormat="1" w:unhideWhenUsed="0" w:uiPriority="99" w:semiHidden="0" w:name="List Number 3" w:locked="1"/>
    <w:lsdException w:qFormat="1" w:unhideWhenUsed="0" w:uiPriority="99" w:semiHidden="0" w:name="List Number 4" w:locked="1"/>
    <w:lsdException w:qFormat="1" w:unhideWhenUsed="0" w:uiPriority="99" w:semiHidden="0" w:name="List Number 5" w:locked="1"/>
    <w:lsdException w:qFormat="1" w:unhideWhenUsed="0" w:uiPriority="99" w:semiHidden="0" w:name="Title" w:locked="1"/>
    <w:lsdException w:qFormat="1" w:unhideWhenUsed="0" w:uiPriority="99" w:semiHidden="0" w:name="Closing" w:locked="1"/>
    <w:lsdException w:qFormat="1" w:unhideWhenUsed="0" w:uiPriority="99" w:semiHidden="0"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ocked="1"/>
    <w:lsdException w:qFormat="1" w:unhideWhenUsed="0" w:uiPriority="99" w:semiHidden="0" w:name="List Continue 2" w:locked="1"/>
    <w:lsdException w:qFormat="1" w:unhideWhenUsed="0" w:uiPriority="99" w:semiHidden="0" w:name="List Continue 3" w:locked="1"/>
    <w:lsdException w:qFormat="1" w:unhideWhenUsed="0" w:uiPriority="99" w:semiHidden="0" w:name="List Continue 4" w:locked="1"/>
    <w:lsdException w:qFormat="1" w:unhideWhenUsed="0" w:uiPriority="99" w:semiHidden="0" w:name="List Continue 5" w:locked="1"/>
    <w:lsdException w:qFormat="1" w:unhideWhenUsed="0" w:uiPriority="99" w:semiHidden="0" w:name="Message Header" w:locked="1"/>
    <w:lsdException w:qFormat="1" w:unhideWhenUsed="0" w:uiPriority="99" w:semiHidden="0" w:name="Subtitle" w:locked="1"/>
    <w:lsdException w:qFormat="1" w:unhideWhenUsed="0" w:uiPriority="99" w:semiHidden="0" w:name="Salutation" w:locked="1"/>
    <w:lsdException w:qFormat="1" w:unhideWhenUsed="0" w:uiPriority="99" w:semiHidden="0" w:name="Date"/>
    <w:lsdException w:qFormat="1" w:unhideWhenUsed="0" w:uiPriority="99" w:semiHidden="0" w:name="Body Text First Indent" w:locked="1"/>
    <w:lsdException w:qFormat="1" w:unhideWhenUsed="0" w:uiPriority="99" w:semiHidden="0" w:name="Body Text First Indent 2" w:locked="1"/>
    <w:lsdException w:qFormat="1" w:unhideWhenUsed="0" w:uiPriority="99" w:semiHidden="0" w:name="Note Heading" w:locked="1"/>
    <w:lsdException w:qFormat="1" w:unhideWhenUsed="0" w:uiPriority="99" w:semiHidden="0" w:name="Body Text 2" w:locked="1"/>
    <w:lsdException w:qFormat="1" w:unhideWhenUsed="0" w:uiPriority="99" w:semiHidden="0" w:name="Body Text 3" w:locked="1"/>
    <w:lsdException w:qFormat="1" w:unhideWhenUsed="0" w:uiPriority="99" w:semiHidden="0" w:name="Body Text Indent 2" w:locked="1"/>
    <w:lsdException w:qFormat="1" w:unhideWhenUsed="0" w:uiPriority="99" w:semiHidden="0" w:name="Body Text Indent 3" w:locked="1"/>
    <w:lsdException w:qFormat="1" w:unhideWhenUsed="0" w:uiPriority="99"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99" w:semiHidden="0" w:name="Strong" w:locked="1"/>
    <w:lsdException w:qFormat="1" w:unhideWhenUsed="0" w:uiPriority="99" w:semiHidden="0" w:name="Emphasis" w:locked="1"/>
    <w:lsdException w:qFormat="1" w:unhideWhenUsed="0" w:uiPriority="99" w:semiHidden="0" w:name="Document Map" w:locked="1"/>
    <w:lsdException w:qFormat="1" w:unhideWhenUsed="0" w:uiPriority="99" w:semiHidden="0" w:name="Plain Text" w:locked="1"/>
    <w:lsdException w:qFormat="1" w:unhideWhenUsed="0" w:uiPriority="99" w:semiHidden="0" w:name="E-mail Signature" w:locked="1"/>
    <w:lsdException w:qFormat="1" w:unhideWhenUsed="0" w:uiPriority="99" w:semiHidden="0" w:name="Normal (Web)"/>
    <w:lsdException w:uiPriority="99" w:name="HTML Acronym" w:locked="1"/>
    <w:lsdException w:qFormat="1" w:unhideWhenUsed="0" w:uiPriority="99" w:semiHidden="0" w:name="HTML Address" w:locked="1"/>
    <w:lsdException w:uiPriority="99" w:name="HTML Cite" w:locked="1"/>
    <w:lsdException w:qFormat="1" w:unhideWhenUsed="0" w:uiPriority="99" w:semiHidden="0"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qFormat="1" w:unhideWhenUsed="0" w:uiPriority="99" w:semiHidden="0"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qFormat="1" w:unhideWhenUsed="0" w:uiPriority="99" w:semiHidden="0"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ocked="1"/>
    <w:lsdException w:qFormat="1" w:unhideWhenUsed="0"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102"/>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link w:val="103"/>
    <w:qFormat/>
    <w:locked/>
    <w:uiPriority w:val="99"/>
    <w:pPr>
      <w:keepNext/>
      <w:keepLines/>
      <w:spacing w:before="260" w:after="260" w:line="416" w:lineRule="auto"/>
      <w:outlineLvl w:val="1"/>
    </w:pPr>
    <w:rPr>
      <w:rFonts w:ascii="Arial" w:hAnsi="Arial" w:eastAsia="黑体"/>
      <w:b/>
      <w:bCs/>
      <w:sz w:val="32"/>
      <w:szCs w:val="32"/>
    </w:rPr>
  </w:style>
  <w:style w:type="paragraph" w:styleId="9">
    <w:name w:val="heading 3"/>
    <w:basedOn w:val="1"/>
    <w:next w:val="1"/>
    <w:link w:val="104"/>
    <w:qFormat/>
    <w:locked/>
    <w:uiPriority w:val="99"/>
    <w:pPr>
      <w:keepNext/>
      <w:keepLines/>
      <w:spacing w:before="260" w:after="260" w:line="416" w:lineRule="auto"/>
      <w:outlineLvl w:val="2"/>
    </w:pPr>
    <w:rPr>
      <w:b/>
      <w:bCs/>
      <w:sz w:val="32"/>
      <w:szCs w:val="32"/>
    </w:rPr>
  </w:style>
  <w:style w:type="paragraph" w:styleId="10">
    <w:name w:val="heading 4"/>
    <w:basedOn w:val="1"/>
    <w:next w:val="1"/>
    <w:link w:val="105"/>
    <w:qFormat/>
    <w:locked/>
    <w:uiPriority w:val="99"/>
    <w:pPr>
      <w:keepNext/>
      <w:keepLines/>
      <w:spacing w:before="280" w:after="290" w:line="376" w:lineRule="auto"/>
      <w:outlineLvl w:val="3"/>
    </w:pPr>
    <w:rPr>
      <w:rFonts w:ascii="Cambria" w:hAnsi="Cambria"/>
      <w:b/>
      <w:bCs/>
      <w:sz w:val="28"/>
      <w:szCs w:val="28"/>
    </w:rPr>
  </w:style>
  <w:style w:type="paragraph" w:styleId="11">
    <w:name w:val="heading 5"/>
    <w:basedOn w:val="1"/>
    <w:next w:val="12"/>
    <w:link w:val="106"/>
    <w:qFormat/>
    <w:locked/>
    <w:uiPriority w:val="99"/>
    <w:pPr>
      <w:keepNext/>
      <w:keepLines/>
      <w:tabs>
        <w:tab w:val="left" w:pos="1008"/>
      </w:tabs>
      <w:spacing w:before="280" w:after="290" w:line="376" w:lineRule="auto"/>
      <w:ind w:left="1008" w:hanging="1008"/>
      <w:outlineLvl w:val="4"/>
    </w:pPr>
    <w:rPr>
      <w:b/>
      <w:sz w:val="28"/>
      <w:szCs w:val="20"/>
    </w:rPr>
  </w:style>
  <w:style w:type="paragraph" w:styleId="13">
    <w:name w:val="heading 6"/>
    <w:basedOn w:val="1"/>
    <w:next w:val="1"/>
    <w:link w:val="107"/>
    <w:qFormat/>
    <w:locked/>
    <w:uiPriority w:val="99"/>
    <w:pPr>
      <w:keepNext/>
      <w:keepLines/>
      <w:spacing w:line="360" w:lineRule="auto"/>
      <w:jc w:val="center"/>
      <w:outlineLvl w:val="5"/>
    </w:pPr>
    <w:rPr>
      <w:rFonts w:ascii="Arial" w:hAnsi="Arial"/>
      <w:b/>
      <w:bCs/>
      <w:sz w:val="24"/>
    </w:rPr>
  </w:style>
  <w:style w:type="paragraph" w:styleId="14">
    <w:name w:val="heading 7"/>
    <w:basedOn w:val="1"/>
    <w:next w:val="1"/>
    <w:link w:val="108"/>
    <w:qFormat/>
    <w:locked/>
    <w:uiPriority w:val="99"/>
    <w:pPr>
      <w:keepNext/>
      <w:keepLines/>
      <w:tabs>
        <w:tab w:val="left" w:pos="1296"/>
      </w:tabs>
      <w:adjustRightInd w:val="0"/>
      <w:snapToGrid w:val="0"/>
      <w:spacing w:before="240" w:after="64" w:line="320" w:lineRule="auto"/>
      <w:ind w:left="1296" w:leftChars="200" w:hanging="1296"/>
      <w:jc w:val="left"/>
      <w:outlineLvl w:val="6"/>
    </w:pPr>
    <w:rPr>
      <w:b/>
      <w:bCs/>
      <w:sz w:val="24"/>
    </w:rPr>
  </w:style>
  <w:style w:type="paragraph" w:styleId="15">
    <w:name w:val="heading 8"/>
    <w:basedOn w:val="1"/>
    <w:next w:val="12"/>
    <w:link w:val="109"/>
    <w:qFormat/>
    <w:locked/>
    <w:uiPriority w:val="99"/>
    <w:pPr>
      <w:keepNext/>
      <w:keepLines/>
      <w:tabs>
        <w:tab w:val="left" w:pos="1440"/>
      </w:tabs>
      <w:adjustRightInd w:val="0"/>
      <w:spacing w:line="360" w:lineRule="auto"/>
      <w:ind w:left="1440" w:hanging="1440"/>
      <w:textAlignment w:val="baseline"/>
      <w:outlineLvl w:val="7"/>
    </w:pPr>
    <w:rPr>
      <w:rFonts w:ascii="Arial" w:hAnsi="Arial"/>
      <w:kern w:val="0"/>
      <w:sz w:val="24"/>
      <w:szCs w:val="20"/>
    </w:rPr>
  </w:style>
  <w:style w:type="paragraph" w:styleId="16">
    <w:name w:val="heading 9"/>
    <w:basedOn w:val="1"/>
    <w:next w:val="12"/>
    <w:link w:val="110"/>
    <w:qFormat/>
    <w:locked/>
    <w:uiPriority w:val="99"/>
    <w:pPr>
      <w:keepNext/>
      <w:keepLines/>
      <w:tabs>
        <w:tab w:val="left" w:pos="1584"/>
      </w:tabs>
      <w:adjustRightInd w:val="0"/>
      <w:spacing w:line="360" w:lineRule="auto"/>
      <w:ind w:left="1584" w:hanging="1584"/>
      <w:textAlignment w:val="baseline"/>
      <w:outlineLvl w:val="8"/>
    </w:pPr>
    <w:rPr>
      <w:rFonts w:ascii="Arial" w:hAnsi="Arial"/>
      <w:kern w:val="0"/>
      <w:sz w:val="24"/>
      <w:szCs w:val="20"/>
    </w:rPr>
  </w:style>
  <w:style w:type="character" w:default="1" w:styleId="91">
    <w:name w:val="Default Paragraph Font"/>
    <w:semiHidden/>
    <w:qFormat/>
    <w:uiPriority w:val="99"/>
  </w:style>
  <w:style w:type="table" w:default="1" w:styleId="8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12"/>
    <w:qFormat/>
    <w:locked/>
    <w:uiPriority w:val="99"/>
    <w:pPr>
      <w:ind w:firstLine="420" w:firstLineChars="200"/>
    </w:pPr>
    <w:rPr>
      <w:kern w:val="2"/>
      <w:sz w:val="21"/>
      <w:szCs w:val="24"/>
    </w:rPr>
  </w:style>
  <w:style w:type="paragraph" w:styleId="3">
    <w:name w:val="Body Text Indent"/>
    <w:basedOn w:val="1"/>
    <w:next w:val="4"/>
    <w:link w:val="111"/>
    <w:qFormat/>
    <w:uiPriority w:val="99"/>
    <w:pPr>
      <w:spacing w:after="120"/>
      <w:ind w:left="420" w:leftChars="200"/>
    </w:pPr>
    <w:rPr>
      <w:kern w:val="0"/>
      <w:sz w:val="24"/>
      <w:szCs w:val="20"/>
    </w:rPr>
  </w:style>
  <w:style w:type="paragraph" w:customStyle="1" w:styleId="4">
    <w:name w:val="样式 正文文本缩进 + 行距: 1.5 倍行距"/>
    <w:basedOn w:val="5"/>
    <w:next w:val="1"/>
    <w:qFormat/>
    <w:uiPriority w:val="99"/>
    <w:pPr>
      <w:ind w:left="90" w:leftChars="32" w:firstLine="560"/>
    </w:pPr>
    <w:rPr>
      <w:rFonts w:cs="宋体"/>
    </w:rPr>
  </w:style>
  <w:style w:type="paragraph" w:customStyle="1" w:styleId="5">
    <w:name w:val="正文文本缩进1"/>
    <w:basedOn w:val="1"/>
    <w:next w:val="4"/>
    <w:qFormat/>
    <w:uiPriority w:val="99"/>
    <w:pPr>
      <w:spacing w:after="120" w:line="360" w:lineRule="auto"/>
      <w:ind w:left="420" w:leftChars="200" w:firstLine="200" w:firstLineChars="200"/>
    </w:pPr>
    <w:rPr>
      <w:sz w:val="24"/>
    </w:rPr>
  </w:style>
  <w:style w:type="paragraph" w:styleId="6">
    <w:name w:val="macro"/>
    <w:basedOn w:val="1"/>
    <w:link w:val="113"/>
    <w:qFormat/>
    <w:locked/>
    <w:uiPriority w:val="99"/>
    <w:pPr>
      <w:widowControl/>
      <w:spacing w:before="100" w:beforeAutospacing="1" w:after="100" w:afterAutospacing="1"/>
      <w:jc w:val="left"/>
    </w:pPr>
    <w:rPr>
      <w:rFonts w:ascii="宋体" w:hAnsi="宋体"/>
      <w:sz w:val="24"/>
    </w:rPr>
  </w:style>
  <w:style w:type="paragraph" w:styleId="12">
    <w:name w:val="Normal Indent"/>
    <w:basedOn w:val="1"/>
    <w:link w:val="114"/>
    <w:qFormat/>
    <w:locked/>
    <w:uiPriority w:val="99"/>
    <w:pPr>
      <w:ind w:firstLine="420" w:firstLineChars="200"/>
    </w:pPr>
    <w:rPr>
      <w:sz w:val="24"/>
      <w:szCs w:val="20"/>
    </w:rPr>
  </w:style>
  <w:style w:type="paragraph" w:styleId="17">
    <w:name w:val="List 3"/>
    <w:basedOn w:val="1"/>
    <w:qFormat/>
    <w:locked/>
    <w:uiPriority w:val="99"/>
    <w:pPr>
      <w:spacing w:before="60"/>
      <w:ind w:left="1260" w:hanging="420"/>
    </w:pPr>
    <w:rPr>
      <w:rFonts w:ascii="Arial" w:hAnsi="Arial" w:eastAsia="仿宋_GB2312"/>
      <w:kern w:val="0"/>
      <w:sz w:val="24"/>
      <w:szCs w:val="20"/>
    </w:rPr>
  </w:style>
  <w:style w:type="paragraph" w:styleId="18">
    <w:name w:val="toc 7"/>
    <w:basedOn w:val="1"/>
    <w:next w:val="1"/>
    <w:qFormat/>
    <w:locked/>
    <w:uiPriority w:val="99"/>
    <w:pPr>
      <w:snapToGrid w:val="0"/>
      <w:spacing w:line="500" w:lineRule="exact"/>
      <w:ind w:left="1440"/>
      <w:jc w:val="left"/>
    </w:pPr>
    <w:rPr>
      <w:sz w:val="18"/>
      <w:szCs w:val="18"/>
    </w:rPr>
  </w:style>
  <w:style w:type="paragraph" w:styleId="19">
    <w:name w:val="List Number 2"/>
    <w:basedOn w:val="1"/>
    <w:qFormat/>
    <w:locked/>
    <w:uiPriority w:val="99"/>
    <w:pPr>
      <w:tabs>
        <w:tab w:val="left" w:pos="780"/>
      </w:tabs>
      <w:spacing w:before="60"/>
      <w:ind w:left="780" w:hanging="360"/>
    </w:pPr>
    <w:rPr>
      <w:rFonts w:ascii="Arial" w:hAnsi="Arial" w:eastAsia="仿宋_GB2312"/>
      <w:kern w:val="0"/>
      <w:sz w:val="24"/>
      <w:szCs w:val="20"/>
    </w:rPr>
  </w:style>
  <w:style w:type="paragraph" w:styleId="20">
    <w:name w:val="table of authorities"/>
    <w:basedOn w:val="1"/>
    <w:next w:val="1"/>
    <w:qFormat/>
    <w:locked/>
    <w:uiPriority w:val="99"/>
    <w:pPr>
      <w:ind w:left="210" w:hanging="210"/>
      <w:jc w:val="left"/>
    </w:pPr>
    <w:rPr>
      <w:sz w:val="20"/>
      <w:szCs w:val="20"/>
    </w:rPr>
  </w:style>
  <w:style w:type="paragraph" w:styleId="21">
    <w:name w:val="Note Heading"/>
    <w:basedOn w:val="1"/>
    <w:next w:val="1"/>
    <w:link w:val="115"/>
    <w:qFormat/>
    <w:locked/>
    <w:uiPriority w:val="99"/>
    <w:pPr>
      <w:jc w:val="center"/>
    </w:pPr>
    <w:rPr>
      <w:rFonts w:ascii="Arial" w:hAnsi="Arial"/>
      <w:bCs/>
      <w:sz w:val="28"/>
      <w:szCs w:val="28"/>
    </w:rPr>
  </w:style>
  <w:style w:type="paragraph" w:styleId="22">
    <w:name w:val="List Bullet 4"/>
    <w:basedOn w:val="1"/>
    <w:qFormat/>
    <w:locked/>
    <w:uiPriority w:val="99"/>
    <w:pPr>
      <w:tabs>
        <w:tab w:val="left" w:pos="1620"/>
      </w:tabs>
      <w:spacing w:before="60"/>
      <w:ind w:left="1620" w:leftChars="600" w:hanging="360" w:hangingChars="200"/>
    </w:pPr>
    <w:rPr>
      <w:rFonts w:ascii="Arial" w:hAnsi="Arial" w:eastAsia="仿宋_GB2312"/>
      <w:kern w:val="0"/>
      <w:sz w:val="24"/>
      <w:szCs w:val="20"/>
    </w:rPr>
  </w:style>
  <w:style w:type="paragraph" w:styleId="23">
    <w:name w:val="E-mail Signature"/>
    <w:basedOn w:val="1"/>
    <w:link w:val="116"/>
    <w:qFormat/>
    <w:locked/>
    <w:uiPriority w:val="99"/>
    <w:pPr>
      <w:spacing w:before="60"/>
      <w:ind w:firstLine="482"/>
    </w:pPr>
    <w:rPr>
      <w:rFonts w:ascii="Arial" w:hAnsi="Arial" w:eastAsia="仿宋_GB2312"/>
      <w:sz w:val="24"/>
      <w:szCs w:val="22"/>
    </w:rPr>
  </w:style>
  <w:style w:type="paragraph" w:styleId="24">
    <w:name w:val="List Number"/>
    <w:basedOn w:val="1"/>
    <w:qFormat/>
    <w:locked/>
    <w:uiPriority w:val="99"/>
    <w:pPr>
      <w:tabs>
        <w:tab w:val="left" w:pos="360"/>
      </w:tabs>
      <w:spacing w:before="60"/>
      <w:ind w:left="360" w:hanging="360" w:hangingChars="200"/>
    </w:pPr>
    <w:rPr>
      <w:rFonts w:ascii="Arial" w:hAnsi="Arial" w:eastAsia="仿宋_GB2312"/>
      <w:kern w:val="0"/>
      <w:sz w:val="24"/>
      <w:szCs w:val="20"/>
    </w:rPr>
  </w:style>
  <w:style w:type="paragraph" w:styleId="25">
    <w:name w:val="caption"/>
    <w:basedOn w:val="1"/>
    <w:next w:val="1"/>
    <w:link w:val="117"/>
    <w:qFormat/>
    <w:locked/>
    <w:uiPriority w:val="99"/>
    <w:pPr>
      <w:snapToGrid w:val="0"/>
      <w:spacing w:line="500" w:lineRule="exact"/>
      <w:jc w:val="left"/>
    </w:pPr>
    <w:rPr>
      <w:rFonts w:ascii="Arial" w:hAnsi="Arial" w:eastAsia="黑体"/>
      <w:sz w:val="20"/>
      <w:szCs w:val="20"/>
    </w:rPr>
  </w:style>
  <w:style w:type="paragraph" w:styleId="26">
    <w:name w:val="List Bullet"/>
    <w:basedOn w:val="1"/>
    <w:qFormat/>
    <w:locked/>
    <w:uiPriority w:val="99"/>
    <w:pPr>
      <w:numPr>
        <w:ilvl w:val="0"/>
        <w:numId w:val="1"/>
      </w:numPr>
      <w:tabs>
        <w:tab w:val="left" w:pos="360"/>
        <w:tab w:val="clear" w:pos="780"/>
      </w:tabs>
      <w:spacing w:line="360" w:lineRule="auto"/>
      <w:ind w:left="360"/>
    </w:pPr>
    <w:rPr>
      <w:sz w:val="24"/>
      <w:szCs w:val="21"/>
    </w:rPr>
  </w:style>
  <w:style w:type="paragraph" w:styleId="27">
    <w:name w:val="envelope address"/>
    <w:basedOn w:val="1"/>
    <w:qFormat/>
    <w:locked/>
    <w:uiPriority w:val="99"/>
    <w:pPr>
      <w:snapToGrid w:val="0"/>
      <w:spacing w:before="60"/>
      <w:ind w:left="2880" w:firstLine="482"/>
    </w:pPr>
    <w:rPr>
      <w:rFonts w:ascii="Arial" w:hAnsi="Arial" w:eastAsia="仿宋_GB2312" w:cs="Arial"/>
      <w:kern w:val="0"/>
      <w:sz w:val="24"/>
      <w:szCs w:val="20"/>
    </w:rPr>
  </w:style>
  <w:style w:type="paragraph" w:styleId="28">
    <w:name w:val="Document Map"/>
    <w:basedOn w:val="1"/>
    <w:link w:val="118"/>
    <w:qFormat/>
    <w:locked/>
    <w:uiPriority w:val="99"/>
    <w:pPr>
      <w:shd w:val="clear" w:color="auto" w:fill="000080"/>
    </w:pPr>
  </w:style>
  <w:style w:type="paragraph" w:styleId="29">
    <w:name w:val="toa heading"/>
    <w:basedOn w:val="1"/>
    <w:next w:val="1"/>
    <w:qFormat/>
    <w:locked/>
    <w:uiPriority w:val="99"/>
    <w:pPr>
      <w:spacing w:before="120"/>
    </w:pPr>
    <w:rPr>
      <w:rFonts w:ascii="Arial" w:hAnsi="Arial" w:cs="Arial"/>
      <w:sz w:val="24"/>
    </w:rPr>
  </w:style>
  <w:style w:type="paragraph" w:styleId="30">
    <w:name w:val="annotation text"/>
    <w:basedOn w:val="1"/>
    <w:link w:val="119"/>
    <w:qFormat/>
    <w:uiPriority w:val="99"/>
    <w:pPr>
      <w:jc w:val="left"/>
    </w:pPr>
    <w:rPr>
      <w:kern w:val="0"/>
      <w:sz w:val="24"/>
      <w:szCs w:val="20"/>
    </w:rPr>
  </w:style>
  <w:style w:type="paragraph" w:styleId="31">
    <w:name w:val="Salutation"/>
    <w:basedOn w:val="1"/>
    <w:next w:val="1"/>
    <w:link w:val="120"/>
    <w:qFormat/>
    <w:locked/>
    <w:uiPriority w:val="99"/>
  </w:style>
  <w:style w:type="paragraph" w:styleId="32">
    <w:name w:val="Body Text 3"/>
    <w:basedOn w:val="1"/>
    <w:link w:val="121"/>
    <w:qFormat/>
    <w:locked/>
    <w:uiPriority w:val="99"/>
    <w:pPr>
      <w:spacing w:line="360" w:lineRule="auto"/>
    </w:pPr>
    <w:rPr>
      <w:rFonts w:ascii="宋体" w:hAnsi="宋体"/>
      <w:sz w:val="24"/>
    </w:rPr>
  </w:style>
  <w:style w:type="paragraph" w:styleId="33">
    <w:name w:val="Closing"/>
    <w:basedOn w:val="1"/>
    <w:link w:val="122"/>
    <w:qFormat/>
    <w:locked/>
    <w:uiPriority w:val="99"/>
    <w:pPr>
      <w:spacing w:before="60"/>
      <w:ind w:left="4320" w:firstLine="482"/>
    </w:pPr>
    <w:rPr>
      <w:rFonts w:ascii="Arial" w:hAnsi="Arial" w:eastAsia="仿宋_GB2312"/>
      <w:sz w:val="24"/>
      <w:szCs w:val="22"/>
    </w:rPr>
  </w:style>
  <w:style w:type="paragraph" w:styleId="34">
    <w:name w:val="List Bullet 3"/>
    <w:basedOn w:val="1"/>
    <w:qFormat/>
    <w:locked/>
    <w:uiPriority w:val="99"/>
    <w:pPr>
      <w:tabs>
        <w:tab w:val="left" w:pos="1200"/>
      </w:tabs>
      <w:spacing w:before="60"/>
      <w:ind w:left="1200" w:hanging="360"/>
    </w:pPr>
    <w:rPr>
      <w:rFonts w:ascii="Arial" w:hAnsi="Arial" w:eastAsia="仿宋_GB2312"/>
      <w:kern w:val="0"/>
      <w:sz w:val="24"/>
      <w:szCs w:val="20"/>
    </w:rPr>
  </w:style>
  <w:style w:type="paragraph" w:styleId="35">
    <w:name w:val="Body Text"/>
    <w:basedOn w:val="1"/>
    <w:next w:val="36"/>
    <w:link w:val="123"/>
    <w:qFormat/>
    <w:uiPriority w:val="99"/>
    <w:pPr>
      <w:widowControl/>
      <w:snapToGrid w:val="0"/>
      <w:spacing w:before="60" w:after="160" w:line="259" w:lineRule="auto"/>
      <w:ind w:right="113"/>
    </w:pPr>
    <w:rPr>
      <w:kern w:val="0"/>
      <w:sz w:val="18"/>
      <w:szCs w:val="20"/>
    </w:rPr>
  </w:style>
  <w:style w:type="paragraph" w:styleId="36">
    <w:name w:val="List Bullet 5"/>
    <w:basedOn w:val="1"/>
    <w:qFormat/>
    <w:locked/>
    <w:uiPriority w:val="99"/>
    <w:pPr>
      <w:tabs>
        <w:tab w:val="left" w:pos="2040"/>
      </w:tabs>
      <w:spacing w:before="60"/>
      <w:ind w:left="2040" w:hanging="360"/>
    </w:pPr>
    <w:rPr>
      <w:rFonts w:ascii="Arial" w:hAnsi="Arial" w:eastAsia="仿宋_GB2312"/>
      <w:kern w:val="0"/>
      <w:sz w:val="24"/>
      <w:szCs w:val="20"/>
    </w:rPr>
  </w:style>
  <w:style w:type="paragraph" w:styleId="37">
    <w:name w:val="List Number 3"/>
    <w:basedOn w:val="1"/>
    <w:qFormat/>
    <w:locked/>
    <w:uiPriority w:val="99"/>
    <w:pPr>
      <w:tabs>
        <w:tab w:val="left" w:pos="1200"/>
      </w:tabs>
      <w:spacing w:before="60"/>
      <w:ind w:left="1200" w:hanging="360"/>
    </w:pPr>
    <w:rPr>
      <w:rFonts w:ascii="Arial" w:hAnsi="Arial" w:eastAsia="仿宋_GB2312"/>
      <w:kern w:val="0"/>
      <w:sz w:val="24"/>
      <w:szCs w:val="20"/>
    </w:rPr>
  </w:style>
  <w:style w:type="paragraph" w:styleId="38">
    <w:name w:val="List 2"/>
    <w:basedOn w:val="1"/>
    <w:qFormat/>
    <w:locked/>
    <w:uiPriority w:val="99"/>
    <w:pPr>
      <w:ind w:left="100" w:leftChars="200" w:hanging="200" w:hangingChars="200"/>
    </w:pPr>
    <w:rPr>
      <w:rFonts w:eastAsia="仿宋_GB2312"/>
      <w:color w:val="000000"/>
      <w:kern w:val="0"/>
      <w:sz w:val="28"/>
      <w:szCs w:val="32"/>
    </w:rPr>
  </w:style>
  <w:style w:type="paragraph" w:styleId="39">
    <w:name w:val="List Continue"/>
    <w:basedOn w:val="1"/>
    <w:qFormat/>
    <w:locked/>
    <w:uiPriority w:val="99"/>
    <w:pPr>
      <w:spacing w:after="120"/>
      <w:ind w:left="420" w:leftChars="200"/>
    </w:pPr>
  </w:style>
  <w:style w:type="paragraph" w:styleId="40">
    <w:name w:val="Block Text"/>
    <w:basedOn w:val="1"/>
    <w:qFormat/>
    <w:locked/>
    <w:uiPriority w:val="99"/>
    <w:pPr>
      <w:autoSpaceDE w:val="0"/>
      <w:autoSpaceDN w:val="0"/>
      <w:adjustRightInd w:val="0"/>
      <w:ind w:left="98" w:right="72" w:firstLine="490" w:firstLineChars="175"/>
      <w:jc w:val="left"/>
    </w:pPr>
    <w:rPr>
      <w:rFonts w:ascii="宋体" w:hAnsi="宋体"/>
      <w:kern w:val="0"/>
      <w:sz w:val="28"/>
      <w:szCs w:val="26"/>
    </w:rPr>
  </w:style>
  <w:style w:type="paragraph" w:styleId="41">
    <w:name w:val="List Bullet 2"/>
    <w:basedOn w:val="1"/>
    <w:qFormat/>
    <w:locked/>
    <w:uiPriority w:val="99"/>
    <w:pPr>
      <w:tabs>
        <w:tab w:val="left" w:pos="780"/>
      </w:tabs>
      <w:spacing w:before="60"/>
      <w:ind w:left="780" w:leftChars="200" w:hanging="360" w:hangingChars="200"/>
    </w:pPr>
    <w:rPr>
      <w:rFonts w:ascii="Arial" w:hAnsi="Arial" w:eastAsia="仿宋_GB2312"/>
      <w:kern w:val="0"/>
      <w:sz w:val="24"/>
      <w:szCs w:val="20"/>
    </w:rPr>
  </w:style>
  <w:style w:type="paragraph" w:styleId="42">
    <w:name w:val="HTML Address"/>
    <w:basedOn w:val="1"/>
    <w:link w:val="124"/>
    <w:qFormat/>
    <w:locked/>
    <w:uiPriority w:val="99"/>
    <w:pPr>
      <w:spacing w:before="60"/>
      <w:ind w:firstLine="482"/>
    </w:pPr>
    <w:rPr>
      <w:rFonts w:ascii="Arial" w:hAnsi="Arial" w:eastAsia="仿宋_GB2312"/>
      <w:i/>
      <w:iCs/>
      <w:sz w:val="24"/>
      <w:szCs w:val="22"/>
    </w:rPr>
  </w:style>
  <w:style w:type="paragraph" w:styleId="43">
    <w:name w:val="index 4"/>
    <w:basedOn w:val="1"/>
    <w:next w:val="1"/>
    <w:qFormat/>
    <w:locked/>
    <w:uiPriority w:val="99"/>
    <w:pPr>
      <w:spacing w:line="360" w:lineRule="auto"/>
      <w:ind w:left="600" w:leftChars="600" w:firstLine="200" w:firstLineChars="200"/>
    </w:pPr>
    <w:rPr>
      <w:rFonts w:ascii="宋体"/>
      <w:sz w:val="24"/>
    </w:rPr>
  </w:style>
  <w:style w:type="paragraph" w:styleId="44">
    <w:name w:val="toc 5"/>
    <w:basedOn w:val="1"/>
    <w:next w:val="1"/>
    <w:qFormat/>
    <w:locked/>
    <w:uiPriority w:val="99"/>
    <w:pPr>
      <w:snapToGrid w:val="0"/>
      <w:spacing w:line="500" w:lineRule="exact"/>
      <w:ind w:left="960"/>
      <w:jc w:val="left"/>
    </w:pPr>
    <w:rPr>
      <w:sz w:val="18"/>
      <w:szCs w:val="18"/>
    </w:rPr>
  </w:style>
  <w:style w:type="paragraph" w:styleId="45">
    <w:name w:val="toc 3"/>
    <w:basedOn w:val="1"/>
    <w:next w:val="1"/>
    <w:qFormat/>
    <w:locked/>
    <w:uiPriority w:val="99"/>
    <w:pPr>
      <w:snapToGrid w:val="0"/>
      <w:spacing w:line="500" w:lineRule="exact"/>
      <w:ind w:left="480"/>
      <w:jc w:val="left"/>
    </w:pPr>
    <w:rPr>
      <w:i/>
      <w:iCs/>
      <w:sz w:val="20"/>
      <w:szCs w:val="20"/>
    </w:rPr>
  </w:style>
  <w:style w:type="paragraph" w:styleId="46">
    <w:name w:val="Plain Text"/>
    <w:basedOn w:val="1"/>
    <w:link w:val="125"/>
    <w:qFormat/>
    <w:locked/>
    <w:uiPriority w:val="99"/>
    <w:rPr>
      <w:rFonts w:ascii="宋体" w:hAnsi="Courier New"/>
      <w:szCs w:val="21"/>
    </w:rPr>
  </w:style>
  <w:style w:type="paragraph" w:styleId="47">
    <w:name w:val="List Number 4"/>
    <w:basedOn w:val="1"/>
    <w:qFormat/>
    <w:locked/>
    <w:uiPriority w:val="99"/>
    <w:pPr>
      <w:tabs>
        <w:tab w:val="left" w:pos="1620"/>
      </w:tabs>
      <w:spacing w:before="60"/>
      <w:ind w:left="1620" w:hanging="360"/>
    </w:pPr>
    <w:rPr>
      <w:rFonts w:ascii="Arial" w:hAnsi="Arial" w:eastAsia="仿宋_GB2312"/>
      <w:kern w:val="0"/>
      <w:sz w:val="24"/>
      <w:szCs w:val="20"/>
    </w:rPr>
  </w:style>
  <w:style w:type="paragraph" w:styleId="48">
    <w:name w:val="toc 8"/>
    <w:basedOn w:val="1"/>
    <w:next w:val="1"/>
    <w:qFormat/>
    <w:locked/>
    <w:uiPriority w:val="99"/>
    <w:pPr>
      <w:snapToGrid w:val="0"/>
      <w:spacing w:line="500" w:lineRule="exact"/>
      <w:ind w:left="1680"/>
      <w:jc w:val="left"/>
    </w:pPr>
    <w:rPr>
      <w:sz w:val="18"/>
      <w:szCs w:val="18"/>
    </w:rPr>
  </w:style>
  <w:style w:type="paragraph" w:styleId="49">
    <w:name w:val="Date"/>
    <w:basedOn w:val="1"/>
    <w:next w:val="1"/>
    <w:link w:val="126"/>
    <w:qFormat/>
    <w:uiPriority w:val="99"/>
    <w:pPr>
      <w:ind w:left="100" w:leftChars="2500"/>
    </w:pPr>
    <w:rPr>
      <w:kern w:val="0"/>
      <w:sz w:val="24"/>
      <w:szCs w:val="20"/>
    </w:rPr>
  </w:style>
  <w:style w:type="paragraph" w:styleId="50">
    <w:name w:val="Body Text Indent 2"/>
    <w:basedOn w:val="1"/>
    <w:link w:val="127"/>
    <w:qFormat/>
    <w:locked/>
    <w:uiPriority w:val="99"/>
    <w:pPr>
      <w:spacing w:before="120"/>
      <w:ind w:right="113" w:firstLine="570"/>
    </w:pPr>
    <w:rPr>
      <w:kern w:val="24"/>
      <w:sz w:val="28"/>
      <w:szCs w:val="20"/>
    </w:rPr>
  </w:style>
  <w:style w:type="paragraph" w:styleId="51">
    <w:name w:val="endnote text"/>
    <w:basedOn w:val="1"/>
    <w:link w:val="128"/>
    <w:qFormat/>
    <w:locked/>
    <w:uiPriority w:val="99"/>
    <w:pPr>
      <w:snapToGrid w:val="0"/>
      <w:jc w:val="left"/>
    </w:pPr>
  </w:style>
  <w:style w:type="paragraph" w:styleId="52">
    <w:name w:val="List Continue 5"/>
    <w:basedOn w:val="1"/>
    <w:qFormat/>
    <w:locked/>
    <w:uiPriority w:val="99"/>
    <w:pPr>
      <w:spacing w:before="60" w:after="120"/>
      <w:ind w:left="2100" w:firstLine="482"/>
    </w:pPr>
    <w:rPr>
      <w:rFonts w:ascii="Arial" w:hAnsi="Arial" w:eastAsia="仿宋_GB2312"/>
      <w:kern w:val="0"/>
      <w:sz w:val="24"/>
      <w:szCs w:val="20"/>
    </w:rPr>
  </w:style>
  <w:style w:type="paragraph" w:styleId="53">
    <w:name w:val="Balloon Text"/>
    <w:basedOn w:val="1"/>
    <w:link w:val="129"/>
    <w:semiHidden/>
    <w:qFormat/>
    <w:uiPriority w:val="99"/>
    <w:rPr>
      <w:kern w:val="0"/>
      <w:sz w:val="18"/>
      <w:szCs w:val="20"/>
    </w:rPr>
  </w:style>
  <w:style w:type="paragraph" w:styleId="54">
    <w:name w:val="footer"/>
    <w:basedOn w:val="1"/>
    <w:link w:val="130"/>
    <w:qFormat/>
    <w:uiPriority w:val="99"/>
    <w:pPr>
      <w:tabs>
        <w:tab w:val="center" w:pos="4153"/>
        <w:tab w:val="right" w:pos="8306"/>
      </w:tabs>
      <w:snapToGrid w:val="0"/>
      <w:jc w:val="left"/>
    </w:pPr>
    <w:rPr>
      <w:kern w:val="0"/>
      <w:sz w:val="18"/>
      <w:szCs w:val="20"/>
    </w:rPr>
  </w:style>
  <w:style w:type="paragraph" w:styleId="55">
    <w:name w:val="envelope return"/>
    <w:basedOn w:val="1"/>
    <w:qFormat/>
    <w:locked/>
    <w:uiPriority w:val="99"/>
    <w:pPr>
      <w:snapToGrid w:val="0"/>
      <w:spacing w:before="60"/>
      <w:ind w:firstLine="482"/>
    </w:pPr>
    <w:rPr>
      <w:rFonts w:ascii="Arial" w:hAnsi="Arial" w:eastAsia="仿宋_GB2312" w:cs="Arial"/>
      <w:kern w:val="0"/>
      <w:sz w:val="24"/>
      <w:szCs w:val="20"/>
    </w:rPr>
  </w:style>
  <w:style w:type="paragraph" w:styleId="56">
    <w:name w:val="header"/>
    <w:basedOn w:val="1"/>
    <w:next w:val="57"/>
    <w:link w:val="131"/>
    <w:qFormat/>
    <w:uiPriority w:val="99"/>
    <w:pPr>
      <w:pBdr>
        <w:bottom w:val="single" w:color="auto" w:sz="6" w:space="1"/>
      </w:pBdr>
      <w:tabs>
        <w:tab w:val="center" w:pos="4153"/>
        <w:tab w:val="right" w:pos="8306"/>
      </w:tabs>
      <w:snapToGrid w:val="0"/>
      <w:jc w:val="center"/>
    </w:pPr>
    <w:rPr>
      <w:kern w:val="0"/>
      <w:sz w:val="18"/>
      <w:szCs w:val="20"/>
    </w:rPr>
  </w:style>
  <w:style w:type="paragraph" w:customStyle="1" w:styleId="57">
    <w:name w:val="样式5"/>
    <w:basedOn w:val="58"/>
    <w:next w:val="1"/>
    <w:link w:val="262"/>
    <w:qFormat/>
    <w:uiPriority w:val="99"/>
    <w:pPr>
      <w:widowControl w:val="0"/>
      <w:snapToGrid/>
      <w:spacing w:before="0" w:after="0" w:line="240" w:lineRule="auto"/>
      <w:ind w:right="-105" w:rightChars="-50"/>
      <w:jc w:val="center"/>
    </w:pPr>
    <w:rPr>
      <w:rFonts w:ascii="宋体"/>
      <w:sz w:val="21"/>
    </w:rPr>
  </w:style>
  <w:style w:type="paragraph" w:customStyle="1" w:styleId="58">
    <w:name w:val="正文1"/>
    <w:basedOn w:val="35"/>
    <w:next w:val="1"/>
    <w:link w:val="384"/>
    <w:qFormat/>
    <w:uiPriority w:val="99"/>
    <w:pPr>
      <w:adjustRightInd w:val="0"/>
      <w:snapToGrid w:val="0"/>
      <w:spacing w:line="500" w:lineRule="atLeast"/>
      <w:ind w:firstLine="567"/>
    </w:pPr>
    <w:rPr>
      <w:sz w:val="24"/>
      <w:szCs w:val="20"/>
    </w:rPr>
  </w:style>
  <w:style w:type="paragraph" w:styleId="59">
    <w:name w:val="Signature"/>
    <w:basedOn w:val="1"/>
    <w:link w:val="132"/>
    <w:qFormat/>
    <w:locked/>
    <w:uiPriority w:val="99"/>
    <w:pPr>
      <w:spacing w:before="60"/>
      <w:ind w:left="4320" w:firstLine="482"/>
    </w:pPr>
    <w:rPr>
      <w:rFonts w:ascii="Arial" w:hAnsi="Arial" w:eastAsia="仿宋_GB2312"/>
      <w:sz w:val="24"/>
      <w:szCs w:val="22"/>
    </w:rPr>
  </w:style>
  <w:style w:type="paragraph" w:styleId="60">
    <w:name w:val="toc 1"/>
    <w:basedOn w:val="1"/>
    <w:next w:val="1"/>
    <w:link w:val="133"/>
    <w:qFormat/>
    <w:locked/>
    <w:uiPriority w:val="99"/>
    <w:pPr>
      <w:tabs>
        <w:tab w:val="right" w:leader="dot" w:pos="9060"/>
      </w:tabs>
      <w:snapToGrid w:val="0"/>
      <w:spacing w:before="120" w:after="120" w:line="360" w:lineRule="auto"/>
      <w:jc w:val="left"/>
    </w:pPr>
    <w:rPr>
      <w:b/>
      <w:caps/>
      <w:sz w:val="20"/>
      <w:szCs w:val="20"/>
    </w:rPr>
  </w:style>
  <w:style w:type="paragraph" w:styleId="61">
    <w:name w:val="List Continue 4"/>
    <w:basedOn w:val="1"/>
    <w:qFormat/>
    <w:locked/>
    <w:uiPriority w:val="99"/>
    <w:pPr>
      <w:spacing w:before="60" w:after="120"/>
      <w:ind w:left="1680" w:firstLine="482"/>
    </w:pPr>
    <w:rPr>
      <w:rFonts w:ascii="Arial" w:hAnsi="Arial" w:eastAsia="仿宋_GB2312"/>
      <w:kern w:val="0"/>
      <w:sz w:val="24"/>
      <w:szCs w:val="20"/>
    </w:rPr>
  </w:style>
  <w:style w:type="paragraph" w:styleId="62">
    <w:name w:val="toc 4"/>
    <w:basedOn w:val="1"/>
    <w:next w:val="1"/>
    <w:qFormat/>
    <w:locked/>
    <w:uiPriority w:val="99"/>
    <w:pPr>
      <w:tabs>
        <w:tab w:val="right" w:leader="dot" w:pos="9060"/>
      </w:tabs>
      <w:snapToGrid w:val="0"/>
      <w:spacing w:line="360" w:lineRule="auto"/>
      <w:ind w:left="720"/>
      <w:jc w:val="left"/>
    </w:pPr>
    <w:rPr>
      <w:b/>
      <w:sz w:val="18"/>
      <w:szCs w:val="18"/>
    </w:rPr>
  </w:style>
  <w:style w:type="paragraph" w:styleId="63">
    <w:name w:val="index heading"/>
    <w:basedOn w:val="1"/>
    <w:next w:val="64"/>
    <w:qFormat/>
    <w:locked/>
    <w:uiPriority w:val="99"/>
  </w:style>
  <w:style w:type="paragraph" w:styleId="64">
    <w:name w:val="index 1"/>
    <w:basedOn w:val="1"/>
    <w:next w:val="1"/>
    <w:qFormat/>
    <w:locked/>
    <w:uiPriority w:val="99"/>
  </w:style>
  <w:style w:type="paragraph" w:styleId="65">
    <w:name w:val="Subtitle"/>
    <w:basedOn w:val="1"/>
    <w:link w:val="134"/>
    <w:qFormat/>
    <w:locked/>
    <w:uiPriority w:val="99"/>
    <w:pPr>
      <w:spacing w:before="240" w:after="60" w:line="312" w:lineRule="auto"/>
      <w:ind w:firstLine="482"/>
      <w:jc w:val="center"/>
      <w:outlineLvl w:val="1"/>
    </w:pPr>
    <w:rPr>
      <w:rFonts w:ascii="Arial" w:hAnsi="Arial" w:eastAsia="仿宋_GB2312"/>
      <w:b/>
      <w:bCs/>
      <w:kern w:val="28"/>
      <w:sz w:val="32"/>
      <w:szCs w:val="32"/>
    </w:rPr>
  </w:style>
  <w:style w:type="paragraph" w:styleId="66">
    <w:name w:val="List Number 5"/>
    <w:basedOn w:val="1"/>
    <w:qFormat/>
    <w:locked/>
    <w:uiPriority w:val="99"/>
    <w:pPr>
      <w:tabs>
        <w:tab w:val="left" w:pos="420"/>
      </w:tabs>
      <w:spacing w:before="60"/>
      <w:ind w:left="420" w:hanging="420"/>
    </w:pPr>
    <w:rPr>
      <w:rFonts w:ascii="Arial" w:hAnsi="Arial" w:eastAsia="仿宋_GB2312"/>
      <w:kern w:val="0"/>
      <w:sz w:val="24"/>
      <w:szCs w:val="20"/>
    </w:rPr>
  </w:style>
  <w:style w:type="paragraph" w:styleId="67">
    <w:name w:val="List"/>
    <w:basedOn w:val="1"/>
    <w:qFormat/>
    <w:locked/>
    <w:uiPriority w:val="99"/>
    <w:pPr>
      <w:snapToGrid w:val="0"/>
      <w:spacing w:line="500" w:lineRule="exact"/>
      <w:jc w:val="left"/>
    </w:pPr>
    <w:rPr>
      <w:szCs w:val="20"/>
    </w:rPr>
  </w:style>
  <w:style w:type="paragraph" w:styleId="68">
    <w:name w:val="footnote text"/>
    <w:basedOn w:val="1"/>
    <w:link w:val="135"/>
    <w:qFormat/>
    <w:locked/>
    <w:uiPriority w:val="99"/>
    <w:pPr>
      <w:snapToGrid w:val="0"/>
      <w:spacing w:line="360" w:lineRule="auto"/>
      <w:ind w:firstLine="200" w:firstLineChars="200"/>
      <w:jc w:val="left"/>
    </w:pPr>
    <w:rPr>
      <w:rFonts w:ascii="宋体"/>
      <w:sz w:val="18"/>
      <w:szCs w:val="18"/>
    </w:rPr>
  </w:style>
  <w:style w:type="paragraph" w:styleId="69">
    <w:name w:val="toc 6"/>
    <w:basedOn w:val="1"/>
    <w:next w:val="1"/>
    <w:qFormat/>
    <w:locked/>
    <w:uiPriority w:val="99"/>
    <w:pPr>
      <w:snapToGrid w:val="0"/>
      <w:spacing w:line="500" w:lineRule="exact"/>
      <w:ind w:left="1200"/>
      <w:jc w:val="left"/>
    </w:pPr>
    <w:rPr>
      <w:sz w:val="18"/>
      <w:szCs w:val="18"/>
    </w:rPr>
  </w:style>
  <w:style w:type="paragraph" w:styleId="70">
    <w:name w:val="List 5"/>
    <w:basedOn w:val="1"/>
    <w:qFormat/>
    <w:locked/>
    <w:uiPriority w:val="99"/>
    <w:pPr>
      <w:spacing w:before="60"/>
      <w:ind w:left="2100" w:hanging="420"/>
    </w:pPr>
    <w:rPr>
      <w:rFonts w:ascii="Arial" w:hAnsi="Arial" w:eastAsia="仿宋_GB2312"/>
      <w:kern w:val="0"/>
      <w:sz w:val="24"/>
      <w:szCs w:val="20"/>
    </w:rPr>
  </w:style>
  <w:style w:type="paragraph" w:styleId="71">
    <w:name w:val="Body Text Indent 3"/>
    <w:basedOn w:val="1"/>
    <w:link w:val="136"/>
    <w:qFormat/>
    <w:locked/>
    <w:uiPriority w:val="99"/>
    <w:pPr>
      <w:spacing w:after="120"/>
      <w:ind w:left="420" w:leftChars="200"/>
    </w:pPr>
    <w:rPr>
      <w:sz w:val="16"/>
      <w:szCs w:val="16"/>
    </w:rPr>
  </w:style>
  <w:style w:type="paragraph" w:styleId="72">
    <w:name w:val="table of figures"/>
    <w:basedOn w:val="1"/>
    <w:next w:val="1"/>
    <w:qFormat/>
    <w:locked/>
    <w:uiPriority w:val="99"/>
    <w:pPr>
      <w:tabs>
        <w:tab w:val="right" w:leader="dot" w:pos="8312"/>
      </w:tabs>
      <w:adjustRightInd w:val="0"/>
      <w:spacing w:line="360" w:lineRule="auto"/>
      <w:textAlignment w:val="baseline"/>
    </w:pPr>
    <w:rPr>
      <w:rFonts w:ascii="宋体"/>
      <w:kern w:val="0"/>
      <w:szCs w:val="20"/>
    </w:rPr>
  </w:style>
  <w:style w:type="paragraph" w:styleId="73">
    <w:name w:val="toc 2"/>
    <w:basedOn w:val="1"/>
    <w:next w:val="1"/>
    <w:qFormat/>
    <w:locked/>
    <w:uiPriority w:val="99"/>
    <w:pPr>
      <w:tabs>
        <w:tab w:val="right" w:leader="dot" w:pos="9060"/>
      </w:tabs>
      <w:snapToGrid w:val="0"/>
      <w:ind w:left="240"/>
      <w:jc w:val="left"/>
    </w:pPr>
    <w:rPr>
      <w:smallCaps/>
      <w:sz w:val="20"/>
      <w:szCs w:val="20"/>
    </w:rPr>
  </w:style>
  <w:style w:type="paragraph" w:styleId="74">
    <w:name w:val="toc 9"/>
    <w:basedOn w:val="1"/>
    <w:next w:val="1"/>
    <w:qFormat/>
    <w:locked/>
    <w:uiPriority w:val="99"/>
    <w:pPr>
      <w:snapToGrid w:val="0"/>
      <w:spacing w:line="500" w:lineRule="exact"/>
      <w:ind w:left="1920"/>
      <w:jc w:val="left"/>
    </w:pPr>
    <w:rPr>
      <w:sz w:val="18"/>
      <w:szCs w:val="18"/>
    </w:rPr>
  </w:style>
  <w:style w:type="paragraph" w:styleId="75">
    <w:name w:val="Body Text 2"/>
    <w:basedOn w:val="1"/>
    <w:link w:val="137"/>
    <w:qFormat/>
    <w:locked/>
    <w:uiPriority w:val="99"/>
    <w:rPr>
      <w:rFonts w:eastAsia="仿宋_GB2312"/>
      <w:sz w:val="32"/>
    </w:rPr>
  </w:style>
  <w:style w:type="paragraph" w:styleId="76">
    <w:name w:val="List 4"/>
    <w:basedOn w:val="1"/>
    <w:qFormat/>
    <w:locked/>
    <w:uiPriority w:val="99"/>
    <w:pPr>
      <w:spacing w:before="60"/>
      <w:ind w:left="1680" w:hanging="420"/>
    </w:pPr>
    <w:rPr>
      <w:rFonts w:ascii="Arial" w:hAnsi="Arial" w:eastAsia="仿宋_GB2312"/>
      <w:kern w:val="0"/>
      <w:sz w:val="24"/>
      <w:szCs w:val="20"/>
    </w:rPr>
  </w:style>
  <w:style w:type="paragraph" w:styleId="77">
    <w:name w:val="List Continue 2"/>
    <w:basedOn w:val="1"/>
    <w:qFormat/>
    <w:locked/>
    <w:uiPriority w:val="99"/>
    <w:pPr>
      <w:spacing w:before="60" w:after="120"/>
      <w:ind w:left="840" w:firstLine="482"/>
    </w:pPr>
    <w:rPr>
      <w:rFonts w:ascii="Arial" w:hAnsi="Arial" w:eastAsia="仿宋_GB2312"/>
      <w:kern w:val="0"/>
      <w:sz w:val="24"/>
      <w:szCs w:val="20"/>
    </w:rPr>
  </w:style>
  <w:style w:type="paragraph" w:styleId="78">
    <w:name w:val="Message Header"/>
    <w:basedOn w:val="1"/>
    <w:link w:val="138"/>
    <w:qFormat/>
    <w:locked/>
    <w:uiPriority w:val="99"/>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宋体" w:hAnsi="宋体"/>
      <w:sz w:val="24"/>
      <w:szCs w:val="21"/>
    </w:rPr>
  </w:style>
  <w:style w:type="paragraph" w:styleId="79">
    <w:name w:val="HTML Preformatted"/>
    <w:basedOn w:val="1"/>
    <w:link w:val="139"/>
    <w:qFormat/>
    <w:locked/>
    <w:uiPriority w:val="99"/>
    <w:rPr>
      <w:rFonts w:ascii="Courier New" w:hAnsi="Courier New"/>
      <w:sz w:val="20"/>
      <w:szCs w:val="20"/>
    </w:rPr>
  </w:style>
  <w:style w:type="paragraph" w:styleId="80">
    <w:name w:val="Normal (Web)"/>
    <w:basedOn w:val="1"/>
    <w:link w:val="140"/>
    <w:qFormat/>
    <w:uiPriority w:val="99"/>
    <w:pPr>
      <w:widowControl/>
      <w:spacing w:before="100" w:beforeAutospacing="1" w:after="100" w:afterAutospacing="1"/>
      <w:jc w:val="left"/>
    </w:pPr>
    <w:rPr>
      <w:rFonts w:ascii="宋体" w:hAnsi="宋体"/>
      <w:kern w:val="0"/>
      <w:sz w:val="24"/>
      <w:szCs w:val="20"/>
    </w:rPr>
  </w:style>
  <w:style w:type="paragraph" w:styleId="81">
    <w:name w:val="List Continue 3"/>
    <w:basedOn w:val="1"/>
    <w:qFormat/>
    <w:locked/>
    <w:uiPriority w:val="99"/>
    <w:pPr>
      <w:spacing w:before="60" w:after="120"/>
      <w:ind w:left="1260" w:firstLine="482"/>
    </w:pPr>
    <w:rPr>
      <w:rFonts w:ascii="Arial" w:hAnsi="Arial" w:eastAsia="仿宋_GB2312"/>
      <w:kern w:val="0"/>
      <w:sz w:val="24"/>
      <w:szCs w:val="20"/>
    </w:rPr>
  </w:style>
  <w:style w:type="paragraph" w:styleId="82">
    <w:name w:val="Title"/>
    <w:basedOn w:val="1"/>
    <w:next w:val="1"/>
    <w:link w:val="141"/>
    <w:qFormat/>
    <w:locked/>
    <w:uiPriority w:val="99"/>
    <w:pPr>
      <w:spacing w:before="240" w:after="60"/>
      <w:jc w:val="center"/>
      <w:outlineLvl w:val="0"/>
    </w:pPr>
    <w:rPr>
      <w:rFonts w:ascii="Cambria" w:hAnsi="Cambria"/>
      <w:b/>
      <w:bCs/>
      <w:sz w:val="32"/>
      <w:szCs w:val="32"/>
    </w:rPr>
  </w:style>
  <w:style w:type="paragraph" w:styleId="83">
    <w:name w:val="annotation subject"/>
    <w:basedOn w:val="30"/>
    <w:next w:val="30"/>
    <w:link w:val="142"/>
    <w:semiHidden/>
    <w:qFormat/>
    <w:uiPriority w:val="99"/>
    <w:rPr>
      <w:b/>
      <w:kern w:val="2"/>
    </w:rPr>
  </w:style>
  <w:style w:type="paragraph" w:styleId="84">
    <w:name w:val="Body Text First Indent"/>
    <w:basedOn w:val="35"/>
    <w:next w:val="1"/>
    <w:link w:val="143"/>
    <w:qFormat/>
    <w:locked/>
    <w:uiPriority w:val="99"/>
    <w:pPr>
      <w:widowControl w:val="0"/>
      <w:snapToGrid/>
      <w:spacing w:before="0" w:after="120" w:line="240" w:lineRule="auto"/>
      <w:ind w:right="0" w:firstLine="420" w:firstLineChars="100"/>
    </w:pPr>
    <w:rPr>
      <w:kern w:val="2"/>
      <w:sz w:val="21"/>
      <w:szCs w:val="24"/>
    </w:rPr>
  </w:style>
  <w:style w:type="table" w:styleId="86">
    <w:name w:val="Table Grid"/>
    <w:basedOn w:val="8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7">
    <w:name w:val="Table Theme"/>
    <w:basedOn w:val="85"/>
    <w:qFormat/>
    <w:locked/>
    <w:uiPriority w:val="99"/>
    <w:pPr>
      <w:widowControl w:val="0"/>
      <w:spacing w:line="360" w:lineRule="auto"/>
      <w:ind w:firstLine="200" w:firstLineChars="20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88">
    <w:name w:val="Table Grid 1"/>
    <w:basedOn w:val="85"/>
    <w:qFormat/>
    <w:locked/>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89">
    <w:name w:val="Table Grid 5"/>
    <w:basedOn w:val="85"/>
    <w:qFormat/>
    <w:locked/>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90">
    <w:name w:val="Table Professional"/>
    <w:basedOn w:val="85"/>
    <w:qFormat/>
    <w:locked/>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2">
    <w:name w:val="Strong"/>
    <w:basedOn w:val="91"/>
    <w:qFormat/>
    <w:locked/>
    <w:uiPriority w:val="99"/>
    <w:rPr>
      <w:rFonts w:cs="Times New Roman"/>
      <w:b/>
    </w:rPr>
  </w:style>
  <w:style w:type="character" w:styleId="93">
    <w:name w:val="endnote reference"/>
    <w:basedOn w:val="91"/>
    <w:qFormat/>
    <w:locked/>
    <w:uiPriority w:val="99"/>
    <w:rPr>
      <w:rFonts w:ascii="宋体" w:hAnsi="宋体" w:eastAsia="宋体" w:cs="Times New Roman"/>
      <w:kern w:val="2"/>
      <w:sz w:val="24"/>
      <w:vertAlign w:val="superscript"/>
      <w:lang w:val="en-US" w:eastAsia="zh-CN"/>
    </w:rPr>
  </w:style>
  <w:style w:type="character" w:styleId="94">
    <w:name w:val="page number"/>
    <w:basedOn w:val="91"/>
    <w:qFormat/>
    <w:locked/>
    <w:uiPriority w:val="99"/>
    <w:rPr>
      <w:rFonts w:cs="Times New Roman"/>
    </w:rPr>
  </w:style>
  <w:style w:type="character" w:styleId="95">
    <w:name w:val="FollowedHyperlink"/>
    <w:basedOn w:val="91"/>
    <w:qFormat/>
    <w:locked/>
    <w:uiPriority w:val="99"/>
    <w:rPr>
      <w:rFonts w:cs="Times New Roman"/>
      <w:color w:val="954F72"/>
      <w:u w:val="single"/>
    </w:rPr>
  </w:style>
  <w:style w:type="character" w:styleId="96">
    <w:name w:val="Emphasis"/>
    <w:basedOn w:val="91"/>
    <w:qFormat/>
    <w:locked/>
    <w:uiPriority w:val="99"/>
    <w:rPr>
      <w:rFonts w:ascii="宋体" w:hAnsi="宋体" w:eastAsia="宋体" w:cs="Times New Roman"/>
      <w:color w:val="CC0000"/>
      <w:kern w:val="2"/>
      <w:sz w:val="24"/>
      <w:lang w:val="en-US" w:eastAsia="zh-CN"/>
    </w:rPr>
  </w:style>
  <w:style w:type="character" w:styleId="97">
    <w:name w:val="Hyperlink"/>
    <w:basedOn w:val="91"/>
    <w:qFormat/>
    <w:locked/>
    <w:uiPriority w:val="99"/>
    <w:rPr>
      <w:rFonts w:cs="Times New Roman"/>
      <w:color w:val="0000FF"/>
      <w:u w:val="single"/>
    </w:rPr>
  </w:style>
  <w:style w:type="character" w:styleId="98">
    <w:name w:val="HTML Code"/>
    <w:basedOn w:val="91"/>
    <w:qFormat/>
    <w:locked/>
    <w:uiPriority w:val="99"/>
    <w:rPr>
      <w:rFonts w:ascii="黑体" w:hAnsi="Courier New" w:eastAsia="黑体" w:cs="Times New Roman"/>
      <w:sz w:val="24"/>
    </w:rPr>
  </w:style>
  <w:style w:type="character" w:styleId="99">
    <w:name w:val="annotation reference"/>
    <w:basedOn w:val="91"/>
    <w:semiHidden/>
    <w:qFormat/>
    <w:uiPriority w:val="99"/>
    <w:rPr>
      <w:rFonts w:cs="Times New Roman"/>
      <w:sz w:val="21"/>
    </w:rPr>
  </w:style>
  <w:style w:type="character" w:styleId="100">
    <w:name w:val="footnote reference"/>
    <w:basedOn w:val="91"/>
    <w:qFormat/>
    <w:locked/>
    <w:uiPriority w:val="99"/>
    <w:rPr>
      <w:rFonts w:ascii="宋体" w:hAnsi="宋体" w:eastAsia="宋体" w:cs="Times New Roman"/>
      <w:kern w:val="2"/>
      <w:sz w:val="24"/>
      <w:vertAlign w:val="superscript"/>
      <w:lang w:val="en-US" w:eastAsia="zh-CN"/>
    </w:rPr>
  </w:style>
  <w:style w:type="paragraph" w:customStyle="1" w:styleId="101">
    <w:name w:val="Default"/>
    <w:next w:val="1"/>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102">
    <w:name w:val="Heading 1 Char"/>
    <w:basedOn w:val="91"/>
    <w:link w:val="7"/>
    <w:qFormat/>
    <w:locked/>
    <w:uiPriority w:val="99"/>
    <w:rPr>
      <w:rFonts w:eastAsia="黑体" w:cs="Times New Roman"/>
      <w:b/>
      <w:color w:val="000000"/>
      <w:kern w:val="44"/>
      <w:sz w:val="30"/>
    </w:rPr>
  </w:style>
  <w:style w:type="character" w:customStyle="1" w:styleId="103">
    <w:name w:val="Heading 2 Char"/>
    <w:basedOn w:val="91"/>
    <w:link w:val="8"/>
    <w:qFormat/>
    <w:locked/>
    <w:uiPriority w:val="99"/>
    <w:rPr>
      <w:rFonts w:ascii="Arial" w:hAnsi="Arial" w:eastAsia="黑体" w:cs="Times New Roman"/>
      <w:b/>
      <w:kern w:val="2"/>
      <w:sz w:val="32"/>
    </w:rPr>
  </w:style>
  <w:style w:type="character" w:customStyle="1" w:styleId="104">
    <w:name w:val="Heading 3 Char"/>
    <w:basedOn w:val="91"/>
    <w:link w:val="9"/>
    <w:qFormat/>
    <w:locked/>
    <w:uiPriority w:val="99"/>
    <w:rPr>
      <w:rFonts w:cs="Times New Roman"/>
      <w:b/>
      <w:kern w:val="2"/>
      <w:sz w:val="32"/>
    </w:rPr>
  </w:style>
  <w:style w:type="character" w:customStyle="1" w:styleId="105">
    <w:name w:val="Heading 4 Char"/>
    <w:basedOn w:val="91"/>
    <w:link w:val="10"/>
    <w:qFormat/>
    <w:locked/>
    <w:uiPriority w:val="99"/>
    <w:rPr>
      <w:rFonts w:ascii="Cambria" w:hAnsi="Cambria" w:cs="Times New Roman"/>
      <w:b/>
      <w:kern w:val="2"/>
      <w:sz w:val="28"/>
    </w:rPr>
  </w:style>
  <w:style w:type="character" w:customStyle="1" w:styleId="106">
    <w:name w:val="Heading 5 Char"/>
    <w:basedOn w:val="91"/>
    <w:link w:val="11"/>
    <w:qFormat/>
    <w:locked/>
    <w:uiPriority w:val="99"/>
    <w:rPr>
      <w:rFonts w:cs="Times New Roman"/>
      <w:b/>
      <w:kern w:val="2"/>
      <w:sz w:val="28"/>
    </w:rPr>
  </w:style>
  <w:style w:type="character" w:customStyle="1" w:styleId="107">
    <w:name w:val="Heading 6 Char"/>
    <w:basedOn w:val="91"/>
    <w:link w:val="13"/>
    <w:qFormat/>
    <w:locked/>
    <w:uiPriority w:val="99"/>
    <w:rPr>
      <w:rFonts w:ascii="Arial" w:hAnsi="Arial" w:cs="Times New Roman"/>
      <w:b/>
      <w:kern w:val="2"/>
      <w:sz w:val="24"/>
    </w:rPr>
  </w:style>
  <w:style w:type="character" w:customStyle="1" w:styleId="108">
    <w:name w:val="Heading 7 Char"/>
    <w:basedOn w:val="91"/>
    <w:link w:val="14"/>
    <w:qFormat/>
    <w:locked/>
    <w:uiPriority w:val="99"/>
    <w:rPr>
      <w:rFonts w:cs="Times New Roman"/>
      <w:b/>
      <w:kern w:val="2"/>
      <w:sz w:val="24"/>
    </w:rPr>
  </w:style>
  <w:style w:type="character" w:customStyle="1" w:styleId="109">
    <w:name w:val="Heading 8 Char"/>
    <w:basedOn w:val="91"/>
    <w:link w:val="15"/>
    <w:qFormat/>
    <w:locked/>
    <w:uiPriority w:val="99"/>
    <w:rPr>
      <w:rFonts w:ascii="Arial" w:hAnsi="Arial" w:cs="Times New Roman"/>
      <w:sz w:val="24"/>
    </w:rPr>
  </w:style>
  <w:style w:type="character" w:customStyle="1" w:styleId="110">
    <w:name w:val="Heading 9 Char"/>
    <w:basedOn w:val="91"/>
    <w:link w:val="16"/>
    <w:qFormat/>
    <w:locked/>
    <w:uiPriority w:val="99"/>
    <w:rPr>
      <w:rFonts w:ascii="Arial" w:hAnsi="Arial" w:cs="Times New Roman"/>
      <w:sz w:val="24"/>
    </w:rPr>
  </w:style>
  <w:style w:type="character" w:customStyle="1" w:styleId="111">
    <w:name w:val="Body Text Indent Char"/>
    <w:basedOn w:val="91"/>
    <w:link w:val="3"/>
    <w:qFormat/>
    <w:locked/>
    <w:uiPriority w:val="99"/>
    <w:rPr>
      <w:rFonts w:ascii="Times New Roman" w:hAnsi="Times New Roman" w:eastAsia="宋体" w:cs="Times New Roman"/>
      <w:sz w:val="24"/>
    </w:rPr>
  </w:style>
  <w:style w:type="character" w:customStyle="1" w:styleId="112">
    <w:name w:val="Body Text First Indent 2 Char"/>
    <w:basedOn w:val="111"/>
    <w:link w:val="2"/>
    <w:qFormat/>
    <w:locked/>
    <w:uiPriority w:val="99"/>
    <w:rPr>
      <w:kern w:val="2"/>
    </w:rPr>
  </w:style>
  <w:style w:type="character" w:customStyle="1" w:styleId="113">
    <w:name w:val="Macro Text Char"/>
    <w:basedOn w:val="91"/>
    <w:link w:val="6"/>
    <w:qFormat/>
    <w:locked/>
    <w:uiPriority w:val="99"/>
    <w:rPr>
      <w:rFonts w:ascii="宋体" w:eastAsia="宋体" w:cs="Times New Roman"/>
      <w:kern w:val="2"/>
      <w:sz w:val="24"/>
    </w:rPr>
  </w:style>
  <w:style w:type="character" w:customStyle="1" w:styleId="114">
    <w:name w:val="Normal Indent Char"/>
    <w:link w:val="12"/>
    <w:qFormat/>
    <w:locked/>
    <w:uiPriority w:val="99"/>
    <w:rPr>
      <w:kern w:val="2"/>
      <w:sz w:val="24"/>
    </w:rPr>
  </w:style>
  <w:style w:type="character" w:customStyle="1" w:styleId="115">
    <w:name w:val="Note Heading Char"/>
    <w:basedOn w:val="91"/>
    <w:link w:val="21"/>
    <w:qFormat/>
    <w:locked/>
    <w:uiPriority w:val="99"/>
    <w:rPr>
      <w:rFonts w:ascii="Arial" w:hAnsi="Arial" w:cs="Times New Roman"/>
      <w:kern w:val="2"/>
      <w:sz w:val="28"/>
    </w:rPr>
  </w:style>
  <w:style w:type="character" w:customStyle="1" w:styleId="116">
    <w:name w:val="E-mail Signature Char"/>
    <w:basedOn w:val="91"/>
    <w:link w:val="23"/>
    <w:qFormat/>
    <w:locked/>
    <w:uiPriority w:val="99"/>
    <w:rPr>
      <w:rFonts w:ascii="Arial" w:hAnsi="Arial" w:eastAsia="仿宋_GB2312" w:cs="Times New Roman"/>
      <w:kern w:val="2"/>
      <w:sz w:val="22"/>
    </w:rPr>
  </w:style>
  <w:style w:type="character" w:customStyle="1" w:styleId="117">
    <w:name w:val="Caption Char"/>
    <w:link w:val="25"/>
    <w:qFormat/>
    <w:locked/>
    <w:uiPriority w:val="99"/>
    <w:rPr>
      <w:rFonts w:ascii="Arial" w:hAnsi="Arial" w:eastAsia="黑体"/>
      <w:kern w:val="2"/>
    </w:rPr>
  </w:style>
  <w:style w:type="character" w:customStyle="1" w:styleId="118">
    <w:name w:val="Document Map Char"/>
    <w:basedOn w:val="91"/>
    <w:link w:val="28"/>
    <w:qFormat/>
    <w:locked/>
    <w:uiPriority w:val="99"/>
    <w:rPr>
      <w:rFonts w:cs="Times New Roman"/>
      <w:kern w:val="2"/>
      <w:sz w:val="24"/>
      <w:shd w:val="clear" w:color="auto" w:fill="000080"/>
    </w:rPr>
  </w:style>
  <w:style w:type="character" w:customStyle="1" w:styleId="119">
    <w:name w:val="Comment Text Char"/>
    <w:basedOn w:val="91"/>
    <w:link w:val="30"/>
    <w:qFormat/>
    <w:locked/>
    <w:uiPriority w:val="99"/>
    <w:rPr>
      <w:rFonts w:ascii="Times New Roman" w:hAnsi="Times New Roman" w:eastAsia="宋体" w:cs="Times New Roman"/>
      <w:sz w:val="24"/>
    </w:rPr>
  </w:style>
  <w:style w:type="character" w:customStyle="1" w:styleId="120">
    <w:name w:val="Salutation Char"/>
    <w:basedOn w:val="91"/>
    <w:link w:val="31"/>
    <w:qFormat/>
    <w:locked/>
    <w:uiPriority w:val="99"/>
    <w:rPr>
      <w:rFonts w:cs="Times New Roman"/>
      <w:kern w:val="2"/>
      <w:sz w:val="24"/>
    </w:rPr>
  </w:style>
  <w:style w:type="character" w:customStyle="1" w:styleId="121">
    <w:name w:val="Body Text 3 Char"/>
    <w:basedOn w:val="91"/>
    <w:link w:val="32"/>
    <w:qFormat/>
    <w:locked/>
    <w:uiPriority w:val="99"/>
    <w:rPr>
      <w:rFonts w:ascii="宋体" w:eastAsia="宋体" w:cs="Times New Roman"/>
      <w:kern w:val="2"/>
      <w:sz w:val="24"/>
    </w:rPr>
  </w:style>
  <w:style w:type="character" w:customStyle="1" w:styleId="122">
    <w:name w:val="Closing Char"/>
    <w:basedOn w:val="91"/>
    <w:link w:val="33"/>
    <w:qFormat/>
    <w:locked/>
    <w:uiPriority w:val="99"/>
    <w:rPr>
      <w:rFonts w:ascii="Arial" w:hAnsi="Arial" w:eastAsia="仿宋_GB2312" w:cs="Times New Roman"/>
      <w:kern w:val="2"/>
      <w:sz w:val="22"/>
    </w:rPr>
  </w:style>
  <w:style w:type="character" w:customStyle="1" w:styleId="123">
    <w:name w:val="Body Text Char"/>
    <w:basedOn w:val="91"/>
    <w:link w:val="35"/>
    <w:qFormat/>
    <w:locked/>
    <w:uiPriority w:val="99"/>
    <w:rPr>
      <w:rFonts w:cs="Times New Roman"/>
      <w:sz w:val="18"/>
    </w:rPr>
  </w:style>
  <w:style w:type="character" w:customStyle="1" w:styleId="124">
    <w:name w:val="HTML Address Char"/>
    <w:basedOn w:val="91"/>
    <w:link w:val="42"/>
    <w:qFormat/>
    <w:locked/>
    <w:uiPriority w:val="99"/>
    <w:rPr>
      <w:rFonts w:ascii="Arial" w:hAnsi="Arial" w:eastAsia="仿宋_GB2312" w:cs="Times New Roman"/>
      <w:i/>
      <w:kern w:val="2"/>
      <w:sz w:val="22"/>
    </w:rPr>
  </w:style>
  <w:style w:type="character" w:customStyle="1" w:styleId="125">
    <w:name w:val="Plain Text Char"/>
    <w:basedOn w:val="91"/>
    <w:link w:val="46"/>
    <w:qFormat/>
    <w:locked/>
    <w:uiPriority w:val="99"/>
    <w:rPr>
      <w:rFonts w:ascii="宋体" w:hAnsi="Courier New" w:cs="Times New Roman"/>
      <w:kern w:val="2"/>
      <w:sz w:val="21"/>
    </w:rPr>
  </w:style>
  <w:style w:type="character" w:customStyle="1" w:styleId="126">
    <w:name w:val="Date Char"/>
    <w:basedOn w:val="91"/>
    <w:link w:val="49"/>
    <w:qFormat/>
    <w:locked/>
    <w:uiPriority w:val="99"/>
    <w:rPr>
      <w:rFonts w:ascii="Times New Roman" w:hAnsi="Times New Roman" w:eastAsia="宋体" w:cs="Times New Roman"/>
      <w:sz w:val="24"/>
    </w:rPr>
  </w:style>
  <w:style w:type="character" w:customStyle="1" w:styleId="127">
    <w:name w:val="Body Text Indent 2 Char"/>
    <w:basedOn w:val="91"/>
    <w:link w:val="50"/>
    <w:qFormat/>
    <w:locked/>
    <w:uiPriority w:val="99"/>
    <w:rPr>
      <w:rFonts w:cs="Times New Roman"/>
      <w:kern w:val="24"/>
      <w:sz w:val="28"/>
    </w:rPr>
  </w:style>
  <w:style w:type="character" w:customStyle="1" w:styleId="128">
    <w:name w:val="Endnote Text Char"/>
    <w:basedOn w:val="91"/>
    <w:link w:val="51"/>
    <w:qFormat/>
    <w:locked/>
    <w:uiPriority w:val="99"/>
    <w:rPr>
      <w:rFonts w:cs="Times New Roman"/>
      <w:kern w:val="2"/>
      <w:sz w:val="24"/>
    </w:rPr>
  </w:style>
  <w:style w:type="character" w:customStyle="1" w:styleId="129">
    <w:name w:val="Balloon Text Char"/>
    <w:basedOn w:val="91"/>
    <w:link w:val="53"/>
    <w:semiHidden/>
    <w:qFormat/>
    <w:locked/>
    <w:uiPriority w:val="99"/>
    <w:rPr>
      <w:rFonts w:ascii="Times New Roman" w:hAnsi="Times New Roman" w:eastAsia="宋体" w:cs="Times New Roman"/>
      <w:sz w:val="18"/>
    </w:rPr>
  </w:style>
  <w:style w:type="character" w:customStyle="1" w:styleId="130">
    <w:name w:val="Footer Char"/>
    <w:basedOn w:val="91"/>
    <w:link w:val="54"/>
    <w:qFormat/>
    <w:locked/>
    <w:uiPriority w:val="99"/>
    <w:rPr>
      <w:rFonts w:cs="Times New Roman"/>
      <w:sz w:val="18"/>
    </w:rPr>
  </w:style>
  <w:style w:type="character" w:customStyle="1" w:styleId="131">
    <w:name w:val="Header Char"/>
    <w:basedOn w:val="91"/>
    <w:link w:val="56"/>
    <w:qFormat/>
    <w:locked/>
    <w:uiPriority w:val="99"/>
    <w:rPr>
      <w:rFonts w:cs="Times New Roman"/>
      <w:sz w:val="18"/>
    </w:rPr>
  </w:style>
  <w:style w:type="character" w:customStyle="1" w:styleId="132">
    <w:name w:val="Signature Char"/>
    <w:basedOn w:val="91"/>
    <w:link w:val="59"/>
    <w:qFormat/>
    <w:locked/>
    <w:uiPriority w:val="99"/>
    <w:rPr>
      <w:rFonts w:ascii="Arial" w:hAnsi="Arial" w:eastAsia="仿宋_GB2312" w:cs="Times New Roman"/>
      <w:kern w:val="2"/>
      <w:sz w:val="22"/>
    </w:rPr>
  </w:style>
  <w:style w:type="character" w:customStyle="1" w:styleId="133">
    <w:name w:val="TOC 1 Char"/>
    <w:link w:val="60"/>
    <w:qFormat/>
    <w:locked/>
    <w:uiPriority w:val="99"/>
    <w:rPr>
      <w:b/>
      <w:caps/>
      <w:kern w:val="2"/>
    </w:rPr>
  </w:style>
  <w:style w:type="character" w:customStyle="1" w:styleId="134">
    <w:name w:val="Subtitle Char"/>
    <w:basedOn w:val="91"/>
    <w:link w:val="65"/>
    <w:qFormat/>
    <w:locked/>
    <w:uiPriority w:val="99"/>
    <w:rPr>
      <w:rFonts w:ascii="Arial" w:hAnsi="Arial" w:eastAsia="仿宋_GB2312" w:cs="Times New Roman"/>
      <w:b/>
      <w:kern w:val="28"/>
      <w:sz w:val="32"/>
    </w:rPr>
  </w:style>
  <w:style w:type="character" w:customStyle="1" w:styleId="135">
    <w:name w:val="Footnote Text Char"/>
    <w:basedOn w:val="91"/>
    <w:link w:val="68"/>
    <w:qFormat/>
    <w:locked/>
    <w:uiPriority w:val="99"/>
    <w:rPr>
      <w:rFonts w:ascii="宋体" w:cs="Times New Roman"/>
      <w:kern w:val="2"/>
      <w:sz w:val="18"/>
    </w:rPr>
  </w:style>
  <w:style w:type="character" w:customStyle="1" w:styleId="136">
    <w:name w:val="Body Text Indent 3 Char"/>
    <w:basedOn w:val="91"/>
    <w:link w:val="71"/>
    <w:qFormat/>
    <w:locked/>
    <w:uiPriority w:val="99"/>
    <w:rPr>
      <w:rFonts w:cs="Times New Roman"/>
      <w:kern w:val="2"/>
      <w:sz w:val="16"/>
    </w:rPr>
  </w:style>
  <w:style w:type="character" w:customStyle="1" w:styleId="137">
    <w:name w:val="Body Text 2 Char"/>
    <w:basedOn w:val="91"/>
    <w:link w:val="75"/>
    <w:qFormat/>
    <w:locked/>
    <w:uiPriority w:val="99"/>
    <w:rPr>
      <w:rFonts w:eastAsia="仿宋_GB2312" w:cs="Times New Roman"/>
      <w:kern w:val="2"/>
      <w:sz w:val="24"/>
    </w:rPr>
  </w:style>
  <w:style w:type="character" w:customStyle="1" w:styleId="138">
    <w:name w:val="Message Header Char"/>
    <w:basedOn w:val="91"/>
    <w:link w:val="78"/>
    <w:qFormat/>
    <w:locked/>
    <w:uiPriority w:val="99"/>
    <w:rPr>
      <w:rFonts w:ascii="宋体" w:eastAsia="宋体" w:cs="Times New Roman"/>
      <w:kern w:val="2"/>
      <w:sz w:val="21"/>
      <w:shd w:val="pct20" w:color="auto" w:fill="auto"/>
    </w:rPr>
  </w:style>
  <w:style w:type="character" w:customStyle="1" w:styleId="139">
    <w:name w:val="HTML Preformatted Char"/>
    <w:basedOn w:val="91"/>
    <w:link w:val="79"/>
    <w:qFormat/>
    <w:locked/>
    <w:uiPriority w:val="99"/>
    <w:rPr>
      <w:rFonts w:ascii="Courier New" w:hAnsi="Courier New" w:cs="Times New Roman"/>
      <w:kern w:val="2"/>
    </w:rPr>
  </w:style>
  <w:style w:type="character" w:customStyle="1" w:styleId="140">
    <w:name w:val="Normal (Web) Char"/>
    <w:link w:val="80"/>
    <w:qFormat/>
    <w:locked/>
    <w:uiPriority w:val="99"/>
    <w:rPr>
      <w:rFonts w:ascii="宋体" w:hAnsi="宋体" w:eastAsia="宋体"/>
      <w:sz w:val="24"/>
    </w:rPr>
  </w:style>
  <w:style w:type="character" w:customStyle="1" w:styleId="141">
    <w:name w:val="Title Char"/>
    <w:basedOn w:val="91"/>
    <w:link w:val="82"/>
    <w:qFormat/>
    <w:locked/>
    <w:uiPriority w:val="99"/>
    <w:rPr>
      <w:rFonts w:ascii="Cambria" w:hAnsi="Cambria" w:cs="Times New Roman"/>
      <w:b/>
      <w:kern w:val="2"/>
      <w:sz w:val="32"/>
    </w:rPr>
  </w:style>
  <w:style w:type="character" w:customStyle="1" w:styleId="142">
    <w:name w:val="Comment Subject Char"/>
    <w:basedOn w:val="119"/>
    <w:link w:val="83"/>
    <w:semiHidden/>
    <w:qFormat/>
    <w:locked/>
    <w:uiPriority w:val="99"/>
    <w:rPr>
      <w:b/>
      <w:kern w:val="2"/>
    </w:rPr>
  </w:style>
  <w:style w:type="character" w:customStyle="1" w:styleId="143">
    <w:name w:val="Body Text First Indent Char"/>
    <w:basedOn w:val="123"/>
    <w:link w:val="84"/>
    <w:qFormat/>
    <w:locked/>
    <w:uiPriority w:val="99"/>
    <w:rPr>
      <w:kern w:val="2"/>
      <w:sz w:val="24"/>
    </w:rPr>
  </w:style>
  <w:style w:type="character" w:customStyle="1" w:styleId="144">
    <w:name w:val="内容"/>
    <w:qFormat/>
    <w:uiPriority w:val="99"/>
  </w:style>
  <w:style w:type="character" w:customStyle="1" w:styleId="145">
    <w:name w:val="页脚 字符"/>
    <w:qFormat/>
    <w:uiPriority w:val="99"/>
  </w:style>
  <w:style w:type="character" w:customStyle="1" w:styleId="146">
    <w:name w:val="样式2 Char"/>
    <w:link w:val="147"/>
    <w:qFormat/>
    <w:locked/>
    <w:uiPriority w:val="99"/>
    <w:rPr>
      <w:rFonts w:ascii="宋体"/>
      <w:b/>
      <w:kern w:val="2"/>
      <w:sz w:val="28"/>
    </w:rPr>
  </w:style>
  <w:style w:type="paragraph" w:customStyle="1" w:styleId="147">
    <w:name w:val="样式2"/>
    <w:basedOn w:val="1"/>
    <w:link w:val="146"/>
    <w:qFormat/>
    <w:uiPriority w:val="99"/>
    <w:pPr>
      <w:widowControl/>
      <w:spacing w:line="360" w:lineRule="auto"/>
      <w:jc w:val="center"/>
    </w:pPr>
    <w:rPr>
      <w:rFonts w:ascii="宋体"/>
      <w:b/>
      <w:sz w:val="28"/>
      <w:szCs w:val="20"/>
    </w:rPr>
  </w:style>
  <w:style w:type="character" w:customStyle="1" w:styleId="148">
    <w:name w:val="标题 3 Char Char"/>
    <w:qFormat/>
    <w:uiPriority w:val="99"/>
    <w:rPr>
      <w:rFonts w:ascii="宋体" w:hAnsi="宋体" w:eastAsia="宋体"/>
      <w:b/>
      <w:color w:val="000000"/>
      <w:kern w:val="2"/>
      <w:sz w:val="24"/>
      <w:lang w:val="zh-CN" w:eastAsia="zh-CN"/>
    </w:rPr>
  </w:style>
  <w:style w:type="character" w:customStyle="1" w:styleId="149">
    <w:name w:val="参加人员 Char Char"/>
    <w:link w:val="150"/>
    <w:qFormat/>
    <w:locked/>
    <w:uiPriority w:val="99"/>
    <w:rPr>
      <w:sz w:val="24"/>
    </w:rPr>
  </w:style>
  <w:style w:type="paragraph" w:customStyle="1" w:styleId="150">
    <w:name w:val="参加人员"/>
    <w:basedOn w:val="1"/>
    <w:link w:val="149"/>
    <w:qFormat/>
    <w:uiPriority w:val="99"/>
    <w:pPr>
      <w:spacing w:line="360" w:lineRule="auto"/>
    </w:pPr>
    <w:rPr>
      <w:kern w:val="0"/>
      <w:sz w:val="24"/>
      <w:szCs w:val="20"/>
    </w:rPr>
  </w:style>
  <w:style w:type="character" w:customStyle="1" w:styleId="151">
    <w:name w:val="正文王 Char Char"/>
    <w:link w:val="152"/>
    <w:semiHidden/>
    <w:qFormat/>
    <w:locked/>
    <w:uiPriority w:val="99"/>
    <w:rPr>
      <w:color w:val="000000"/>
      <w:sz w:val="21"/>
    </w:rPr>
  </w:style>
  <w:style w:type="paragraph" w:customStyle="1" w:styleId="152">
    <w:name w:val="正文王"/>
    <w:basedOn w:val="1"/>
    <w:link w:val="151"/>
    <w:semiHidden/>
    <w:qFormat/>
    <w:uiPriority w:val="99"/>
    <w:pPr>
      <w:adjustRightInd w:val="0"/>
      <w:snapToGrid w:val="0"/>
      <w:spacing w:line="320" w:lineRule="exact"/>
      <w:jc w:val="center"/>
    </w:pPr>
    <w:rPr>
      <w:color w:val="000000"/>
      <w:kern w:val="0"/>
      <w:szCs w:val="20"/>
    </w:rPr>
  </w:style>
  <w:style w:type="character" w:customStyle="1" w:styleId="153">
    <w:name w:val="style11"/>
    <w:qFormat/>
    <w:uiPriority w:val="99"/>
    <w:rPr>
      <w:rFonts w:ascii="宋体" w:hAnsi="宋体" w:eastAsia="宋体"/>
      <w:color w:val="000000"/>
      <w:kern w:val="2"/>
      <w:sz w:val="24"/>
      <w:lang w:val="en-US" w:eastAsia="zh-CN"/>
    </w:rPr>
  </w:style>
  <w:style w:type="character" w:customStyle="1" w:styleId="154">
    <w:name w:val="title6"/>
    <w:qFormat/>
    <w:uiPriority w:val="99"/>
    <w:rPr>
      <w:rFonts w:ascii="宋体" w:hAnsi="宋体" w:eastAsia="宋体"/>
      <w:kern w:val="2"/>
      <w:sz w:val="24"/>
      <w:lang w:val="en-US" w:eastAsia="zh-CN"/>
    </w:rPr>
  </w:style>
  <w:style w:type="character" w:customStyle="1" w:styleId="155">
    <w:name w:val="f12h201"/>
    <w:qFormat/>
    <w:uiPriority w:val="99"/>
    <w:rPr>
      <w:rFonts w:ascii="宋体" w:hAnsi="宋体" w:eastAsia="宋体"/>
      <w:kern w:val="2"/>
      <w:sz w:val="18"/>
      <w:lang w:val="en-US" w:eastAsia="zh-CN"/>
    </w:rPr>
  </w:style>
  <w:style w:type="character" w:customStyle="1" w:styleId="156">
    <w:name w:val="apple-converted-space"/>
    <w:qFormat/>
    <w:uiPriority w:val="99"/>
  </w:style>
  <w:style w:type="character" w:customStyle="1" w:styleId="157">
    <w:name w:val="表头 Char Char"/>
    <w:link w:val="158"/>
    <w:qFormat/>
    <w:locked/>
    <w:uiPriority w:val="99"/>
    <w:rPr>
      <w:rFonts w:eastAsia="黑体"/>
      <w:spacing w:val="-10"/>
      <w:sz w:val="21"/>
    </w:rPr>
  </w:style>
  <w:style w:type="paragraph" w:customStyle="1" w:styleId="158">
    <w:name w:val="表头"/>
    <w:basedOn w:val="1"/>
    <w:link w:val="157"/>
    <w:qFormat/>
    <w:uiPriority w:val="99"/>
    <w:pPr>
      <w:adjustRightInd w:val="0"/>
      <w:snapToGrid w:val="0"/>
      <w:spacing w:line="320" w:lineRule="atLeast"/>
      <w:jc w:val="center"/>
      <w:textAlignment w:val="baseline"/>
    </w:pPr>
    <w:rPr>
      <w:rFonts w:eastAsia="黑体"/>
      <w:spacing w:val="-10"/>
      <w:kern w:val="0"/>
      <w:szCs w:val="20"/>
    </w:rPr>
  </w:style>
  <w:style w:type="character" w:customStyle="1" w:styleId="159">
    <w:name w:val="btd1"/>
    <w:qFormat/>
    <w:uiPriority w:val="99"/>
    <w:rPr>
      <w:rFonts w:ascii="宋体" w:hAnsi="宋体" w:eastAsia="宋体"/>
      <w:b/>
      <w:kern w:val="2"/>
      <w:sz w:val="24"/>
      <w:lang w:val="en-US" w:eastAsia="zh-CN"/>
    </w:rPr>
  </w:style>
  <w:style w:type="character" w:customStyle="1" w:styleId="160">
    <w:name w:val="表格格式 Char"/>
    <w:link w:val="161"/>
    <w:qFormat/>
    <w:locked/>
    <w:uiPriority w:val="99"/>
    <w:rPr>
      <w:rFonts w:ascii="宋体" w:eastAsia="宋体"/>
      <w:color w:val="000000"/>
      <w:sz w:val="21"/>
    </w:rPr>
  </w:style>
  <w:style w:type="paragraph" w:customStyle="1" w:styleId="161">
    <w:name w:val="表格格式"/>
    <w:basedOn w:val="1"/>
    <w:link w:val="160"/>
    <w:qFormat/>
    <w:uiPriority w:val="99"/>
    <w:pPr>
      <w:snapToGrid w:val="0"/>
      <w:jc w:val="center"/>
    </w:pPr>
    <w:rPr>
      <w:rFonts w:ascii="宋体"/>
      <w:color w:val="000000"/>
      <w:kern w:val="0"/>
      <w:szCs w:val="20"/>
    </w:rPr>
  </w:style>
  <w:style w:type="character" w:customStyle="1" w:styleId="162">
    <w:name w:val="样式68 Char Char"/>
    <w:link w:val="163"/>
    <w:qFormat/>
    <w:locked/>
    <w:uiPriority w:val="99"/>
    <w:rPr>
      <w:rFonts w:ascii="宋体" w:eastAsia="宋体"/>
      <w:color w:val="000000"/>
      <w:spacing w:val="-2"/>
      <w:sz w:val="28"/>
    </w:rPr>
  </w:style>
  <w:style w:type="paragraph" w:customStyle="1" w:styleId="163">
    <w:name w:val="样式68"/>
    <w:basedOn w:val="1"/>
    <w:link w:val="162"/>
    <w:qFormat/>
    <w:uiPriority w:val="99"/>
    <w:pPr>
      <w:ind w:firstLine="552" w:firstLineChars="200"/>
    </w:pPr>
    <w:rPr>
      <w:rFonts w:ascii="宋体"/>
      <w:color w:val="000000"/>
      <w:spacing w:val="-2"/>
      <w:kern w:val="0"/>
      <w:sz w:val="28"/>
      <w:szCs w:val="20"/>
    </w:rPr>
  </w:style>
  <w:style w:type="character" w:customStyle="1" w:styleId="164">
    <w:name w:val="正文3 Char1"/>
    <w:link w:val="165"/>
    <w:qFormat/>
    <w:locked/>
    <w:uiPriority w:val="99"/>
    <w:rPr>
      <w:sz w:val="24"/>
    </w:rPr>
  </w:style>
  <w:style w:type="paragraph" w:customStyle="1" w:styleId="165">
    <w:name w:val="正文3"/>
    <w:basedOn w:val="1"/>
    <w:link w:val="164"/>
    <w:qFormat/>
    <w:uiPriority w:val="99"/>
    <w:pPr>
      <w:adjustRightInd w:val="0"/>
      <w:spacing w:line="360" w:lineRule="auto"/>
      <w:ind w:firstLine="624"/>
      <w:textAlignment w:val="baseline"/>
    </w:pPr>
    <w:rPr>
      <w:kern w:val="0"/>
      <w:sz w:val="24"/>
      <w:szCs w:val="20"/>
    </w:rPr>
  </w:style>
  <w:style w:type="character" w:customStyle="1" w:styleId="166">
    <w:name w:val="样式 样式 正文 行距: 固定值 25 磅 + 首行缩进:  2 字符1 Char"/>
    <w:link w:val="167"/>
    <w:qFormat/>
    <w:locked/>
    <w:uiPriority w:val="99"/>
    <w:rPr>
      <w:kern w:val="2"/>
      <w:sz w:val="24"/>
    </w:rPr>
  </w:style>
  <w:style w:type="paragraph" w:customStyle="1" w:styleId="167">
    <w:name w:val="样式 样式 正文 行距: 固定值 25 磅 + 首行缩进:  2 字符1"/>
    <w:basedOn w:val="168"/>
    <w:link w:val="166"/>
    <w:qFormat/>
    <w:uiPriority w:val="99"/>
    <w:pPr>
      <w:ind w:firstLine="480"/>
    </w:pPr>
  </w:style>
  <w:style w:type="paragraph" w:customStyle="1" w:styleId="168">
    <w:name w:val="样式 正文 行距: 固定值 25 磅"/>
    <w:basedOn w:val="1"/>
    <w:link w:val="169"/>
    <w:semiHidden/>
    <w:qFormat/>
    <w:uiPriority w:val="99"/>
    <w:pPr>
      <w:adjustRightInd w:val="0"/>
      <w:spacing w:line="500" w:lineRule="exact"/>
      <w:ind w:firstLine="200" w:firstLineChars="200"/>
    </w:pPr>
    <w:rPr>
      <w:sz w:val="24"/>
      <w:szCs w:val="20"/>
    </w:rPr>
  </w:style>
  <w:style w:type="character" w:customStyle="1" w:styleId="169">
    <w:name w:val="样式 正文 行距: 固定值 25 磅 Char"/>
    <w:link w:val="168"/>
    <w:semiHidden/>
    <w:qFormat/>
    <w:locked/>
    <w:uiPriority w:val="99"/>
    <w:rPr>
      <w:kern w:val="2"/>
      <w:sz w:val="24"/>
    </w:rPr>
  </w:style>
  <w:style w:type="character" w:customStyle="1" w:styleId="170">
    <w:name w:val="表头 Char Char Char"/>
    <w:qFormat/>
    <w:uiPriority w:val="99"/>
    <w:rPr>
      <w:rFonts w:ascii="宋体" w:hAnsi="宋体" w:eastAsia="宋体"/>
      <w:b/>
      <w:spacing w:val="-10"/>
      <w:sz w:val="24"/>
      <w:lang w:val="en-US" w:eastAsia="zh-CN"/>
    </w:rPr>
  </w:style>
  <w:style w:type="character" w:customStyle="1" w:styleId="171">
    <w:name w:val="Char Char13"/>
    <w:qFormat/>
    <w:uiPriority w:val="99"/>
    <w:rPr>
      <w:rFonts w:eastAsia="宋体"/>
      <w:kern w:val="2"/>
      <w:sz w:val="18"/>
      <w:lang w:val="en-US" w:eastAsia="zh-CN"/>
    </w:rPr>
  </w:style>
  <w:style w:type="character" w:customStyle="1" w:styleId="172">
    <w:name w:val="表格标题博泵 Char Char"/>
    <w:link w:val="173"/>
    <w:qFormat/>
    <w:locked/>
    <w:uiPriority w:val="99"/>
    <w:rPr>
      <w:b/>
      <w:color w:val="000000"/>
    </w:rPr>
  </w:style>
  <w:style w:type="paragraph" w:customStyle="1" w:styleId="173">
    <w:name w:val="表格标题博泵"/>
    <w:basedOn w:val="1"/>
    <w:link w:val="172"/>
    <w:qFormat/>
    <w:uiPriority w:val="99"/>
    <w:pPr>
      <w:adjustRightInd w:val="0"/>
      <w:snapToGrid w:val="0"/>
      <w:jc w:val="center"/>
      <w:textAlignment w:val="baseline"/>
    </w:pPr>
    <w:rPr>
      <w:b/>
      <w:color w:val="000000"/>
      <w:kern w:val="0"/>
      <w:sz w:val="20"/>
      <w:szCs w:val="20"/>
    </w:rPr>
  </w:style>
  <w:style w:type="character" w:customStyle="1" w:styleId="174">
    <w:name w:val="al11"/>
    <w:qFormat/>
    <w:uiPriority w:val="99"/>
    <w:rPr>
      <w:color w:val="333333"/>
      <w:sz w:val="18"/>
    </w:rPr>
  </w:style>
  <w:style w:type="character" w:customStyle="1" w:styleId="175">
    <w:name w:val="表格内文字 Char"/>
    <w:link w:val="176"/>
    <w:qFormat/>
    <w:locked/>
    <w:uiPriority w:val="99"/>
    <w:rPr>
      <w:rFonts w:eastAsia="仿宋_GB2312"/>
      <w:kern w:val="2"/>
      <w:sz w:val="24"/>
    </w:rPr>
  </w:style>
  <w:style w:type="paragraph" w:customStyle="1" w:styleId="176">
    <w:name w:val="表格内文字"/>
    <w:basedOn w:val="1"/>
    <w:link w:val="175"/>
    <w:qFormat/>
    <w:uiPriority w:val="99"/>
    <w:pPr>
      <w:tabs>
        <w:tab w:val="left" w:pos="0"/>
      </w:tabs>
      <w:adjustRightInd w:val="0"/>
      <w:snapToGrid w:val="0"/>
      <w:jc w:val="center"/>
    </w:pPr>
    <w:rPr>
      <w:rFonts w:eastAsia="仿宋_GB2312"/>
      <w:sz w:val="24"/>
      <w:szCs w:val="20"/>
    </w:rPr>
  </w:style>
  <w:style w:type="character" w:customStyle="1" w:styleId="177">
    <w:name w:val="Char Char9"/>
    <w:qFormat/>
    <w:uiPriority w:val="99"/>
    <w:rPr>
      <w:rFonts w:ascii="Cambria" w:hAnsi="Cambria" w:eastAsia="宋体"/>
      <w:b/>
      <w:kern w:val="2"/>
      <w:sz w:val="28"/>
      <w:lang w:val="en-US" w:eastAsia="en-US"/>
    </w:rPr>
  </w:style>
  <w:style w:type="character" w:customStyle="1" w:styleId="178">
    <w:name w:val="px141"/>
    <w:qFormat/>
    <w:uiPriority w:val="99"/>
    <w:rPr>
      <w:sz w:val="21"/>
    </w:rPr>
  </w:style>
  <w:style w:type="character" w:customStyle="1" w:styleId="179">
    <w:name w:val="hz"/>
    <w:qFormat/>
    <w:uiPriority w:val="99"/>
  </w:style>
  <w:style w:type="character" w:customStyle="1" w:styleId="180">
    <w:name w:val="scs62"/>
    <w:qFormat/>
    <w:uiPriority w:val="99"/>
  </w:style>
  <w:style w:type="character" w:customStyle="1" w:styleId="181">
    <w:name w:val="样式75 Char Char"/>
    <w:link w:val="182"/>
    <w:qFormat/>
    <w:locked/>
    <w:uiPriority w:val="99"/>
    <w:rPr>
      <w:rFonts w:ascii="黑体" w:hAnsi="宋体" w:eastAsia="黑体"/>
      <w:color w:val="000000"/>
      <w:sz w:val="28"/>
    </w:rPr>
  </w:style>
  <w:style w:type="paragraph" w:customStyle="1" w:styleId="182">
    <w:name w:val="样式75"/>
    <w:basedOn w:val="1"/>
    <w:link w:val="181"/>
    <w:qFormat/>
    <w:uiPriority w:val="99"/>
    <w:pPr>
      <w:spacing w:beforeLines="150" w:line="360" w:lineRule="auto"/>
    </w:pPr>
    <w:rPr>
      <w:rFonts w:ascii="黑体" w:hAnsi="宋体" w:eastAsia="黑体"/>
      <w:color w:val="000000"/>
      <w:kern w:val="0"/>
      <w:sz w:val="28"/>
      <w:szCs w:val="20"/>
    </w:rPr>
  </w:style>
  <w:style w:type="character" w:customStyle="1" w:styleId="183">
    <w:name w:val="标题1.1.1.1.1 Char1"/>
    <w:qFormat/>
    <w:uiPriority w:val="99"/>
    <w:rPr>
      <w:rFonts w:eastAsia="宋体"/>
      <w:b/>
      <w:sz w:val="28"/>
    </w:rPr>
  </w:style>
  <w:style w:type="character" w:customStyle="1" w:styleId="184">
    <w:name w:val="图名 Char"/>
    <w:link w:val="185"/>
    <w:qFormat/>
    <w:locked/>
    <w:uiPriority w:val="99"/>
    <w:rPr>
      <w:rFonts w:ascii="宋体" w:eastAsia="黑体"/>
      <w:sz w:val="24"/>
      <w:lang w:eastAsia="en-US"/>
    </w:rPr>
  </w:style>
  <w:style w:type="paragraph" w:customStyle="1" w:styleId="185">
    <w:name w:val="图名"/>
    <w:basedOn w:val="1"/>
    <w:link w:val="184"/>
    <w:qFormat/>
    <w:uiPriority w:val="99"/>
    <w:pPr>
      <w:widowControl/>
      <w:adjustRightInd w:val="0"/>
      <w:snapToGrid w:val="0"/>
      <w:spacing w:line="360" w:lineRule="auto"/>
      <w:jc w:val="center"/>
      <w:textAlignment w:val="baseline"/>
    </w:pPr>
    <w:rPr>
      <w:rFonts w:ascii="宋体" w:eastAsia="黑体"/>
      <w:kern w:val="0"/>
      <w:sz w:val="24"/>
      <w:szCs w:val="20"/>
      <w:lang w:eastAsia="en-US"/>
    </w:rPr>
  </w:style>
  <w:style w:type="character" w:customStyle="1" w:styleId="186">
    <w:name w:val="word131"/>
    <w:qFormat/>
    <w:uiPriority w:val="99"/>
    <w:rPr>
      <w:rFonts w:ascii="??" w:hAnsi="??"/>
      <w:color w:val="000000"/>
      <w:sz w:val="20"/>
      <w:u w:val="none"/>
    </w:rPr>
  </w:style>
  <w:style w:type="character" w:customStyle="1" w:styleId="187">
    <w:name w:val="样式4 Char Char"/>
    <w:link w:val="188"/>
    <w:qFormat/>
    <w:locked/>
    <w:uiPriority w:val="99"/>
    <w:rPr>
      <w:rFonts w:eastAsia="黑体"/>
      <w:b/>
      <w:kern w:val="2"/>
      <w:sz w:val="28"/>
    </w:rPr>
  </w:style>
  <w:style w:type="paragraph" w:customStyle="1" w:styleId="188">
    <w:name w:val="样式4"/>
    <w:basedOn w:val="189"/>
    <w:link w:val="187"/>
    <w:qFormat/>
    <w:uiPriority w:val="99"/>
    <w:rPr>
      <w:rFonts w:cs="Times New Roman"/>
      <w:bCs w:val="0"/>
    </w:rPr>
  </w:style>
  <w:style w:type="paragraph" w:customStyle="1" w:styleId="189">
    <w:name w:val="样式 标题 2H2节标题 1.1节标题 1.1 Char1.1标题2条标题h2l22nd levelTitre..."/>
    <w:basedOn w:val="8"/>
    <w:qFormat/>
    <w:uiPriority w:val="99"/>
    <w:pPr>
      <w:snapToGrid w:val="0"/>
      <w:spacing w:beforeLines="100" w:after="0" w:line="240" w:lineRule="auto"/>
      <w:ind w:left="1134" w:hanging="992"/>
    </w:pPr>
    <w:rPr>
      <w:rFonts w:ascii="Times New Roman" w:hAnsi="Times New Roman" w:cs="宋体"/>
      <w:sz w:val="28"/>
      <w:szCs w:val="20"/>
    </w:rPr>
  </w:style>
  <w:style w:type="character" w:customStyle="1" w:styleId="190">
    <w:name w:val="main-11"/>
    <w:qFormat/>
    <w:uiPriority w:val="99"/>
  </w:style>
  <w:style w:type="character" w:customStyle="1" w:styleId="191">
    <w:name w:val="description"/>
    <w:qFormat/>
    <w:uiPriority w:val="99"/>
  </w:style>
  <w:style w:type="character" w:customStyle="1" w:styleId="192">
    <w:name w:val="zw1"/>
    <w:qFormat/>
    <w:uiPriority w:val="99"/>
    <w:rPr>
      <w:rFonts w:ascii="宋体" w:hAnsi="宋体" w:eastAsia="宋体"/>
      <w:sz w:val="22"/>
    </w:rPr>
  </w:style>
  <w:style w:type="character" w:customStyle="1" w:styleId="193">
    <w:name w:val="正文5号 Char2"/>
    <w:qFormat/>
    <w:uiPriority w:val="99"/>
    <w:rPr>
      <w:rFonts w:ascii="宋体" w:hAnsi="宋体" w:eastAsia="宋体"/>
      <w:kern w:val="2"/>
      <w:sz w:val="24"/>
      <w:lang w:val="en-US" w:eastAsia="zh-CN"/>
    </w:rPr>
  </w:style>
  <w:style w:type="character" w:customStyle="1" w:styleId="194">
    <w:name w:val="表内容1 Char"/>
    <w:link w:val="195"/>
    <w:qFormat/>
    <w:locked/>
    <w:uiPriority w:val="99"/>
    <w:rPr>
      <w:rFonts w:ascii="楷体_GB2312" w:hAnsi="楷体_GB2312" w:eastAsia="仿宋_GB2312"/>
      <w:sz w:val="24"/>
    </w:rPr>
  </w:style>
  <w:style w:type="paragraph" w:customStyle="1" w:styleId="195">
    <w:name w:val="表内容1"/>
    <w:basedOn w:val="1"/>
    <w:link w:val="194"/>
    <w:qFormat/>
    <w:uiPriority w:val="99"/>
    <w:pPr>
      <w:snapToGrid w:val="0"/>
      <w:jc w:val="center"/>
    </w:pPr>
    <w:rPr>
      <w:rFonts w:ascii="楷体_GB2312" w:hAnsi="楷体_GB2312" w:eastAsia="仿宋_GB2312"/>
      <w:kern w:val="0"/>
      <w:sz w:val="24"/>
      <w:szCs w:val="20"/>
    </w:rPr>
  </w:style>
  <w:style w:type="character" w:customStyle="1" w:styleId="196">
    <w:name w:val="Char Char31"/>
    <w:qFormat/>
    <w:uiPriority w:val="99"/>
    <w:rPr>
      <w:sz w:val="24"/>
    </w:rPr>
  </w:style>
  <w:style w:type="character" w:customStyle="1" w:styleId="197">
    <w:name w:val="表格 Char"/>
    <w:link w:val="198"/>
    <w:qFormat/>
    <w:locked/>
    <w:uiPriority w:val="99"/>
    <w:rPr>
      <w:rFonts w:ascii="宋体"/>
      <w:sz w:val="21"/>
    </w:rPr>
  </w:style>
  <w:style w:type="paragraph" w:customStyle="1" w:styleId="198">
    <w:name w:val="表格"/>
    <w:basedOn w:val="199"/>
    <w:next w:val="1"/>
    <w:link w:val="197"/>
    <w:qFormat/>
    <w:uiPriority w:val="99"/>
    <w:pPr>
      <w:adjustRightInd w:val="0"/>
      <w:snapToGrid w:val="0"/>
      <w:spacing w:beforeLines="10" w:afterLines="10" w:line="259" w:lineRule="auto"/>
      <w:jc w:val="center"/>
    </w:pPr>
    <w:rPr>
      <w:rFonts w:ascii="宋体"/>
      <w:kern w:val="0"/>
      <w:szCs w:val="20"/>
    </w:rPr>
  </w:style>
  <w:style w:type="paragraph" w:customStyle="1" w:styleId="199">
    <w:name w:val="表格使用文字"/>
    <w:basedOn w:val="1"/>
    <w:link w:val="443"/>
    <w:qFormat/>
    <w:uiPriority w:val="99"/>
    <w:pPr>
      <w:jc w:val="center"/>
    </w:pPr>
    <w:rPr>
      <w:color w:val="000000"/>
      <w:szCs w:val="20"/>
    </w:rPr>
  </w:style>
  <w:style w:type="character" w:customStyle="1" w:styleId="200">
    <w:name w:val="Char Char8"/>
    <w:semiHidden/>
    <w:qFormat/>
    <w:uiPriority w:val="99"/>
    <w:rPr>
      <w:rFonts w:ascii="宋体" w:hAnsi="宋体" w:eastAsia="宋体"/>
      <w:kern w:val="2"/>
      <w:sz w:val="18"/>
      <w:lang w:val="en-US" w:eastAsia="zh-CN"/>
    </w:rPr>
  </w:style>
  <w:style w:type="character" w:customStyle="1" w:styleId="201">
    <w:name w:val="haogao1"/>
    <w:qFormat/>
    <w:uiPriority w:val="99"/>
  </w:style>
  <w:style w:type="character" w:customStyle="1" w:styleId="202">
    <w:name w:val="Plain Text Char1 Char"/>
    <w:qFormat/>
    <w:uiPriority w:val="99"/>
    <w:rPr>
      <w:rFonts w:ascii="宋体" w:hAnsi="Courier New"/>
      <w:kern w:val="2"/>
      <w:sz w:val="21"/>
    </w:rPr>
  </w:style>
  <w:style w:type="character" w:customStyle="1" w:styleId="203">
    <w:name w:val="sppkvsc"/>
    <w:qFormat/>
    <w:uiPriority w:val="99"/>
  </w:style>
  <w:style w:type="character" w:customStyle="1" w:styleId="204">
    <w:name w:val="样式20 Char Char"/>
    <w:link w:val="205"/>
    <w:qFormat/>
    <w:locked/>
    <w:uiPriority w:val="99"/>
    <w:rPr>
      <w:rFonts w:ascii="楷体_GB2312" w:hAnsi="楷体_GB2312" w:eastAsia="楷体_GB2312"/>
      <w:b/>
      <w:color w:val="000000"/>
      <w:sz w:val="32"/>
    </w:rPr>
  </w:style>
  <w:style w:type="paragraph" w:customStyle="1" w:styleId="205">
    <w:name w:val="样式20"/>
    <w:basedOn w:val="8"/>
    <w:link w:val="204"/>
    <w:qFormat/>
    <w:uiPriority w:val="99"/>
    <w:pPr>
      <w:tabs>
        <w:tab w:val="left" w:pos="840"/>
      </w:tabs>
      <w:snapToGrid w:val="0"/>
      <w:spacing w:before="0" w:after="0" w:line="360" w:lineRule="auto"/>
      <w:ind w:left="840"/>
      <w:jc w:val="center"/>
    </w:pPr>
    <w:rPr>
      <w:rFonts w:ascii="楷体_GB2312" w:hAnsi="楷体_GB2312" w:eastAsia="楷体_GB2312"/>
      <w:bCs w:val="0"/>
      <w:color w:val="000000"/>
      <w:kern w:val="0"/>
      <w:szCs w:val="20"/>
    </w:rPr>
  </w:style>
  <w:style w:type="character" w:customStyle="1" w:styleId="206">
    <w:name w:val="参数解释 Char Char"/>
    <w:link w:val="207"/>
    <w:qFormat/>
    <w:locked/>
    <w:uiPriority w:val="99"/>
    <w:rPr>
      <w:sz w:val="24"/>
    </w:rPr>
  </w:style>
  <w:style w:type="paragraph" w:customStyle="1" w:styleId="207">
    <w:name w:val="参数解释"/>
    <w:basedOn w:val="208"/>
    <w:link w:val="206"/>
    <w:qFormat/>
    <w:uiPriority w:val="99"/>
    <w:pPr>
      <w:ind w:firstLine="1274" w:firstLineChars="531"/>
    </w:pPr>
    <w:rPr>
      <w:rFonts w:ascii="Times New Roman" w:hAnsi="Times New Roman"/>
      <w:kern w:val="0"/>
      <w:sz w:val="24"/>
    </w:rPr>
  </w:style>
  <w:style w:type="paragraph" w:customStyle="1" w:styleId="208">
    <w:name w:val="金源"/>
    <w:basedOn w:val="1"/>
    <w:link w:val="209"/>
    <w:qFormat/>
    <w:uiPriority w:val="99"/>
    <w:pPr>
      <w:spacing w:line="480" w:lineRule="exact"/>
      <w:ind w:firstLine="480" w:firstLineChars="200"/>
      <w:jc w:val="left"/>
    </w:pPr>
    <w:rPr>
      <w:rFonts w:ascii="Calibri" w:hAnsi="Calibri"/>
      <w:sz w:val="22"/>
      <w:szCs w:val="20"/>
    </w:rPr>
  </w:style>
  <w:style w:type="character" w:customStyle="1" w:styleId="209">
    <w:name w:val="金源 Char Char"/>
    <w:link w:val="208"/>
    <w:qFormat/>
    <w:locked/>
    <w:uiPriority w:val="99"/>
    <w:rPr>
      <w:rFonts w:ascii="Calibri" w:hAnsi="Calibri"/>
      <w:kern w:val="2"/>
      <w:sz w:val="22"/>
    </w:rPr>
  </w:style>
  <w:style w:type="character" w:customStyle="1" w:styleId="210">
    <w:name w:val="节标题 1.1 Char4"/>
    <w:qFormat/>
    <w:uiPriority w:val="99"/>
    <w:rPr>
      <w:b/>
      <w:sz w:val="32"/>
    </w:rPr>
  </w:style>
  <w:style w:type="character" w:customStyle="1" w:styleId="211">
    <w:name w:val="articlebody3"/>
    <w:qFormat/>
    <w:uiPriority w:val="99"/>
    <w:rPr>
      <w:rFonts w:ascii="宋体" w:hAnsi="宋体" w:eastAsia="宋体"/>
      <w:kern w:val="2"/>
      <w:sz w:val="21"/>
      <w:lang w:val="en-US" w:eastAsia="zh-CN"/>
    </w:rPr>
  </w:style>
  <w:style w:type="character" w:customStyle="1" w:styleId="212">
    <w:name w:val="样式 样式 正文 行距: 固定值 25 磅 + 首行缩进:  2 字符 Char"/>
    <w:link w:val="213"/>
    <w:qFormat/>
    <w:locked/>
    <w:uiPriority w:val="99"/>
    <w:rPr>
      <w:kern w:val="2"/>
      <w:sz w:val="24"/>
    </w:rPr>
  </w:style>
  <w:style w:type="paragraph" w:customStyle="1" w:styleId="213">
    <w:name w:val="样式 样式 正文 行距: 固定值 25 磅 + 首行缩进:  2 字符"/>
    <w:basedOn w:val="1"/>
    <w:link w:val="212"/>
    <w:qFormat/>
    <w:uiPriority w:val="99"/>
    <w:pPr>
      <w:adjustRightInd w:val="0"/>
      <w:snapToGrid w:val="0"/>
      <w:spacing w:line="500" w:lineRule="exact"/>
      <w:ind w:firstLine="200" w:firstLineChars="200"/>
    </w:pPr>
    <w:rPr>
      <w:sz w:val="24"/>
      <w:szCs w:val="20"/>
    </w:rPr>
  </w:style>
  <w:style w:type="character" w:customStyle="1" w:styleId="214">
    <w:name w:val="ssqiaz"/>
    <w:qFormat/>
    <w:uiPriority w:val="99"/>
  </w:style>
  <w:style w:type="character" w:customStyle="1" w:styleId="215">
    <w:name w:val="表格标题 Char"/>
    <w:link w:val="216"/>
    <w:qFormat/>
    <w:locked/>
    <w:uiPriority w:val="99"/>
    <w:rPr>
      <w:b/>
      <w:color w:val="000000"/>
      <w:kern w:val="2"/>
      <w:sz w:val="21"/>
    </w:rPr>
  </w:style>
  <w:style w:type="paragraph" w:customStyle="1" w:styleId="216">
    <w:name w:val="表格标题"/>
    <w:basedOn w:val="1"/>
    <w:link w:val="215"/>
    <w:qFormat/>
    <w:uiPriority w:val="99"/>
    <w:pPr>
      <w:snapToGrid w:val="0"/>
      <w:spacing w:before="120"/>
      <w:ind w:firstLine="1756" w:firstLineChars="833"/>
      <w:contextualSpacing/>
      <w:jc w:val="center"/>
    </w:pPr>
    <w:rPr>
      <w:b/>
      <w:color w:val="000000"/>
      <w:szCs w:val="20"/>
    </w:rPr>
  </w:style>
  <w:style w:type="character" w:customStyle="1" w:styleId="217">
    <w:name w:val="页眉1 Char"/>
    <w:qFormat/>
    <w:uiPriority w:val="99"/>
    <w:rPr>
      <w:rFonts w:ascii="宋体" w:hAnsi="宋体" w:eastAsia="宋体"/>
      <w:kern w:val="2"/>
      <w:sz w:val="18"/>
      <w:lang w:val="en-US" w:eastAsia="zh-CN"/>
    </w:rPr>
  </w:style>
  <w:style w:type="character" w:customStyle="1" w:styleId="218">
    <w:name w:val="c121"/>
    <w:qFormat/>
    <w:uiPriority w:val="99"/>
    <w:rPr>
      <w:color w:val="666666"/>
      <w:sz w:val="18"/>
      <w:u w:val="none"/>
    </w:rPr>
  </w:style>
  <w:style w:type="character" w:customStyle="1" w:styleId="219">
    <w:name w:val="甲乙酮标题1 Char Char"/>
    <w:link w:val="220"/>
    <w:qFormat/>
    <w:locked/>
    <w:uiPriority w:val="99"/>
    <w:rPr>
      <w:b/>
      <w:kern w:val="44"/>
      <w:sz w:val="32"/>
    </w:rPr>
  </w:style>
  <w:style w:type="paragraph" w:customStyle="1" w:styleId="220">
    <w:name w:val="甲乙酮标题1"/>
    <w:basedOn w:val="7"/>
    <w:link w:val="219"/>
    <w:qFormat/>
    <w:uiPriority w:val="99"/>
    <w:pPr>
      <w:keepLines/>
      <w:tabs>
        <w:tab w:val="left" w:pos="390"/>
      </w:tabs>
      <w:overflowPunct/>
      <w:snapToGrid/>
      <w:spacing w:after="140" w:line="480" w:lineRule="exact"/>
      <w:ind w:left="390" w:firstLine="0"/>
    </w:pPr>
    <w:rPr>
      <w:rFonts w:eastAsia="宋体"/>
      <w:bCs w:val="0"/>
      <w:color w:val="auto"/>
      <w:sz w:val="32"/>
      <w:szCs w:val="20"/>
    </w:rPr>
  </w:style>
  <w:style w:type="character" w:customStyle="1" w:styleId="221">
    <w:name w:val="contenttable1"/>
    <w:qFormat/>
    <w:uiPriority w:val="99"/>
    <w:rPr>
      <w:rFonts w:ascii="Arial" w:hAnsi="Arial" w:eastAsia="宋体"/>
      <w:color w:val="000000"/>
      <w:kern w:val="2"/>
      <w:sz w:val="18"/>
      <w:u w:val="none"/>
      <w:lang w:val="en-US" w:eastAsia="zh-CN"/>
    </w:rPr>
  </w:style>
  <w:style w:type="character" w:customStyle="1" w:styleId="222">
    <w:name w:val="未确定 Char Char"/>
    <w:link w:val="223"/>
    <w:qFormat/>
    <w:locked/>
    <w:uiPriority w:val="99"/>
    <w:rPr>
      <w:color w:val="800080"/>
      <w:sz w:val="24"/>
    </w:rPr>
  </w:style>
  <w:style w:type="paragraph" w:customStyle="1" w:styleId="223">
    <w:name w:val="未确定"/>
    <w:basedOn w:val="1"/>
    <w:link w:val="222"/>
    <w:qFormat/>
    <w:uiPriority w:val="99"/>
    <w:pPr>
      <w:spacing w:beforeLines="50" w:line="400" w:lineRule="exact"/>
      <w:ind w:firstLine="480" w:firstLineChars="200"/>
    </w:pPr>
    <w:rPr>
      <w:color w:val="800080"/>
      <w:kern w:val="0"/>
      <w:sz w:val="24"/>
      <w:szCs w:val="20"/>
    </w:rPr>
  </w:style>
  <w:style w:type="character" w:customStyle="1" w:styleId="224">
    <w:name w:val="16p"/>
    <w:qFormat/>
    <w:uiPriority w:val="99"/>
  </w:style>
  <w:style w:type="character" w:customStyle="1" w:styleId="225">
    <w:name w:val="纯文本21"/>
    <w:qFormat/>
    <w:uiPriority w:val="99"/>
    <w:rPr>
      <w:rFonts w:ascii="宋体" w:hAnsi="Courier New" w:eastAsia="宋体"/>
      <w:kern w:val="2"/>
      <w:sz w:val="21"/>
      <w:lang w:val="en-US" w:eastAsia="zh-CN"/>
    </w:rPr>
  </w:style>
  <w:style w:type="character" w:customStyle="1" w:styleId="226">
    <w:name w:val="图表名 大王 20100426 Char"/>
    <w:link w:val="227"/>
    <w:qFormat/>
    <w:locked/>
    <w:uiPriority w:val="99"/>
    <w:rPr>
      <w:rFonts w:ascii="宋体" w:eastAsia="宋体"/>
      <w:b/>
      <w:sz w:val="21"/>
    </w:rPr>
  </w:style>
  <w:style w:type="paragraph" w:customStyle="1" w:styleId="227">
    <w:name w:val="图表名 大王 20100426"/>
    <w:basedOn w:val="228"/>
    <w:link w:val="226"/>
    <w:qFormat/>
    <w:uiPriority w:val="99"/>
    <w:pPr>
      <w:tabs>
        <w:tab w:val="left" w:pos="377"/>
      </w:tabs>
      <w:spacing w:before="120" w:after="120"/>
    </w:pPr>
  </w:style>
  <w:style w:type="paragraph" w:customStyle="1" w:styleId="228">
    <w:name w:val="图表标题-大王"/>
    <w:basedOn w:val="1"/>
    <w:link w:val="229"/>
    <w:qFormat/>
    <w:uiPriority w:val="99"/>
    <w:pPr>
      <w:widowControl/>
      <w:tabs>
        <w:tab w:val="left" w:pos="377"/>
      </w:tabs>
      <w:spacing w:beforeLines="50" w:afterLines="50"/>
      <w:jc w:val="center"/>
    </w:pPr>
    <w:rPr>
      <w:rFonts w:ascii="宋体"/>
      <w:b/>
      <w:kern w:val="0"/>
      <w:szCs w:val="20"/>
    </w:rPr>
  </w:style>
  <w:style w:type="character" w:customStyle="1" w:styleId="229">
    <w:name w:val="图表标题-大王 Char"/>
    <w:link w:val="228"/>
    <w:qFormat/>
    <w:locked/>
    <w:uiPriority w:val="99"/>
    <w:rPr>
      <w:rFonts w:ascii="宋体" w:eastAsia="宋体"/>
      <w:b/>
      <w:sz w:val="21"/>
    </w:rPr>
  </w:style>
  <w:style w:type="character" w:customStyle="1" w:styleId="230">
    <w:name w:val="9css21"/>
    <w:qFormat/>
    <w:uiPriority w:val="99"/>
    <w:rPr>
      <w:spacing w:val="268"/>
      <w:sz w:val="20"/>
    </w:rPr>
  </w:style>
  <w:style w:type="character" w:customStyle="1" w:styleId="231">
    <w:name w:val="公示 Char Char"/>
    <w:link w:val="232"/>
    <w:qFormat/>
    <w:locked/>
    <w:uiPriority w:val="99"/>
  </w:style>
  <w:style w:type="paragraph" w:customStyle="1" w:styleId="232">
    <w:name w:val="公示"/>
    <w:basedOn w:val="1"/>
    <w:link w:val="231"/>
    <w:qFormat/>
    <w:uiPriority w:val="99"/>
    <w:pPr>
      <w:spacing w:line="360" w:lineRule="auto"/>
      <w:ind w:firstLine="200" w:firstLineChars="200"/>
      <w:jc w:val="center"/>
    </w:pPr>
    <w:rPr>
      <w:kern w:val="0"/>
      <w:sz w:val="20"/>
      <w:szCs w:val="20"/>
    </w:rPr>
  </w:style>
  <w:style w:type="character" w:customStyle="1" w:styleId="233">
    <w:name w:val="style51"/>
    <w:qFormat/>
    <w:uiPriority w:val="99"/>
    <w:rPr>
      <w:color w:val="000000"/>
      <w:sz w:val="36"/>
    </w:rPr>
  </w:style>
  <w:style w:type="character" w:customStyle="1" w:styleId="234">
    <w:name w:val="表格内文字 Char Char"/>
    <w:qFormat/>
    <w:uiPriority w:val="99"/>
    <w:rPr>
      <w:rFonts w:eastAsia="仿宋_GB2312"/>
      <w:sz w:val="24"/>
    </w:rPr>
  </w:style>
  <w:style w:type="character" w:customStyle="1" w:styleId="235">
    <w:name w:val="表头1 Char"/>
    <w:link w:val="236"/>
    <w:qFormat/>
    <w:locked/>
    <w:uiPriority w:val="99"/>
    <w:rPr>
      <w:rFonts w:eastAsia="黑体"/>
      <w:sz w:val="21"/>
    </w:rPr>
  </w:style>
  <w:style w:type="paragraph" w:customStyle="1" w:styleId="236">
    <w:name w:val="表头1"/>
    <w:basedOn w:val="1"/>
    <w:next w:val="1"/>
    <w:link w:val="235"/>
    <w:qFormat/>
    <w:uiPriority w:val="99"/>
    <w:pPr>
      <w:tabs>
        <w:tab w:val="left" w:pos="605"/>
      </w:tabs>
      <w:adjustRightInd w:val="0"/>
      <w:snapToGrid w:val="0"/>
      <w:jc w:val="center"/>
    </w:pPr>
    <w:rPr>
      <w:rFonts w:eastAsia="黑体"/>
      <w:kern w:val="0"/>
      <w:szCs w:val="20"/>
    </w:rPr>
  </w:style>
  <w:style w:type="character" w:customStyle="1" w:styleId="237">
    <w:name w:val="type021"/>
    <w:qFormat/>
    <w:uiPriority w:val="99"/>
    <w:rPr>
      <w:color w:val="000000"/>
      <w:sz w:val="18"/>
    </w:rPr>
  </w:style>
  <w:style w:type="character" w:customStyle="1" w:styleId="238">
    <w:name w:val="表蕊居中 Char Char"/>
    <w:link w:val="239"/>
    <w:qFormat/>
    <w:locked/>
    <w:uiPriority w:val="99"/>
    <w:rPr>
      <w:color w:val="FF0000"/>
      <w:spacing w:val="-10"/>
      <w:sz w:val="21"/>
    </w:rPr>
  </w:style>
  <w:style w:type="paragraph" w:customStyle="1" w:styleId="239">
    <w:name w:val="表蕊居中"/>
    <w:basedOn w:val="1"/>
    <w:link w:val="238"/>
    <w:qFormat/>
    <w:uiPriority w:val="99"/>
    <w:pPr>
      <w:adjustRightInd w:val="0"/>
      <w:spacing w:line="280" w:lineRule="atLeast"/>
      <w:jc w:val="center"/>
      <w:textAlignment w:val="baseline"/>
    </w:pPr>
    <w:rPr>
      <w:color w:val="FF0000"/>
      <w:spacing w:val="-10"/>
      <w:kern w:val="0"/>
      <w:szCs w:val="20"/>
    </w:rPr>
  </w:style>
  <w:style w:type="character" w:customStyle="1" w:styleId="240">
    <w:name w:val="articlebody1"/>
    <w:qFormat/>
    <w:uiPriority w:val="99"/>
    <w:rPr>
      <w:rFonts w:ascii="宋体" w:hAnsi="宋体" w:eastAsia="宋体"/>
      <w:color w:val="333333"/>
      <w:kern w:val="2"/>
      <w:sz w:val="21"/>
      <w:lang w:val="en-US" w:eastAsia="zh-CN"/>
    </w:rPr>
  </w:style>
  <w:style w:type="character" w:customStyle="1" w:styleId="241">
    <w:name w:val="标题 3 Char1"/>
    <w:qFormat/>
    <w:uiPriority w:val="99"/>
    <w:rPr>
      <w:rFonts w:ascii="宋体" w:hAnsi="宋体" w:eastAsia="宋体"/>
      <w:b/>
      <w:caps/>
      <w:color w:val="000000"/>
      <w:kern w:val="2"/>
      <w:sz w:val="24"/>
      <w:lang w:val="zh-CN" w:eastAsia="zh-CN"/>
    </w:rPr>
  </w:style>
  <w:style w:type="character" w:customStyle="1" w:styleId="242">
    <w:name w:val="apple-style-span"/>
    <w:qFormat/>
    <w:uiPriority w:val="99"/>
    <w:rPr>
      <w:rFonts w:ascii="宋体" w:hAnsi="宋体" w:eastAsia="宋体"/>
      <w:kern w:val="2"/>
      <w:sz w:val="24"/>
      <w:lang w:val="en-US" w:eastAsia="zh-CN"/>
    </w:rPr>
  </w:style>
  <w:style w:type="character" w:customStyle="1" w:styleId="243">
    <w:name w:val="ssmj9"/>
    <w:qFormat/>
    <w:uiPriority w:val="99"/>
  </w:style>
  <w:style w:type="character" w:customStyle="1" w:styleId="244">
    <w:name w:val="sfrxxz"/>
    <w:qFormat/>
    <w:uiPriority w:val="99"/>
  </w:style>
  <w:style w:type="character" w:customStyle="1" w:styleId="245">
    <w:name w:val="No Spacing Char"/>
    <w:link w:val="246"/>
    <w:qFormat/>
    <w:locked/>
    <w:uiPriority w:val="99"/>
    <w:rPr>
      <w:rFonts w:ascii="Calibri" w:hAnsi="Calibri"/>
      <w:sz w:val="32"/>
      <w:lang w:eastAsia="en-US"/>
    </w:rPr>
  </w:style>
  <w:style w:type="paragraph" w:styleId="246">
    <w:name w:val="No Spacing"/>
    <w:basedOn w:val="1"/>
    <w:link w:val="245"/>
    <w:qFormat/>
    <w:uiPriority w:val="99"/>
    <w:pPr>
      <w:widowControl/>
      <w:jc w:val="left"/>
    </w:pPr>
    <w:rPr>
      <w:rFonts w:ascii="Calibri" w:hAnsi="Calibri"/>
      <w:kern w:val="0"/>
      <w:sz w:val="32"/>
      <w:szCs w:val="20"/>
      <w:lang w:eastAsia="en-US"/>
    </w:rPr>
  </w:style>
  <w:style w:type="character" w:customStyle="1" w:styleId="247">
    <w:name w:val="news_line"/>
    <w:qFormat/>
    <w:uiPriority w:val="99"/>
    <w:rPr>
      <w:rFonts w:ascii="宋体" w:hAnsi="宋体" w:eastAsia="宋体"/>
      <w:kern w:val="2"/>
      <w:sz w:val="24"/>
      <w:lang w:val="en-US" w:eastAsia="zh-CN"/>
    </w:rPr>
  </w:style>
  <w:style w:type="character" w:customStyle="1" w:styleId="248">
    <w:name w:val="正文缩进2"/>
    <w:qFormat/>
    <w:uiPriority w:val="99"/>
    <w:rPr>
      <w:rFonts w:ascii="仿宋_GB2312" w:eastAsia="仿宋_GB2312"/>
      <w:kern w:val="2"/>
      <w:sz w:val="24"/>
      <w:lang w:val="en-US" w:eastAsia="zh-CN"/>
    </w:rPr>
  </w:style>
  <w:style w:type="character" w:customStyle="1" w:styleId="249">
    <w:name w:val="正文文本 字符1"/>
    <w:semiHidden/>
    <w:qFormat/>
    <w:uiPriority w:val="99"/>
    <w:rPr>
      <w:rFonts w:ascii="Times New Roman" w:hAnsi="Times New Roman" w:eastAsia="宋体"/>
      <w:sz w:val="24"/>
    </w:rPr>
  </w:style>
  <w:style w:type="character" w:customStyle="1" w:styleId="250">
    <w:name w:val="241"/>
    <w:qFormat/>
    <w:uiPriority w:val="99"/>
    <w:rPr>
      <w:rFonts w:ascii="宋体" w:hAnsi="宋体" w:eastAsia="宋体"/>
      <w:kern w:val="2"/>
      <w:sz w:val="24"/>
      <w:lang w:val="en-US" w:eastAsia="zh-CN"/>
    </w:rPr>
  </w:style>
  <w:style w:type="character" w:customStyle="1" w:styleId="251">
    <w:name w:val="样式84 Char Char"/>
    <w:link w:val="252"/>
    <w:qFormat/>
    <w:locked/>
    <w:uiPriority w:val="99"/>
    <w:rPr>
      <w:rFonts w:ascii="宋体" w:eastAsia="宋体"/>
      <w:color w:val="000000"/>
      <w:sz w:val="24"/>
    </w:rPr>
  </w:style>
  <w:style w:type="paragraph" w:customStyle="1" w:styleId="252">
    <w:name w:val="样式84"/>
    <w:basedOn w:val="1"/>
    <w:link w:val="251"/>
    <w:qFormat/>
    <w:uiPriority w:val="99"/>
    <w:pPr>
      <w:snapToGrid w:val="0"/>
      <w:spacing w:line="520" w:lineRule="exact"/>
      <w:ind w:firstLine="560" w:firstLineChars="200"/>
    </w:pPr>
    <w:rPr>
      <w:rFonts w:ascii="宋体"/>
      <w:color w:val="000000"/>
      <w:kern w:val="0"/>
      <w:sz w:val="24"/>
      <w:szCs w:val="20"/>
    </w:rPr>
  </w:style>
  <w:style w:type="character" w:customStyle="1" w:styleId="253">
    <w:name w:val="广石化正文 Char"/>
    <w:link w:val="254"/>
    <w:qFormat/>
    <w:locked/>
    <w:uiPriority w:val="99"/>
    <w:rPr>
      <w:rFonts w:ascii="宋体" w:eastAsia="宋体"/>
      <w:kern w:val="2"/>
      <w:sz w:val="28"/>
    </w:rPr>
  </w:style>
  <w:style w:type="paragraph" w:customStyle="1" w:styleId="254">
    <w:name w:val="广石化正文"/>
    <w:basedOn w:val="1"/>
    <w:link w:val="253"/>
    <w:qFormat/>
    <w:uiPriority w:val="99"/>
    <w:pPr>
      <w:tabs>
        <w:tab w:val="left" w:pos="6520"/>
        <w:tab w:val="left" w:leader="dot" w:pos="8220"/>
      </w:tabs>
      <w:spacing w:line="520" w:lineRule="exact"/>
      <w:ind w:firstLine="538" w:firstLineChars="192"/>
    </w:pPr>
    <w:rPr>
      <w:rFonts w:ascii="宋体"/>
      <w:sz w:val="28"/>
      <w:szCs w:val="20"/>
    </w:rPr>
  </w:style>
  <w:style w:type="character" w:customStyle="1" w:styleId="255">
    <w:name w:val="脚注文本 字符1"/>
    <w:qFormat/>
    <w:uiPriority w:val="99"/>
    <w:rPr>
      <w:kern w:val="2"/>
      <w:sz w:val="18"/>
    </w:rPr>
  </w:style>
  <w:style w:type="character" w:customStyle="1" w:styleId="256">
    <w:name w:val="批注文字 字符1"/>
    <w:semiHidden/>
    <w:qFormat/>
    <w:uiPriority w:val="99"/>
    <w:rPr>
      <w:rFonts w:ascii="Times New Roman" w:hAnsi="Times New Roman" w:eastAsia="宋体"/>
      <w:sz w:val="24"/>
    </w:rPr>
  </w:style>
  <w:style w:type="character" w:customStyle="1" w:styleId="257">
    <w:name w:val="文章正文样式 Char"/>
    <w:link w:val="258"/>
    <w:qFormat/>
    <w:locked/>
    <w:uiPriority w:val="99"/>
    <w:rPr>
      <w:rFonts w:ascii="宋体" w:eastAsia="宋体"/>
      <w:kern w:val="2"/>
      <w:sz w:val="24"/>
    </w:rPr>
  </w:style>
  <w:style w:type="paragraph" w:customStyle="1" w:styleId="258">
    <w:name w:val="文章正文样式"/>
    <w:basedOn w:val="1"/>
    <w:link w:val="257"/>
    <w:qFormat/>
    <w:uiPriority w:val="99"/>
    <w:pPr>
      <w:spacing w:line="520" w:lineRule="exact"/>
      <w:ind w:firstLine="480" w:firstLineChars="200"/>
      <w:jc w:val="left"/>
    </w:pPr>
    <w:rPr>
      <w:rFonts w:ascii="宋体"/>
      <w:sz w:val="24"/>
      <w:szCs w:val="20"/>
    </w:rPr>
  </w:style>
  <w:style w:type="character" w:customStyle="1" w:styleId="259">
    <w:name w:val="标题2"/>
    <w:qFormat/>
    <w:uiPriority w:val="99"/>
  </w:style>
  <w:style w:type="character" w:customStyle="1" w:styleId="260">
    <w:name w:val="样式7 Char Char"/>
    <w:link w:val="261"/>
    <w:qFormat/>
    <w:locked/>
    <w:uiPriority w:val="99"/>
    <w:rPr>
      <w:rFonts w:ascii="宋体" w:eastAsia="宋体"/>
      <w:color w:val="000000"/>
      <w:sz w:val="24"/>
    </w:rPr>
  </w:style>
  <w:style w:type="paragraph" w:customStyle="1" w:styleId="261">
    <w:name w:val="样式7"/>
    <w:basedOn w:val="1"/>
    <w:next w:val="1"/>
    <w:link w:val="260"/>
    <w:qFormat/>
    <w:uiPriority w:val="99"/>
    <w:pPr>
      <w:spacing w:line="360" w:lineRule="auto"/>
      <w:ind w:firstLine="480" w:firstLineChars="200"/>
    </w:pPr>
    <w:rPr>
      <w:rFonts w:ascii="宋体"/>
      <w:color w:val="000000"/>
      <w:kern w:val="0"/>
      <w:sz w:val="24"/>
      <w:szCs w:val="20"/>
    </w:rPr>
  </w:style>
  <w:style w:type="character" w:customStyle="1" w:styleId="262">
    <w:name w:val="样式5 Char Char"/>
    <w:link w:val="57"/>
    <w:qFormat/>
    <w:locked/>
    <w:uiPriority w:val="99"/>
    <w:rPr>
      <w:rFonts w:ascii="宋体"/>
      <w:sz w:val="21"/>
    </w:rPr>
  </w:style>
  <w:style w:type="character" w:customStyle="1" w:styleId="263">
    <w:name w:val="unnamed21"/>
    <w:qFormat/>
    <w:uiPriority w:val="99"/>
    <w:rPr>
      <w:rFonts w:ascii="宋体" w:hAnsi="宋体" w:eastAsia="宋体"/>
      <w:kern w:val="2"/>
      <w:sz w:val="18"/>
      <w:lang w:val="en-US" w:eastAsia="zh-CN"/>
    </w:rPr>
  </w:style>
  <w:style w:type="character" w:customStyle="1" w:styleId="264">
    <w:name w:val="表格填充1 Char"/>
    <w:link w:val="265"/>
    <w:qFormat/>
    <w:locked/>
    <w:uiPriority w:val="99"/>
    <w:rPr>
      <w:kern w:val="2"/>
      <w:sz w:val="18"/>
    </w:rPr>
  </w:style>
  <w:style w:type="paragraph" w:customStyle="1" w:styleId="265">
    <w:name w:val="表格填充1"/>
    <w:basedOn w:val="1"/>
    <w:link w:val="264"/>
    <w:semiHidden/>
    <w:qFormat/>
    <w:uiPriority w:val="99"/>
    <w:pPr>
      <w:adjustRightInd w:val="0"/>
      <w:snapToGrid w:val="0"/>
      <w:spacing w:line="400" w:lineRule="exact"/>
      <w:jc w:val="center"/>
    </w:pPr>
    <w:rPr>
      <w:sz w:val="18"/>
      <w:szCs w:val="20"/>
    </w:rPr>
  </w:style>
  <w:style w:type="character" w:customStyle="1" w:styleId="266">
    <w:name w:val="Char Char6"/>
    <w:qFormat/>
    <w:uiPriority w:val="99"/>
    <w:rPr>
      <w:rFonts w:ascii="宋体" w:hAnsi="宋体" w:eastAsia="宋体"/>
      <w:b/>
      <w:i/>
      <w:kern w:val="2"/>
      <w:sz w:val="26"/>
      <w:lang w:val="en-US" w:eastAsia="zh-CN"/>
    </w:rPr>
  </w:style>
  <w:style w:type="character" w:customStyle="1" w:styleId="267">
    <w:name w:val="标题 4 Char4"/>
    <w:qFormat/>
    <w:uiPriority w:val="99"/>
    <w:rPr>
      <w:rFonts w:ascii="宋体" w:hAnsi="宋体" w:eastAsia="宋体"/>
      <w:b/>
      <w:kern w:val="2"/>
      <w:sz w:val="24"/>
      <w:lang w:val="en-GB" w:eastAsia="zh-CN"/>
    </w:rPr>
  </w:style>
  <w:style w:type="character" w:customStyle="1" w:styleId="268">
    <w:name w:val="Footer1 Char Char"/>
    <w:qFormat/>
    <w:uiPriority w:val="99"/>
    <w:rPr>
      <w:rFonts w:eastAsia="宋体"/>
      <w:kern w:val="2"/>
      <w:sz w:val="18"/>
      <w:lang w:val="en-US" w:eastAsia="zh-CN"/>
    </w:rPr>
  </w:style>
  <w:style w:type="character" w:customStyle="1" w:styleId="269">
    <w:name w:val="公式 Char Char"/>
    <w:link w:val="270"/>
    <w:qFormat/>
    <w:locked/>
    <w:uiPriority w:val="99"/>
    <w:rPr>
      <w:rFonts w:ascii="宋体"/>
      <w:kern w:val="16"/>
      <w:sz w:val="24"/>
    </w:rPr>
  </w:style>
  <w:style w:type="paragraph" w:customStyle="1" w:styleId="270">
    <w:name w:val="公式"/>
    <w:basedOn w:val="1"/>
    <w:link w:val="269"/>
    <w:qFormat/>
    <w:uiPriority w:val="99"/>
    <w:pPr>
      <w:adjustRightInd w:val="0"/>
      <w:spacing w:before="240" w:after="240" w:line="480" w:lineRule="exact"/>
      <w:ind w:firstLine="200" w:firstLineChars="200"/>
      <w:jc w:val="center"/>
      <w:textAlignment w:val="baseline"/>
    </w:pPr>
    <w:rPr>
      <w:rFonts w:ascii="宋体"/>
      <w:kern w:val="16"/>
      <w:sz w:val="24"/>
      <w:szCs w:val="20"/>
    </w:rPr>
  </w:style>
  <w:style w:type="character" w:customStyle="1" w:styleId="271">
    <w:name w:val="style2_title1"/>
    <w:qFormat/>
    <w:uiPriority w:val="99"/>
    <w:rPr>
      <w:b/>
      <w:sz w:val="25"/>
    </w:rPr>
  </w:style>
  <w:style w:type="character" w:customStyle="1" w:styleId="272">
    <w:name w:val="表格题目 Char"/>
    <w:link w:val="273"/>
    <w:qFormat/>
    <w:locked/>
    <w:uiPriority w:val="99"/>
    <w:rPr>
      <w:rFonts w:ascii="宋体" w:eastAsia="宋体"/>
      <w:sz w:val="24"/>
    </w:rPr>
  </w:style>
  <w:style w:type="paragraph" w:customStyle="1" w:styleId="273">
    <w:name w:val="表格题目"/>
    <w:basedOn w:val="1"/>
    <w:link w:val="272"/>
    <w:qFormat/>
    <w:uiPriority w:val="99"/>
    <w:pPr>
      <w:spacing w:line="360" w:lineRule="auto"/>
      <w:ind w:firstLine="480" w:firstLineChars="200"/>
    </w:pPr>
    <w:rPr>
      <w:rFonts w:ascii="宋体"/>
      <w:kern w:val="0"/>
      <w:sz w:val="24"/>
      <w:szCs w:val="20"/>
      <w:shd w:val="clear" w:color="auto" w:fill="FFFFFF"/>
    </w:rPr>
  </w:style>
  <w:style w:type="character" w:customStyle="1" w:styleId="274">
    <w:name w:val="表格 Char Char"/>
    <w:qFormat/>
    <w:uiPriority w:val="99"/>
    <w:rPr>
      <w:kern w:val="2"/>
      <w:sz w:val="24"/>
    </w:rPr>
  </w:style>
  <w:style w:type="character" w:customStyle="1" w:styleId="275">
    <w:name w:val="text_edit editable-title"/>
    <w:qFormat/>
    <w:uiPriority w:val="99"/>
  </w:style>
  <w:style w:type="character" w:customStyle="1" w:styleId="276">
    <w:name w:val="s c c"/>
    <w:qFormat/>
    <w:uiPriority w:val="99"/>
  </w:style>
  <w:style w:type="character" w:customStyle="1" w:styleId="277">
    <w:name w:val="tpc_content1"/>
    <w:qFormat/>
    <w:uiPriority w:val="99"/>
    <w:rPr>
      <w:rFonts w:ascii="宋体" w:hAnsi="宋体" w:eastAsia="宋体"/>
      <w:kern w:val="2"/>
      <w:sz w:val="24"/>
      <w:lang w:val="en-US" w:eastAsia="zh-CN"/>
    </w:rPr>
  </w:style>
  <w:style w:type="character" w:customStyle="1" w:styleId="278">
    <w:name w:val="样式16 Char Char"/>
    <w:link w:val="279"/>
    <w:qFormat/>
    <w:locked/>
    <w:uiPriority w:val="99"/>
    <w:rPr>
      <w:rFonts w:eastAsia="楷体_GB2312"/>
      <w:b/>
      <w:color w:val="000000"/>
      <w:sz w:val="32"/>
    </w:rPr>
  </w:style>
  <w:style w:type="paragraph" w:customStyle="1" w:styleId="279">
    <w:name w:val="样式16"/>
    <w:basedOn w:val="7"/>
    <w:link w:val="278"/>
    <w:qFormat/>
    <w:uiPriority w:val="99"/>
    <w:pPr>
      <w:tabs>
        <w:tab w:val="left" w:pos="390"/>
      </w:tabs>
      <w:overflowPunct/>
      <w:snapToGrid/>
      <w:spacing w:beforeLines="100" w:afterLines="100" w:line="240" w:lineRule="auto"/>
      <w:ind w:left="390" w:firstLine="0"/>
      <w:jc w:val="center"/>
    </w:pPr>
    <w:rPr>
      <w:rFonts w:eastAsia="楷体_GB2312"/>
      <w:bCs w:val="0"/>
      <w:kern w:val="0"/>
      <w:sz w:val="32"/>
      <w:szCs w:val="20"/>
    </w:rPr>
  </w:style>
  <w:style w:type="character" w:customStyle="1" w:styleId="280">
    <w:name w:val="su21"/>
    <w:qFormat/>
    <w:uiPriority w:val="99"/>
  </w:style>
  <w:style w:type="character" w:customStyle="1" w:styleId="281">
    <w:name w:val="文本 Char Char"/>
    <w:link w:val="282"/>
    <w:qFormat/>
    <w:locked/>
    <w:uiPriority w:val="99"/>
    <w:rPr>
      <w:rFonts w:ascii="宋体" w:eastAsia="宋体"/>
      <w:sz w:val="24"/>
    </w:rPr>
  </w:style>
  <w:style w:type="paragraph" w:customStyle="1" w:styleId="282">
    <w:name w:val="文本"/>
    <w:basedOn w:val="1"/>
    <w:link w:val="281"/>
    <w:qFormat/>
    <w:uiPriority w:val="99"/>
    <w:pPr>
      <w:spacing w:after="60" w:line="440" w:lineRule="exact"/>
      <w:ind w:firstLine="480" w:firstLineChars="200"/>
    </w:pPr>
    <w:rPr>
      <w:rFonts w:ascii="宋体"/>
      <w:kern w:val="0"/>
      <w:sz w:val="24"/>
      <w:szCs w:val="20"/>
    </w:rPr>
  </w:style>
  <w:style w:type="character" w:customStyle="1" w:styleId="283">
    <w:name w:val="样式19 Char Char"/>
    <w:link w:val="284"/>
    <w:qFormat/>
    <w:locked/>
    <w:uiPriority w:val="99"/>
    <w:rPr>
      <w:b/>
      <w:bCs/>
      <w:kern w:val="44"/>
      <w:sz w:val="32"/>
      <w:szCs w:val="44"/>
    </w:rPr>
  </w:style>
  <w:style w:type="paragraph" w:customStyle="1" w:styleId="284">
    <w:name w:val="样式19"/>
    <w:basedOn w:val="7"/>
    <w:link w:val="283"/>
    <w:qFormat/>
    <w:uiPriority w:val="99"/>
    <w:pPr>
      <w:keepLines/>
      <w:numPr>
        <w:ilvl w:val="0"/>
        <w:numId w:val="2"/>
      </w:numPr>
      <w:overflowPunct/>
      <w:snapToGrid/>
      <w:spacing w:before="0" w:after="0" w:line="360" w:lineRule="auto"/>
    </w:pPr>
    <w:rPr>
      <w:rFonts w:eastAsia="宋体"/>
      <w:color w:val="auto"/>
      <w:sz w:val="32"/>
      <w:szCs w:val="44"/>
    </w:rPr>
  </w:style>
  <w:style w:type="character" w:customStyle="1" w:styleId="285">
    <w:name w:val="source"/>
    <w:qFormat/>
    <w:uiPriority w:val="99"/>
  </w:style>
  <w:style w:type="character" w:customStyle="1" w:styleId="286">
    <w:name w:val="表内字 Char1"/>
    <w:link w:val="287"/>
    <w:qFormat/>
    <w:locked/>
    <w:uiPriority w:val="99"/>
    <w:rPr>
      <w:kern w:val="2"/>
      <w:sz w:val="21"/>
      <w:lang w:val="en-US" w:eastAsia="zh-CN"/>
    </w:rPr>
  </w:style>
  <w:style w:type="paragraph" w:customStyle="1" w:styleId="287">
    <w:name w:val="表内字"/>
    <w:link w:val="286"/>
    <w:qFormat/>
    <w:uiPriority w:val="99"/>
    <w:pPr>
      <w:spacing w:before="80" w:after="80"/>
      <w:jc w:val="both"/>
    </w:pPr>
    <w:rPr>
      <w:rFonts w:ascii="Times New Roman" w:hAnsi="Times New Roman" w:eastAsia="宋体" w:cs="Times New Roman"/>
      <w:kern w:val="2"/>
      <w:sz w:val="21"/>
      <w:szCs w:val="20"/>
      <w:lang w:val="en-US" w:eastAsia="zh-CN" w:bidi="ar-SA"/>
    </w:rPr>
  </w:style>
  <w:style w:type="character" w:customStyle="1" w:styleId="288">
    <w:name w:val="标题 2 Char"/>
    <w:qFormat/>
    <w:uiPriority w:val="99"/>
    <w:rPr>
      <w:rFonts w:ascii="Cambria" w:hAnsi="Cambria" w:eastAsia="宋体"/>
      <w:b/>
      <w:sz w:val="32"/>
    </w:rPr>
  </w:style>
  <w:style w:type="character" w:customStyle="1" w:styleId="289">
    <w:name w:val="报告书正文 Char1"/>
    <w:link w:val="290"/>
    <w:qFormat/>
    <w:locked/>
    <w:uiPriority w:val="99"/>
    <w:rPr>
      <w:sz w:val="18"/>
      <w:lang w:val="zh-CN"/>
    </w:rPr>
  </w:style>
  <w:style w:type="paragraph" w:customStyle="1" w:styleId="290">
    <w:name w:val="报告书正文"/>
    <w:basedOn w:val="1"/>
    <w:link w:val="289"/>
    <w:qFormat/>
    <w:uiPriority w:val="99"/>
    <w:pPr>
      <w:adjustRightInd w:val="0"/>
      <w:spacing w:beforeLines="50" w:line="360" w:lineRule="auto"/>
      <w:ind w:firstLine="480" w:firstLineChars="200"/>
      <w:textAlignment w:val="baseline"/>
    </w:pPr>
    <w:rPr>
      <w:kern w:val="0"/>
      <w:sz w:val="18"/>
      <w:szCs w:val="20"/>
      <w:lang w:val="zh-CN"/>
    </w:rPr>
  </w:style>
  <w:style w:type="character" w:customStyle="1" w:styleId="291">
    <w:name w:val="css-text3"/>
    <w:qFormat/>
    <w:uiPriority w:val="99"/>
  </w:style>
  <w:style w:type="character" w:customStyle="1" w:styleId="292">
    <w:name w:val="样式 标题 3H31.1.1标题 3条标题1.1.1h3level_3PIM 3Level 3 HeadHead...1 Char Char"/>
    <w:link w:val="293"/>
    <w:qFormat/>
    <w:locked/>
    <w:uiPriority w:val="99"/>
    <w:rPr>
      <w:rFonts w:ascii="黑体" w:hAnsi="黑体" w:eastAsia="黑体"/>
      <w:b/>
      <w:sz w:val="32"/>
    </w:rPr>
  </w:style>
  <w:style w:type="paragraph" w:customStyle="1" w:styleId="293">
    <w:name w:val="样式 标题 3H31.1.1标题 3条标题1.1.1h3level_3PIM 3Level 3 HeadHead...1"/>
    <w:basedOn w:val="9"/>
    <w:link w:val="292"/>
    <w:qFormat/>
    <w:uiPriority w:val="99"/>
    <w:pPr>
      <w:tabs>
        <w:tab w:val="left" w:pos="1260"/>
      </w:tabs>
      <w:ind w:left="1260" w:hanging="420"/>
    </w:pPr>
    <w:rPr>
      <w:rFonts w:ascii="黑体" w:hAnsi="黑体" w:eastAsia="黑体"/>
      <w:bCs w:val="0"/>
      <w:kern w:val="0"/>
      <w:szCs w:val="20"/>
    </w:rPr>
  </w:style>
  <w:style w:type="character" w:customStyle="1" w:styleId="294">
    <w:name w:val="默认段落字体 Para Char Char Char Char Char"/>
    <w:link w:val="295"/>
    <w:qFormat/>
    <w:locked/>
    <w:uiPriority w:val="99"/>
    <w:rPr>
      <w:kern w:val="2"/>
      <w:sz w:val="21"/>
    </w:rPr>
  </w:style>
  <w:style w:type="paragraph" w:customStyle="1" w:styleId="295">
    <w:name w:val="默认段落字体 Para Char Char Char Char"/>
    <w:basedOn w:val="1"/>
    <w:link w:val="294"/>
    <w:qFormat/>
    <w:uiPriority w:val="99"/>
    <w:rPr>
      <w:szCs w:val="20"/>
    </w:rPr>
  </w:style>
  <w:style w:type="character" w:customStyle="1" w:styleId="296">
    <w:name w:val="博泵1 Char Char"/>
    <w:link w:val="297"/>
    <w:qFormat/>
    <w:locked/>
    <w:uiPriority w:val="99"/>
    <w:rPr>
      <w:rFonts w:hAnsi="宋体"/>
      <w:color w:val="000000"/>
      <w:sz w:val="24"/>
    </w:rPr>
  </w:style>
  <w:style w:type="paragraph" w:customStyle="1" w:styleId="297">
    <w:name w:val="博泵1"/>
    <w:basedOn w:val="1"/>
    <w:link w:val="296"/>
    <w:qFormat/>
    <w:uiPriority w:val="99"/>
    <w:pPr>
      <w:adjustRightInd w:val="0"/>
      <w:spacing w:line="480" w:lineRule="exact"/>
      <w:ind w:firstLine="200" w:firstLineChars="200"/>
      <w:jc w:val="left"/>
      <w:textAlignment w:val="baseline"/>
    </w:pPr>
    <w:rPr>
      <w:rFonts w:hAnsi="宋体"/>
      <w:color w:val="000000"/>
      <w:kern w:val="0"/>
      <w:sz w:val="24"/>
      <w:szCs w:val="20"/>
    </w:rPr>
  </w:style>
  <w:style w:type="character" w:customStyle="1" w:styleId="298">
    <w:name w:val="特点标题 Char1"/>
    <w:qFormat/>
    <w:uiPriority w:val="99"/>
    <w:rPr>
      <w:rFonts w:eastAsia="宋体"/>
      <w:kern w:val="2"/>
      <w:sz w:val="21"/>
      <w:lang w:val="en-US" w:eastAsia="zh-CN"/>
    </w:rPr>
  </w:style>
  <w:style w:type="character" w:customStyle="1" w:styleId="299">
    <w:name w:val="报告标题3 Char Char"/>
    <w:link w:val="300"/>
    <w:qFormat/>
    <w:locked/>
    <w:uiPriority w:val="99"/>
    <w:rPr>
      <w:b/>
      <w:color w:val="000000"/>
      <w:sz w:val="28"/>
    </w:rPr>
  </w:style>
  <w:style w:type="paragraph" w:customStyle="1" w:styleId="300">
    <w:name w:val="报告标题3"/>
    <w:basedOn w:val="9"/>
    <w:link w:val="299"/>
    <w:qFormat/>
    <w:uiPriority w:val="99"/>
    <w:pPr>
      <w:tabs>
        <w:tab w:val="left" w:pos="1260"/>
      </w:tabs>
      <w:spacing w:before="60" w:after="60" w:line="360" w:lineRule="auto"/>
      <w:ind w:left="1260" w:hanging="420"/>
    </w:pPr>
    <w:rPr>
      <w:bCs w:val="0"/>
      <w:color w:val="000000"/>
      <w:kern w:val="0"/>
      <w:sz w:val="28"/>
      <w:szCs w:val="20"/>
    </w:rPr>
  </w:style>
  <w:style w:type="character" w:customStyle="1" w:styleId="301">
    <w:name w:val="f141"/>
    <w:qFormat/>
    <w:uiPriority w:val="99"/>
    <w:rPr>
      <w:color w:val="000000"/>
      <w:sz w:val="21"/>
    </w:rPr>
  </w:style>
  <w:style w:type="character" w:customStyle="1" w:styleId="302">
    <w:name w:val="Plain Text Char1 Char2"/>
    <w:qFormat/>
    <w:uiPriority w:val="99"/>
    <w:rPr>
      <w:rFonts w:ascii="宋体" w:hAnsi="Courier New" w:eastAsia="宋体"/>
      <w:kern w:val="2"/>
      <w:sz w:val="21"/>
      <w:lang w:val="en-US" w:eastAsia="zh-CN"/>
    </w:rPr>
  </w:style>
  <w:style w:type="character" w:customStyle="1" w:styleId="303">
    <w:name w:val="ourfont11"/>
    <w:qFormat/>
    <w:uiPriority w:val="99"/>
    <w:rPr>
      <w:sz w:val="20"/>
    </w:rPr>
  </w:style>
  <w:style w:type="character" w:customStyle="1" w:styleId="304">
    <w:name w:val="Footer1 Char2"/>
    <w:qFormat/>
    <w:uiPriority w:val="99"/>
    <w:rPr>
      <w:sz w:val="18"/>
    </w:rPr>
  </w:style>
  <w:style w:type="character" w:customStyle="1" w:styleId="305">
    <w:name w:val="文本正文 Char"/>
    <w:link w:val="306"/>
    <w:semiHidden/>
    <w:qFormat/>
    <w:locked/>
    <w:uiPriority w:val="99"/>
    <w:rPr>
      <w:sz w:val="24"/>
    </w:rPr>
  </w:style>
  <w:style w:type="paragraph" w:customStyle="1" w:styleId="306">
    <w:name w:val="文本正文"/>
    <w:basedOn w:val="1"/>
    <w:link w:val="305"/>
    <w:semiHidden/>
    <w:qFormat/>
    <w:uiPriority w:val="99"/>
    <w:pPr>
      <w:spacing w:line="360" w:lineRule="auto"/>
      <w:ind w:firstLine="200" w:firstLineChars="200"/>
      <w:jc w:val="left"/>
    </w:pPr>
    <w:rPr>
      <w:kern w:val="0"/>
      <w:sz w:val="24"/>
      <w:szCs w:val="20"/>
    </w:rPr>
  </w:style>
  <w:style w:type="character" w:customStyle="1" w:styleId="307">
    <w:name w:val="content"/>
    <w:qFormat/>
    <w:uiPriority w:val="99"/>
    <w:rPr>
      <w:rFonts w:ascii="宋体" w:hAnsi="宋体" w:eastAsia="宋体"/>
      <w:kern w:val="2"/>
      <w:sz w:val="24"/>
      <w:lang w:val="en-US" w:eastAsia="zh-CN"/>
    </w:rPr>
  </w:style>
  <w:style w:type="character" w:customStyle="1" w:styleId="308">
    <w:name w:val="dectext1"/>
    <w:qFormat/>
    <w:uiPriority w:val="99"/>
    <w:rPr>
      <w:rFonts w:ascii="宋体" w:hAnsi="宋体" w:eastAsia="宋体"/>
      <w:color w:val="333333"/>
      <w:sz w:val="21"/>
      <w:u w:val="none"/>
    </w:rPr>
  </w:style>
  <w:style w:type="character" w:customStyle="1" w:styleId="309">
    <w:name w:val="图片居中 大王 20100426 Char"/>
    <w:link w:val="310"/>
    <w:qFormat/>
    <w:locked/>
    <w:uiPriority w:val="99"/>
    <w:rPr>
      <w:spacing w:val="10"/>
      <w:sz w:val="24"/>
    </w:rPr>
  </w:style>
  <w:style w:type="paragraph" w:customStyle="1" w:styleId="310">
    <w:name w:val="图片居中 大王 20100426"/>
    <w:basedOn w:val="1"/>
    <w:link w:val="309"/>
    <w:qFormat/>
    <w:uiPriority w:val="99"/>
    <w:pPr>
      <w:snapToGrid w:val="0"/>
      <w:spacing w:beforeLines="20" w:afterLines="20"/>
      <w:jc w:val="center"/>
    </w:pPr>
    <w:rPr>
      <w:spacing w:val="10"/>
      <w:kern w:val="0"/>
      <w:sz w:val="24"/>
      <w:szCs w:val="20"/>
    </w:rPr>
  </w:style>
  <w:style w:type="character" w:customStyle="1" w:styleId="311">
    <w:name w:val="fontstyle01"/>
    <w:qFormat/>
    <w:uiPriority w:val="99"/>
    <w:rPr>
      <w:rFonts w:ascii="宋体" w:hAnsi="宋体" w:eastAsia="宋体"/>
      <w:color w:val="000000"/>
      <w:sz w:val="24"/>
    </w:rPr>
  </w:style>
  <w:style w:type="character" w:customStyle="1" w:styleId="312">
    <w:name w:val="样式24 Char Char"/>
    <w:link w:val="313"/>
    <w:qFormat/>
    <w:locked/>
    <w:uiPriority w:val="99"/>
    <w:rPr>
      <w:rFonts w:ascii="宋体" w:eastAsia="宋体"/>
      <w:b/>
      <w:spacing w:val="4"/>
      <w:sz w:val="32"/>
    </w:rPr>
  </w:style>
  <w:style w:type="paragraph" w:customStyle="1" w:styleId="313">
    <w:name w:val="样式24"/>
    <w:basedOn w:val="1"/>
    <w:link w:val="312"/>
    <w:qFormat/>
    <w:uiPriority w:val="99"/>
    <w:pPr>
      <w:keepNext/>
      <w:jc w:val="center"/>
      <w:outlineLvl w:val="1"/>
    </w:pPr>
    <w:rPr>
      <w:rFonts w:ascii="宋体"/>
      <w:b/>
      <w:spacing w:val="4"/>
      <w:kern w:val="0"/>
      <w:sz w:val="32"/>
      <w:szCs w:val="20"/>
    </w:rPr>
  </w:style>
  <w:style w:type="character" w:customStyle="1" w:styleId="314">
    <w:name w:val="表头1 Char Char Char"/>
    <w:qFormat/>
    <w:uiPriority w:val="99"/>
    <w:rPr>
      <w:rFonts w:eastAsia="黑体"/>
      <w:sz w:val="28"/>
      <w:lang w:val="en-US" w:eastAsia="zh-CN"/>
    </w:rPr>
  </w:style>
  <w:style w:type="character" w:customStyle="1" w:styleId="315">
    <w:name w:val="表、图名 Char"/>
    <w:link w:val="316"/>
    <w:semiHidden/>
    <w:qFormat/>
    <w:locked/>
    <w:uiPriority w:val="99"/>
    <w:rPr>
      <w:rFonts w:ascii="宋体" w:eastAsia="黑体"/>
      <w:kern w:val="2"/>
      <w:sz w:val="24"/>
    </w:rPr>
  </w:style>
  <w:style w:type="paragraph" w:customStyle="1" w:styleId="316">
    <w:name w:val="表、图名"/>
    <w:basedOn w:val="1"/>
    <w:link w:val="315"/>
    <w:semiHidden/>
    <w:qFormat/>
    <w:uiPriority w:val="99"/>
    <w:pPr>
      <w:adjustRightInd w:val="0"/>
      <w:snapToGrid w:val="0"/>
      <w:spacing w:line="312" w:lineRule="atLeast"/>
      <w:jc w:val="center"/>
    </w:pPr>
    <w:rPr>
      <w:rFonts w:ascii="宋体" w:eastAsia="黑体"/>
      <w:sz w:val="24"/>
      <w:szCs w:val="20"/>
    </w:rPr>
  </w:style>
  <w:style w:type="character" w:customStyle="1" w:styleId="317">
    <w:name w:val="Char Char Char Char Char Char Char Char Char"/>
    <w:qFormat/>
    <w:uiPriority w:val="99"/>
    <w:rPr>
      <w:rFonts w:eastAsia="宋体"/>
      <w:kern w:val="2"/>
      <w:sz w:val="18"/>
      <w:lang w:val="en-US" w:eastAsia="zh-CN"/>
    </w:rPr>
  </w:style>
  <w:style w:type="character" w:customStyle="1" w:styleId="318">
    <w:name w:val="css11"/>
    <w:qFormat/>
    <w:uiPriority w:val="99"/>
    <w:rPr>
      <w:rFonts w:ascii="宋体" w:hAnsi="宋体" w:eastAsia="宋体"/>
      <w:color w:val="336633"/>
      <w:sz w:val="18"/>
    </w:rPr>
  </w:style>
  <w:style w:type="character" w:customStyle="1" w:styleId="319">
    <w:name w:val="表格内容 Char"/>
    <w:link w:val="320"/>
    <w:qFormat/>
    <w:locked/>
    <w:uiPriority w:val="99"/>
    <w:rPr>
      <w:sz w:val="21"/>
    </w:rPr>
  </w:style>
  <w:style w:type="paragraph" w:customStyle="1" w:styleId="320">
    <w:name w:val="表格内容"/>
    <w:basedOn w:val="1"/>
    <w:link w:val="319"/>
    <w:qFormat/>
    <w:uiPriority w:val="99"/>
    <w:pPr>
      <w:autoSpaceDE w:val="0"/>
      <w:autoSpaceDN w:val="0"/>
      <w:adjustRightInd w:val="0"/>
      <w:jc w:val="left"/>
    </w:pPr>
    <w:rPr>
      <w:kern w:val="0"/>
      <w:szCs w:val="20"/>
    </w:rPr>
  </w:style>
  <w:style w:type="character" w:customStyle="1" w:styleId="321">
    <w:name w:val="样式69 Char Char"/>
    <w:link w:val="322"/>
    <w:qFormat/>
    <w:locked/>
    <w:uiPriority w:val="99"/>
    <w:rPr>
      <w:rFonts w:ascii="宋体" w:hAnsi="宋体"/>
      <w:color w:val="000000"/>
      <w:kern w:val="0"/>
      <w:sz w:val="20"/>
      <w:szCs w:val="20"/>
    </w:rPr>
  </w:style>
  <w:style w:type="paragraph" w:customStyle="1" w:styleId="322">
    <w:name w:val="样式69"/>
    <w:basedOn w:val="1"/>
    <w:link w:val="321"/>
    <w:qFormat/>
    <w:uiPriority w:val="99"/>
    <w:pPr>
      <w:numPr>
        <w:ilvl w:val="0"/>
        <w:numId w:val="3"/>
      </w:numPr>
      <w:ind w:left="0" w:firstLine="0"/>
      <w:jc w:val="center"/>
    </w:pPr>
    <w:rPr>
      <w:rFonts w:ascii="宋体" w:hAnsi="宋体"/>
      <w:color w:val="000000"/>
      <w:kern w:val="0"/>
      <w:sz w:val="20"/>
      <w:szCs w:val="20"/>
    </w:rPr>
  </w:style>
  <w:style w:type="character" w:customStyle="1" w:styleId="323">
    <w:name w:val="s19n338"/>
    <w:qFormat/>
    <w:uiPriority w:val="99"/>
  </w:style>
  <w:style w:type="character" w:customStyle="1" w:styleId="324">
    <w:name w:val="1.1.1 Char Char"/>
    <w:link w:val="325"/>
    <w:qFormat/>
    <w:locked/>
    <w:uiPriority w:val="99"/>
    <w:rPr>
      <w:rFonts w:eastAsia="黑体"/>
      <w:sz w:val="24"/>
    </w:rPr>
  </w:style>
  <w:style w:type="paragraph" w:customStyle="1" w:styleId="325">
    <w:name w:val="1.1.1"/>
    <w:basedOn w:val="1"/>
    <w:link w:val="324"/>
    <w:qFormat/>
    <w:uiPriority w:val="99"/>
    <w:pPr>
      <w:spacing w:line="600" w:lineRule="exact"/>
      <w:outlineLvl w:val="0"/>
    </w:pPr>
    <w:rPr>
      <w:rFonts w:eastAsia="黑体"/>
      <w:kern w:val="0"/>
      <w:sz w:val="24"/>
      <w:szCs w:val="20"/>
    </w:rPr>
  </w:style>
  <w:style w:type="character" w:customStyle="1" w:styleId="326">
    <w:name w:val="s6wwf"/>
    <w:qFormat/>
    <w:uiPriority w:val="99"/>
  </w:style>
  <w:style w:type="character" w:customStyle="1" w:styleId="327">
    <w:name w:val="正文 大王 20100426 Char"/>
    <w:link w:val="328"/>
    <w:qFormat/>
    <w:locked/>
    <w:uiPriority w:val="99"/>
    <w:rPr>
      <w:spacing w:val="10"/>
      <w:kern w:val="0"/>
      <w:sz w:val="24"/>
      <w:szCs w:val="20"/>
    </w:rPr>
  </w:style>
  <w:style w:type="paragraph" w:customStyle="1" w:styleId="328">
    <w:name w:val="正文 大王 20100426"/>
    <w:basedOn w:val="1"/>
    <w:link w:val="327"/>
    <w:qFormat/>
    <w:uiPriority w:val="99"/>
    <w:pPr>
      <w:numPr>
        <w:ilvl w:val="2"/>
        <w:numId w:val="4"/>
      </w:numPr>
      <w:snapToGrid w:val="0"/>
      <w:spacing w:beforeLines="20" w:afterLines="20" w:line="360" w:lineRule="auto"/>
      <w:ind w:left="0" w:firstLine="520" w:firstLineChars="200"/>
    </w:pPr>
    <w:rPr>
      <w:spacing w:val="10"/>
      <w:kern w:val="0"/>
      <w:sz w:val="24"/>
      <w:szCs w:val="20"/>
    </w:rPr>
  </w:style>
  <w:style w:type="character" w:customStyle="1" w:styleId="329">
    <w:name w:val="unnamed3"/>
    <w:qFormat/>
    <w:uiPriority w:val="99"/>
  </w:style>
  <w:style w:type="character" w:customStyle="1" w:styleId="330">
    <w:name w:val="表内容 Char Char"/>
    <w:qFormat/>
    <w:uiPriority w:val="99"/>
    <w:rPr>
      <w:rFonts w:eastAsia="宋体"/>
    </w:rPr>
  </w:style>
  <w:style w:type="character" w:customStyle="1" w:styleId="331">
    <w:name w:val="question-title2"/>
    <w:qFormat/>
    <w:uiPriority w:val="99"/>
  </w:style>
  <w:style w:type="character" w:customStyle="1" w:styleId="332">
    <w:name w:val="表内文字 Char"/>
    <w:link w:val="333"/>
    <w:qFormat/>
    <w:locked/>
    <w:uiPriority w:val="99"/>
    <w:rPr>
      <w:kern w:val="2"/>
      <w:sz w:val="24"/>
    </w:rPr>
  </w:style>
  <w:style w:type="paragraph" w:customStyle="1" w:styleId="333">
    <w:name w:val="表内文字"/>
    <w:basedOn w:val="1"/>
    <w:next w:val="1"/>
    <w:link w:val="332"/>
    <w:qFormat/>
    <w:uiPriority w:val="99"/>
    <w:pPr>
      <w:jc w:val="center"/>
    </w:pPr>
    <w:rPr>
      <w:sz w:val="24"/>
      <w:szCs w:val="20"/>
    </w:rPr>
  </w:style>
  <w:style w:type="character" w:customStyle="1" w:styleId="334">
    <w:name w:val="postbody1"/>
    <w:qFormat/>
    <w:uiPriority w:val="99"/>
    <w:rPr>
      <w:sz w:val="21"/>
    </w:rPr>
  </w:style>
  <w:style w:type="character" w:customStyle="1" w:styleId="335">
    <w:name w:val="!正文_ALT+Z Char Char"/>
    <w:link w:val="336"/>
    <w:qFormat/>
    <w:locked/>
    <w:uiPriority w:val="99"/>
    <w:rPr>
      <w:rFonts w:eastAsia="仿宋_GB2312"/>
      <w:kern w:val="2"/>
      <w:sz w:val="28"/>
    </w:rPr>
  </w:style>
  <w:style w:type="paragraph" w:customStyle="1" w:styleId="336">
    <w:name w:val="!正文_ALT+Z"/>
    <w:basedOn w:val="1"/>
    <w:link w:val="335"/>
    <w:qFormat/>
    <w:uiPriority w:val="99"/>
    <w:pPr>
      <w:spacing w:line="520" w:lineRule="exact"/>
      <w:ind w:firstLine="200" w:firstLineChars="200"/>
    </w:pPr>
    <w:rPr>
      <w:rFonts w:eastAsia="仿宋_GB2312"/>
      <w:sz w:val="28"/>
      <w:szCs w:val="20"/>
    </w:rPr>
  </w:style>
  <w:style w:type="character" w:customStyle="1" w:styleId="337">
    <w:name w:val="表头1 Char Char"/>
    <w:qFormat/>
    <w:uiPriority w:val="99"/>
    <w:rPr>
      <w:b/>
      <w:color w:val="000000"/>
      <w:sz w:val="24"/>
    </w:rPr>
  </w:style>
  <w:style w:type="character" w:customStyle="1" w:styleId="338">
    <w:name w:val="正文文本缩进 Char Char"/>
    <w:qFormat/>
    <w:uiPriority w:val="99"/>
    <w:rPr>
      <w:rFonts w:ascii="Times New Roman" w:hAnsi="Times New Roman"/>
      <w:sz w:val="24"/>
    </w:rPr>
  </w:style>
  <w:style w:type="character" w:customStyle="1" w:styleId="339">
    <w:name w:val="Char Char11"/>
    <w:qFormat/>
    <w:uiPriority w:val="99"/>
    <w:rPr>
      <w:rFonts w:ascii="宋体" w:hAnsi="宋体" w:eastAsia="宋体"/>
      <w:kern w:val="2"/>
      <w:sz w:val="18"/>
      <w:lang w:val="en-US" w:eastAsia="zh-CN"/>
    </w:rPr>
  </w:style>
  <w:style w:type="character" w:customStyle="1" w:styleId="340">
    <w:name w:val="日期 字符"/>
    <w:qFormat/>
    <w:uiPriority w:val="99"/>
    <w:rPr>
      <w:rFonts w:ascii="Times New Roman" w:hAnsi="Times New Roman" w:eastAsia="宋体"/>
      <w:sz w:val="24"/>
    </w:rPr>
  </w:style>
  <w:style w:type="character" w:customStyle="1" w:styleId="341">
    <w:name w:val="z-窗体顶端 Char"/>
    <w:link w:val="342"/>
    <w:qFormat/>
    <w:locked/>
    <w:uiPriority w:val="99"/>
    <w:rPr>
      <w:rFonts w:ascii="宋体" w:hAnsi="Courier New"/>
      <w:sz w:val="24"/>
    </w:rPr>
  </w:style>
  <w:style w:type="paragraph" w:customStyle="1" w:styleId="342">
    <w:name w:val="z-窗体顶端1"/>
    <w:basedOn w:val="1"/>
    <w:next w:val="1"/>
    <w:link w:val="341"/>
    <w:qFormat/>
    <w:uiPriority w:val="99"/>
    <w:pPr>
      <w:pBdr>
        <w:bottom w:val="single" w:color="auto" w:sz="6" w:space="1"/>
      </w:pBdr>
      <w:adjustRightInd w:val="0"/>
      <w:snapToGrid w:val="0"/>
      <w:spacing w:line="300" w:lineRule="auto"/>
      <w:jc w:val="center"/>
    </w:pPr>
    <w:rPr>
      <w:rFonts w:ascii="宋体" w:hAnsi="Courier New"/>
      <w:kern w:val="0"/>
      <w:sz w:val="24"/>
      <w:szCs w:val="20"/>
    </w:rPr>
  </w:style>
  <w:style w:type="character" w:customStyle="1" w:styleId="343">
    <w:name w:val="tpc_content"/>
    <w:qFormat/>
    <w:uiPriority w:val="99"/>
    <w:rPr>
      <w:rFonts w:ascii="宋体" w:hAnsi="宋体" w:eastAsia="宋体"/>
      <w:kern w:val="2"/>
      <w:sz w:val="24"/>
      <w:lang w:val="en-US" w:eastAsia="zh-CN"/>
    </w:rPr>
  </w:style>
  <w:style w:type="character" w:customStyle="1" w:styleId="344">
    <w:name w:val="text_new"/>
    <w:qFormat/>
    <w:uiPriority w:val="99"/>
  </w:style>
  <w:style w:type="character" w:customStyle="1" w:styleId="345">
    <w:name w:val="Char Char12"/>
    <w:qFormat/>
    <w:uiPriority w:val="99"/>
    <w:rPr>
      <w:rFonts w:eastAsia="宋体"/>
      <w:kern w:val="2"/>
      <w:sz w:val="18"/>
      <w:lang w:val="en-US" w:eastAsia="zh-CN"/>
    </w:rPr>
  </w:style>
  <w:style w:type="character" w:customStyle="1" w:styleId="346">
    <w:name w:val="表 标题 Char Char"/>
    <w:link w:val="347"/>
    <w:qFormat/>
    <w:locked/>
    <w:uiPriority w:val="99"/>
    <w:rPr>
      <w:b/>
      <w:sz w:val="24"/>
    </w:rPr>
  </w:style>
  <w:style w:type="paragraph" w:customStyle="1" w:styleId="347">
    <w:name w:val="表 标题"/>
    <w:basedOn w:val="72"/>
    <w:next w:val="1"/>
    <w:link w:val="346"/>
    <w:qFormat/>
    <w:uiPriority w:val="99"/>
    <w:pPr>
      <w:tabs>
        <w:tab w:val="clear" w:pos="8312"/>
      </w:tabs>
      <w:adjustRightInd/>
      <w:spacing w:beforeLines="50" w:line="240" w:lineRule="auto"/>
      <w:jc w:val="center"/>
      <w:textAlignment w:val="auto"/>
    </w:pPr>
    <w:rPr>
      <w:rFonts w:ascii="Times New Roman"/>
      <w:b/>
      <w:sz w:val="24"/>
    </w:rPr>
  </w:style>
  <w:style w:type="character" w:customStyle="1" w:styleId="348">
    <w:name w:val="content1"/>
    <w:qFormat/>
    <w:uiPriority w:val="99"/>
    <w:rPr>
      <w:sz w:val="21"/>
    </w:rPr>
  </w:style>
  <w:style w:type="character" w:customStyle="1" w:styleId="349">
    <w:name w:val="表格内容 Char Char"/>
    <w:qFormat/>
    <w:uiPriority w:val="99"/>
    <w:rPr>
      <w:rFonts w:eastAsia="宋体"/>
      <w:sz w:val="24"/>
    </w:rPr>
  </w:style>
  <w:style w:type="character" w:customStyle="1" w:styleId="350">
    <w:name w:val="表格标题新 Char Char"/>
    <w:link w:val="351"/>
    <w:qFormat/>
    <w:locked/>
    <w:uiPriority w:val="99"/>
    <w:rPr>
      <w:rFonts w:eastAsia="仿宋_GB2312"/>
      <w:b/>
      <w:sz w:val="24"/>
    </w:rPr>
  </w:style>
  <w:style w:type="paragraph" w:customStyle="1" w:styleId="351">
    <w:name w:val="表格标题新"/>
    <w:basedOn w:val="176"/>
    <w:link w:val="350"/>
    <w:qFormat/>
    <w:uiPriority w:val="99"/>
    <w:pPr>
      <w:spacing w:beforeLines="50" w:line="360" w:lineRule="auto"/>
      <w:ind w:firstLine="561" w:firstLineChars="200"/>
    </w:pPr>
    <w:rPr>
      <w:b/>
      <w:kern w:val="0"/>
    </w:rPr>
  </w:style>
  <w:style w:type="character" w:customStyle="1" w:styleId="352">
    <w:name w:val="sz3evj"/>
    <w:qFormat/>
    <w:uiPriority w:val="99"/>
  </w:style>
  <w:style w:type="character" w:customStyle="1" w:styleId="353">
    <w:name w:val="宏文本 Char1"/>
    <w:semiHidden/>
    <w:qFormat/>
    <w:uiPriority w:val="99"/>
    <w:rPr>
      <w:rFonts w:ascii="Courier New" w:hAnsi="Courier New" w:eastAsia="宋体"/>
      <w:sz w:val="24"/>
    </w:rPr>
  </w:style>
  <w:style w:type="character" w:customStyle="1" w:styleId="354">
    <w:name w:val="sl0m"/>
    <w:qFormat/>
    <w:uiPriority w:val="99"/>
  </w:style>
  <w:style w:type="character" w:customStyle="1" w:styleId="355">
    <w:name w:val="标题3 Char"/>
    <w:link w:val="356"/>
    <w:qFormat/>
    <w:locked/>
    <w:uiPriority w:val="99"/>
    <w:rPr>
      <w:rFonts w:eastAsia="黑体"/>
      <w:sz w:val="24"/>
    </w:rPr>
  </w:style>
  <w:style w:type="paragraph" w:customStyle="1" w:styleId="356">
    <w:name w:val="标题3"/>
    <w:basedOn w:val="1"/>
    <w:next w:val="1"/>
    <w:link w:val="355"/>
    <w:qFormat/>
    <w:uiPriority w:val="99"/>
    <w:pPr>
      <w:keepNext/>
      <w:keepLines/>
      <w:adjustRightInd w:val="0"/>
      <w:snapToGrid w:val="0"/>
      <w:spacing w:after="50" w:line="416" w:lineRule="atLeast"/>
      <w:outlineLvl w:val="2"/>
    </w:pPr>
    <w:rPr>
      <w:rFonts w:eastAsia="黑体"/>
      <w:kern w:val="0"/>
      <w:sz w:val="24"/>
      <w:szCs w:val="20"/>
    </w:rPr>
  </w:style>
  <w:style w:type="character" w:customStyle="1" w:styleId="357">
    <w:name w:val="段落1 Char"/>
    <w:link w:val="358"/>
    <w:qFormat/>
    <w:locked/>
    <w:uiPriority w:val="99"/>
    <w:rPr>
      <w:rFonts w:ascii="宋体" w:eastAsia="宋体"/>
      <w:color w:val="000000"/>
      <w:kern w:val="28"/>
      <w:sz w:val="28"/>
    </w:rPr>
  </w:style>
  <w:style w:type="paragraph" w:customStyle="1" w:styleId="358">
    <w:name w:val="段落1"/>
    <w:basedOn w:val="1"/>
    <w:link w:val="357"/>
    <w:qFormat/>
    <w:uiPriority w:val="99"/>
    <w:pPr>
      <w:snapToGrid w:val="0"/>
      <w:spacing w:beforeLines="10" w:afterLines="10" w:line="360" w:lineRule="auto"/>
      <w:ind w:firstLine="420" w:firstLineChars="150"/>
    </w:pPr>
    <w:rPr>
      <w:rFonts w:ascii="宋体"/>
      <w:color w:val="000000"/>
      <w:kern w:val="28"/>
      <w:sz w:val="28"/>
      <w:szCs w:val="20"/>
    </w:rPr>
  </w:style>
  <w:style w:type="character" w:customStyle="1" w:styleId="359">
    <w:name w:val="表内式样 Char1"/>
    <w:link w:val="360"/>
    <w:qFormat/>
    <w:locked/>
    <w:uiPriority w:val="99"/>
    <w:rPr>
      <w:rFonts w:ascii="宋体"/>
      <w:sz w:val="21"/>
      <w:lang w:val="en-US" w:eastAsia="zh-CN"/>
    </w:rPr>
  </w:style>
  <w:style w:type="paragraph" w:customStyle="1" w:styleId="360">
    <w:name w:val="表内式样"/>
    <w:link w:val="359"/>
    <w:qFormat/>
    <w:uiPriority w:val="99"/>
    <w:pPr>
      <w:keepLines/>
      <w:widowControl w:val="0"/>
      <w:kinsoku w:val="0"/>
      <w:overflowPunct w:val="0"/>
      <w:adjustRightInd w:val="0"/>
      <w:jc w:val="center"/>
    </w:pPr>
    <w:rPr>
      <w:rFonts w:ascii="宋体" w:hAnsi="Times New Roman" w:eastAsia="宋体" w:cs="Times New Roman"/>
      <w:kern w:val="0"/>
      <w:sz w:val="21"/>
      <w:szCs w:val="21"/>
      <w:lang w:val="en-US" w:eastAsia="zh-CN" w:bidi="ar-SA"/>
    </w:rPr>
  </w:style>
  <w:style w:type="character" w:customStyle="1" w:styleId="361">
    <w:name w:val="标题 3 Char1 Char1"/>
    <w:qFormat/>
    <w:uiPriority w:val="99"/>
    <w:rPr>
      <w:rFonts w:ascii="宋体" w:hAnsi="宋体" w:eastAsia="宋体"/>
      <w:b/>
      <w:caps/>
      <w:color w:val="000000"/>
      <w:kern w:val="2"/>
      <w:sz w:val="24"/>
      <w:lang w:val="zh-CN" w:eastAsia="zh-CN"/>
    </w:rPr>
  </w:style>
  <w:style w:type="character" w:customStyle="1" w:styleId="362">
    <w:name w:val="3zw1"/>
    <w:qFormat/>
    <w:uiPriority w:val="99"/>
    <w:rPr>
      <w:color w:val="000000"/>
      <w:sz w:val="21"/>
    </w:rPr>
  </w:style>
  <w:style w:type="character" w:customStyle="1" w:styleId="363">
    <w:name w:val="s0s4w"/>
    <w:qFormat/>
    <w:uiPriority w:val="99"/>
  </w:style>
  <w:style w:type="character" w:customStyle="1" w:styleId="364">
    <w:name w:val="表 Char"/>
    <w:link w:val="365"/>
    <w:qFormat/>
    <w:locked/>
    <w:uiPriority w:val="99"/>
    <w:rPr>
      <w:spacing w:val="2"/>
      <w:kern w:val="2"/>
      <w:sz w:val="24"/>
    </w:rPr>
  </w:style>
  <w:style w:type="paragraph" w:customStyle="1" w:styleId="365">
    <w:name w:val="表"/>
    <w:basedOn w:val="1"/>
    <w:link w:val="364"/>
    <w:qFormat/>
    <w:uiPriority w:val="99"/>
    <w:pPr>
      <w:adjustRightInd w:val="0"/>
      <w:snapToGrid w:val="0"/>
      <w:jc w:val="center"/>
    </w:pPr>
    <w:rPr>
      <w:spacing w:val="2"/>
      <w:sz w:val="24"/>
      <w:szCs w:val="20"/>
    </w:rPr>
  </w:style>
  <w:style w:type="character" w:customStyle="1" w:styleId="366">
    <w:name w:val="style391"/>
    <w:qFormat/>
    <w:uiPriority w:val="99"/>
    <w:rPr>
      <w:b/>
      <w:color w:val="005984"/>
      <w:sz w:val="21"/>
    </w:rPr>
  </w:style>
  <w:style w:type="character" w:customStyle="1" w:styleId="367">
    <w:name w:val="正文 首行缩进:  2 字符 Char"/>
    <w:link w:val="368"/>
    <w:semiHidden/>
    <w:qFormat/>
    <w:locked/>
    <w:uiPriority w:val="99"/>
    <w:rPr>
      <w:kern w:val="2"/>
      <w:sz w:val="24"/>
    </w:rPr>
  </w:style>
  <w:style w:type="paragraph" w:customStyle="1" w:styleId="368">
    <w:name w:val="正文 首行缩进:  2 字符"/>
    <w:basedOn w:val="1"/>
    <w:link w:val="367"/>
    <w:semiHidden/>
    <w:qFormat/>
    <w:uiPriority w:val="99"/>
    <w:pPr>
      <w:snapToGrid w:val="0"/>
      <w:spacing w:line="500" w:lineRule="exact"/>
      <w:ind w:firstLine="480" w:firstLineChars="200"/>
      <w:jc w:val="left"/>
    </w:pPr>
    <w:rPr>
      <w:sz w:val="24"/>
      <w:szCs w:val="20"/>
    </w:rPr>
  </w:style>
  <w:style w:type="character" w:customStyle="1" w:styleId="369">
    <w:name w:val="样式91 Char Char"/>
    <w:link w:val="370"/>
    <w:qFormat/>
    <w:locked/>
    <w:uiPriority w:val="99"/>
    <w:rPr>
      <w:rFonts w:ascii="宋体" w:eastAsia="宋体"/>
      <w:color w:val="000000"/>
      <w:sz w:val="28"/>
    </w:rPr>
  </w:style>
  <w:style w:type="paragraph" w:customStyle="1" w:styleId="370">
    <w:name w:val="样式91"/>
    <w:basedOn w:val="1"/>
    <w:link w:val="369"/>
    <w:qFormat/>
    <w:uiPriority w:val="99"/>
    <w:pPr>
      <w:spacing w:line="480" w:lineRule="exact"/>
      <w:ind w:firstLine="560" w:firstLineChars="200"/>
    </w:pPr>
    <w:rPr>
      <w:rFonts w:ascii="宋体"/>
      <w:color w:val="000000"/>
      <w:kern w:val="0"/>
      <w:sz w:val="28"/>
      <w:szCs w:val="20"/>
    </w:rPr>
  </w:style>
  <w:style w:type="character" w:customStyle="1" w:styleId="371">
    <w:name w:val="表内容 Char"/>
    <w:link w:val="372"/>
    <w:qFormat/>
    <w:locked/>
    <w:uiPriority w:val="99"/>
    <w:rPr>
      <w:kern w:val="2"/>
      <w:sz w:val="21"/>
    </w:rPr>
  </w:style>
  <w:style w:type="paragraph" w:customStyle="1" w:styleId="372">
    <w:name w:val="表内容"/>
    <w:basedOn w:val="1"/>
    <w:next w:val="1"/>
    <w:link w:val="371"/>
    <w:qFormat/>
    <w:uiPriority w:val="99"/>
    <w:pPr>
      <w:spacing w:line="320" w:lineRule="exact"/>
      <w:jc w:val="center"/>
    </w:pPr>
    <w:rPr>
      <w:szCs w:val="20"/>
    </w:rPr>
  </w:style>
  <w:style w:type="character" w:customStyle="1" w:styleId="373">
    <w:name w:val="style81"/>
    <w:qFormat/>
    <w:uiPriority w:val="99"/>
    <w:rPr>
      <w:rFonts w:ascii="宋体" w:hAnsi="宋体" w:eastAsia="宋体"/>
    </w:rPr>
  </w:style>
  <w:style w:type="character" w:customStyle="1" w:styleId="374">
    <w:name w:val="s5y7c"/>
    <w:qFormat/>
    <w:uiPriority w:val="99"/>
  </w:style>
  <w:style w:type="character" w:customStyle="1" w:styleId="375">
    <w:name w:val="title41"/>
    <w:qFormat/>
    <w:uiPriority w:val="99"/>
  </w:style>
  <w:style w:type="character" w:customStyle="1" w:styleId="376">
    <w:name w:val="报告正文 Char"/>
    <w:link w:val="377"/>
    <w:qFormat/>
    <w:locked/>
    <w:uiPriority w:val="99"/>
    <w:rPr>
      <w:kern w:val="2"/>
      <w:sz w:val="24"/>
      <w:lang w:val="zh-CN"/>
    </w:rPr>
  </w:style>
  <w:style w:type="paragraph" w:customStyle="1" w:styleId="377">
    <w:name w:val="报告正文"/>
    <w:basedOn w:val="1"/>
    <w:link w:val="376"/>
    <w:qFormat/>
    <w:uiPriority w:val="99"/>
    <w:pPr>
      <w:adjustRightInd w:val="0"/>
      <w:snapToGrid w:val="0"/>
      <w:spacing w:line="360" w:lineRule="auto"/>
      <w:ind w:firstLine="200" w:firstLineChars="200"/>
    </w:pPr>
    <w:rPr>
      <w:sz w:val="24"/>
      <w:szCs w:val="20"/>
      <w:lang w:val="zh-CN"/>
    </w:rPr>
  </w:style>
  <w:style w:type="character" w:customStyle="1" w:styleId="378">
    <w:name w:val="paragragh1"/>
    <w:qFormat/>
    <w:uiPriority w:val="99"/>
    <w:rPr>
      <w:color w:val="004040"/>
      <w:sz w:val="21"/>
    </w:rPr>
  </w:style>
  <w:style w:type="character" w:customStyle="1" w:styleId="379">
    <w:name w:val="标题 1 Char Char"/>
    <w:qFormat/>
    <w:uiPriority w:val="99"/>
    <w:rPr>
      <w:rFonts w:ascii="宋体" w:hAnsi="宋体" w:eastAsia="宋体"/>
      <w:b/>
      <w:kern w:val="44"/>
      <w:sz w:val="44"/>
      <w:lang w:val="en-US" w:eastAsia="zh-CN"/>
    </w:rPr>
  </w:style>
  <w:style w:type="character" w:customStyle="1" w:styleId="380">
    <w:name w:val="表标题 Char Char"/>
    <w:qFormat/>
    <w:uiPriority w:val="99"/>
    <w:rPr>
      <w:rFonts w:eastAsia="宋体"/>
      <w:b/>
      <w:sz w:val="18"/>
    </w:rPr>
  </w:style>
  <w:style w:type="character" w:customStyle="1" w:styleId="381">
    <w:name w:val="t_tag"/>
    <w:qFormat/>
    <w:uiPriority w:val="99"/>
    <w:rPr>
      <w:rFonts w:ascii="宋体" w:hAnsi="宋体" w:eastAsia="宋体"/>
      <w:kern w:val="2"/>
      <w:sz w:val="24"/>
      <w:lang w:val="en-US" w:eastAsia="zh-CN"/>
    </w:rPr>
  </w:style>
  <w:style w:type="character" w:customStyle="1" w:styleId="382">
    <w:name w:val="s2ze7v"/>
    <w:qFormat/>
    <w:uiPriority w:val="99"/>
  </w:style>
  <w:style w:type="character" w:customStyle="1" w:styleId="383">
    <w:name w:val="tpc_title"/>
    <w:qFormat/>
    <w:uiPriority w:val="99"/>
    <w:rPr>
      <w:rFonts w:ascii="宋体" w:hAnsi="宋体" w:eastAsia="宋体"/>
      <w:kern w:val="2"/>
      <w:sz w:val="24"/>
      <w:lang w:val="en-US" w:eastAsia="zh-CN"/>
    </w:rPr>
  </w:style>
  <w:style w:type="character" w:customStyle="1" w:styleId="384">
    <w:name w:val="正文1 Char"/>
    <w:link w:val="58"/>
    <w:qFormat/>
    <w:locked/>
    <w:uiPriority w:val="99"/>
    <w:rPr>
      <w:kern w:val="2"/>
      <w:sz w:val="24"/>
    </w:rPr>
  </w:style>
  <w:style w:type="character" w:customStyle="1" w:styleId="385">
    <w:name w:val="gray_text12"/>
    <w:qFormat/>
    <w:uiPriority w:val="99"/>
  </w:style>
  <w:style w:type="character" w:customStyle="1" w:styleId="386">
    <w:name w:val="样式 表格内容 + (符号) 宋体 Char"/>
    <w:link w:val="387"/>
    <w:qFormat/>
    <w:locked/>
    <w:uiPriority w:val="99"/>
    <w:rPr>
      <w:sz w:val="21"/>
    </w:rPr>
  </w:style>
  <w:style w:type="paragraph" w:customStyle="1" w:styleId="387">
    <w:name w:val="样式 表格内容 + (符号) 宋体"/>
    <w:basedOn w:val="320"/>
    <w:link w:val="386"/>
    <w:qFormat/>
    <w:uiPriority w:val="99"/>
  </w:style>
  <w:style w:type="character" w:customStyle="1" w:styleId="388">
    <w:name w:val="报告书正文 Char"/>
    <w:qFormat/>
    <w:uiPriority w:val="99"/>
    <w:rPr>
      <w:rFonts w:ascii="宋体" w:hAnsi="宋体" w:eastAsia="宋体"/>
      <w:kern w:val="2"/>
      <w:sz w:val="24"/>
      <w:lang w:val="en-US" w:eastAsia="zh-CN"/>
    </w:rPr>
  </w:style>
  <w:style w:type="character" w:customStyle="1" w:styleId="389">
    <w:name w:val="甲乙酮正文 Char Char"/>
    <w:link w:val="390"/>
    <w:qFormat/>
    <w:locked/>
    <w:uiPriority w:val="99"/>
    <w:rPr>
      <w:color w:val="000000"/>
      <w:sz w:val="24"/>
    </w:rPr>
  </w:style>
  <w:style w:type="paragraph" w:customStyle="1" w:styleId="390">
    <w:name w:val="甲乙酮正文"/>
    <w:basedOn w:val="84"/>
    <w:link w:val="389"/>
    <w:qFormat/>
    <w:uiPriority w:val="99"/>
    <w:pPr>
      <w:spacing w:after="0" w:line="360" w:lineRule="auto"/>
      <w:ind w:firstLine="200" w:firstLineChars="200"/>
      <w:jc w:val="left"/>
    </w:pPr>
    <w:rPr>
      <w:color w:val="000000"/>
      <w:kern w:val="0"/>
      <w:sz w:val="24"/>
      <w:szCs w:val="20"/>
    </w:rPr>
  </w:style>
  <w:style w:type="character" w:customStyle="1" w:styleId="391">
    <w:name w:val="正文文字 Char Char"/>
    <w:qFormat/>
    <w:uiPriority w:val="99"/>
    <w:rPr>
      <w:rFonts w:ascii="宋体" w:hAnsi="宋体" w:eastAsia="宋体"/>
      <w:kern w:val="2"/>
      <w:sz w:val="24"/>
      <w:lang w:val="en-US" w:eastAsia="zh-CN"/>
    </w:rPr>
  </w:style>
  <w:style w:type="character" w:customStyle="1" w:styleId="392">
    <w:name w:val="headline-content2"/>
    <w:qFormat/>
    <w:uiPriority w:val="99"/>
  </w:style>
  <w:style w:type="character" w:customStyle="1" w:styleId="393">
    <w:name w:val="grame"/>
    <w:qFormat/>
    <w:uiPriority w:val="99"/>
  </w:style>
  <w:style w:type="character" w:customStyle="1" w:styleId="394">
    <w:name w:val="报告 Char"/>
    <w:link w:val="395"/>
    <w:qFormat/>
    <w:locked/>
    <w:uiPriority w:val="99"/>
    <w:rPr>
      <w:sz w:val="24"/>
    </w:rPr>
  </w:style>
  <w:style w:type="paragraph" w:customStyle="1" w:styleId="395">
    <w:name w:val="报告"/>
    <w:basedOn w:val="1"/>
    <w:link w:val="394"/>
    <w:qFormat/>
    <w:uiPriority w:val="99"/>
    <w:pPr>
      <w:adjustRightInd w:val="0"/>
      <w:spacing w:line="360" w:lineRule="auto"/>
      <w:ind w:firstLine="505"/>
      <w:textAlignment w:val="baseline"/>
    </w:pPr>
    <w:rPr>
      <w:kern w:val="0"/>
      <w:sz w:val="24"/>
      <w:szCs w:val="20"/>
    </w:rPr>
  </w:style>
  <w:style w:type="character" w:customStyle="1" w:styleId="396">
    <w:name w:val="dash6b63-6587--char"/>
    <w:qFormat/>
    <w:uiPriority w:val="99"/>
    <w:rPr>
      <w:rFonts w:ascii="宋体" w:hAnsi="宋体" w:eastAsia="宋体"/>
      <w:kern w:val="2"/>
      <w:sz w:val="24"/>
      <w:lang w:val="en-US" w:eastAsia="zh-CN"/>
    </w:rPr>
  </w:style>
  <w:style w:type="character" w:customStyle="1" w:styleId="397">
    <w:name w:val="dz1"/>
    <w:qFormat/>
    <w:uiPriority w:val="99"/>
    <w:rPr>
      <w:rFonts w:ascii="??" w:hAnsi="??"/>
      <w:sz w:val="30"/>
    </w:rPr>
  </w:style>
  <w:style w:type="character" w:customStyle="1" w:styleId="398">
    <w:name w:val="seecix"/>
    <w:qFormat/>
    <w:uiPriority w:val="99"/>
  </w:style>
  <w:style w:type="character" w:customStyle="1" w:styleId="399">
    <w:name w:val="表头王 Char"/>
    <w:link w:val="400"/>
    <w:semiHidden/>
    <w:qFormat/>
    <w:locked/>
    <w:uiPriority w:val="99"/>
    <w:rPr>
      <w:rFonts w:ascii="宋体" w:eastAsia="宋体"/>
      <w:b/>
      <w:color w:val="000000"/>
      <w:sz w:val="24"/>
      <w:lang w:val="zh-CN"/>
    </w:rPr>
  </w:style>
  <w:style w:type="paragraph" w:customStyle="1" w:styleId="400">
    <w:name w:val="表头王"/>
    <w:basedOn w:val="1"/>
    <w:link w:val="399"/>
    <w:semiHidden/>
    <w:qFormat/>
    <w:uiPriority w:val="99"/>
    <w:pPr>
      <w:adjustRightInd w:val="0"/>
      <w:snapToGrid w:val="0"/>
      <w:spacing w:line="360" w:lineRule="auto"/>
      <w:jc w:val="center"/>
    </w:pPr>
    <w:rPr>
      <w:rFonts w:ascii="宋体"/>
      <w:b/>
      <w:color w:val="000000"/>
      <w:kern w:val="0"/>
      <w:sz w:val="24"/>
      <w:szCs w:val="20"/>
      <w:lang w:val="zh-CN"/>
    </w:rPr>
  </w:style>
  <w:style w:type="character" w:customStyle="1" w:styleId="401">
    <w:name w:val="s8h0t"/>
    <w:qFormat/>
    <w:uiPriority w:val="99"/>
  </w:style>
  <w:style w:type="character" w:customStyle="1" w:styleId="402">
    <w:name w:val="样式1 Char"/>
    <w:qFormat/>
    <w:uiPriority w:val="99"/>
    <w:rPr>
      <w:rFonts w:ascii="宋体" w:hAnsi="宋体" w:eastAsia="宋体"/>
      <w:b/>
      <w:kern w:val="2"/>
      <w:sz w:val="24"/>
      <w:lang w:val="en-US" w:eastAsia="zh-CN"/>
    </w:rPr>
  </w:style>
  <w:style w:type="character" w:styleId="403">
    <w:name w:val="Placeholder Text"/>
    <w:basedOn w:val="91"/>
    <w:qFormat/>
    <w:uiPriority w:val="99"/>
    <w:rPr>
      <w:rFonts w:cs="Times New Roman"/>
      <w:color w:val="808080"/>
    </w:rPr>
  </w:style>
  <w:style w:type="character" w:customStyle="1" w:styleId="404">
    <w:name w:val="正文文本 Char Char"/>
    <w:qFormat/>
    <w:uiPriority w:val="99"/>
    <w:rPr>
      <w:rFonts w:eastAsia="宋体"/>
      <w:kern w:val="2"/>
      <w:sz w:val="24"/>
      <w:lang w:val="en-US" w:eastAsia="zh-CN"/>
    </w:rPr>
  </w:style>
  <w:style w:type="character" w:customStyle="1" w:styleId="405">
    <w:name w:val="Char Char19"/>
    <w:qFormat/>
    <w:uiPriority w:val="99"/>
    <w:rPr>
      <w:rFonts w:eastAsia="仿宋_GB2312"/>
      <w:sz w:val="18"/>
      <w:lang w:val="en-US" w:eastAsia="zh-CN"/>
    </w:rPr>
  </w:style>
  <w:style w:type="character" w:customStyle="1" w:styleId="406">
    <w:name w:val="尾注文本 字符1"/>
    <w:qFormat/>
    <w:uiPriority w:val="99"/>
    <w:rPr>
      <w:kern w:val="2"/>
      <w:sz w:val="24"/>
    </w:rPr>
  </w:style>
  <w:style w:type="character" w:customStyle="1" w:styleId="407">
    <w:name w:val="样式 正文 首行缩进:  2 字符 + (中文) 楷体_GB2312 Char"/>
    <w:link w:val="408"/>
    <w:semiHidden/>
    <w:qFormat/>
    <w:locked/>
    <w:uiPriority w:val="99"/>
    <w:rPr>
      <w:rFonts w:eastAsia="楷体_GB2312"/>
      <w:kern w:val="2"/>
      <w:sz w:val="24"/>
    </w:rPr>
  </w:style>
  <w:style w:type="paragraph" w:customStyle="1" w:styleId="408">
    <w:name w:val="样式 正文 首行缩进:  2 字符 + (中文) 楷体_GB2312"/>
    <w:basedOn w:val="368"/>
    <w:link w:val="407"/>
    <w:semiHidden/>
    <w:qFormat/>
    <w:uiPriority w:val="99"/>
    <w:pPr>
      <w:adjustRightInd w:val="0"/>
      <w:ind w:firstLine="200"/>
      <w:jc w:val="both"/>
    </w:pPr>
    <w:rPr>
      <w:rFonts w:eastAsia="楷体_GB2312"/>
    </w:rPr>
  </w:style>
  <w:style w:type="character" w:customStyle="1" w:styleId="409">
    <w:name w:val="样式 小四 行距: 1.5 倍行距 Char Char"/>
    <w:link w:val="410"/>
    <w:qFormat/>
    <w:locked/>
    <w:uiPriority w:val="99"/>
    <w:rPr>
      <w:sz w:val="24"/>
    </w:rPr>
  </w:style>
  <w:style w:type="paragraph" w:customStyle="1" w:styleId="410">
    <w:name w:val="样式 小四 行距: 1.5 倍行距"/>
    <w:basedOn w:val="1"/>
    <w:link w:val="409"/>
    <w:qFormat/>
    <w:uiPriority w:val="99"/>
    <w:pPr>
      <w:spacing w:line="360" w:lineRule="auto"/>
      <w:ind w:firstLine="480" w:firstLineChars="200"/>
    </w:pPr>
    <w:rPr>
      <w:kern w:val="0"/>
      <w:sz w:val="24"/>
      <w:szCs w:val="20"/>
    </w:rPr>
  </w:style>
  <w:style w:type="character" w:customStyle="1" w:styleId="411">
    <w:name w:val="正文(首行缩进) Char Char"/>
    <w:link w:val="412"/>
    <w:qFormat/>
    <w:locked/>
    <w:uiPriority w:val="99"/>
    <w:rPr>
      <w:rFonts w:ascii="宋体" w:eastAsia="宋体"/>
      <w:color w:val="000000"/>
      <w:kern w:val="2"/>
      <w:sz w:val="24"/>
    </w:rPr>
  </w:style>
  <w:style w:type="paragraph" w:customStyle="1" w:styleId="412">
    <w:name w:val="正文(首行缩进)"/>
    <w:basedOn w:val="1"/>
    <w:link w:val="411"/>
    <w:qFormat/>
    <w:uiPriority w:val="99"/>
    <w:pPr>
      <w:spacing w:line="360" w:lineRule="auto"/>
      <w:ind w:firstLine="540" w:firstLineChars="225"/>
    </w:pPr>
    <w:rPr>
      <w:rFonts w:ascii="宋体"/>
      <w:color w:val="000000"/>
      <w:sz w:val="24"/>
      <w:szCs w:val="20"/>
    </w:rPr>
  </w:style>
  <w:style w:type="character" w:customStyle="1" w:styleId="413">
    <w:name w:val="表格文字 Char Char"/>
    <w:link w:val="414"/>
    <w:qFormat/>
    <w:locked/>
    <w:uiPriority w:val="99"/>
    <w:rPr>
      <w:rFonts w:ascii="仿宋_GB2312" w:hAnsi="Arial Black" w:eastAsia="仿宋_GB2312"/>
      <w:kern w:val="44"/>
      <w:sz w:val="24"/>
    </w:rPr>
  </w:style>
  <w:style w:type="paragraph" w:customStyle="1" w:styleId="414">
    <w:name w:val="表格文字"/>
    <w:basedOn w:val="1"/>
    <w:link w:val="413"/>
    <w:qFormat/>
    <w:uiPriority w:val="99"/>
    <w:pPr>
      <w:jc w:val="center"/>
    </w:pPr>
    <w:rPr>
      <w:rFonts w:ascii="仿宋_GB2312" w:hAnsi="Arial Black" w:eastAsia="仿宋_GB2312"/>
      <w:kern w:val="44"/>
      <w:sz w:val="24"/>
      <w:szCs w:val="20"/>
    </w:rPr>
  </w:style>
  <w:style w:type="character" w:customStyle="1" w:styleId="415">
    <w:name w:val="标题 Char Char"/>
    <w:qFormat/>
    <w:uiPriority w:val="99"/>
    <w:rPr>
      <w:rFonts w:ascii="Arial" w:hAnsi="Arial" w:eastAsia="宋体"/>
      <w:b/>
      <w:sz w:val="32"/>
      <w:lang w:val="en-US" w:eastAsia="zh-CN"/>
    </w:rPr>
  </w:style>
  <w:style w:type="character" w:customStyle="1" w:styleId="416">
    <w:name w:val="Char Char4"/>
    <w:qFormat/>
    <w:uiPriority w:val="99"/>
    <w:rPr>
      <w:rFonts w:ascii="宋体" w:hAnsi="宋体" w:eastAsia="宋体"/>
      <w:kern w:val="2"/>
      <w:sz w:val="24"/>
      <w:lang w:val="en-US" w:eastAsia="zh-CN"/>
    </w:rPr>
  </w:style>
  <w:style w:type="character" w:customStyle="1" w:styleId="417">
    <w:name w:val="样式35 Char Char"/>
    <w:link w:val="418"/>
    <w:qFormat/>
    <w:locked/>
    <w:uiPriority w:val="99"/>
    <w:rPr>
      <w:color w:val="000000"/>
      <w:sz w:val="28"/>
    </w:rPr>
  </w:style>
  <w:style w:type="paragraph" w:customStyle="1" w:styleId="418">
    <w:name w:val="样式35"/>
    <w:basedOn w:val="1"/>
    <w:link w:val="417"/>
    <w:qFormat/>
    <w:uiPriority w:val="99"/>
    <w:pPr>
      <w:snapToGrid w:val="0"/>
      <w:spacing w:line="360" w:lineRule="auto"/>
      <w:ind w:firstLine="560" w:firstLineChars="200"/>
    </w:pPr>
    <w:rPr>
      <w:color w:val="000000"/>
      <w:kern w:val="0"/>
      <w:sz w:val="28"/>
      <w:szCs w:val="20"/>
    </w:rPr>
  </w:style>
  <w:style w:type="character" w:customStyle="1" w:styleId="419">
    <w:name w:val="bt21"/>
    <w:qFormat/>
    <w:uiPriority w:val="99"/>
    <w:rPr>
      <w:rFonts w:ascii="黑体" w:eastAsia="黑体"/>
      <w:sz w:val="24"/>
    </w:rPr>
  </w:style>
  <w:style w:type="character" w:customStyle="1" w:styleId="420">
    <w:name w:val="表标题 Char"/>
    <w:link w:val="421"/>
    <w:qFormat/>
    <w:locked/>
    <w:uiPriority w:val="99"/>
    <w:rPr>
      <w:b/>
      <w:kern w:val="2"/>
      <w:sz w:val="18"/>
    </w:rPr>
  </w:style>
  <w:style w:type="paragraph" w:customStyle="1" w:styleId="421">
    <w:name w:val="表标题"/>
    <w:basedOn w:val="84"/>
    <w:link w:val="420"/>
    <w:qFormat/>
    <w:uiPriority w:val="99"/>
    <w:pPr>
      <w:adjustRightInd w:val="0"/>
      <w:snapToGrid w:val="0"/>
      <w:spacing w:before="60" w:after="60" w:line="500" w:lineRule="exact"/>
      <w:ind w:firstLine="0" w:firstLineChars="0"/>
      <w:jc w:val="center"/>
    </w:pPr>
    <w:rPr>
      <w:b/>
      <w:sz w:val="18"/>
      <w:szCs w:val="20"/>
    </w:rPr>
  </w:style>
  <w:style w:type="character" w:customStyle="1" w:styleId="422">
    <w:name w:val="样式 标题 3H31.1.1标题 3条标题1.1.1h3level_3PIM 3Level 3 HeadHead... Char Char"/>
    <w:link w:val="423"/>
    <w:qFormat/>
    <w:locked/>
    <w:uiPriority w:val="99"/>
    <w:rPr>
      <w:rFonts w:ascii="黑体" w:hAnsi="黑体" w:eastAsia="黑体"/>
      <w:sz w:val="32"/>
    </w:rPr>
  </w:style>
  <w:style w:type="paragraph" w:customStyle="1" w:styleId="423">
    <w:name w:val="样式 标题 3H31.1.1标题 3条标题1.1.1h3level_3PIM 3Level 3 HeadHead..."/>
    <w:basedOn w:val="9"/>
    <w:link w:val="422"/>
    <w:qFormat/>
    <w:uiPriority w:val="99"/>
    <w:pPr>
      <w:tabs>
        <w:tab w:val="left" w:pos="1260"/>
      </w:tabs>
      <w:spacing w:line="360" w:lineRule="auto"/>
      <w:ind w:left="1260" w:hanging="420"/>
    </w:pPr>
    <w:rPr>
      <w:rFonts w:ascii="黑体" w:hAnsi="黑体" w:eastAsia="黑体"/>
      <w:b w:val="0"/>
      <w:bCs w:val="0"/>
      <w:kern w:val="0"/>
      <w:szCs w:val="20"/>
    </w:rPr>
  </w:style>
  <w:style w:type="character" w:customStyle="1" w:styleId="424">
    <w:name w:val="sovnn"/>
    <w:qFormat/>
    <w:uiPriority w:val="99"/>
  </w:style>
  <w:style w:type="character" w:customStyle="1" w:styleId="425">
    <w:name w:val="si16"/>
    <w:qFormat/>
    <w:uiPriority w:val="99"/>
  </w:style>
  <w:style w:type="character" w:customStyle="1" w:styleId="426">
    <w:name w:val="样式26 Char Char"/>
    <w:link w:val="427"/>
    <w:qFormat/>
    <w:locked/>
    <w:uiPriority w:val="99"/>
    <w:rPr>
      <w:rFonts w:ascii="宋体" w:eastAsia="宋体"/>
      <w:color w:val="000000"/>
      <w:sz w:val="24"/>
    </w:rPr>
  </w:style>
  <w:style w:type="paragraph" w:customStyle="1" w:styleId="427">
    <w:name w:val="样式26"/>
    <w:basedOn w:val="1"/>
    <w:link w:val="426"/>
    <w:qFormat/>
    <w:uiPriority w:val="99"/>
    <w:pPr>
      <w:spacing w:line="520" w:lineRule="exact"/>
      <w:ind w:firstLine="560" w:firstLineChars="200"/>
      <w:jc w:val="left"/>
    </w:pPr>
    <w:rPr>
      <w:rFonts w:ascii="宋体"/>
      <w:color w:val="000000"/>
      <w:kern w:val="0"/>
      <w:sz w:val="24"/>
      <w:szCs w:val="20"/>
    </w:rPr>
  </w:style>
  <w:style w:type="character" w:customStyle="1" w:styleId="428">
    <w:name w:val="c"/>
    <w:qFormat/>
    <w:uiPriority w:val="99"/>
    <w:rPr>
      <w:rFonts w:ascii="宋体" w:hAnsi="宋体" w:eastAsia="宋体"/>
      <w:kern w:val="2"/>
      <w:sz w:val="24"/>
      <w:lang w:val="en-US" w:eastAsia="zh-CN"/>
    </w:rPr>
  </w:style>
  <w:style w:type="character" w:customStyle="1" w:styleId="429">
    <w:name w:val="条标题1.1.1 Char1"/>
    <w:qFormat/>
    <w:uiPriority w:val="99"/>
    <w:rPr>
      <w:b/>
      <w:sz w:val="32"/>
    </w:rPr>
  </w:style>
  <w:style w:type="character" w:customStyle="1" w:styleId="430">
    <w:name w:val="正文四号ss Char Char"/>
    <w:link w:val="431"/>
    <w:qFormat/>
    <w:locked/>
    <w:uiPriority w:val="99"/>
    <w:rPr>
      <w:rFonts w:ascii="宋体" w:eastAsia="宋体"/>
      <w:sz w:val="28"/>
    </w:rPr>
  </w:style>
  <w:style w:type="paragraph" w:customStyle="1" w:styleId="431">
    <w:name w:val="正文四号ss"/>
    <w:basedOn w:val="1"/>
    <w:next w:val="1"/>
    <w:link w:val="430"/>
    <w:qFormat/>
    <w:uiPriority w:val="99"/>
    <w:pPr>
      <w:spacing w:line="520" w:lineRule="exact"/>
      <w:ind w:firstLine="200" w:firstLineChars="200"/>
    </w:pPr>
    <w:rPr>
      <w:rFonts w:ascii="宋体"/>
      <w:kern w:val="0"/>
      <w:sz w:val="28"/>
      <w:szCs w:val="20"/>
    </w:rPr>
  </w:style>
  <w:style w:type="character" w:customStyle="1" w:styleId="432">
    <w:name w:val="scu4wkd"/>
    <w:qFormat/>
    <w:uiPriority w:val="99"/>
  </w:style>
  <w:style w:type="character" w:customStyle="1" w:styleId="433">
    <w:name w:val="申兴正文 Char Char"/>
    <w:link w:val="434"/>
    <w:qFormat/>
    <w:locked/>
    <w:uiPriority w:val="99"/>
    <w:rPr>
      <w:sz w:val="24"/>
    </w:rPr>
  </w:style>
  <w:style w:type="paragraph" w:customStyle="1" w:styleId="434">
    <w:name w:val="申兴正文"/>
    <w:basedOn w:val="1"/>
    <w:link w:val="433"/>
    <w:qFormat/>
    <w:uiPriority w:val="99"/>
    <w:pPr>
      <w:spacing w:line="360" w:lineRule="auto"/>
      <w:ind w:firstLine="200" w:firstLineChars="200"/>
    </w:pPr>
    <w:rPr>
      <w:kern w:val="0"/>
      <w:sz w:val="24"/>
      <w:szCs w:val="20"/>
    </w:rPr>
  </w:style>
  <w:style w:type="character" w:customStyle="1" w:styleId="435">
    <w:name w:val="标题 7表内5号 Char1"/>
    <w:qFormat/>
    <w:uiPriority w:val="99"/>
    <w:rPr>
      <w:rFonts w:eastAsia="宋体"/>
      <w:b/>
      <w:sz w:val="24"/>
    </w:rPr>
  </w:style>
  <w:style w:type="character" w:customStyle="1" w:styleId="436">
    <w:name w:val="satajq8"/>
    <w:qFormat/>
    <w:uiPriority w:val="99"/>
  </w:style>
  <w:style w:type="character" w:customStyle="1" w:styleId="437">
    <w:name w:val="样式 标题 4 + 行距: 1.5 倍行距 Char"/>
    <w:link w:val="438"/>
    <w:qFormat/>
    <w:locked/>
    <w:uiPriority w:val="99"/>
    <w:rPr>
      <w:rFonts w:ascii="Cambria" w:hAnsi="Cambria" w:eastAsia="黑体"/>
      <w:b/>
      <w:kern w:val="2"/>
      <w:sz w:val="28"/>
    </w:rPr>
  </w:style>
  <w:style w:type="paragraph" w:customStyle="1" w:styleId="438">
    <w:name w:val="样式 标题 4 + 行距: 1.5 倍行距"/>
    <w:basedOn w:val="10"/>
    <w:link w:val="437"/>
    <w:qFormat/>
    <w:uiPriority w:val="99"/>
    <w:pPr>
      <w:snapToGrid w:val="0"/>
      <w:spacing w:beforeLines="50" w:after="0" w:line="360" w:lineRule="auto"/>
      <w:ind w:left="2884" w:hanging="2884"/>
      <w:jc w:val="left"/>
    </w:pPr>
    <w:rPr>
      <w:rFonts w:eastAsia="黑体"/>
      <w:bCs w:val="0"/>
      <w:szCs w:val="20"/>
    </w:rPr>
  </w:style>
  <w:style w:type="character" w:customStyle="1" w:styleId="439">
    <w:name w:val="正文1 Char Char"/>
    <w:qFormat/>
    <w:uiPriority w:val="99"/>
    <w:rPr>
      <w:rFonts w:ascii="宋体" w:eastAsia="宋体"/>
      <w:kern w:val="21"/>
      <w:position w:val="2"/>
      <w:sz w:val="24"/>
      <w:lang w:val="en-US" w:eastAsia="zh-CN"/>
    </w:rPr>
  </w:style>
  <w:style w:type="character" w:customStyle="1" w:styleId="440">
    <w:name w:val="正文缩进 Char1"/>
    <w:qFormat/>
    <w:uiPriority w:val="99"/>
    <w:rPr>
      <w:kern w:val="2"/>
      <w:sz w:val="24"/>
      <w:lang w:val="zh-CN" w:eastAsia="zh-CN"/>
    </w:rPr>
  </w:style>
  <w:style w:type="character" w:customStyle="1" w:styleId="441">
    <w:name w:val="正文01 Char Char"/>
    <w:link w:val="442"/>
    <w:qFormat/>
    <w:locked/>
    <w:uiPriority w:val="99"/>
    <w:rPr>
      <w:rFonts w:ascii="Arial" w:hAnsi="Arial"/>
      <w:sz w:val="24"/>
    </w:rPr>
  </w:style>
  <w:style w:type="paragraph" w:customStyle="1" w:styleId="442">
    <w:name w:val="正文01"/>
    <w:basedOn w:val="1"/>
    <w:link w:val="441"/>
    <w:qFormat/>
    <w:uiPriority w:val="99"/>
    <w:pPr>
      <w:spacing w:before="60" w:line="460" w:lineRule="exact"/>
      <w:ind w:firstLine="200" w:firstLineChars="200"/>
    </w:pPr>
    <w:rPr>
      <w:rFonts w:ascii="Arial" w:hAnsi="Arial"/>
      <w:kern w:val="0"/>
      <w:sz w:val="24"/>
      <w:szCs w:val="20"/>
    </w:rPr>
  </w:style>
  <w:style w:type="character" w:customStyle="1" w:styleId="443">
    <w:name w:val="表格使用文字 Char"/>
    <w:link w:val="199"/>
    <w:qFormat/>
    <w:locked/>
    <w:uiPriority w:val="99"/>
    <w:rPr>
      <w:color w:val="000000"/>
      <w:kern w:val="2"/>
      <w:sz w:val="21"/>
    </w:rPr>
  </w:style>
  <w:style w:type="character" w:customStyle="1" w:styleId="444">
    <w:name w:val="正文 Char Char"/>
    <w:qFormat/>
    <w:uiPriority w:val="99"/>
    <w:rPr>
      <w:rFonts w:ascii="仿宋_GB2312" w:hAnsi="宋体" w:eastAsia="仿宋_GB2312"/>
      <w:color w:val="000000"/>
      <w:kern w:val="2"/>
      <w:sz w:val="24"/>
      <w:lang w:val="en-US" w:eastAsia="zh-CN"/>
    </w:rPr>
  </w:style>
  <w:style w:type="character" w:customStyle="1" w:styleId="445">
    <w:name w:val="甲乙酮正文 Char Char Char"/>
    <w:qFormat/>
    <w:uiPriority w:val="99"/>
    <w:rPr>
      <w:rFonts w:ascii="Times New Roman" w:hAnsi="Times New Roman" w:eastAsia="宋体"/>
      <w:color w:val="000000"/>
      <w:sz w:val="24"/>
    </w:rPr>
  </w:style>
  <w:style w:type="character" w:customStyle="1" w:styleId="446">
    <w:name w:val="表格内容 Char Char Char"/>
    <w:qFormat/>
    <w:uiPriority w:val="99"/>
    <w:rPr>
      <w:rFonts w:ascii="Arial" w:hAnsi="Arial" w:eastAsia="仿宋_GB2312"/>
      <w:sz w:val="24"/>
      <w:lang w:val="en-US" w:eastAsia="zh-CN"/>
    </w:rPr>
  </w:style>
  <w:style w:type="character" w:customStyle="1" w:styleId="447">
    <w:name w:val="表格内文字 Char Char Char"/>
    <w:qFormat/>
    <w:uiPriority w:val="99"/>
    <w:rPr>
      <w:rFonts w:ascii="仿宋_GB2312" w:eastAsia="仿宋_GB2312"/>
      <w:kern w:val="2"/>
      <w:sz w:val="24"/>
      <w:lang w:val="en-US" w:eastAsia="zh-CN"/>
    </w:rPr>
  </w:style>
  <w:style w:type="character" w:customStyle="1" w:styleId="448">
    <w:name w:val="part"/>
    <w:qFormat/>
    <w:uiPriority w:val="99"/>
    <w:rPr>
      <w:rFonts w:ascii="宋体" w:hAnsi="宋体" w:eastAsia="宋体"/>
      <w:kern w:val="2"/>
      <w:sz w:val="24"/>
      <w:lang w:val="en-US" w:eastAsia="zh-CN"/>
    </w:rPr>
  </w:style>
  <w:style w:type="character" w:customStyle="1" w:styleId="449">
    <w:name w:val="样式2 Char Char"/>
    <w:qFormat/>
    <w:uiPriority w:val="99"/>
    <w:rPr>
      <w:rFonts w:eastAsia="Times New Roman"/>
      <w:kern w:val="2"/>
      <w:sz w:val="24"/>
      <w:lang w:val="en-US" w:eastAsia="zh-CN"/>
    </w:rPr>
  </w:style>
  <w:style w:type="character" w:customStyle="1" w:styleId="450">
    <w:name w:val="td21"/>
    <w:qFormat/>
    <w:uiPriority w:val="99"/>
    <w:rPr>
      <w:sz w:val="21"/>
      <w:u w:val="none"/>
    </w:rPr>
  </w:style>
  <w:style w:type="character" w:customStyle="1" w:styleId="451">
    <w:name w:val="highlight1"/>
    <w:qFormat/>
    <w:uiPriority w:val="99"/>
    <w:rPr>
      <w:sz w:val="21"/>
    </w:rPr>
  </w:style>
  <w:style w:type="character" w:customStyle="1" w:styleId="452">
    <w:name w:val="宋体4 Char Char"/>
    <w:link w:val="453"/>
    <w:qFormat/>
    <w:locked/>
    <w:uiPriority w:val="99"/>
    <w:rPr>
      <w:sz w:val="48"/>
    </w:rPr>
  </w:style>
  <w:style w:type="paragraph" w:customStyle="1" w:styleId="453">
    <w:name w:val="宋体4"/>
    <w:basedOn w:val="1"/>
    <w:link w:val="452"/>
    <w:qFormat/>
    <w:uiPriority w:val="99"/>
    <w:pPr>
      <w:spacing w:line="360" w:lineRule="auto"/>
      <w:ind w:firstLine="200" w:firstLineChars="200"/>
    </w:pPr>
    <w:rPr>
      <w:kern w:val="0"/>
      <w:sz w:val="48"/>
      <w:szCs w:val="20"/>
    </w:rPr>
  </w:style>
  <w:style w:type="character" w:customStyle="1" w:styleId="454">
    <w:name w:val="indetail1"/>
    <w:qFormat/>
    <w:uiPriority w:val="99"/>
    <w:rPr>
      <w:sz w:val="18"/>
      <w:bdr w:val="single" w:color="E2E2E2" w:sz="6" w:space="0"/>
    </w:rPr>
  </w:style>
  <w:style w:type="character" w:customStyle="1" w:styleId="455">
    <w:name w:val="专用字体 Char Char"/>
    <w:link w:val="456"/>
    <w:qFormat/>
    <w:locked/>
    <w:uiPriority w:val="99"/>
    <w:rPr>
      <w:sz w:val="24"/>
    </w:rPr>
  </w:style>
  <w:style w:type="paragraph" w:customStyle="1" w:styleId="456">
    <w:name w:val="专用字体"/>
    <w:basedOn w:val="1"/>
    <w:link w:val="455"/>
    <w:qFormat/>
    <w:uiPriority w:val="99"/>
    <w:pPr>
      <w:spacing w:line="360" w:lineRule="auto"/>
      <w:ind w:firstLine="200" w:firstLineChars="200"/>
    </w:pPr>
    <w:rPr>
      <w:kern w:val="0"/>
      <w:sz w:val="24"/>
      <w:szCs w:val="20"/>
    </w:rPr>
  </w:style>
  <w:style w:type="character" w:customStyle="1" w:styleId="457">
    <w:name w:val="甲乙酮标题3 Char Char"/>
    <w:link w:val="458"/>
    <w:qFormat/>
    <w:locked/>
    <w:uiPriority w:val="99"/>
    <w:rPr>
      <w:b/>
      <w:sz w:val="32"/>
    </w:rPr>
  </w:style>
  <w:style w:type="paragraph" w:customStyle="1" w:styleId="458">
    <w:name w:val="甲乙酮标题3"/>
    <w:basedOn w:val="9"/>
    <w:link w:val="457"/>
    <w:qFormat/>
    <w:uiPriority w:val="99"/>
    <w:pPr>
      <w:tabs>
        <w:tab w:val="left" w:pos="1260"/>
      </w:tabs>
      <w:spacing w:before="100" w:after="100" w:line="360" w:lineRule="auto"/>
      <w:ind w:left="1260" w:hanging="420"/>
    </w:pPr>
    <w:rPr>
      <w:bCs w:val="0"/>
      <w:kern w:val="0"/>
      <w:szCs w:val="20"/>
    </w:rPr>
  </w:style>
  <w:style w:type="character" w:customStyle="1" w:styleId="459">
    <w:name w:val="Char Char Char1"/>
    <w:qFormat/>
    <w:uiPriority w:val="99"/>
    <w:rPr>
      <w:rFonts w:ascii="宋体" w:hAnsi="Courier New" w:eastAsia="宋体"/>
      <w:kern w:val="2"/>
      <w:sz w:val="21"/>
      <w:lang w:val="en-US" w:eastAsia="zh-CN"/>
    </w:rPr>
  </w:style>
  <w:style w:type="character" w:customStyle="1" w:styleId="460">
    <w:name w:val="表格填充1 Char Char"/>
    <w:qFormat/>
    <w:uiPriority w:val="99"/>
    <w:rPr>
      <w:rFonts w:eastAsia="宋体"/>
      <w:sz w:val="18"/>
    </w:rPr>
  </w:style>
  <w:style w:type="character" w:customStyle="1" w:styleId="461">
    <w:name w:val="表格文字1 Char Char"/>
    <w:link w:val="462"/>
    <w:qFormat/>
    <w:locked/>
    <w:uiPriority w:val="99"/>
    <w:rPr>
      <w:color w:val="000000"/>
      <w:sz w:val="21"/>
    </w:rPr>
  </w:style>
  <w:style w:type="paragraph" w:customStyle="1" w:styleId="462">
    <w:name w:val="表格文字1"/>
    <w:basedOn w:val="176"/>
    <w:link w:val="461"/>
    <w:qFormat/>
    <w:uiPriority w:val="99"/>
    <w:rPr>
      <w:rFonts w:eastAsia="宋体"/>
      <w:color w:val="000000"/>
      <w:kern w:val="0"/>
      <w:sz w:val="21"/>
    </w:rPr>
  </w:style>
  <w:style w:type="character" w:customStyle="1" w:styleId="463">
    <w:name w:val="标题1.1.1.1.1.1 Char1"/>
    <w:qFormat/>
    <w:uiPriority w:val="99"/>
    <w:rPr>
      <w:rFonts w:ascii="Arial" w:hAnsi="Arial" w:eastAsia="黑体"/>
      <w:b/>
      <w:sz w:val="24"/>
    </w:rPr>
  </w:style>
  <w:style w:type="character" w:customStyle="1" w:styleId="464">
    <w:name w:val="s1"/>
    <w:qFormat/>
    <w:uiPriority w:val="99"/>
    <w:rPr>
      <w:sz w:val="18"/>
    </w:rPr>
  </w:style>
  <w:style w:type="character" w:customStyle="1" w:styleId="465">
    <w:name w:val="正文5号 Char Char1"/>
    <w:qFormat/>
    <w:uiPriority w:val="99"/>
    <w:rPr>
      <w:sz w:val="24"/>
    </w:rPr>
  </w:style>
  <w:style w:type="character" w:customStyle="1" w:styleId="466">
    <w:name w:val="what"/>
    <w:qFormat/>
    <w:uiPriority w:val="99"/>
    <w:rPr>
      <w:rFonts w:eastAsia="宋体"/>
      <w:kern w:val="2"/>
      <w:sz w:val="24"/>
      <w:lang w:val="en-US" w:eastAsia="zh-CN"/>
    </w:rPr>
  </w:style>
  <w:style w:type="character" w:customStyle="1" w:styleId="467">
    <w:name w:val="报告正文1 Char Char"/>
    <w:link w:val="468"/>
    <w:qFormat/>
    <w:locked/>
    <w:uiPriority w:val="99"/>
    <w:rPr>
      <w:color w:val="000000"/>
      <w:sz w:val="24"/>
    </w:rPr>
  </w:style>
  <w:style w:type="paragraph" w:customStyle="1" w:styleId="468">
    <w:name w:val="报告正文1"/>
    <w:basedOn w:val="2"/>
    <w:link w:val="467"/>
    <w:qFormat/>
    <w:uiPriority w:val="99"/>
    <w:pPr>
      <w:spacing w:after="0" w:line="360" w:lineRule="auto"/>
      <w:ind w:left="0" w:leftChars="0" w:firstLine="200"/>
    </w:pPr>
    <w:rPr>
      <w:color w:val="000000"/>
      <w:kern w:val="0"/>
      <w:sz w:val="24"/>
      <w:szCs w:val="20"/>
    </w:rPr>
  </w:style>
  <w:style w:type="character" w:customStyle="1" w:styleId="469">
    <w:name w:val="b1 Char2"/>
    <w:qFormat/>
    <w:uiPriority w:val="99"/>
    <w:rPr>
      <w:rFonts w:ascii="Calibri" w:hAnsi="Calibri"/>
      <w:b/>
      <w:kern w:val="44"/>
      <w:sz w:val="44"/>
    </w:rPr>
  </w:style>
  <w:style w:type="character" w:customStyle="1" w:styleId="470">
    <w:name w:val="nine-11"/>
    <w:qFormat/>
    <w:uiPriority w:val="99"/>
    <w:rPr>
      <w:sz w:val="18"/>
    </w:rPr>
  </w:style>
  <w:style w:type="character" w:customStyle="1" w:styleId="471">
    <w:name w:val="sf6tjlp"/>
    <w:qFormat/>
    <w:uiPriority w:val="99"/>
  </w:style>
  <w:style w:type="character" w:customStyle="1" w:styleId="472">
    <w:name w:val="兴武正文 Char Char"/>
    <w:link w:val="473"/>
    <w:qFormat/>
    <w:locked/>
    <w:uiPriority w:val="99"/>
    <w:rPr>
      <w:sz w:val="24"/>
    </w:rPr>
  </w:style>
  <w:style w:type="paragraph" w:customStyle="1" w:styleId="473">
    <w:name w:val="兴武正文"/>
    <w:basedOn w:val="1"/>
    <w:link w:val="472"/>
    <w:qFormat/>
    <w:uiPriority w:val="99"/>
    <w:pPr>
      <w:spacing w:line="480" w:lineRule="exact"/>
      <w:ind w:firstLine="200" w:firstLineChars="200"/>
    </w:pPr>
    <w:rPr>
      <w:kern w:val="0"/>
      <w:sz w:val="24"/>
      <w:szCs w:val="20"/>
    </w:rPr>
  </w:style>
  <w:style w:type="character" w:customStyle="1" w:styleId="474">
    <w:name w:val="a11"/>
    <w:qFormat/>
    <w:uiPriority w:val="99"/>
  </w:style>
  <w:style w:type="character" w:customStyle="1" w:styleId="475">
    <w:name w:val="main-1"/>
    <w:qFormat/>
    <w:uiPriority w:val="99"/>
  </w:style>
  <w:style w:type="character" w:customStyle="1" w:styleId="476">
    <w:name w:val="s4y5"/>
    <w:qFormat/>
    <w:uiPriority w:val="99"/>
  </w:style>
  <w:style w:type="character" w:customStyle="1" w:styleId="477">
    <w:name w:val="lh131"/>
    <w:qFormat/>
    <w:uiPriority w:val="99"/>
  </w:style>
  <w:style w:type="character" w:customStyle="1" w:styleId="478">
    <w:name w:val="Char Char27"/>
    <w:qFormat/>
    <w:uiPriority w:val="99"/>
    <w:rPr>
      <w:kern w:val="2"/>
      <w:sz w:val="21"/>
    </w:rPr>
  </w:style>
  <w:style w:type="character" w:customStyle="1" w:styleId="479">
    <w:name w:val="shekj8m"/>
    <w:qFormat/>
    <w:uiPriority w:val="99"/>
  </w:style>
  <w:style w:type="character" w:customStyle="1" w:styleId="480">
    <w:name w:val="正文样式 Char Char Char Char Char Char Char"/>
    <w:link w:val="481"/>
    <w:qFormat/>
    <w:locked/>
    <w:uiPriority w:val="99"/>
    <w:rPr>
      <w:rFonts w:ascii="宋体" w:eastAsia="宋体"/>
      <w:color w:val="000000"/>
      <w:sz w:val="24"/>
    </w:rPr>
  </w:style>
  <w:style w:type="paragraph" w:customStyle="1" w:styleId="481">
    <w:name w:val="正文样式 Char Char Char Char Char"/>
    <w:basedOn w:val="1"/>
    <w:link w:val="480"/>
    <w:qFormat/>
    <w:uiPriority w:val="99"/>
    <w:pPr>
      <w:spacing w:line="360" w:lineRule="auto"/>
      <w:ind w:firstLine="480" w:firstLineChars="200"/>
    </w:pPr>
    <w:rPr>
      <w:rFonts w:ascii="宋体"/>
      <w:color w:val="000000"/>
      <w:kern w:val="0"/>
      <w:sz w:val="24"/>
      <w:szCs w:val="20"/>
    </w:rPr>
  </w:style>
  <w:style w:type="character" w:customStyle="1" w:styleId="482">
    <w:name w:val="样式14 Char Char"/>
    <w:link w:val="483"/>
    <w:qFormat/>
    <w:locked/>
    <w:uiPriority w:val="99"/>
    <w:rPr>
      <w:rFonts w:ascii="仿宋_GB2312" w:hAnsi="宋体" w:eastAsia="仿宋_GB2312"/>
      <w:sz w:val="24"/>
    </w:rPr>
  </w:style>
  <w:style w:type="paragraph" w:customStyle="1" w:styleId="483">
    <w:name w:val="样式14"/>
    <w:basedOn w:val="484"/>
    <w:link w:val="482"/>
    <w:qFormat/>
    <w:uiPriority w:val="99"/>
    <w:pPr>
      <w:adjustRightInd w:val="0"/>
      <w:spacing w:line="240" w:lineRule="auto"/>
      <w:textAlignment w:val="baseline"/>
    </w:pPr>
    <w:rPr>
      <w:rFonts w:ascii="仿宋_GB2312" w:eastAsia="仿宋_GB2312"/>
      <w:kern w:val="0"/>
      <w:sz w:val="24"/>
      <w:szCs w:val="20"/>
    </w:rPr>
  </w:style>
  <w:style w:type="paragraph" w:customStyle="1" w:styleId="484">
    <w:name w:val="图表文字"/>
    <w:basedOn w:val="1"/>
    <w:qFormat/>
    <w:uiPriority w:val="99"/>
    <w:pPr>
      <w:spacing w:line="320" w:lineRule="exact"/>
      <w:jc w:val="center"/>
    </w:pPr>
    <w:rPr>
      <w:rFonts w:ascii="宋体" w:hAnsi="宋体"/>
      <w:szCs w:val="21"/>
    </w:rPr>
  </w:style>
  <w:style w:type="character" w:customStyle="1" w:styleId="485">
    <w:name w:val="s9n1k0c"/>
    <w:qFormat/>
    <w:uiPriority w:val="99"/>
  </w:style>
  <w:style w:type="character" w:customStyle="1" w:styleId="486">
    <w:name w:val="Char Char5"/>
    <w:qFormat/>
    <w:uiPriority w:val="99"/>
    <w:rPr>
      <w:rFonts w:ascii="宋体" w:hAnsi="宋体" w:eastAsia="宋体"/>
      <w:kern w:val="2"/>
      <w:sz w:val="24"/>
      <w:lang w:val="en-US" w:eastAsia="zh-CN"/>
    </w:rPr>
  </w:style>
  <w:style w:type="character" w:customStyle="1" w:styleId="487">
    <w:name w:val="正文2 Char Char"/>
    <w:link w:val="488"/>
    <w:qFormat/>
    <w:locked/>
    <w:uiPriority w:val="99"/>
    <w:rPr>
      <w:sz w:val="44"/>
    </w:rPr>
  </w:style>
  <w:style w:type="paragraph" w:customStyle="1" w:styleId="488">
    <w:name w:val="正文21"/>
    <w:basedOn w:val="1"/>
    <w:link w:val="487"/>
    <w:qFormat/>
    <w:uiPriority w:val="99"/>
    <w:pPr>
      <w:adjustRightInd w:val="0"/>
      <w:spacing w:line="360" w:lineRule="auto"/>
      <w:ind w:firstLine="200" w:firstLineChars="200"/>
    </w:pPr>
    <w:rPr>
      <w:kern w:val="0"/>
      <w:sz w:val="44"/>
      <w:szCs w:val="20"/>
    </w:rPr>
  </w:style>
  <w:style w:type="character" w:customStyle="1" w:styleId="489">
    <w:name w:val="title31"/>
    <w:qFormat/>
    <w:uiPriority w:val="99"/>
  </w:style>
  <w:style w:type="character" w:customStyle="1" w:styleId="490">
    <w:name w:val="sfmq"/>
    <w:qFormat/>
    <w:uiPriority w:val="99"/>
  </w:style>
  <w:style w:type="character" w:customStyle="1" w:styleId="491">
    <w:name w:val="f121"/>
    <w:qFormat/>
    <w:uiPriority w:val="99"/>
    <w:rPr>
      <w:sz w:val="18"/>
      <w:u w:val="none"/>
    </w:rPr>
  </w:style>
  <w:style w:type="character" w:customStyle="1" w:styleId="492">
    <w:name w:val="sxwt2u"/>
    <w:qFormat/>
    <w:uiPriority w:val="99"/>
  </w:style>
  <w:style w:type="character" w:customStyle="1" w:styleId="493">
    <w:name w:val="style191"/>
    <w:qFormat/>
    <w:uiPriority w:val="99"/>
    <w:rPr>
      <w:b/>
      <w:color w:val="FF0000"/>
    </w:rPr>
  </w:style>
  <w:style w:type="character" w:customStyle="1" w:styleId="494">
    <w:name w:val="sv1hyw"/>
    <w:qFormat/>
    <w:uiPriority w:val="99"/>
  </w:style>
  <w:style w:type="character" w:customStyle="1" w:styleId="495">
    <w:name w:val="td1"/>
    <w:qFormat/>
    <w:uiPriority w:val="99"/>
    <w:rPr>
      <w:color w:val="000000"/>
      <w:sz w:val="21"/>
    </w:rPr>
  </w:style>
  <w:style w:type="character" w:customStyle="1" w:styleId="496">
    <w:name w:val="样式82 Char Char"/>
    <w:link w:val="497"/>
    <w:qFormat/>
    <w:locked/>
    <w:uiPriority w:val="99"/>
    <w:rPr>
      <w:rFonts w:ascii="宋体" w:eastAsia="宋体"/>
      <w:sz w:val="28"/>
    </w:rPr>
  </w:style>
  <w:style w:type="paragraph" w:customStyle="1" w:styleId="497">
    <w:name w:val="样式82"/>
    <w:basedOn w:val="1"/>
    <w:link w:val="496"/>
    <w:qFormat/>
    <w:uiPriority w:val="99"/>
    <w:pPr>
      <w:spacing w:line="360" w:lineRule="auto"/>
      <w:ind w:firstLine="560" w:firstLineChars="200"/>
    </w:pPr>
    <w:rPr>
      <w:rFonts w:ascii="宋体"/>
      <w:kern w:val="0"/>
      <w:sz w:val="28"/>
      <w:szCs w:val="20"/>
    </w:rPr>
  </w:style>
  <w:style w:type="character" w:customStyle="1" w:styleId="498">
    <w:name w:val="s lh15"/>
    <w:qFormat/>
    <w:uiPriority w:val="99"/>
  </w:style>
  <w:style w:type="character" w:customStyle="1" w:styleId="499">
    <w:name w:val="s8xye"/>
    <w:qFormat/>
    <w:uiPriority w:val="99"/>
  </w:style>
  <w:style w:type="character" w:customStyle="1" w:styleId="500">
    <w:name w:val="style61"/>
    <w:qFormat/>
    <w:uiPriority w:val="99"/>
    <w:rPr>
      <w:sz w:val="45"/>
    </w:rPr>
  </w:style>
  <w:style w:type="character" w:customStyle="1" w:styleId="501">
    <w:name w:val="表格001 Char Char"/>
    <w:link w:val="502"/>
    <w:qFormat/>
    <w:locked/>
    <w:uiPriority w:val="99"/>
  </w:style>
  <w:style w:type="paragraph" w:customStyle="1" w:styleId="502">
    <w:name w:val="表格001"/>
    <w:basedOn w:val="1"/>
    <w:link w:val="501"/>
    <w:qFormat/>
    <w:uiPriority w:val="99"/>
    <w:pPr>
      <w:jc w:val="center"/>
    </w:pPr>
    <w:rPr>
      <w:kern w:val="0"/>
      <w:sz w:val="20"/>
      <w:szCs w:val="20"/>
    </w:rPr>
  </w:style>
  <w:style w:type="character" w:customStyle="1" w:styleId="503">
    <w:name w:val="style421"/>
    <w:qFormat/>
    <w:uiPriority w:val="99"/>
    <w:rPr>
      <w:color w:val="287D3C"/>
      <w:sz w:val="21"/>
    </w:rPr>
  </w:style>
  <w:style w:type="character" w:customStyle="1" w:styleId="504">
    <w:name w:val="高表单 Char Char"/>
    <w:qFormat/>
    <w:uiPriority w:val="99"/>
    <w:rPr>
      <w:rFonts w:ascii="Arial" w:hAnsi="Arial" w:eastAsia="宋体"/>
      <w:kern w:val="2"/>
      <w:sz w:val="21"/>
      <w:lang w:val="en-US" w:eastAsia="zh-CN"/>
    </w:rPr>
  </w:style>
  <w:style w:type="character" w:customStyle="1" w:styleId="505">
    <w:name w:val="soqzabs"/>
    <w:qFormat/>
    <w:uiPriority w:val="99"/>
  </w:style>
  <w:style w:type="character" w:customStyle="1" w:styleId="506">
    <w:name w:val="pccs1"/>
    <w:qFormat/>
    <w:uiPriority w:val="99"/>
    <w:rPr>
      <w:sz w:val="18"/>
    </w:rPr>
  </w:style>
  <w:style w:type="character" w:customStyle="1" w:styleId="507">
    <w:name w:val="s9zsb3q"/>
    <w:qFormat/>
    <w:uiPriority w:val="99"/>
  </w:style>
  <w:style w:type="character" w:customStyle="1" w:styleId="508">
    <w:name w:val="unnamed91"/>
    <w:qFormat/>
    <w:uiPriority w:val="99"/>
    <w:rPr>
      <w:rFonts w:ascii="宋体" w:hAnsi="宋体" w:eastAsia="宋体"/>
      <w:color w:val="000000"/>
      <w:sz w:val="18"/>
      <w:u w:val="none"/>
    </w:rPr>
  </w:style>
  <w:style w:type="character" w:customStyle="1" w:styleId="509">
    <w:name w:val="sj4lab"/>
    <w:qFormat/>
    <w:uiPriority w:val="99"/>
  </w:style>
  <w:style w:type="character" w:customStyle="1" w:styleId="510">
    <w:name w:val="ttitle1"/>
    <w:qFormat/>
    <w:uiPriority w:val="99"/>
    <w:rPr>
      <w:spacing w:val="120"/>
      <w:sz w:val="21"/>
    </w:rPr>
  </w:style>
  <w:style w:type="character" w:customStyle="1" w:styleId="511">
    <w:name w:val="style21"/>
    <w:qFormat/>
    <w:uiPriority w:val="99"/>
    <w:rPr>
      <w:color w:val="00007F"/>
    </w:rPr>
  </w:style>
  <w:style w:type="character" w:customStyle="1" w:styleId="512">
    <w:name w:val="sdi8io"/>
    <w:qFormat/>
    <w:uiPriority w:val="99"/>
  </w:style>
  <w:style w:type="character" w:customStyle="1" w:styleId="513">
    <w:name w:val="正文缩进 Cha Char"/>
    <w:qFormat/>
    <w:uiPriority w:val="99"/>
    <w:rPr>
      <w:rFonts w:eastAsia="宋体"/>
      <w:kern w:val="2"/>
      <w:sz w:val="24"/>
      <w:lang w:val="en-US" w:eastAsia="zh-CN"/>
    </w:rPr>
  </w:style>
  <w:style w:type="character" w:customStyle="1" w:styleId="514">
    <w:name w:val="表文字 Char Char"/>
    <w:link w:val="515"/>
    <w:qFormat/>
    <w:locked/>
    <w:uiPriority w:val="99"/>
    <w:rPr>
      <w:sz w:val="24"/>
    </w:rPr>
  </w:style>
  <w:style w:type="paragraph" w:customStyle="1" w:styleId="515">
    <w:name w:val="表文字"/>
    <w:basedOn w:val="1"/>
    <w:link w:val="514"/>
    <w:qFormat/>
    <w:uiPriority w:val="99"/>
    <w:pPr>
      <w:overflowPunct w:val="0"/>
      <w:autoSpaceDE w:val="0"/>
      <w:autoSpaceDN w:val="0"/>
      <w:adjustRightInd w:val="0"/>
      <w:spacing w:line="240" w:lineRule="atLeast"/>
      <w:jc w:val="center"/>
      <w:textAlignment w:val="baseline"/>
    </w:pPr>
    <w:rPr>
      <w:kern w:val="0"/>
      <w:sz w:val="24"/>
      <w:szCs w:val="20"/>
    </w:rPr>
  </w:style>
  <w:style w:type="character" w:customStyle="1" w:styleId="516">
    <w:name w:val="soa7bda"/>
    <w:qFormat/>
    <w:uiPriority w:val="99"/>
  </w:style>
  <w:style w:type="character" w:customStyle="1" w:styleId="517">
    <w:name w:val="sxuoj4"/>
    <w:qFormat/>
    <w:uiPriority w:val="99"/>
  </w:style>
  <w:style w:type="character" w:customStyle="1" w:styleId="518">
    <w:name w:val="报告 Char Char"/>
    <w:qFormat/>
    <w:uiPriority w:val="99"/>
    <w:rPr>
      <w:sz w:val="24"/>
    </w:rPr>
  </w:style>
  <w:style w:type="character" w:customStyle="1" w:styleId="519">
    <w:name w:val="标题 21"/>
    <w:qFormat/>
    <w:uiPriority w:val="99"/>
    <w:rPr>
      <w:rFonts w:ascii="黑体" w:hAnsi="Arial" w:eastAsia="黑体"/>
      <w:kern w:val="2"/>
      <w:sz w:val="32"/>
      <w:lang w:val="en-US" w:eastAsia="zh-CN"/>
    </w:rPr>
  </w:style>
  <w:style w:type="character" w:customStyle="1" w:styleId="520">
    <w:name w:val="样式21 Char Char"/>
    <w:link w:val="521"/>
    <w:qFormat/>
    <w:locked/>
    <w:uiPriority w:val="99"/>
    <w:rPr>
      <w:rFonts w:ascii="宋体" w:eastAsia="宋体"/>
      <w:b/>
      <w:color w:val="000000"/>
      <w:sz w:val="28"/>
      <w:lang w:val="zh-CN"/>
    </w:rPr>
  </w:style>
  <w:style w:type="paragraph" w:customStyle="1" w:styleId="521">
    <w:name w:val="样式21"/>
    <w:basedOn w:val="279"/>
    <w:link w:val="520"/>
    <w:qFormat/>
    <w:uiPriority w:val="99"/>
    <w:pPr>
      <w:spacing w:beforeLines="0" w:afterLines="0" w:line="480" w:lineRule="auto"/>
      <w:ind w:firstLine="3500" w:firstLineChars="1250"/>
      <w:jc w:val="both"/>
      <w:outlineLvl w:val="9"/>
    </w:pPr>
    <w:rPr>
      <w:rFonts w:ascii="宋体" w:eastAsia="宋体"/>
      <w:sz w:val="28"/>
      <w:lang w:val="zh-CN"/>
    </w:rPr>
  </w:style>
  <w:style w:type="character" w:customStyle="1" w:styleId="522">
    <w:name w:val="zjgblk1"/>
    <w:qFormat/>
    <w:uiPriority w:val="99"/>
    <w:rPr>
      <w:color w:val="000000"/>
      <w:sz w:val="18"/>
      <w:u w:val="none"/>
    </w:rPr>
  </w:style>
  <w:style w:type="character" w:customStyle="1" w:styleId="523">
    <w:name w:val="sub42"/>
    <w:qFormat/>
    <w:uiPriority w:val="99"/>
  </w:style>
  <w:style w:type="character" w:customStyle="1" w:styleId="524">
    <w:name w:val="smuvt"/>
    <w:qFormat/>
    <w:uiPriority w:val="99"/>
  </w:style>
  <w:style w:type="character" w:customStyle="1" w:styleId="525">
    <w:name w:val="sgiivq"/>
    <w:qFormat/>
    <w:uiPriority w:val="99"/>
  </w:style>
  <w:style w:type="character" w:customStyle="1" w:styleId="526">
    <w:name w:val="标题 12"/>
    <w:qFormat/>
    <w:uiPriority w:val="99"/>
    <w:rPr>
      <w:rFonts w:ascii="黑体" w:eastAsia="黑体"/>
      <w:kern w:val="44"/>
      <w:sz w:val="44"/>
      <w:lang w:val="en-US" w:eastAsia="zh-CN"/>
    </w:rPr>
  </w:style>
  <w:style w:type="character" w:customStyle="1" w:styleId="527">
    <w:name w:val="nava61"/>
    <w:qFormat/>
    <w:uiPriority w:val="99"/>
    <w:rPr>
      <w:color w:val="000000"/>
      <w:sz w:val="21"/>
      <w:u w:val="none"/>
    </w:rPr>
  </w:style>
  <w:style w:type="character" w:customStyle="1" w:styleId="528">
    <w:name w:val="Char Char Char11"/>
    <w:qFormat/>
    <w:uiPriority w:val="99"/>
    <w:rPr>
      <w:rFonts w:eastAsia="宋体"/>
      <w:kern w:val="2"/>
      <w:sz w:val="24"/>
      <w:lang w:val="en-US" w:eastAsia="zh-CN"/>
    </w:rPr>
  </w:style>
  <w:style w:type="character" w:customStyle="1" w:styleId="529">
    <w:name w:val="sc2f7tt"/>
    <w:qFormat/>
    <w:uiPriority w:val="99"/>
  </w:style>
  <w:style w:type="character" w:customStyle="1" w:styleId="530">
    <w:name w:val="oblog_text"/>
    <w:qFormat/>
    <w:uiPriority w:val="99"/>
  </w:style>
  <w:style w:type="character" w:customStyle="1" w:styleId="531">
    <w:name w:val="xiaozhiti1"/>
    <w:qFormat/>
    <w:uiPriority w:val="99"/>
    <w:rPr>
      <w:sz w:val="18"/>
    </w:rPr>
  </w:style>
  <w:style w:type="character" w:customStyle="1" w:styleId="532">
    <w:name w:val="标题 Char1"/>
    <w:qFormat/>
    <w:uiPriority w:val="99"/>
    <w:rPr>
      <w:rFonts w:ascii="Arial" w:hAnsi="Arial" w:eastAsia="黑体"/>
      <w:b/>
      <w:kern w:val="2"/>
      <w:sz w:val="32"/>
      <w:lang w:val="en-US" w:eastAsia="zh-CN"/>
    </w:rPr>
  </w:style>
  <w:style w:type="character" w:customStyle="1" w:styleId="533">
    <w:name w:val="sub_title1"/>
    <w:qFormat/>
    <w:uiPriority w:val="99"/>
    <w:rPr>
      <w:color w:val="FF6600"/>
      <w:sz w:val="21"/>
    </w:rPr>
  </w:style>
  <w:style w:type="character" w:customStyle="1" w:styleId="534">
    <w:name w:val="s6lx"/>
    <w:qFormat/>
    <w:uiPriority w:val="99"/>
  </w:style>
  <w:style w:type="character" w:customStyle="1" w:styleId="535">
    <w:name w:val="sy7t"/>
    <w:qFormat/>
    <w:uiPriority w:val="99"/>
  </w:style>
  <w:style w:type="character" w:customStyle="1" w:styleId="536">
    <w:name w:val="样式78 Char Char"/>
    <w:link w:val="537"/>
    <w:qFormat/>
    <w:locked/>
    <w:uiPriority w:val="99"/>
    <w:rPr>
      <w:rFonts w:ascii="黑体" w:eastAsia="黑体"/>
      <w:b/>
      <w:kern w:val="44"/>
      <w:sz w:val="32"/>
    </w:rPr>
  </w:style>
  <w:style w:type="paragraph" w:customStyle="1" w:styleId="537">
    <w:name w:val="样式78"/>
    <w:basedOn w:val="1"/>
    <w:link w:val="536"/>
    <w:qFormat/>
    <w:uiPriority w:val="99"/>
    <w:pPr>
      <w:keepNext/>
      <w:keepLines/>
      <w:spacing w:before="290" w:after="290" w:line="360" w:lineRule="auto"/>
      <w:jc w:val="center"/>
      <w:outlineLvl w:val="0"/>
    </w:pPr>
    <w:rPr>
      <w:rFonts w:ascii="黑体" w:eastAsia="黑体"/>
      <w:b/>
      <w:kern w:val="44"/>
      <w:sz w:val="32"/>
      <w:szCs w:val="20"/>
    </w:rPr>
  </w:style>
  <w:style w:type="character" w:customStyle="1" w:styleId="538">
    <w:name w:val="样式45 Char Char"/>
    <w:link w:val="539"/>
    <w:qFormat/>
    <w:locked/>
    <w:uiPriority w:val="99"/>
    <w:rPr>
      <w:rFonts w:ascii="宋体" w:eastAsia="宋体"/>
      <w:color w:val="000000"/>
      <w:sz w:val="28"/>
    </w:rPr>
  </w:style>
  <w:style w:type="paragraph" w:customStyle="1" w:styleId="539">
    <w:name w:val="样式45"/>
    <w:basedOn w:val="1"/>
    <w:link w:val="538"/>
    <w:qFormat/>
    <w:uiPriority w:val="99"/>
    <w:pPr>
      <w:spacing w:line="360" w:lineRule="auto"/>
      <w:ind w:firstLine="560" w:firstLineChars="200"/>
    </w:pPr>
    <w:rPr>
      <w:rFonts w:ascii="宋体"/>
      <w:color w:val="000000"/>
      <w:kern w:val="0"/>
      <w:sz w:val="28"/>
      <w:szCs w:val="20"/>
    </w:rPr>
  </w:style>
  <w:style w:type="character" w:customStyle="1" w:styleId="540">
    <w:name w:val="样式90 Char Char"/>
    <w:link w:val="541"/>
    <w:qFormat/>
    <w:locked/>
    <w:uiPriority w:val="99"/>
    <w:rPr>
      <w:rFonts w:ascii="黑体" w:hAnsi="宋体" w:eastAsia="黑体"/>
      <w:color w:val="000000"/>
      <w:sz w:val="24"/>
    </w:rPr>
  </w:style>
  <w:style w:type="paragraph" w:customStyle="1" w:styleId="541">
    <w:name w:val="样式90"/>
    <w:basedOn w:val="1"/>
    <w:link w:val="540"/>
    <w:qFormat/>
    <w:uiPriority w:val="99"/>
    <w:pPr>
      <w:widowControl/>
      <w:spacing w:beforeLines="50" w:afterLines="50" w:line="360" w:lineRule="auto"/>
      <w:ind w:firstLine="480" w:firstLineChars="200"/>
      <w:jc w:val="center"/>
    </w:pPr>
    <w:rPr>
      <w:rFonts w:ascii="黑体" w:hAnsi="宋体" w:eastAsia="黑体"/>
      <w:color w:val="000000"/>
      <w:kern w:val="0"/>
      <w:sz w:val="24"/>
      <w:szCs w:val="20"/>
    </w:rPr>
  </w:style>
  <w:style w:type="character" w:customStyle="1" w:styleId="542">
    <w:name w:val="样式70 Char Char"/>
    <w:link w:val="543"/>
    <w:qFormat/>
    <w:locked/>
    <w:uiPriority w:val="99"/>
    <w:rPr>
      <w:rFonts w:ascii="宋体" w:eastAsia="宋体"/>
      <w:color w:val="000000"/>
      <w:kern w:val="28"/>
      <w:sz w:val="28"/>
    </w:rPr>
  </w:style>
  <w:style w:type="paragraph" w:customStyle="1" w:styleId="543">
    <w:name w:val="样式70"/>
    <w:basedOn w:val="1"/>
    <w:link w:val="542"/>
    <w:qFormat/>
    <w:uiPriority w:val="99"/>
    <w:pPr>
      <w:spacing w:line="460" w:lineRule="exact"/>
      <w:ind w:firstLine="560" w:firstLineChars="200"/>
      <w:jc w:val="left"/>
    </w:pPr>
    <w:rPr>
      <w:rFonts w:ascii="宋体"/>
      <w:color w:val="000000"/>
      <w:kern w:val="28"/>
      <w:sz w:val="28"/>
      <w:szCs w:val="20"/>
    </w:rPr>
  </w:style>
  <w:style w:type="character" w:customStyle="1" w:styleId="544">
    <w:name w:val="标题 Char2"/>
    <w:qFormat/>
    <w:uiPriority w:val="99"/>
    <w:rPr>
      <w:rFonts w:ascii="Cambria" w:hAnsi="Cambria"/>
      <w:b/>
      <w:kern w:val="2"/>
      <w:sz w:val="32"/>
    </w:rPr>
  </w:style>
  <w:style w:type="character" w:customStyle="1" w:styleId="545">
    <w:name w:val="甲乙酮正文 Char"/>
    <w:qFormat/>
    <w:uiPriority w:val="99"/>
    <w:rPr>
      <w:rFonts w:eastAsia="宋体"/>
      <w:color w:val="000000"/>
      <w:kern w:val="2"/>
      <w:sz w:val="24"/>
      <w:lang w:val="en-US" w:eastAsia="zh-CN"/>
    </w:rPr>
  </w:style>
  <w:style w:type="character" w:customStyle="1" w:styleId="546">
    <w:name w:val="甲乙酮标题3 Char"/>
    <w:qFormat/>
    <w:uiPriority w:val="99"/>
    <w:rPr>
      <w:rFonts w:eastAsia="宋体"/>
      <w:b/>
      <w:kern w:val="2"/>
      <w:sz w:val="32"/>
      <w:lang w:val="en-US" w:eastAsia="zh-CN"/>
    </w:rPr>
  </w:style>
  <w:style w:type="character" w:customStyle="1" w:styleId="547">
    <w:name w:val="报告正文1 Char"/>
    <w:qFormat/>
    <w:uiPriority w:val="99"/>
    <w:rPr>
      <w:rFonts w:eastAsia="宋体"/>
      <w:color w:val="000000"/>
      <w:kern w:val="2"/>
      <w:sz w:val="24"/>
      <w:lang w:val="en-US" w:eastAsia="zh-CN"/>
    </w:rPr>
  </w:style>
  <w:style w:type="character" w:customStyle="1" w:styleId="548">
    <w:name w:val="文本 Char"/>
    <w:qFormat/>
    <w:uiPriority w:val="99"/>
    <w:rPr>
      <w:kern w:val="2"/>
      <w:sz w:val="24"/>
    </w:rPr>
  </w:style>
  <w:style w:type="character" w:customStyle="1" w:styleId="549">
    <w:name w:val="表 标题 Char"/>
    <w:qFormat/>
    <w:uiPriority w:val="99"/>
    <w:rPr>
      <w:b/>
      <w:kern w:val="2"/>
      <w:sz w:val="24"/>
    </w:rPr>
  </w:style>
  <w:style w:type="character" w:customStyle="1" w:styleId="550">
    <w:name w:val="环正文 Char4"/>
    <w:link w:val="551"/>
    <w:qFormat/>
    <w:locked/>
    <w:uiPriority w:val="99"/>
    <w:rPr>
      <w:rFonts w:ascii="仿宋_GB2312" w:hAnsi="宋体" w:eastAsia="仿宋_GB2312"/>
      <w:sz w:val="28"/>
    </w:rPr>
  </w:style>
  <w:style w:type="paragraph" w:customStyle="1" w:styleId="551">
    <w:name w:val="环正文"/>
    <w:basedOn w:val="1"/>
    <w:link w:val="550"/>
    <w:qFormat/>
    <w:uiPriority w:val="99"/>
    <w:pPr>
      <w:widowControl/>
      <w:suppressAutoHyphens/>
      <w:adjustRightInd w:val="0"/>
      <w:snapToGrid w:val="0"/>
      <w:spacing w:line="300" w:lineRule="auto"/>
      <w:ind w:firstLine="560"/>
      <w:textAlignment w:val="baseline"/>
    </w:pPr>
    <w:rPr>
      <w:rFonts w:ascii="仿宋_GB2312" w:hAnsi="宋体" w:eastAsia="仿宋_GB2312"/>
      <w:kern w:val="0"/>
      <w:sz w:val="28"/>
      <w:szCs w:val="20"/>
    </w:rPr>
  </w:style>
  <w:style w:type="character" w:customStyle="1" w:styleId="552">
    <w:name w:val="副标题 Char1"/>
    <w:qFormat/>
    <w:uiPriority w:val="99"/>
    <w:rPr>
      <w:rFonts w:ascii="Cambria" w:hAnsi="Cambria" w:eastAsia="宋体"/>
      <w:b/>
      <w:kern w:val="28"/>
      <w:sz w:val="32"/>
    </w:rPr>
  </w:style>
  <w:style w:type="character" w:customStyle="1" w:styleId="553">
    <w:name w:val="三级 Char"/>
    <w:link w:val="554"/>
    <w:qFormat/>
    <w:locked/>
    <w:uiPriority w:val="99"/>
    <w:rPr>
      <w:b/>
      <w:kern w:val="2"/>
      <w:sz w:val="28"/>
    </w:rPr>
  </w:style>
  <w:style w:type="paragraph" w:customStyle="1" w:styleId="554">
    <w:name w:val="三级"/>
    <w:basedOn w:val="1"/>
    <w:link w:val="553"/>
    <w:qFormat/>
    <w:uiPriority w:val="99"/>
    <w:pPr>
      <w:adjustRightInd w:val="0"/>
      <w:textAlignment w:val="baseline"/>
    </w:pPr>
    <w:rPr>
      <w:b/>
      <w:sz w:val="28"/>
      <w:szCs w:val="20"/>
    </w:rPr>
  </w:style>
  <w:style w:type="character" w:customStyle="1" w:styleId="555">
    <w:name w:val="兴武正文 Char"/>
    <w:qFormat/>
    <w:uiPriority w:val="99"/>
    <w:rPr>
      <w:rFonts w:eastAsia="宋体"/>
      <w:kern w:val="2"/>
      <w:sz w:val="24"/>
      <w:lang w:val="en-US" w:eastAsia="zh-CN"/>
    </w:rPr>
  </w:style>
  <w:style w:type="character" w:customStyle="1" w:styleId="556">
    <w:name w:val="表格yy Char Char"/>
    <w:link w:val="557"/>
    <w:qFormat/>
    <w:locked/>
    <w:uiPriority w:val="99"/>
    <w:rPr>
      <w:rFonts w:eastAsia="仿宋_GB2312"/>
      <w:sz w:val="24"/>
    </w:rPr>
  </w:style>
  <w:style w:type="paragraph" w:customStyle="1" w:styleId="557">
    <w:name w:val="表格yy"/>
    <w:basedOn w:val="1"/>
    <w:link w:val="556"/>
    <w:qFormat/>
    <w:uiPriority w:val="99"/>
    <w:pPr>
      <w:snapToGrid w:val="0"/>
      <w:spacing w:line="240" w:lineRule="atLeast"/>
      <w:jc w:val="center"/>
    </w:pPr>
    <w:rPr>
      <w:rFonts w:eastAsia="仿宋_GB2312"/>
      <w:kern w:val="0"/>
      <w:sz w:val="24"/>
      <w:szCs w:val="20"/>
    </w:rPr>
  </w:style>
  <w:style w:type="character" w:customStyle="1" w:styleId="558">
    <w:name w:val="正文缩进 Char Char"/>
    <w:qFormat/>
    <w:uiPriority w:val="99"/>
    <w:rPr>
      <w:rFonts w:eastAsia="宋体"/>
      <w:kern w:val="2"/>
      <w:sz w:val="24"/>
      <w:lang w:val="en-US" w:eastAsia="zh-CN"/>
    </w:rPr>
  </w:style>
  <w:style w:type="character" w:customStyle="1" w:styleId="559">
    <w:name w:val="页眉1 Char1"/>
    <w:qFormat/>
    <w:uiPriority w:val="99"/>
    <w:rPr>
      <w:rFonts w:eastAsia="宋体"/>
      <w:kern w:val="2"/>
      <w:sz w:val="18"/>
      <w:lang w:val="en-US" w:eastAsia="zh-CN"/>
    </w:rPr>
  </w:style>
  <w:style w:type="character" w:customStyle="1" w:styleId="560">
    <w:name w:val="Char Char48"/>
    <w:qFormat/>
    <w:uiPriority w:val="99"/>
    <w:rPr>
      <w:b/>
      <w:kern w:val="44"/>
      <w:sz w:val="44"/>
    </w:rPr>
  </w:style>
  <w:style w:type="character" w:customStyle="1" w:styleId="561">
    <w:name w:val="14588 Char"/>
    <w:link w:val="562"/>
    <w:qFormat/>
    <w:locked/>
    <w:uiPriority w:val="99"/>
    <w:rPr>
      <w:rFonts w:ascii="Calibri" w:hAnsi="Calibri"/>
      <w:kern w:val="2"/>
      <w:sz w:val="24"/>
      <w:lang w:val="de-DE"/>
    </w:rPr>
  </w:style>
  <w:style w:type="paragraph" w:customStyle="1" w:styleId="562">
    <w:name w:val="14588"/>
    <w:basedOn w:val="1"/>
    <w:link w:val="561"/>
    <w:qFormat/>
    <w:uiPriority w:val="99"/>
    <w:pPr>
      <w:spacing w:line="360" w:lineRule="auto"/>
      <w:ind w:firstLine="480" w:firstLineChars="200"/>
    </w:pPr>
    <w:rPr>
      <w:rFonts w:ascii="Calibri" w:hAnsi="Calibri"/>
      <w:sz w:val="24"/>
      <w:szCs w:val="20"/>
      <w:lang w:val="de-DE"/>
    </w:rPr>
  </w:style>
  <w:style w:type="character" w:customStyle="1" w:styleId="563">
    <w:name w:val="茂名 正文 Char"/>
    <w:link w:val="564"/>
    <w:qFormat/>
    <w:locked/>
    <w:uiPriority w:val="99"/>
    <w:rPr>
      <w:rFonts w:ascii="Symbol" w:hAnsi="Symbol" w:eastAsia="微软雅黑"/>
      <w:sz w:val="24"/>
    </w:rPr>
  </w:style>
  <w:style w:type="paragraph" w:customStyle="1" w:styleId="564">
    <w:name w:val="茂名 正文"/>
    <w:basedOn w:val="1"/>
    <w:link w:val="563"/>
    <w:qFormat/>
    <w:uiPriority w:val="99"/>
    <w:pPr>
      <w:widowControl/>
      <w:topLinePunct/>
      <w:spacing w:line="480" w:lineRule="exact"/>
      <w:ind w:firstLine="539"/>
    </w:pPr>
    <w:rPr>
      <w:rFonts w:ascii="Symbol" w:hAnsi="Symbol" w:eastAsia="微软雅黑"/>
      <w:kern w:val="0"/>
      <w:sz w:val="24"/>
      <w:szCs w:val="20"/>
    </w:rPr>
  </w:style>
  <w:style w:type="character" w:customStyle="1" w:styleId="565">
    <w:name w:val="正文(康健城) Char"/>
    <w:link w:val="566"/>
    <w:qFormat/>
    <w:locked/>
    <w:uiPriority w:val="99"/>
    <w:rPr>
      <w:sz w:val="24"/>
    </w:rPr>
  </w:style>
  <w:style w:type="paragraph" w:customStyle="1" w:styleId="566">
    <w:name w:val="正文(康健城)"/>
    <w:basedOn w:val="1"/>
    <w:link w:val="565"/>
    <w:qFormat/>
    <w:uiPriority w:val="99"/>
    <w:pPr>
      <w:adjustRightInd w:val="0"/>
      <w:snapToGrid w:val="0"/>
      <w:spacing w:line="360" w:lineRule="auto"/>
      <w:ind w:firstLine="480" w:firstLineChars="200"/>
      <w:textAlignment w:val="baseline"/>
    </w:pPr>
    <w:rPr>
      <w:kern w:val="0"/>
      <w:sz w:val="24"/>
      <w:szCs w:val="20"/>
    </w:rPr>
  </w:style>
  <w:style w:type="character" w:customStyle="1" w:styleId="567">
    <w:name w:val="标题1.1.1.1.1.1 Char"/>
    <w:qFormat/>
    <w:uiPriority w:val="99"/>
    <w:rPr>
      <w:rFonts w:ascii="Arial" w:hAnsi="Arial" w:eastAsia="黑体"/>
      <w:b/>
      <w:color w:val="FF0000"/>
      <w:kern w:val="0"/>
      <w:sz w:val="20"/>
    </w:rPr>
  </w:style>
  <w:style w:type="character" w:customStyle="1" w:styleId="568">
    <w:name w:val="标题 7表内5号 Char"/>
    <w:qFormat/>
    <w:uiPriority w:val="99"/>
    <w:rPr>
      <w:rFonts w:ascii="Times New Roman" w:hAnsi="Times New Roman" w:eastAsia="宋体"/>
      <w:b/>
      <w:color w:val="FF0000"/>
      <w:kern w:val="0"/>
      <w:sz w:val="20"/>
    </w:rPr>
  </w:style>
  <w:style w:type="character" w:customStyle="1" w:styleId="569">
    <w:name w:val="目标题 1) Char"/>
    <w:qFormat/>
    <w:uiPriority w:val="99"/>
    <w:rPr>
      <w:rFonts w:ascii="Arial" w:hAnsi="Arial" w:eastAsia="黑体"/>
      <w:b/>
      <w:color w:val="FF0000"/>
      <w:kern w:val="0"/>
      <w:sz w:val="20"/>
    </w:rPr>
  </w:style>
  <w:style w:type="character" w:customStyle="1" w:styleId="570">
    <w:name w:val="干标题(a) Char"/>
    <w:qFormat/>
    <w:uiPriority w:val="99"/>
    <w:rPr>
      <w:rFonts w:ascii="Arial" w:hAnsi="Arial" w:eastAsia="黑体"/>
      <w:b/>
      <w:color w:val="FF0000"/>
      <w:kern w:val="0"/>
      <w:sz w:val="20"/>
    </w:rPr>
  </w:style>
  <w:style w:type="character" w:customStyle="1" w:styleId="571">
    <w:name w:val="CN normal Char"/>
    <w:link w:val="572"/>
    <w:qFormat/>
    <w:locked/>
    <w:uiPriority w:val="99"/>
    <w:rPr>
      <w:rFonts w:ascii="Arial" w:hAnsi="Arial"/>
      <w:lang w:val="en-GB"/>
    </w:rPr>
  </w:style>
  <w:style w:type="paragraph" w:customStyle="1" w:styleId="572">
    <w:name w:val="CN normal"/>
    <w:basedOn w:val="1"/>
    <w:link w:val="571"/>
    <w:qFormat/>
    <w:uiPriority w:val="99"/>
    <w:pPr>
      <w:widowControl/>
      <w:spacing w:line="280" w:lineRule="atLeast"/>
      <w:contextualSpacing/>
    </w:pPr>
    <w:rPr>
      <w:rFonts w:ascii="Arial" w:hAnsi="Arial"/>
      <w:kern w:val="0"/>
      <w:sz w:val="20"/>
      <w:szCs w:val="20"/>
      <w:lang w:val="en-GB"/>
    </w:rPr>
  </w:style>
  <w:style w:type="character" w:customStyle="1" w:styleId="573">
    <w:name w:val="li_正文 Char"/>
    <w:link w:val="574"/>
    <w:qFormat/>
    <w:locked/>
    <w:uiPriority w:val="99"/>
    <w:rPr>
      <w:rFonts w:ascii="Calibri" w:hAnsi="Calibri"/>
      <w:kern w:val="2"/>
      <w:sz w:val="24"/>
    </w:rPr>
  </w:style>
  <w:style w:type="paragraph" w:customStyle="1" w:styleId="574">
    <w:name w:val="li_正文"/>
    <w:basedOn w:val="1"/>
    <w:link w:val="573"/>
    <w:qFormat/>
    <w:uiPriority w:val="99"/>
    <w:pPr>
      <w:ind w:firstLine="480" w:firstLineChars="200"/>
      <w:contextualSpacing/>
    </w:pPr>
    <w:rPr>
      <w:rFonts w:ascii="Calibri" w:hAnsi="Calibri"/>
      <w:sz w:val="24"/>
      <w:szCs w:val="20"/>
    </w:rPr>
  </w:style>
  <w:style w:type="character" w:customStyle="1" w:styleId="575">
    <w:name w:val="表名 Char1"/>
    <w:link w:val="576"/>
    <w:semiHidden/>
    <w:qFormat/>
    <w:locked/>
    <w:uiPriority w:val="99"/>
    <w:rPr>
      <w:rFonts w:ascii="Arial" w:hAnsi="Arial" w:eastAsia="楷体_GB2312"/>
      <w:b/>
      <w:sz w:val="21"/>
    </w:rPr>
  </w:style>
  <w:style w:type="paragraph" w:customStyle="1" w:styleId="576">
    <w:name w:val="表名"/>
    <w:basedOn w:val="1"/>
    <w:next w:val="1"/>
    <w:link w:val="575"/>
    <w:semiHidden/>
    <w:qFormat/>
    <w:uiPriority w:val="99"/>
    <w:pPr>
      <w:widowControl/>
      <w:adjustRightInd w:val="0"/>
      <w:spacing w:before="120" w:afterLines="10" w:line="312" w:lineRule="auto"/>
      <w:contextualSpacing/>
      <w:jc w:val="center"/>
      <w:textAlignment w:val="baseline"/>
    </w:pPr>
    <w:rPr>
      <w:rFonts w:ascii="Arial" w:hAnsi="Arial" w:eastAsia="楷体_GB2312"/>
      <w:b/>
      <w:kern w:val="0"/>
      <w:szCs w:val="20"/>
    </w:rPr>
  </w:style>
  <w:style w:type="character" w:customStyle="1" w:styleId="577">
    <w:name w:val="表名 1 Char"/>
    <w:link w:val="578"/>
    <w:qFormat/>
    <w:locked/>
    <w:uiPriority w:val="99"/>
    <w:rPr>
      <w:rFonts w:ascii="Arial" w:hAnsi="Arial" w:eastAsia="楷体_GB2312"/>
      <w:b/>
      <w:sz w:val="21"/>
    </w:rPr>
  </w:style>
  <w:style w:type="paragraph" w:customStyle="1" w:styleId="578">
    <w:name w:val="表名 1"/>
    <w:basedOn w:val="576"/>
    <w:link w:val="577"/>
    <w:qFormat/>
    <w:uiPriority w:val="99"/>
    <w:pPr>
      <w:spacing w:after="31"/>
    </w:pPr>
  </w:style>
  <w:style w:type="character" w:customStyle="1" w:styleId="579">
    <w:name w:val="hangju"/>
    <w:qFormat/>
    <w:uiPriority w:val="99"/>
    <w:rPr>
      <w:rFonts w:ascii="宋体" w:hAnsi="宋体" w:eastAsia="宋体"/>
      <w:kern w:val="2"/>
      <w:sz w:val="24"/>
      <w:lang w:val="en-US" w:eastAsia="zh-CN"/>
    </w:rPr>
  </w:style>
  <w:style w:type="character" w:customStyle="1" w:styleId="580">
    <w:name w:val="可研报告正文 Char"/>
    <w:link w:val="581"/>
    <w:qFormat/>
    <w:locked/>
    <w:uiPriority w:val="99"/>
    <w:rPr>
      <w:rFonts w:ascii="Calibri" w:hAnsi="Calibri"/>
      <w:sz w:val="24"/>
    </w:rPr>
  </w:style>
  <w:style w:type="paragraph" w:customStyle="1" w:styleId="581">
    <w:name w:val="可研报告正文"/>
    <w:basedOn w:val="1"/>
    <w:link w:val="580"/>
    <w:qFormat/>
    <w:uiPriority w:val="99"/>
    <w:pPr>
      <w:widowControl/>
      <w:tabs>
        <w:tab w:val="left" w:pos="5880"/>
      </w:tabs>
      <w:spacing w:beforeLines="50" w:line="440" w:lineRule="exact"/>
      <w:ind w:left="425" w:firstLine="482"/>
      <w:contextualSpacing/>
      <w:jc w:val="left"/>
    </w:pPr>
    <w:rPr>
      <w:rFonts w:ascii="Calibri" w:hAnsi="Calibri"/>
      <w:kern w:val="0"/>
      <w:sz w:val="24"/>
      <w:szCs w:val="20"/>
    </w:rPr>
  </w:style>
  <w:style w:type="character" w:customStyle="1" w:styleId="582">
    <w:name w:val="csscontent0041"/>
    <w:qFormat/>
    <w:uiPriority w:val="99"/>
    <w:rPr>
      <w:rFonts w:ascii="??" w:hAnsi="??"/>
      <w:color w:val="000000"/>
      <w:sz w:val="16"/>
      <w:u w:val="none"/>
    </w:rPr>
  </w:style>
  <w:style w:type="character" w:customStyle="1" w:styleId="583">
    <w:name w:val="段落文字 Char"/>
    <w:link w:val="584"/>
    <w:qFormat/>
    <w:locked/>
    <w:uiPriority w:val="99"/>
    <w:rPr>
      <w:rFonts w:ascii="宋体" w:eastAsia="宋体"/>
      <w:sz w:val="24"/>
    </w:rPr>
  </w:style>
  <w:style w:type="paragraph" w:customStyle="1" w:styleId="584">
    <w:name w:val="段落文字"/>
    <w:basedOn w:val="1"/>
    <w:link w:val="583"/>
    <w:qFormat/>
    <w:uiPriority w:val="99"/>
    <w:pPr>
      <w:widowControl/>
      <w:adjustRightInd w:val="0"/>
      <w:snapToGrid w:val="0"/>
      <w:spacing w:line="480" w:lineRule="exact"/>
      <w:contextualSpacing/>
      <w:jc w:val="left"/>
    </w:pPr>
    <w:rPr>
      <w:rFonts w:ascii="宋体"/>
      <w:kern w:val="0"/>
      <w:sz w:val="24"/>
      <w:szCs w:val="20"/>
    </w:rPr>
  </w:style>
  <w:style w:type="character" w:customStyle="1" w:styleId="585">
    <w:name w:val="middle1"/>
    <w:qFormat/>
    <w:uiPriority w:val="99"/>
    <w:rPr>
      <w:rFonts w:ascii="宋体" w:hAnsi="宋体" w:eastAsia="宋体"/>
      <w:sz w:val="24"/>
    </w:rPr>
  </w:style>
  <w:style w:type="character" w:customStyle="1" w:styleId="586">
    <w:name w:val="样式 表内样式 + (符号) 宋体 Char1"/>
    <w:link w:val="587"/>
    <w:qFormat/>
    <w:locked/>
    <w:uiPriority w:val="99"/>
    <w:rPr>
      <w:rFonts w:ascii="Calibri" w:hAnsi="Calibri"/>
      <w:sz w:val="21"/>
    </w:rPr>
  </w:style>
  <w:style w:type="paragraph" w:customStyle="1" w:styleId="587">
    <w:name w:val="样式 表内样式 + (符号) 宋体"/>
    <w:basedOn w:val="1"/>
    <w:link w:val="586"/>
    <w:qFormat/>
    <w:uiPriority w:val="99"/>
    <w:pPr>
      <w:keepLines/>
      <w:widowControl/>
      <w:kinsoku w:val="0"/>
      <w:overflowPunct w:val="0"/>
      <w:adjustRightInd w:val="0"/>
      <w:spacing w:line="320" w:lineRule="exact"/>
      <w:contextualSpacing/>
      <w:jc w:val="center"/>
    </w:pPr>
    <w:rPr>
      <w:rFonts w:ascii="Calibri" w:hAnsi="Calibri"/>
      <w:kern w:val="0"/>
      <w:szCs w:val="20"/>
    </w:rPr>
  </w:style>
  <w:style w:type="character" w:customStyle="1" w:styleId="588">
    <w:name w:val="Char Char111"/>
    <w:qFormat/>
    <w:uiPriority w:val="99"/>
    <w:rPr>
      <w:rFonts w:ascii="Arial" w:hAnsi="Arial" w:eastAsia="黑体"/>
      <w:b/>
      <w:sz w:val="28"/>
    </w:rPr>
  </w:style>
  <w:style w:type="character" w:customStyle="1" w:styleId="589">
    <w:name w:val="Char Char2"/>
    <w:qFormat/>
    <w:uiPriority w:val="99"/>
    <w:rPr>
      <w:rFonts w:ascii="宋体" w:hAnsi="Courier New" w:eastAsia="宋体"/>
      <w:kern w:val="2"/>
      <w:sz w:val="21"/>
      <w:lang w:val="en-US" w:eastAsia="zh-CN"/>
    </w:rPr>
  </w:style>
  <w:style w:type="character" w:customStyle="1" w:styleId="590">
    <w:name w:val="正文首行缩进2字符! Char"/>
    <w:link w:val="591"/>
    <w:qFormat/>
    <w:locked/>
    <w:uiPriority w:val="99"/>
    <w:rPr>
      <w:rFonts w:ascii="Calibri" w:hAnsi="Calibri"/>
      <w:kern w:val="2"/>
      <w:sz w:val="28"/>
    </w:rPr>
  </w:style>
  <w:style w:type="paragraph" w:customStyle="1" w:styleId="591">
    <w:name w:val="正文首行缩进2字符!"/>
    <w:basedOn w:val="1"/>
    <w:link w:val="590"/>
    <w:qFormat/>
    <w:uiPriority w:val="99"/>
    <w:pPr>
      <w:adjustRightInd w:val="0"/>
      <w:snapToGrid w:val="0"/>
      <w:ind w:firstLine="560" w:firstLineChars="200"/>
      <w:contextualSpacing/>
      <w:jc w:val="left"/>
    </w:pPr>
    <w:rPr>
      <w:rFonts w:ascii="Calibri" w:hAnsi="Calibri"/>
      <w:sz w:val="28"/>
      <w:szCs w:val="20"/>
    </w:rPr>
  </w:style>
  <w:style w:type="character" w:customStyle="1" w:styleId="592">
    <w:name w:val="标题5 Char"/>
    <w:link w:val="593"/>
    <w:qFormat/>
    <w:locked/>
    <w:uiPriority w:val="99"/>
    <w:rPr>
      <w:rFonts w:ascii="Calibri" w:hAnsi="Calibri"/>
      <w:kern w:val="0"/>
      <w:sz w:val="28"/>
      <w:szCs w:val="21"/>
    </w:rPr>
  </w:style>
  <w:style w:type="paragraph" w:customStyle="1" w:styleId="593">
    <w:name w:val="标题5"/>
    <w:basedOn w:val="1"/>
    <w:next w:val="84"/>
    <w:link w:val="592"/>
    <w:qFormat/>
    <w:uiPriority w:val="99"/>
    <w:pPr>
      <w:numPr>
        <w:ilvl w:val="4"/>
        <w:numId w:val="5"/>
      </w:numPr>
      <w:snapToGrid w:val="0"/>
      <w:contextualSpacing/>
      <w:outlineLvl w:val="4"/>
    </w:pPr>
    <w:rPr>
      <w:rFonts w:ascii="Calibri" w:hAnsi="Calibri"/>
      <w:kern w:val="0"/>
      <w:sz w:val="28"/>
      <w:szCs w:val="21"/>
    </w:rPr>
  </w:style>
  <w:style w:type="character" w:customStyle="1" w:styleId="594">
    <w:name w:val="样式 题注 + 首行缩进:  2 字符2 Char"/>
    <w:link w:val="595"/>
    <w:qFormat/>
    <w:locked/>
    <w:uiPriority w:val="99"/>
    <w:rPr>
      <w:rFonts w:ascii="黑体" w:hAnsi="宋体" w:eastAsia="黑体"/>
      <w:kern w:val="2"/>
      <w:sz w:val="24"/>
    </w:rPr>
  </w:style>
  <w:style w:type="paragraph" w:customStyle="1" w:styleId="595">
    <w:name w:val="样式 题注 + 首行缩进:  2 字符2"/>
    <w:basedOn w:val="25"/>
    <w:link w:val="594"/>
    <w:qFormat/>
    <w:uiPriority w:val="99"/>
    <w:pPr>
      <w:snapToGrid/>
      <w:spacing w:line="240" w:lineRule="auto"/>
      <w:contextualSpacing/>
      <w:jc w:val="center"/>
    </w:pPr>
    <w:rPr>
      <w:rFonts w:ascii="黑体" w:hAnsi="宋体"/>
      <w:sz w:val="24"/>
    </w:rPr>
  </w:style>
  <w:style w:type="character" w:customStyle="1" w:styleId="596">
    <w:name w:val="题注 + 居中! Char"/>
    <w:link w:val="597"/>
    <w:qFormat/>
    <w:locked/>
    <w:uiPriority w:val="99"/>
    <w:rPr>
      <w:rFonts w:ascii="黑体" w:hAnsi="Arial" w:eastAsia="黑体"/>
      <w:kern w:val="2"/>
      <w:sz w:val="24"/>
    </w:rPr>
  </w:style>
  <w:style w:type="paragraph" w:customStyle="1" w:styleId="597">
    <w:name w:val="题注 + 居中!"/>
    <w:basedOn w:val="25"/>
    <w:link w:val="596"/>
    <w:qFormat/>
    <w:uiPriority w:val="99"/>
    <w:pPr>
      <w:adjustRightInd w:val="0"/>
      <w:spacing w:line="240" w:lineRule="auto"/>
      <w:ind w:firstLine="480" w:firstLineChars="200"/>
      <w:contextualSpacing/>
      <w:jc w:val="center"/>
    </w:pPr>
    <w:rPr>
      <w:rFonts w:ascii="黑体"/>
      <w:sz w:val="24"/>
    </w:rPr>
  </w:style>
  <w:style w:type="character" w:customStyle="1" w:styleId="598">
    <w:name w:val="texd1"/>
    <w:qFormat/>
    <w:uiPriority w:val="99"/>
    <w:rPr>
      <w:color w:val="000000"/>
      <w:spacing w:val="480"/>
      <w:w w:val="0"/>
      <w:sz w:val="20"/>
    </w:rPr>
  </w:style>
  <w:style w:type="character" w:customStyle="1" w:styleId="599">
    <w:name w:val="正文（首行缩进两字） Char1 Char Char"/>
    <w:qFormat/>
    <w:uiPriority w:val="99"/>
    <w:rPr>
      <w:rFonts w:ascii="Times New Roman" w:hAnsi="Times New Roman" w:eastAsia="宋体"/>
      <w:kern w:val="0"/>
      <w:sz w:val="24"/>
      <w:lang w:val="zh-CN"/>
    </w:rPr>
  </w:style>
  <w:style w:type="character" w:customStyle="1" w:styleId="600">
    <w:name w:val="yyp Char"/>
    <w:link w:val="601"/>
    <w:qFormat/>
    <w:locked/>
    <w:uiPriority w:val="99"/>
    <w:rPr>
      <w:rFonts w:ascii="Calibri" w:hAnsi="Calibri"/>
      <w:kern w:val="2"/>
      <w:sz w:val="24"/>
    </w:rPr>
  </w:style>
  <w:style w:type="paragraph" w:customStyle="1" w:styleId="601">
    <w:name w:val="yyp"/>
    <w:basedOn w:val="84"/>
    <w:link w:val="600"/>
    <w:qFormat/>
    <w:uiPriority w:val="99"/>
    <w:pPr>
      <w:spacing w:line="360" w:lineRule="auto"/>
      <w:ind w:firstLine="480" w:firstLineChars="200"/>
    </w:pPr>
    <w:rPr>
      <w:rFonts w:ascii="Calibri" w:hAnsi="Calibri"/>
      <w:sz w:val="24"/>
      <w:szCs w:val="20"/>
    </w:rPr>
  </w:style>
  <w:style w:type="character" w:customStyle="1" w:styleId="602">
    <w:name w:val="正文小四首缩1.3行距 Char"/>
    <w:link w:val="603"/>
    <w:qFormat/>
    <w:locked/>
    <w:uiPriority w:val="99"/>
    <w:rPr>
      <w:rFonts w:ascii="Calibri" w:hAnsi="Calibri"/>
      <w:kern w:val="2"/>
      <w:sz w:val="24"/>
    </w:rPr>
  </w:style>
  <w:style w:type="paragraph" w:customStyle="1" w:styleId="603">
    <w:name w:val="正文小四首缩1.3行距"/>
    <w:basedOn w:val="1"/>
    <w:link w:val="602"/>
    <w:qFormat/>
    <w:uiPriority w:val="99"/>
    <w:pPr>
      <w:spacing w:line="312" w:lineRule="auto"/>
      <w:ind w:firstLine="420" w:firstLineChars="200"/>
    </w:pPr>
    <w:rPr>
      <w:rFonts w:ascii="Calibri" w:hAnsi="Calibri"/>
      <w:sz w:val="24"/>
      <w:szCs w:val="20"/>
    </w:rPr>
  </w:style>
  <w:style w:type="character" w:customStyle="1" w:styleId="604">
    <w:name w:val="表、图标题 Char Char"/>
    <w:link w:val="605"/>
    <w:qFormat/>
    <w:locked/>
    <w:uiPriority w:val="99"/>
    <w:rPr>
      <w:rFonts w:ascii="宋体" w:eastAsia="宋体"/>
      <w:b/>
      <w:sz w:val="21"/>
    </w:rPr>
  </w:style>
  <w:style w:type="paragraph" w:customStyle="1" w:styleId="605">
    <w:name w:val="表、图标题"/>
    <w:basedOn w:val="1"/>
    <w:link w:val="604"/>
    <w:qFormat/>
    <w:uiPriority w:val="99"/>
    <w:pPr>
      <w:adjustRightInd w:val="0"/>
      <w:snapToGrid w:val="0"/>
      <w:spacing w:line="480" w:lineRule="exact"/>
      <w:jc w:val="center"/>
    </w:pPr>
    <w:rPr>
      <w:rFonts w:ascii="宋体"/>
      <w:b/>
      <w:kern w:val="0"/>
      <w:szCs w:val="20"/>
    </w:rPr>
  </w:style>
  <w:style w:type="character" w:customStyle="1" w:styleId="606">
    <w:name w:val="Footer1 Char1"/>
    <w:qFormat/>
    <w:uiPriority w:val="99"/>
    <w:rPr>
      <w:sz w:val="18"/>
    </w:rPr>
  </w:style>
  <w:style w:type="character" w:customStyle="1" w:styleId="607">
    <w:name w:val="font21"/>
    <w:basedOn w:val="91"/>
    <w:qFormat/>
    <w:uiPriority w:val="99"/>
    <w:rPr>
      <w:rFonts w:ascii="Times New Roman" w:hAnsi="Times New Roman"/>
      <w:color w:val="000000"/>
      <w:sz w:val="21"/>
      <w:u w:val="none"/>
    </w:rPr>
  </w:style>
  <w:style w:type="character" w:customStyle="1" w:styleId="608">
    <w:name w:val="节标题 1.1 Char3"/>
    <w:qFormat/>
    <w:uiPriority w:val="99"/>
    <w:rPr>
      <w:rFonts w:ascii="Times New Roman" w:hAnsi="Times New Roman" w:eastAsia="宋体"/>
      <w:b/>
      <w:sz w:val="32"/>
    </w:rPr>
  </w:style>
  <w:style w:type="character" w:customStyle="1" w:styleId="609">
    <w:name w:val="111正文 Char"/>
    <w:link w:val="610"/>
    <w:qFormat/>
    <w:locked/>
    <w:uiPriority w:val="99"/>
    <w:rPr>
      <w:rFonts w:ascii="Calibri" w:hAnsi="Calibri"/>
      <w:kern w:val="2"/>
      <w:sz w:val="22"/>
    </w:rPr>
  </w:style>
  <w:style w:type="paragraph" w:customStyle="1" w:styleId="610">
    <w:name w:val="111正文"/>
    <w:basedOn w:val="1"/>
    <w:link w:val="609"/>
    <w:qFormat/>
    <w:uiPriority w:val="99"/>
    <w:pPr>
      <w:tabs>
        <w:tab w:val="left" w:pos="600"/>
      </w:tabs>
      <w:spacing w:line="360" w:lineRule="auto"/>
      <w:ind w:firstLine="200" w:firstLineChars="200"/>
    </w:pPr>
    <w:rPr>
      <w:rFonts w:ascii="Calibri" w:hAnsi="Calibri"/>
      <w:sz w:val="22"/>
      <w:szCs w:val="20"/>
    </w:rPr>
  </w:style>
  <w:style w:type="character" w:customStyle="1" w:styleId="611">
    <w:name w:val="表格文字 Char1"/>
    <w:qFormat/>
    <w:uiPriority w:val="99"/>
    <w:rPr>
      <w:rFonts w:ascii="宋体" w:hAnsi="宋体" w:eastAsia="宋体"/>
      <w:kern w:val="2"/>
      <w:sz w:val="24"/>
      <w:lang w:val="en-US" w:eastAsia="zh-CN"/>
    </w:rPr>
  </w:style>
  <w:style w:type="character" w:customStyle="1" w:styleId="612">
    <w:name w:val="fontstyle21"/>
    <w:qFormat/>
    <w:uiPriority w:val="99"/>
    <w:rPr>
      <w:rFonts w:ascii="黑体" w:hAnsi="黑体" w:eastAsia="黑体"/>
      <w:color w:val="000000"/>
      <w:sz w:val="32"/>
    </w:rPr>
  </w:style>
  <w:style w:type="character" w:customStyle="1" w:styleId="613">
    <w:name w:val="fontstyle31"/>
    <w:qFormat/>
    <w:uiPriority w:val="99"/>
    <w:rPr>
      <w:rFonts w:ascii="宋体" w:hAnsi="宋体" w:eastAsia="宋体"/>
      <w:color w:val="000000"/>
      <w:sz w:val="24"/>
    </w:rPr>
  </w:style>
  <w:style w:type="character" w:customStyle="1" w:styleId="614">
    <w:name w:val="表格标题 Char Char"/>
    <w:qFormat/>
    <w:uiPriority w:val="99"/>
    <w:rPr>
      <w:rFonts w:eastAsia="黑体"/>
      <w:kern w:val="2"/>
      <w:sz w:val="24"/>
    </w:rPr>
  </w:style>
  <w:style w:type="character" w:customStyle="1" w:styleId="615">
    <w:name w:val="fontstyle11"/>
    <w:qFormat/>
    <w:uiPriority w:val="99"/>
    <w:rPr>
      <w:rFonts w:ascii="TimesNewRomanPS-ItalicMT" w:hAnsi="TimesNewRomanPS-ItalicMT"/>
      <w:i/>
      <w:color w:val="000000"/>
      <w:sz w:val="24"/>
    </w:rPr>
  </w:style>
  <w:style w:type="character" w:customStyle="1" w:styleId="616">
    <w:name w:val="未处理的提及1"/>
    <w:qFormat/>
    <w:uiPriority w:val="99"/>
    <w:rPr>
      <w:color w:val="808080"/>
      <w:shd w:val="clear" w:color="auto" w:fill="E6E6E6"/>
    </w:rPr>
  </w:style>
  <w:style w:type="character" w:customStyle="1" w:styleId="617">
    <w:name w:val="标题 5 Char"/>
    <w:semiHidden/>
    <w:qFormat/>
    <w:uiPriority w:val="99"/>
    <w:rPr>
      <w:b/>
      <w:sz w:val="28"/>
    </w:rPr>
  </w:style>
  <w:style w:type="character" w:customStyle="1" w:styleId="618">
    <w:name w:val="纯文本 Char"/>
    <w:semiHidden/>
    <w:qFormat/>
    <w:uiPriority w:val="99"/>
    <w:rPr>
      <w:rFonts w:ascii="宋体" w:hAnsi="Courier New" w:eastAsia="宋体"/>
      <w:sz w:val="21"/>
    </w:rPr>
  </w:style>
  <w:style w:type="character" w:customStyle="1" w:styleId="619">
    <w:name w:val="表头 Char"/>
    <w:semiHidden/>
    <w:qFormat/>
    <w:uiPriority w:val="99"/>
    <w:rPr>
      <w:rFonts w:ascii="Times New Roman" w:hAnsi="Times New Roman" w:eastAsia="宋体"/>
      <w:b/>
      <w:kern w:val="0"/>
      <w:sz w:val="21"/>
    </w:rPr>
  </w:style>
  <w:style w:type="character" w:customStyle="1" w:styleId="620">
    <w:name w:val="样式 Arial"/>
    <w:semiHidden/>
    <w:qFormat/>
    <w:uiPriority w:val="99"/>
    <w:rPr>
      <w:rFonts w:ascii="Arial" w:hAnsi="Arial" w:eastAsia="宋体"/>
      <w:kern w:val="2"/>
      <w:sz w:val="24"/>
      <w:lang w:val="en-US" w:eastAsia="zh-CN"/>
    </w:rPr>
  </w:style>
  <w:style w:type="character" w:customStyle="1" w:styleId="621">
    <w:name w:val="enas"/>
    <w:semiHidden/>
    <w:qFormat/>
    <w:uiPriority w:val="99"/>
    <w:rPr>
      <w:rFonts w:ascii="Arial" w:hAnsi="Arial" w:eastAsia="宋体"/>
      <w:color w:val="auto"/>
      <w:kern w:val="2"/>
      <w:sz w:val="20"/>
      <w:lang w:val="en-US" w:eastAsia="zh-CN"/>
    </w:rPr>
  </w:style>
  <w:style w:type="character" w:customStyle="1" w:styleId="622">
    <w:name w:val="Char Char10"/>
    <w:semiHidden/>
    <w:qFormat/>
    <w:uiPriority w:val="99"/>
    <w:rPr>
      <w:rFonts w:ascii="宋体" w:hAnsi="宋体" w:eastAsia="宋体"/>
      <w:color w:val="FF0000"/>
      <w:kern w:val="2"/>
      <w:sz w:val="24"/>
      <w:lang w:val="en-US" w:eastAsia="zh-CN"/>
    </w:rPr>
  </w:style>
  <w:style w:type="character" w:customStyle="1" w:styleId="623">
    <w:name w:val="Char Char7"/>
    <w:semiHidden/>
    <w:qFormat/>
    <w:uiPriority w:val="99"/>
    <w:rPr>
      <w:rFonts w:ascii="宋体" w:hAnsi="宋体" w:eastAsia="宋体"/>
      <w:kern w:val="2"/>
      <w:sz w:val="18"/>
      <w:lang w:val="en-US" w:eastAsia="zh-CN"/>
    </w:rPr>
  </w:style>
  <w:style w:type="character" w:customStyle="1" w:styleId="624">
    <w:name w:val="HTML 地址 Char1"/>
    <w:semiHidden/>
    <w:qFormat/>
    <w:uiPriority w:val="99"/>
    <w:rPr>
      <w:i/>
    </w:rPr>
  </w:style>
  <w:style w:type="character" w:customStyle="1" w:styleId="625">
    <w:name w:val="信息标题 Char1"/>
    <w:semiHidden/>
    <w:qFormat/>
    <w:uiPriority w:val="99"/>
    <w:rPr>
      <w:rFonts w:ascii="Calibri Light" w:hAnsi="Calibri Light" w:eastAsia="宋体"/>
      <w:sz w:val="24"/>
      <w:shd w:val="pct20" w:color="auto" w:fill="auto"/>
    </w:rPr>
  </w:style>
  <w:style w:type="character" w:customStyle="1" w:styleId="626">
    <w:name w:val="z-窗体顶端 Char1"/>
    <w:semiHidden/>
    <w:qFormat/>
    <w:uiPriority w:val="99"/>
    <w:rPr>
      <w:rFonts w:ascii="Arial" w:hAnsi="Arial"/>
      <w:vanish/>
      <w:sz w:val="16"/>
    </w:rPr>
  </w:style>
  <w:style w:type="character" w:customStyle="1" w:styleId="627">
    <w:name w:val="访问过的超链接1"/>
    <w:qFormat/>
    <w:uiPriority w:val="99"/>
    <w:rPr>
      <w:rFonts w:ascii="宋体" w:hAnsi="宋体" w:eastAsia="宋体"/>
      <w:color w:val="954F72"/>
      <w:kern w:val="2"/>
      <w:sz w:val="24"/>
      <w:u w:val="single"/>
      <w:lang w:val="en-US" w:eastAsia="zh-CN"/>
    </w:rPr>
  </w:style>
  <w:style w:type="paragraph" w:customStyle="1" w:styleId="628">
    <w:name w:val="菏泽-正文 Char Char Char"/>
    <w:basedOn w:val="1"/>
    <w:qFormat/>
    <w:uiPriority w:val="99"/>
    <w:pPr>
      <w:spacing w:line="440" w:lineRule="exact"/>
      <w:ind w:firstLine="420" w:firstLineChars="200"/>
    </w:pPr>
    <w:rPr>
      <w:rFonts w:ascii="Arial" w:hAnsi="Arial" w:eastAsia="华文细黑"/>
      <w:szCs w:val="20"/>
    </w:rPr>
  </w:style>
  <w:style w:type="paragraph" w:customStyle="1" w:styleId="629">
    <w:name w:val="工艺统一正文"/>
    <w:basedOn w:val="1"/>
    <w:qFormat/>
    <w:uiPriority w:val="99"/>
    <w:pPr>
      <w:adjustRightInd w:val="0"/>
      <w:snapToGrid w:val="0"/>
      <w:spacing w:line="360" w:lineRule="auto"/>
      <w:ind w:firstLine="578"/>
    </w:pPr>
    <w:rPr>
      <w:rFonts w:ascii="宋体"/>
      <w:sz w:val="28"/>
      <w:szCs w:val="20"/>
    </w:rPr>
  </w:style>
  <w:style w:type="paragraph" w:customStyle="1" w:styleId="630">
    <w:name w:val="xl57"/>
    <w:basedOn w:val="1"/>
    <w:qFormat/>
    <w:uiPriority w:val="99"/>
    <w:pPr>
      <w:widowControl/>
      <w:spacing w:before="100" w:beforeAutospacing="1" w:after="100" w:afterAutospacing="1"/>
      <w:jc w:val="left"/>
    </w:pPr>
    <w:rPr>
      <w:rFonts w:ascii="宋体" w:hAnsi="宋体"/>
      <w:b/>
      <w:bCs/>
      <w:kern w:val="0"/>
      <w:sz w:val="22"/>
      <w:szCs w:val="22"/>
    </w:rPr>
  </w:style>
  <w:style w:type="paragraph" w:customStyle="1" w:styleId="631">
    <w:name w:val="宏福正文-2"/>
    <w:basedOn w:val="84"/>
    <w:qFormat/>
    <w:uiPriority w:val="99"/>
    <w:pPr>
      <w:snapToGrid w:val="0"/>
      <w:spacing w:before="240" w:after="0" w:line="400" w:lineRule="atLeast"/>
      <w:ind w:firstLine="567" w:firstLineChars="0"/>
    </w:pPr>
    <w:rPr>
      <w:kern w:val="0"/>
      <w:sz w:val="28"/>
    </w:rPr>
  </w:style>
  <w:style w:type="paragraph" w:customStyle="1" w:styleId="632">
    <w:name w:val="xl59"/>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633">
    <w:name w:val="缺省文本_宋体"/>
    <w:basedOn w:val="1"/>
    <w:qFormat/>
    <w:uiPriority w:val="99"/>
    <w:pPr>
      <w:tabs>
        <w:tab w:val="left" w:pos="525"/>
        <w:tab w:val="center" w:pos="5670"/>
        <w:tab w:val="right" w:pos="7655"/>
      </w:tabs>
      <w:spacing w:before="80" w:after="120" w:line="360" w:lineRule="auto"/>
      <w:outlineLvl w:val="7"/>
    </w:pPr>
    <w:rPr>
      <w:spacing w:val="16"/>
      <w:kern w:val="28"/>
      <w:sz w:val="24"/>
      <w:szCs w:val="20"/>
    </w:rPr>
  </w:style>
  <w:style w:type="paragraph" w:customStyle="1" w:styleId="634">
    <w:name w:val="流程图"/>
    <w:basedOn w:val="1"/>
    <w:qFormat/>
    <w:uiPriority w:val="99"/>
    <w:pPr>
      <w:tabs>
        <w:tab w:val="left" w:pos="0"/>
      </w:tabs>
      <w:autoSpaceDE w:val="0"/>
      <w:autoSpaceDN w:val="0"/>
      <w:adjustRightInd w:val="0"/>
      <w:spacing w:line="240" w:lineRule="atLeast"/>
      <w:jc w:val="center"/>
      <w:textAlignment w:val="bottom"/>
    </w:pPr>
    <w:rPr>
      <w:rFonts w:ascii="宋体"/>
      <w:szCs w:val="20"/>
    </w:rPr>
  </w:style>
  <w:style w:type="paragraph" w:customStyle="1" w:styleId="635">
    <w:name w:val="标准条文"/>
    <w:basedOn w:val="101"/>
    <w:next w:val="101"/>
    <w:qFormat/>
    <w:uiPriority w:val="99"/>
    <w:rPr>
      <w:rFonts w:ascii="宋体"/>
      <w:color w:val="auto"/>
    </w:rPr>
  </w:style>
  <w:style w:type="paragraph" w:customStyle="1" w:styleId="636">
    <w:name w:val="xl52"/>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637">
    <w:name w:val="xl144"/>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638">
    <w:name w:val="图编号"/>
    <w:basedOn w:val="414"/>
    <w:qFormat/>
    <w:uiPriority w:val="99"/>
    <w:pPr>
      <w:tabs>
        <w:tab w:val="left" w:pos="763"/>
        <w:tab w:val="left" w:pos="1440"/>
      </w:tabs>
      <w:spacing w:before="300" w:after="300" w:line="360" w:lineRule="auto"/>
      <w:ind w:left="400" w:leftChars="400" w:hanging="200" w:hangingChars="200"/>
    </w:pPr>
    <w:rPr>
      <w:rFonts w:ascii="Times New Roman" w:hAnsi="Times New Roman" w:eastAsia="宋体"/>
      <w:kern w:val="0"/>
      <w:sz w:val="20"/>
      <w:szCs w:val="24"/>
    </w:rPr>
  </w:style>
  <w:style w:type="paragraph" w:customStyle="1" w:styleId="639">
    <w:name w:val="Char1 Char Char Char2"/>
    <w:basedOn w:val="1"/>
    <w:qFormat/>
    <w:uiPriority w:val="99"/>
    <w:pPr>
      <w:spacing w:line="360" w:lineRule="auto"/>
      <w:ind w:firstLine="200" w:firstLineChars="200"/>
    </w:pPr>
    <w:rPr>
      <w:rFonts w:ascii="宋体" w:hAnsi="宋体" w:cs="宋体"/>
      <w:sz w:val="24"/>
    </w:rPr>
  </w:style>
  <w:style w:type="paragraph" w:customStyle="1" w:styleId="640">
    <w:name w:val="xl82"/>
    <w:basedOn w:val="1"/>
    <w:qFormat/>
    <w:uiPriority w:val="99"/>
    <w:pPr>
      <w:widowControl/>
      <w:pBdr>
        <w:left w:val="single" w:color="auto" w:sz="12" w:space="0"/>
        <w:bottom w:val="single" w:color="auto" w:sz="12" w:space="0"/>
      </w:pBdr>
      <w:spacing w:before="100" w:beforeAutospacing="1" w:after="100" w:afterAutospacing="1"/>
      <w:jc w:val="right"/>
      <w:textAlignment w:val="center"/>
    </w:pPr>
    <w:rPr>
      <w:rFonts w:ascii="Arial Unicode MS" w:hAnsi="Arial Unicode MS"/>
      <w:kern w:val="0"/>
      <w:sz w:val="12"/>
      <w:szCs w:val="12"/>
    </w:rPr>
  </w:style>
  <w:style w:type="paragraph" w:customStyle="1" w:styleId="641">
    <w:name w:val="myformat_content Char"/>
    <w:basedOn w:val="1"/>
    <w:qFormat/>
    <w:uiPriority w:val="99"/>
    <w:pPr>
      <w:spacing w:beforeLines="50" w:afterLines="50" w:line="360" w:lineRule="exact"/>
      <w:ind w:firstLine="480" w:firstLineChars="200"/>
    </w:pPr>
    <w:rPr>
      <w:sz w:val="24"/>
      <w:szCs w:val="20"/>
    </w:rPr>
  </w:style>
  <w:style w:type="paragraph" w:customStyle="1" w:styleId="642">
    <w:name w:val="其他发布日期"/>
    <w:basedOn w:val="1"/>
    <w:qFormat/>
    <w:uiPriority w:val="99"/>
    <w:pPr>
      <w:widowControl/>
      <w:numPr>
        <w:ilvl w:val="0"/>
        <w:numId w:val="6"/>
      </w:numPr>
      <w:jc w:val="left"/>
    </w:pPr>
    <w:rPr>
      <w:rFonts w:eastAsia="黑体"/>
      <w:kern w:val="0"/>
      <w:sz w:val="28"/>
      <w:szCs w:val="20"/>
    </w:rPr>
  </w:style>
  <w:style w:type="paragraph" w:customStyle="1" w:styleId="643">
    <w:name w:val="xl123"/>
    <w:basedOn w:val="1"/>
    <w:qFormat/>
    <w:uiPriority w:val="99"/>
    <w:pPr>
      <w:widowControl/>
      <w:pBdr>
        <w:top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644">
    <w:name w:val="Char Char Char Char Char Char"/>
    <w:basedOn w:val="1"/>
    <w:qFormat/>
    <w:uiPriority w:val="99"/>
    <w:rPr>
      <w:sz w:val="24"/>
    </w:rPr>
  </w:style>
  <w:style w:type="paragraph" w:customStyle="1" w:styleId="645">
    <w:name w:val="样式 样式 标题 3东明_小节H3条标题1.1.1二级节名h33rd level3l3CTHeading 3 - ... + 段..."/>
    <w:basedOn w:val="646"/>
    <w:qFormat/>
    <w:uiPriority w:val="99"/>
    <w:pPr>
      <w:spacing w:after="156"/>
    </w:pPr>
  </w:style>
  <w:style w:type="paragraph" w:customStyle="1" w:styleId="646">
    <w:name w:val="样式 标题 3东明_小节H3条标题1.1.1二级节名h33rd level3l3CTHeading 3 - ..."/>
    <w:basedOn w:val="9"/>
    <w:qFormat/>
    <w:uiPriority w:val="99"/>
    <w:pPr>
      <w:spacing w:before="0" w:after="0" w:line="360" w:lineRule="auto"/>
    </w:pPr>
    <w:rPr>
      <w:rFonts w:eastAsia="黑体" w:cs="宋体"/>
      <w:sz w:val="24"/>
      <w:szCs w:val="20"/>
      <w:lang w:val="zh-CN"/>
    </w:rPr>
  </w:style>
  <w:style w:type="paragraph" w:customStyle="1" w:styleId="647">
    <w:name w:val="Char Char Char Char Char Char Char Char Char Char Char Char Char Char Char Char"/>
    <w:basedOn w:val="1"/>
    <w:qFormat/>
    <w:uiPriority w:val="99"/>
    <w:rPr>
      <w:rFonts w:cs="宋体"/>
      <w:bCs/>
      <w:color w:val="000000"/>
      <w:szCs w:val="28"/>
    </w:rPr>
  </w:style>
  <w:style w:type="paragraph" w:customStyle="1" w:styleId="648">
    <w:name w:val="五号表格"/>
    <w:next w:val="1"/>
    <w:qFormat/>
    <w:uiPriority w:val="99"/>
    <w:rPr>
      <w:rFonts w:ascii="宋体" w:hAnsi="Times New Roman" w:eastAsia="宋体" w:cs="Times New Roman"/>
      <w:kern w:val="0"/>
      <w:sz w:val="21"/>
      <w:szCs w:val="20"/>
      <w:lang w:val="en-US" w:eastAsia="zh-CN" w:bidi="ar-SA"/>
    </w:rPr>
  </w:style>
  <w:style w:type="paragraph" w:customStyle="1" w:styleId="649">
    <w:name w:val="7"/>
    <w:basedOn w:val="1"/>
    <w:next w:val="12"/>
    <w:qFormat/>
    <w:uiPriority w:val="99"/>
    <w:pPr>
      <w:adjustRightInd w:val="0"/>
      <w:snapToGrid w:val="0"/>
      <w:spacing w:line="312" w:lineRule="auto"/>
      <w:ind w:firstLine="200" w:firstLineChars="200"/>
    </w:pPr>
    <w:rPr>
      <w:rFonts w:ascii="仿宋_GB2312" w:eastAsia="仿宋_GB2312"/>
      <w:sz w:val="28"/>
    </w:rPr>
  </w:style>
  <w:style w:type="paragraph" w:customStyle="1" w:styleId="650">
    <w:name w:val="BG-WZ"/>
    <w:basedOn w:val="1"/>
    <w:qFormat/>
    <w:uiPriority w:val="99"/>
    <w:pPr>
      <w:adjustRightInd w:val="0"/>
      <w:snapToGrid w:val="0"/>
      <w:ind w:left="-51" w:right="-51"/>
      <w:jc w:val="center"/>
    </w:pPr>
    <w:rPr>
      <w:rFonts w:ascii="宋体" w:hAnsi="宋体"/>
      <w:szCs w:val="20"/>
    </w:rPr>
  </w:style>
  <w:style w:type="paragraph" w:customStyle="1" w:styleId="651">
    <w:name w:val="东明_章"/>
    <w:basedOn w:val="7"/>
    <w:qFormat/>
    <w:uiPriority w:val="99"/>
    <w:pPr>
      <w:keepLines/>
      <w:pBdr>
        <w:top w:val="single" w:color="808080" w:sz="24" w:space="1"/>
        <w:left w:val="single" w:color="808080" w:sz="24" w:space="4"/>
        <w:bottom w:val="single" w:color="808080" w:sz="24" w:space="1"/>
        <w:right w:val="single" w:color="808080" w:sz="24" w:space="4"/>
      </w:pBdr>
      <w:shd w:val="clear" w:color="auto" w:fill="D9D9D9"/>
      <w:tabs>
        <w:tab w:val="left" w:pos="0"/>
        <w:tab w:val="left" w:pos="1400"/>
        <w:tab w:val="left" w:pos="8280"/>
      </w:tabs>
      <w:overflowPunct/>
      <w:snapToGrid/>
      <w:spacing w:before="600" w:after="0" w:line="578" w:lineRule="auto"/>
      <w:ind w:left="1400" w:hanging="840"/>
      <w:jc w:val="center"/>
    </w:pPr>
    <w:rPr>
      <w:rFonts w:ascii="Arial" w:hAnsi="Arial" w:eastAsia="宋体-方正超大字符集"/>
      <w:color w:val="auto"/>
      <w:sz w:val="36"/>
      <w:szCs w:val="20"/>
    </w:rPr>
  </w:style>
  <w:style w:type="paragraph" w:customStyle="1" w:styleId="652">
    <w:name w:val="xl131"/>
    <w:basedOn w:val="1"/>
    <w:qFormat/>
    <w:uiPriority w:val="99"/>
    <w:pPr>
      <w:widowControl/>
      <w:pBdr>
        <w:left w:val="single" w:color="auto" w:sz="4" w:space="0"/>
        <w:right w:val="single" w:color="auto" w:sz="8" w:space="0"/>
      </w:pBdr>
      <w:spacing w:before="100" w:beforeAutospacing="1" w:after="100" w:afterAutospacing="1"/>
      <w:jc w:val="left"/>
    </w:pPr>
    <w:rPr>
      <w:rFonts w:ascii="Arial Unicode MS" w:hAnsi="Arial Unicode MS"/>
      <w:kern w:val="0"/>
    </w:rPr>
  </w:style>
  <w:style w:type="paragraph" w:customStyle="1" w:styleId="653">
    <w:name w:val="首页脚注"/>
    <w:basedOn w:val="54"/>
    <w:qFormat/>
    <w:uiPriority w:val="99"/>
    <w:pPr>
      <w:keepLines/>
      <w:widowControl/>
      <w:tabs>
        <w:tab w:val="center" w:pos="4320"/>
        <w:tab w:val="clear" w:pos="4153"/>
        <w:tab w:val="clear" w:pos="8306"/>
      </w:tabs>
      <w:overflowPunct w:val="0"/>
      <w:autoSpaceDE w:val="0"/>
      <w:autoSpaceDN w:val="0"/>
      <w:adjustRightInd w:val="0"/>
      <w:snapToGrid/>
      <w:jc w:val="center"/>
      <w:textAlignment w:val="baseline"/>
    </w:pPr>
    <w:rPr>
      <w:sz w:val="20"/>
    </w:rPr>
  </w:style>
  <w:style w:type="paragraph" w:customStyle="1" w:styleId="654">
    <w:name w:val="工业统一正文"/>
    <w:basedOn w:val="1"/>
    <w:qFormat/>
    <w:uiPriority w:val="99"/>
    <w:pPr>
      <w:adjustRightInd w:val="0"/>
      <w:snapToGrid w:val="0"/>
      <w:spacing w:line="360" w:lineRule="auto"/>
      <w:ind w:firstLine="200" w:firstLineChars="200"/>
      <w:jc w:val="left"/>
    </w:pPr>
    <w:rPr>
      <w:rFonts w:ascii="宋体"/>
      <w:sz w:val="28"/>
      <w:szCs w:val="20"/>
    </w:rPr>
  </w:style>
  <w:style w:type="paragraph" w:customStyle="1" w:styleId="655">
    <w:name w:val="Char Char Char4 Char Char Char Char Char Char3"/>
    <w:basedOn w:val="1"/>
    <w:qFormat/>
    <w:uiPriority w:val="99"/>
    <w:rPr>
      <w:rFonts w:ascii="宋体" w:hAnsi="宋体" w:cs="宋体"/>
      <w:sz w:val="24"/>
    </w:rPr>
  </w:style>
  <w:style w:type="paragraph" w:customStyle="1" w:styleId="656">
    <w:name w:val="图目"/>
    <w:basedOn w:val="1"/>
    <w:qFormat/>
    <w:uiPriority w:val="99"/>
    <w:pPr>
      <w:snapToGrid w:val="0"/>
      <w:spacing w:before="360" w:after="360" w:line="440" w:lineRule="atLeast"/>
      <w:jc w:val="center"/>
    </w:pPr>
    <w:rPr>
      <w:rFonts w:ascii="黑体" w:hAnsi="Arial" w:eastAsia="黑体"/>
      <w:sz w:val="24"/>
      <w:szCs w:val="20"/>
    </w:rPr>
  </w:style>
  <w:style w:type="paragraph" w:customStyle="1" w:styleId="657">
    <w:name w:val="xl71"/>
    <w:basedOn w:val="1"/>
    <w:qFormat/>
    <w:uiPriority w:val="99"/>
    <w:pPr>
      <w:widowControl/>
      <w:spacing w:before="100" w:beforeAutospacing="1" w:after="100" w:afterAutospacing="1"/>
      <w:jc w:val="left"/>
    </w:pPr>
    <w:rPr>
      <w:rFonts w:ascii="宋体" w:hAnsi="宋体"/>
      <w:b/>
      <w:bCs/>
      <w:kern w:val="0"/>
      <w:sz w:val="20"/>
      <w:szCs w:val="20"/>
    </w:rPr>
  </w:style>
  <w:style w:type="paragraph" w:customStyle="1" w:styleId="658">
    <w:name w:val="表格文字居中 Char"/>
    <w:basedOn w:val="84"/>
    <w:qFormat/>
    <w:uiPriority w:val="99"/>
    <w:pPr>
      <w:keepNext/>
      <w:tabs>
        <w:tab w:val="left" w:pos="628"/>
        <w:tab w:val="left" w:pos="1727"/>
        <w:tab w:val="left" w:pos="1884"/>
        <w:tab w:val="left" w:pos="2660"/>
        <w:tab w:val="left" w:pos="5460"/>
      </w:tabs>
      <w:spacing w:before="100" w:beforeAutospacing="1" w:after="0"/>
      <w:ind w:firstLine="0" w:firstLineChars="0"/>
      <w:jc w:val="center"/>
    </w:pPr>
    <w:rPr>
      <w:rFonts w:ascii="宋体"/>
      <w:bCs/>
      <w:color w:val="000000"/>
      <w:kern w:val="0"/>
      <w:sz w:val="24"/>
    </w:rPr>
  </w:style>
  <w:style w:type="paragraph" w:customStyle="1" w:styleId="659">
    <w:name w:val="样式 样式 首行缩进:  0.85 厘米 行距: 1.5 倍行距 + 段后: 0.3 行"/>
    <w:basedOn w:val="660"/>
    <w:semiHidden/>
    <w:qFormat/>
    <w:uiPriority w:val="99"/>
  </w:style>
  <w:style w:type="paragraph" w:customStyle="1" w:styleId="660">
    <w:name w:val="样式 首行缩进:  0.85 厘米 行距: 1.5 倍行距"/>
    <w:basedOn w:val="1"/>
    <w:semiHidden/>
    <w:qFormat/>
    <w:uiPriority w:val="99"/>
    <w:pPr>
      <w:snapToGrid w:val="0"/>
      <w:spacing w:beforeLines="50" w:line="360" w:lineRule="auto"/>
      <w:ind w:firstLine="480" w:firstLineChars="200"/>
    </w:pPr>
    <w:rPr>
      <w:sz w:val="24"/>
      <w:szCs w:val="20"/>
    </w:rPr>
  </w:style>
  <w:style w:type="paragraph" w:customStyle="1" w:styleId="661">
    <w:name w:val="xl133"/>
    <w:basedOn w:val="1"/>
    <w:qFormat/>
    <w:uiPriority w:val="99"/>
    <w:pPr>
      <w:widowControl/>
      <w:pBdr>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662">
    <w:name w:val="EIA1"/>
    <w:basedOn w:val="7"/>
    <w:qFormat/>
    <w:uiPriority w:val="99"/>
    <w:pPr>
      <w:tabs>
        <w:tab w:val="left" w:pos="390"/>
      </w:tabs>
      <w:overflowPunct/>
      <w:snapToGrid/>
      <w:spacing w:before="0" w:after="0" w:line="480" w:lineRule="auto"/>
      <w:ind w:left="390" w:firstLine="0"/>
      <w:jc w:val="left"/>
    </w:pPr>
    <w:rPr>
      <w:rFonts w:ascii="Calibri" w:hAnsi="Calibri" w:eastAsia="宋体"/>
      <w:bCs w:val="0"/>
      <w:color w:val="auto"/>
      <w:kern w:val="2"/>
      <w:sz w:val="32"/>
      <w:szCs w:val="20"/>
    </w:rPr>
  </w:style>
  <w:style w:type="paragraph" w:customStyle="1" w:styleId="663">
    <w:name w:val="表格文字居中"/>
    <w:basedOn w:val="1"/>
    <w:next w:val="84"/>
    <w:qFormat/>
    <w:uiPriority w:val="99"/>
    <w:pPr>
      <w:keepNext/>
      <w:tabs>
        <w:tab w:val="left" w:pos="628"/>
        <w:tab w:val="left" w:pos="1727"/>
        <w:tab w:val="left" w:pos="1884"/>
      </w:tabs>
      <w:adjustRightInd w:val="0"/>
      <w:snapToGrid w:val="0"/>
      <w:contextualSpacing/>
      <w:jc w:val="center"/>
    </w:pPr>
    <w:rPr>
      <w:bCs/>
      <w:color w:val="000000"/>
      <w:kern w:val="0"/>
      <w:szCs w:val="21"/>
    </w:rPr>
  </w:style>
  <w:style w:type="paragraph" w:customStyle="1" w:styleId="664">
    <w:name w:val="样式 标题 2 + 首行缩进:  2.5 字符"/>
    <w:basedOn w:val="8"/>
    <w:qFormat/>
    <w:uiPriority w:val="99"/>
    <w:pPr>
      <w:keepNext w:val="0"/>
      <w:keepLines w:val="0"/>
      <w:tabs>
        <w:tab w:val="left" w:pos="840"/>
      </w:tabs>
      <w:spacing w:before="0" w:after="0" w:line="240" w:lineRule="auto"/>
      <w:ind w:left="840" w:hanging="420"/>
    </w:pPr>
    <w:rPr>
      <w:rFonts w:ascii="Times New Roman" w:hAnsi="Times New Roman" w:eastAsia="楷体_GB2312" w:cs="宋体"/>
      <w:b w:val="0"/>
      <w:bCs w:val="0"/>
      <w:kern w:val="0"/>
      <w:sz w:val="28"/>
      <w:szCs w:val="20"/>
    </w:rPr>
  </w:style>
  <w:style w:type="paragraph" w:customStyle="1" w:styleId="665">
    <w:name w:val="xl120"/>
    <w:basedOn w:val="1"/>
    <w:qFormat/>
    <w:uiPriority w:val="99"/>
    <w:pPr>
      <w:widowControl/>
      <w:spacing w:before="100" w:beforeAutospacing="1" w:after="100" w:afterAutospacing="1"/>
      <w:jc w:val="left"/>
      <w:textAlignment w:val="center"/>
    </w:pPr>
    <w:rPr>
      <w:rFonts w:ascii="Arial Unicode MS" w:hAnsi="Arial Unicode MS"/>
      <w:kern w:val="0"/>
      <w:sz w:val="12"/>
      <w:szCs w:val="12"/>
    </w:rPr>
  </w:style>
  <w:style w:type="paragraph" w:customStyle="1" w:styleId="666">
    <w:name w:val="表后文"/>
    <w:basedOn w:val="1"/>
    <w:qFormat/>
    <w:uiPriority w:val="99"/>
    <w:pPr>
      <w:adjustRightInd w:val="0"/>
      <w:spacing w:before="120" w:line="400" w:lineRule="exact"/>
      <w:ind w:firstLine="601"/>
      <w:textAlignment w:val="baseline"/>
    </w:pPr>
    <w:rPr>
      <w:rFonts w:eastAsia="楷体_GB2312"/>
      <w:spacing w:val="8"/>
      <w:kern w:val="0"/>
      <w:sz w:val="28"/>
      <w:szCs w:val="20"/>
    </w:rPr>
  </w:style>
  <w:style w:type="paragraph" w:customStyle="1" w:styleId="667">
    <w:name w:val="正文首行缩进2字"/>
    <w:basedOn w:val="1"/>
    <w:qFormat/>
    <w:uiPriority w:val="99"/>
    <w:pPr>
      <w:adjustRightInd w:val="0"/>
      <w:snapToGrid w:val="0"/>
      <w:spacing w:line="300" w:lineRule="auto"/>
      <w:ind w:firstLine="563" w:firstLineChars="201"/>
    </w:pPr>
    <w:rPr>
      <w:sz w:val="28"/>
    </w:rPr>
  </w:style>
  <w:style w:type="paragraph" w:customStyle="1" w:styleId="668">
    <w:name w:val="xl28"/>
    <w:basedOn w:val="1"/>
    <w:qFormat/>
    <w:uiPriority w:val="99"/>
    <w:pPr>
      <w:widowControl/>
      <w:spacing w:before="100" w:beforeAutospacing="1" w:after="100" w:afterAutospacing="1"/>
      <w:jc w:val="center"/>
      <w:textAlignment w:val="bottom"/>
    </w:pPr>
    <w:rPr>
      <w:rFonts w:ascii="Arial" w:hAnsi="Arial" w:cs="Arial"/>
      <w:b/>
      <w:bCs/>
      <w:kern w:val="0"/>
      <w:sz w:val="24"/>
    </w:rPr>
  </w:style>
  <w:style w:type="paragraph" w:customStyle="1" w:styleId="669">
    <w:name w:val="p0"/>
    <w:basedOn w:val="1"/>
    <w:qFormat/>
    <w:uiPriority w:val="99"/>
    <w:pPr>
      <w:widowControl/>
    </w:pPr>
    <w:rPr>
      <w:kern w:val="0"/>
      <w:szCs w:val="21"/>
    </w:rPr>
  </w:style>
  <w:style w:type="paragraph" w:customStyle="1" w:styleId="670">
    <w:name w:val="标题小四"/>
    <w:basedOn w:val="1"/>
    <w:next w:val="1"/>
    <w:qFormat/>
    <w:uiPriority w:val="99"/>
    <w:pPr>
      <w:spacing w:line="360" w:lineRule="auto"/>
      <w:jc w:val="center"/>
    </w:pPr>
    <w:rPr>
      <w:rFonts w:eastAsia="黑体"/>
      <w:sz w:val="24"/>
    </w:rPr>
  </w:style>
  <w:style w:type="paragraph" w:customStyle="1" w:styleId="671">
    <w:name w:val="xl104"/>
    <w:basedOn w:val="1"/>
    <w:qFormat/>
    <w:uiPriority w:val="99"/>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672">
    <w:name w:val="xl25"/>
    <w:basedOn w:val="1"/>
    <w:qFormat/>
    <w:uiPriority w:val="99"/>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673">
    <w:name w:val="Date1"/>
    <w:basedOn w:val="1"/>
    <w:next w:val="1"/>
    <w:qFormat/>
    <w:uiPriority w:val="99"/>
    <w:pPr>
      <w:adjustRightInd w:val="0"/>
      <w:textAlignment w:val="baseline"/>
    </w:pPr>
    <w:rPr>
      <w:szCs w:val="21"/>
    </w:rPr>
  </w:style>
  <w:style w:type="paragraph" w:customStyle="1" w:styleId="674">
    <w:name w:val="样式 正文文本 + 左侧:  2 字符 首行缩进:  2 字符"/>
    <w:basedOn w:val="35"/>
    <w:qFormat/>
    <w:uiPriority w:val="99"/>
    <w:pPr>
      <w:widowControl w:val="0"/>
      <w:adjustRightInd w:val="0"/>
      <w:spacing w:before="0" w:after="0" w:line="360" w:lineRule="auto"/>
      <w:ind w:left="480" w:leftChars="200" w:right="0" w:firstLine="480" w:firstLineChars="200"/>
      <w:jc w:val="left"/>
    </w:pPr>
    <w:rPr>
      <w:rFonts w:ascii="Arial" w:hAnsi="Arial" w:cs="宋体"/>
      <w:kern w:val="2"/>
      <w:sz w:val="24"/>
    </w:rPr>
  </w:style>
  <w:style w:type="paragraph" w:customStyle="1" w:styleId="675">
    <w:name w:val="xl5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color w:val="FF0000"/>
      <w:kern w:val="0"/>
      <w:sz w:val="24"/>
    </w:rPr>
  </w:style>
  <w:style w:type="paragraph" w:customStyle="1" w:styleId="676">
    <w:name w:val="defaultfont"/>
    <w:basedOn w:val="1"/>
    <w:qFormat/>
    <w:uiPriority w:val="99"/>
    <w:pPr>
      <w:widowControl/>
      <w:spacing w:before="100" w:beforeAutospacing="1" w:after="100" w:afterAutospacing="1"/>
      <w:jc w:val="left"/>
    </w:pPr>
    <w:rPr>
      <w:rFonts w:ascii="宋体" w:hAnsi="宋体" w:cs="宋体"/>
      <w:kern w:val="0"/>
      <w:sz w:val="24"/>
    </w:rPr>
  </w:style>
  <w:style w:type="paragraph" w:customStyle="1" w:styleId="677">
    <w:name w:val="xl44"/>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678">
    <w:name w:val="xl118"/>
    <w:basedOn w:val="1"/>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679">
    <w:name w:val="xl56"/>
    <w:basedOn w:val="1"/>
    <w:qFormat/>
    <w:uiPriority w:val="99"/>
    <w:pPr>
      <w:widowControl/>
      <w:spacing w:before="100" w:beforeAutospacing="1" w:after="100" w:afterAutospacing="1"/>
      <w:jc w:val="right"/>
    </w:pPr>
    <w:rPr>
      <w:rFonts w:ascii="Arial" w:hAnsi="Arial" w:cs="Arial"/>
      <w:b/>
      <w:bCs/>
      <w:i/>
      <w:iCs/>
      <w:kern w:val="0"/>
      <w:sz w:val="22"/>
      <w:szCs w:val="22"/>
    </w:rPr>
  </w:style>
  <w:style w:type="paragraph" w:customStyle="1" w:styleId="680">
    <w:name w:val="标题16.1.1.1"/>
    <w:basedOn w:val="10"/>
    <w:qFormat/>
    <w:uiPriority w:val="99"/>
    <w:pPr>
      <w:tabs>
        <w:tab w:val="left" w:pos="360"/>
      </w:tabs>
      <w:spacing w:before="120" w:after="120" w:line="312" w:lineRule="auto"/>
      <w:ind w:left="864" w:hanging="864"/>
      <w:contextualSpacing/>
    </w:pPr>
    <w:rPr>
      <w:rFonts w:ascii="Arial" w:hAnsi="Arial" w:eastAsia="黑体"/>
      <w:sz w:val="21"/>
      <w:szCs w:val="24"/>
    </w:rPr>
  </w:style>
  <w:style w:type="paragraph" w:customStyle="1" w:styleId="681">
    <w:name w:val="xl167"/>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682">
    <w:name w:val="注释"/>
    <w:basedOn w:val="208"/>
    <w:qFormat/>
    <w:uiPriority w:val="99"/>
    <w:pPr>
      <w:ind w:firstLine="420"/>
    </w:pPr>
    <w:rPr>
      <w:sz w:val="21"/>
      <w:szCs w:val="24"/>
    </w:rPr>
  </w:style>
  <w:style w:type="paragraph" w:customStyle="1" w:styleId="683">
    <w:name w:val="样式 表标题4.9 + 居中"/>
    <w:basedOn w:val="1"/>
    <w:qFormat/>
    <w:uiPriority w:val="99"/>
    <w:pPr>
      <w:numPr>
        <w:ilvl w:val="0"/>
        <w:numId w:val="7"/>
      </w:numPr>
      <w:tabs>
        <w:tab w:val="center" w:pos="4060"/>
        <w:tab w:val="right" w:pos="8261"/>
      </w:tabs>
      <w:suppressAutoHyphens/>
      <w:adjustRightInd w:val="0"/>
      <w:spacing w:before="240" w:line="240" w:lineRule="atLeast"/>
      <w:jc w:val="center"/>
    </w:pPr>
    <w:rPr>
      <w:rFonts w:ascii="黑体" w:eastAsia="黑体" w:cs="宋体"/>
      <w:b/>
      <w:bCs/>
      <w:spacing w:val="6"/>
      <w:kern w:val="0"/>
      <w:sz w:val="26"/>
      <w:szCs w:val="20"/>
    </w:rPr>
  </w:style>
  <w:style w:type="paragraph" w:customStyle="1" w:styleId="684">
    <w:name w:val="样式8"/>
    <w:basedOn w:val="1"/>
    <w:next w:val="1"/>
    <w:qFormat/>
    <w:uiPriority w:val="99"/>
    <w:pPr>
      <w:ind w:firstLine="420"/>
    </w:pPr>
    <w:rPr>
      <w:rFonts w:ascii="宋体" w:hAnsi="Arial Black" w:cs="宋体"/>
      <w:sz w:val="24"/>
    </w:rPr>
  </w:style>
  <w:style w:type="paragraph" w:customStyle="1" w:styleId="685">
    <w:name w:val="样式 标题 2东明_节Chapter HeadingHeading 2 HiddenHeading 2 CCBShea..."/>
    <w:basedOn w:val="8"/>
    <w:qFormat/>
    <w:uiPriority w:val="99"/>
    <w:pPr>
      <w:spacing w:before="0" w:after="0" w:line="360" w:lineRule="auto"/>
    </w:pPr>
    <w:rPr>
      <w:rFonts w:ascii="Times New Roman" w:hAnsi="Times New Roman" w:cs="宋体"/>
      <w:kern w:val="44"/>
      <w:sz w:val="28"/>
      <w:szCs w:val="20"/>
      <w:lang w:val="zh-CN"/>
    </w:rPr>
  </w:style>
  <w:style w:type="paragraph" w:customStyle="1" w:styleId="686">
    <w:name w:val="项目段落"/>
    <w:basedOn w:val="1"/>
    <w:qFormat/>
    <w:uiPriority w:val="99"/>
    <w:pPr>
      <w:spacing w:before="60" w:line="360" w:lineRule="auto"/>
      <w:ind w:left="476" w:firstLine="482"/>
    </w:pPr>
    <w:rPr>
      <w:rFonts w:ascii="Arial" w:hAnsi="Arial" w:eastAsia="仿宋_GB2312"/>
      <w:kern w:val="0"/>
      <w:sz w:val="24"/>
      <w:szCs w:val="20"/>
    </w:rPr>
  </w:style>
  <w:style w:type="paragraph" w:customStyle="1" w:styleId="687">
    <w:name w:val="Char4"/>
    <w:basedOn w:val="1"/>
    <w:qFormat/>
    <w:uiPriority w:val="99"/>
    <w:pPr>
      <w:widowControl/>
      <w:spacing w:after="160"/>
      <w:jc w:val="left"/>
    </w:pPr>
    <w:rPr>
      <w:rFonts w:ascii="Verdana" w:hAnsi="Verdana" w:eastAsia="仿宋_GB2312" w:cs="”“Times New Roman”“"/>
      <w:kern w:val="0"/>
      <w:sz w:val="28"/>
      <w:szCs w:val="28"/>
      <w:lang w:eastAsia="en-US"/>
    </w:rPr>
  </w:style>
  <w:style w:type="paragraph" w:customStyle="1" w:styleId="688">
    <w:name w:val="样式a"/>
    <w:basedOn w:val="1"/>
    <w:qFormat/>
    <w:uiPriority w:val="99"/>
    <w:pPr>
      <w:adjustRightInd w:val="0"/>
      <w:snapToGrid w:val="0"/>
      <w:spacing w:line="420" w:lineRule="exact"/>
      <w:ind w:firstLine="200" w:firstLineChars="200"/>
      <w:textAlignment w:val="baseline"/>
    </w:pPr>
    <w:rPr>
      <w:kern w:val="0"/>
      <w:sz w:val="24"/>
    </w:rPr>
  </w:style>
  <w:style w:type="paragraph" w:customStyle="1" w:styleId="689">
    <w:name w:val="xl38"/>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690">
    <w:name w:val="普通(网站)2"/>
    <w:basedOn w:val="1"/>
    <w:qFormat/>
    <w:uiPriority w:val="99"/>
    <w:pPr>
      <w:widowControl/>
      <w:spacing w:before="100" w:beforeAutospacing="1" w:after="100" w:afterAutospacing="1"/>
      <w:jc w:val="left"/>
    </w:pPr>
    <w:rPr>
      <w:rFonts w:ascii="宋体" w:hAnsi="宋体"/>
      <w:sz w:val="24"/>
      <w:szCs w:val="20"/>
    </w:rPr>
  </w:style>
  <w:style w:type="paragraph" w:customStyle="1" w:styleId="691">
    <w:name w:val="WPS Plain"/>
    <w:qFormat/>
    <w:uiPriority w:val="99"/>
    <w:rPr>
      <w:rFonts w:ascii="Times New Roman" w:hAnsi="Times New Roman" w:eastAsia="宋体" w:cs="Times New Roman"/>
      <w:kern w:val="0"/>
      <w:sz w:val="20"/>
      <w:szCs w:val="20"/>
      <w:lang w:val="en-US" w:eastAsia="zh-CN" w:bidi="ar-SA"/>
    </w:rPr>
  </w:style>
  <w:style w:type="paragraph" w:customStyle="1" w:styleId="692">
    <w:name w:val="样式 样式 首行缩进:  2 字符 + 首行缩进:  2 字符2"/>
    <w:basedOn w:val="1"/>
    <w:qFormat/>
    <w:uiPriority w:val="99"/>
    <w:pPr>
      <w:spacing w:line="440" w:lineRule="exact"/>
      <w:ind w:firstLine="584" w:firstLineChars="200"/>
    </w:pPr>
    <w:rPr>
      <w:rFonts w:eastAsia="楷体_GB2312" w:cs="宋体"/>
      <w:spacing w:val="6"/>
      <w:kern w:val="0"/>
      <w:sz w:val="28"/>
      <w:szCs w:val="20"/>
    </w:rPr>
  </w:style>
  <w:style w:type="paragraph" w:customStyle="1" w:styleId="693">
    <w:name w:val="样式 首行缩进:  2 字符"/>
    <w:basedOn w:val="1"/>
    <w:qFormat/>
    <w:uiPriority w:val="99"/>
    <w:pPr>
      <w:snapToGrid w:val="0"/>
      <w:spacing w:line="500" w:lineRule="exact"/>
      <w:ind w:firstLine="480" w:firstLineChars="200"/>
      <w:jc w:val="left"/>
    </w:pPr>
    <w:rPr>
      <w:rFonts w:cs="宋体"/>
      <w:sz w:val="24"/>
      <w:szCs w:val="20"/>
    </w:rPr>
  </w:style>
  <w:style w:type="paragraph" w:customStyle="1" w:styleId="694">
    <w:name w:val="报告书表格"/>
    <w:basedOn w:val="1"/>
    <w:qFormat/>
    <w:uiPriority w:val="99"/>
    <w:pPr>
      <w:adjustRightInd w:val="0"/>
      <w:spacing w:before="60" w:after="60" w:line="240" w:lineRule="atLeast"/>
      <w:jc w:val="center"/>
      <w:textAlignment w:val="baseline"/>
    </w:pPr>
    <w:rPr>
      <w:kern w:val="0"/>
      <w:szCs w:val="20"/>
    </w:rPr>
  </w:style>
  <w:style w:type="paragraph" w:customStyle="1" w:styleId="695">
    <w:name w:val="源程序"/>
    <w:qFormat/>
    <w:uiPriority w:val="99"/>
    <w:pPr>
      <w:widowControl w:val="0"/>
      <w:kinsoku w:val="0"/>
      <w:wordWrap w:val="0"/>
      <w:overflowPunct w:val="0"/>
      <w:autoSpaceDE w:val="0"/>
      <w:autoSpaceDN w:val="0"/>
      <w:adjustRightInd w:val="0"/>
      <w:ind w:left="482"/>
    </w:pPr>
    <w:rPr>
      <w:rFonts w:ascii="Courier New" w:hAnsi="Courier New" w:eastAsia="仿宋_GB2312" w:cs="Times New Roman"/>
      <w:kern w:val="0"/>
      <w:sz w:val="24"/>
      <w:szCs w:val="20"/>
      <w:lang w:val="en-US" w:eastAsia="zh-CN" w:bidi="ar-SA"/>
    </w:rPr>
  </w:style>
  <w:style w:type="paragraph" w:customStyle="1" w:styleId="696">
    <w:name w:val="图文字"/>
    <w:basedOn w:val="1"/>
    <w:qFormat/>
    <w:uiPriority w:val="99"/>
    <w:pPr>
      <w:spacing w:line="400" w:lineRule="exact"/>
      <w:jc w:val="center"/>
    </w:pPr>
    <w:rPr>
      <w:rFonts w:ascii="宋体" w:hAnsi="宋体"/>
      <w:kern w:val="44"/>
      <w:sz w:val="24"/>
    </w:rPr>
  </w:style>
  <w:style w:type="paragraph" w:customStyle="1" w:styleId="697">
    <w:name w:val="Char Char Char Char Char Char1"/>
    <w:basedOn w:val="1"/>
    <w:qFormat/>
    <w:uiPriority w:val="99"/>
    <w:rPr>
      <w:sz w:val="24"/>
    </w:rPr>
  </w:style>
  <w:style w:type="paragraph" w:customStyle="1" w:styleId="698">
    <w:name w:val="a"/>
    <w:basedOn w:val="1"/>
    <w:qFormat/>
    <w:uiPriority w:val="99"/>
    <w:pPr>
      <w:widowControl/>
      <w:spacing w:before="100" w:beforeAutospacing="1" w:after="100" w:afterAutospacing="1"/>
      <w:jc w:val="left"/>
    </w:pPr>
    <w:rPr>
      <w:rFonts w:ascii="宋体" w:hAnsi="宋体" w:cs="宋体"/>
      <w:kern w:val="0"/>
      <w:sz w:val="24"/>
    </w:rPr>
  </w:style>
  <w:style w:type="paragraph" w:customStyle="1" w:styleId="699">
    <w:name w:val="样式 题注 + 首行缩进:  2 字符"/>
    <w:basedOn w:val="25"/>
    <w:qFormat/>
    <w:uiPriority w:val="99"/>
    <w:pPr>
      <w:snapToGrid/>
      <w:spacing w:before="152" w:after="160" w:line="360" w:lineRule="auto"/>
      <w:ind w:firstLine="400" w:firstLineChars="200"/>
      <w:jc w:val="both"/>
    </w:pPr>
    <w:rPr>
      <w:rFonts w:cs="宋体"/>
      <w:sz w:val="21"/>
    </w:rPr>
  </w:style>
  <w:style w:type="paragraph" w:customStyle="1" w:styleId="700">
    <w:name w:val="列出段落1"/>
    <w:basedOn w:val="1"/>
    <w:qFormat/>
    <w:uiPriority w:val="99"/>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701">
    <w:name w:val="五级条标题"/>
    <w:basedOn w:val="702"/>
    <w:next w:val="1"/>
    <w:qFormat/>
    <w:uiPriority w:val="99"/>
    <w:pPr>
      <w:tabs>
        <w:tab w:val="left" w:pos="360"/>
        <w:tab w:val="left" w:pos="903"/>
      </w:tabs>
      <w:outlineLvl w:val="6"/>
    </w:pPr>
  </w:style>
  <w:style w:type="paragraph" w:customStyle="1" w:styleId="702">
    <w:name w:val="四级条标题"/>
    <w:basedOn w:val="703"/>
    <w:next w:val="1"/>
    <w:qFormat/>
    <w:uiPriority w:val="99"/>
    <w:pPr>
      <w:tabs>
        <w:tab w:val="left" w:pos="360"/>
        <w:tab w:val="left" w:pos="903"/>
      </w:tabs>
      <w:outlineLvl w:val="5"/>
    </w:pPr>
  </w:style>
  <w:style w:type="paragraph" w:customStyle="1" w:styleId="703">
    <w:name w:val="三级条标题"/>
    <w:basedOn w:val="704"/>
    <w:next w:val="1"/>
    <w:qFormat/>
    <w:uiPriority w:val="99"/>
    <w:pPr>
      <w:tabs>
        <w:tab w:val="left" w:pos="360"/>
        <w:tab w:val="left" w:pos="903"/>
      </w:tabs>
      <w:outlineLvl w:val="4"/>
    </w:pPr>
  </w:style>
  <w:style w:type="paragraph" w:customStyle="1" w:styleId="704">
    <w:name w:val="二级条标题"/>
    <w:basedOn w:val="705"/>
    <w:next w:val="1"/>
    <w:qFormat/>
    <w:uiPriority w:val="99"/>
    <w:pPr>
      <w:tabs>
        <w:tab w:val="left" w:pos="360"/>
        <w:tab w:val="left" w:pos="903"/>
      </w:tabs>
      <w:outlineLvl w:val="3"/>
    </w:pPr>
  </w:style>
  <w:style w:type="paragraph" w:customStyle="1" w:styleId="705">
    <w:name w:val="一级条标题"/>
    <w:basedOn w:val="706"/>
    <w:next w:val="1"/>
    <w:qFormat/>
    <w:uiPriority w:val="99"/>
    <w:pPr>
      <w:tabs>
        <w:tab w:val="left" w:pos="360"/>
        <w:tab w:val="left" w:pos="903"/>
      </w:tabs>
      <w:spacing w:before="0" w:after="0"/>
      <w:ind w:left="0" w:firstLine="0"/>
      <w:outlineLvl w:val="2"/>
    </w:pPr>
  </w:style>
  <w:style w:type="paragraph" w:customStyle="1" w:styleId="706">
    <w:name w:val="章标题"/>
    <w:next w:val="1"/>
    <w:qFormat/>
    <w:uiPriority w:val="99"/>
    <w:pPr>
      <w:tabs>
        <w:tab w:val="left" w:pos="903"/>
      </w:tabs>
      <w:spacing w:before="50" w:after="50"/>
      <w:ind w:left="903" w:hanging="315"/>
      <w:jc w:val="both"/>
      <w:outlineLvl w:val="1"/>
    </w:pPr>
    <w:rPr>
      <w:rFonts w:ascii="黑体" w:hAnsi="Times New Roman" w:eastAsia="黑体" w:cs="Times New Roman"/>
      <w:kern w:val="0"/>
      <w:sz w:val="21"/>
      <w:szCs w:val="20"/>
      <w:lang w:val="en-US" w:eastAsia="zh-CN" w:bidi="ar-SA"/>
    </w:rPr>
  </w:style>
  <w:style w:type="paragraph" w:customStyle="1" w:styleId="707">
    <w:name w:val="xl161"/>
    <w:basedOn w:val="1"/>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708">
    <w:name w:val="xl85"/>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09">
    <w:name w:val="_Style 1"/>
    <w:basedOn w:val="1"/>
    <w:next w:val="12"/>
    <w:qFormat/>
    <w:uiPriority w:val="99"/>
    <w:pPr>
      <w:adjustRightInd w:val="0"/>
      <w:spacing w:line="288" w:lineRule="auto"/>
      <w:ind w:firstLine="480"/>
      <w:textAlignment w:val="baseline"/>
    </w:pPr>
    <w:rPr>
      <w:rFonts w:ascii="宋体" w:hAnsi="宋体" w:cs="宋体"/>
      <w:sz w:val="24"/>
    </w:rPr>
  </w:style>
  <w:style w:type="paragraph" w:customStyle="1" w:styleId="710">
    <w:name w:val="纯文本2"/>
    <w:basedOn w:val="1"/>
    <w:qFormat/>
    <w:uiPriority w:val="99"/>
    <w:pPr>
      <w:autoSpaceDE w:val="0"/>
      <w:autoSpaceDN w:val="0"/>
      <w:adjustRightInd w:val="0"/>
      <w:textAlignment w:val="baseline"/>
    </w:pPr>
    <w:rPr>
      <w:rFonts w:ascii="宋体"/>
      <w:szCs w:val="20"/>
    </w:rPr>
  </w:style>
  <w:style w:type="paragraph" w:customStyle="1" w:styleId="711">
    <w:name w:val="xl49"/>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712">
    <w:name w:val="表格注释"/>
    <w:basedOn w:val="1"/>
    <w:next w:val="713"/>
    <w:qFormat/>
    <w:uiPriority w:val="99"/>
    <w:pPr>
      <w:spacing w:before="240" w:after="240" w:line="480" w:lineRule="exact"/>
      <w:jc w:val="center"/>
    </w:pPr>
    <w:rPr>
      <w:sz w:val="24"/>
      <w:szCs w:val="20"/>
    </w:rPr>
  </w:style>
  <w:style w:type="paragraph" w:customStyle="1" w:styleId="713">
    <w:name w:val="东明_正文 Char Char Char"/>
    <w:basedOn w:val="1"/>
    <w:qFormat/>
    <w:uiPriority w:val="99"/>
    <w:pPr>
      <w:spacing w:before="240" w:after="240" w:line="480" w:lineRule="exact"/>
      <w:ind w:firstLine="560" w:firstLineChars="200"/>
    </w:pPr>
    <w:rPr>
      <w:sz w:val="28"/>
      <w:szCs w:val="20"/>
    </w:rPr>
  </w:style>
  <w:style w:type="paragraph" w:customStyle="1" w:styleId="714">
    <w:name w:val="样式 样式3 + 首行缩进:  2 字符"/>
    <w:basedOn w:val="1"/>
    <w:qFormat/>
    <w:uiPriority w:val="99"/>
    <w:pPr>
      <w:widowControl/>
      <w:spacing w:line="440" w:lineRule="exact"/>
      <w:ind w:firstLine="560" w:firstLineChars="200"/>
      <w:contextualSpacing/>
      <w:jc w:val="left"/>
    </w:pPr>
    <w:rPr>
      <w:rFonts w:cs="宋体"/>
      <w:kern w:val="0"/>
    </w:rPr>
  </w:style>
  <w:style w:type="paragraph" w:customStyle="1" w:styleId="715">
    <w:name w:val="Char Char Char Char Char Char2"/>
    <w:basedOn w:val="1"/>
    <w:qFormat/>
    <w:uiPriority w:val="99"/>
    <w:rPr>
      <w:sz w:val="24"/>
    </w:rPr>
  </w:style>
  <w:style w:type="paragraph" w:customStyle="1" w:styleId="716">
    <w:name w:val="xl76"/>
    <w:basedOn w:val="1"/>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717">
    <w:name w:val="样式 标题 1章标题 11标题 1H1一、 + 行距: 1.5 倍行距1"/>
    <w:basedOn w:val="7"/>
    <w:semiHidden/>
    <w:qFormat/>
    <w:uiPriority w:val="99"/>
    <w:pPr>
      <w:keepLines/>
      <w:overflowPunct/>
      <w:spacing w:before="340" w:after="330" w:line="360" w:lineRule="auto"/>
      <w:ind w:left="3845" w:hanging="3845"/>
      <w:jc w:val="center"/>
    </w:pPr>
    <w:rPr>
      <w:rFonts w:cs="宋体"/>
      <w:color w:val="auto"/>
      <w:sz w:val="44"/>
      <w:szCs w:val="20"/>
    </w:rPr>
  </w:style>
  <w:style w:type="paragraph" w:customStyle="1" w:styleId="718">
    <w:name w:val="式中："/>
    <w:basedOn w:val="282"/>
    <w:qFormat/>
    <w:uiPriority w:val="99"/>
    <w:pPr>
      <w:spacing w:after="0"/>
      <w:ind w:left="500" w:leftChars="500" w:firstLine="0" w:firstLineChars="0"/>
      <w:jc w:val="left"/>
    </w:pPr>
  </w:style>
  <w:style w:type="paragraph" w:customStyle="1" w:styleId="719">
    <w:name w:val="表名称"/>
    <w:semiHidden/>
    <w:qFormat/>
    <w:uiPriority w:val="99"/>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720">
    <w:name w:val="样式 列表 2 + 华文仿宋 居中"/>
    <w:basedOn w:val="38"/>
    <w:qFormat/>
    <w:uiPriority w:val="99"/>
    <w:pPr>
      <w:ind w:left="0" w:leftChars="0" w:firstLine="0" w:firstLineChars="0"/>
      <w:jc w:val="center"/>
    </w:pPr>
    <w:rPr>
      <w:rFonts w:ascii="宋体" w:hAnsi="宋体" w:eastAsia="宋体"/>
      <w:kern w:val="2"/>
      <w:sz w:val="21"/>
      <w:szCs w:val="21"/>
    </w:rPr>
  </w:style>
  <w:style w:type="paragraph" w:customStyle="1" w:styleId="721">
    <w:name w:val="默认段落字体 Para Char Char Char1 Char Char"/>
    <w:basedOn w:val="1"/>
    <w:qFormat/>
    <w:uiPriority w:val="99"/>
    <w:rPr>
      <w:sz w:val="24"/>
    </w:rPr>
  </w:style>
  <w:style w:type="paragraph" w:customStyle="1" w:styleId="722">
    <w:name w:val="样式 上标 Char"/>
    <w:basedOn w:val="713"/>
    <w:next w:val="713"/>
    <w:qFormat/>
    <w:uiPriority w:val="99"/>
    <w:pPr>
      <w:spacing w:before="0" w:after="0" w:line="320" w:lineRule="exact"/>
      <w:ind w:firstLine="200"/>
    </w:pPr>
    <w:rPr>
      <w:caps/>
      <w:szCs w:val="36"/>
    </w:rPr>
  </w:style>
  <w:style w:type="paragraph" w:customStyle="1" w:styleId="723">
    <w:name w:val="xl176"/>
    <w:basedOn w:val="1"/>
    <w:qFormat/>
    <w:uiPriority w:val="99"/>
    <w:pPr>
      <w:widowControl/>
      <w:pBdr>
        <w:top w:val="single" w:color="auto" w:sz="12" w:space="0"/>
        <w:left w:val="single" w:color="auto" w:sz="12" w:space="0"/>
      </w:pBdr>
      <w:spacing w:before="100" w:beforeAutospacing="1" w:after="100" w:afterAutospacing="1"/>
      <w:jc w:val="left"/>
    </w:pPr>
    <w:rPr>
      <w:rFonts w:ascii="Arial Unicode MS" w:hAnsi="Arial Unicode MS"/>
      <w:kern w:val="0"/>
    </w:rPr>
  </w:style>
  <w:style w:type="paragraph" w:customStyle="1" w:styleId="724">
    <w:name w:val="xl43"/>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725">
    <w:name w:val="dandan6-13正文 Char Char Char Char Char Char"/>
    <w:basedOn w:val="1"/>
    <w:next w:val="1"/>
    <w:qFormat/>
    <w:uiPriority w:val="99"/>
    <w:pPr>
      <w:keepNext/>
      <w:keepLines/>
      <w:widowControl/>
      <w:adjustRightInd w:val="0"/>
      <w:spacing w:before="40" w:after="40" w:line="360" w:lineRule="auto"/>
      <w:ind w:firstLine="200" w:firstLineChars="200"/>
      <w:textAlignment w:val="baseline"/>
    </w:pPr>
    <w:rPr>
      <w:szCs w:val="20"/>
    </w:rPr>
  </w:style>
  <w:style w:type="paragraph" w:customStyle="1" w:styleId="726">
    <w:name w:val="xl96"/>
    <w:basedOn w:val="1"/>
    <w:qFormat/>
    <w:uiPriority w:val="99"/>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727">
    <w:name w:val="目录3"/>
    <w:basedOn w:val="1"/>
    <w:qFormat/>
    <w:uiPriority w:val="99"/>
    <w:pPr>
      <w:tabs>
        <w:tab w:val="right" w:leader="dot" w:pos="8112"/>
        <w:tab w:val="right" w:leader="dot" w:pos="8160"/>
        <w:tab w:val="right" w:leader="dot" w:pos="8280"/>
      </w:tabs>
      <w:spacing w:line="480" w:lineRule="exact"/>
      <w:ind w:left="1134"/>
      <w:jc w:val="left"/>
    </w:pPr>
    <w:rPr>
      <w:bCs/>
      <w:sz w:val="28"/>
      <w:szCs w:val="20"/>
    </w:rPr>
  </w:style>
  <w:style w:type="paragraph" w:customStyle="1" w:styleId="728">
    <w:name w:val="Char Char Char Char4"/>
    <w:basedOn w:val="1"/>
    <w:qFormat/>
    <w:uiPriority w:val="99"/>
    <w:pPr>
      <w:snapToGrid w:val="0"/>
      <w:ind w:firstLine="200" w:firstLineChars="200"/>
    </w:pPr>
  </w:style>
  <w:style w:type="paragraph" w:customStyle="1" w:styleId="729">
    <w:name w:val="注"/>
    <w:basedOn w:val="1"/>
    <w:next w:val="1"/>
    <w:qFormat/>
    <w:uiPriority w:val="99"/>
    <w:pPr>
      <w:widowControl/>
      <w:spacing w:before="60" w:after="60" w:line="312" w:lineRule="auto"/>
    </w:pPr>
    <w:rPr>
      <w:rFonts w:eastAsia="黑体"/>
      <w:kern w:val="0"/>
      <w:szCs w:val="20"/>
    </w:rPr>
  </w:style>
  <w:style w:type="paragraph" w:customStyle="1" w:styleId="730">
    <w:name w:val="xl117"/>
    <w:basedOn w:val="1"/>
    <w:qFormat/>
    <w:uiPriority w:val="99"/>
    <w:pPr>
      <w:widowControl/>
      <w:pBdr>
        <w:left w:val="single" w:color="auto" w:sz="8" w:space="0"/>
      </w:pBdr>
      <w:spacing w:before="100" w:beforeAutospacing="1" w:after="100" w:afterAutospacing="1"/>
      <w:jc w:val="left"/>
    </w:pPr>
    <w:rPr>
      <w:rFonts w:ascii="Arial Unicode MS" w:hAnsi="Arial Unicode MS"/>
      <w:kern w:val="0"/>
    </w:rPr>
  </w:style>
  <w:style w:type="paragraph" w:customStyle="1" w:styleId="731">
    <w:name w:val="xl69"/>
    <w:basedOn w:val="1"/>
    <w:qFormat/>
    <w:uiPriority w:val="99"/>
    <w:pPr>
      <w:widowControl/>
      <w:spacing w:before="100" w:beforeAutospacing="1" w:after="100" w:afterAutospacing="1"/>
      <w:jc w:val="left"/>
    </w:pPr>
    <w:rPr>
      <w:rFonts w:ascii="宋体" w:hAnsi="宋体"/>
      <w:b/>
      <w:bCs/>
      <w:kern w:val="0"/>
      <w:sz w:val="22"/>
      <w:szCs w:val="22"/>
    </w:rPr>
  </w:style>
  <w:style w:type="paragraph" w:customStyle="1" w:styleId="732">
    <w:name w:val="xl46"/>
    <w:basedOn w:val="1"/>
    <w:qFormat/>
    <w:uiPriority w:val="99"/>
    <w:pPr>
      <w:widowControl/>
      <w:pBdr>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733">
    <w:name w:val="正文样式3"/>
    <w:basedOn w:val="1"/>
    <w:qFormat/>
    <w:uiPriority w:val="99"/>
    <w:pPr>
      <w:keepLines/>
      <w:adjustRightInd w:val="0"/>
      <w:spacing w:line="20" w:lineRule="atLeast"/>
      <w:ind w:firstLine="200" w:firstLineChars="200"/>
      <w:jc w:val="center"/>
      <w:textAlignment w:val="baseline"/>
    </w:pPr>
    <w:rPr>
      <w:rFonts w:eastAsia="仿宋_GB2312"/>
      <w:kern w:val="0"/>
      <w:sz w:val="24"/>
      <w:szCs w:val="20"/>
    </w:rPr>
  </w:style>
  <w:style w:type="paragraph" w:customStyle="1" w:styleId="734">
    <w:name w:val="表格（大）"/>
    <w:basedOn w:val="1"/>
    <w:qFormat/>
    <w:uiPriority w:val="99"/>
    <w:pPr>
      <w:jc w:val="center"/>
    </w:pPr>
    <w:rPr>
      <w:rFonts w:ascii="仿宋_GB2312" w:eastAsia="仿宋_GB2312"/>
      <w:color w:val="000000"/>
      <w:sz w:val="24"/>
      <w:szCs w:val="20"/>
    </w:rPr>
  </w:style>
  <w:style w:type="paragraph" w:customStyle="1" w:styleId="735">
    <w:name w:val="版式1-表名 Char Char Char"/>
    <w:basedOn w:val="12"/>
    <w:next w:val="1"/>
    <w:qFormat/>
    <w:uiPriority w:val="99"/>
    <w:pPr>
      <w:overflowPunct w:val="0"/>
      <w:snapToGrid w:val="0"/>
      <w:spacing w:beforeLines="50" w:afterLines="50" w:line="440" w:lineRule="exact"/>
      <w:ind w:firstLine="0" w:firstLineChars="0"/>
      <w:jc w:val="center"/>
    </w:pPr>
    <w:rPr>
      <w:rFonts w:ascii="华文细黑" w:hAnsi="华文细黑" w:eastAsia="华文细黑"/>
      <w:b/>
    </w:rPr>
  </w:style>
  <w:style w:type="paragraph" w:customStyle="1" w:styleId="736">
    <w:name w:val="样式 标题 1 + 两端对齐"/>
    <w:basedOn w:val="7"/>
    <w:qFormat/>
    <w:uiPriority w:val="99"/>
    <w:pPr>
      <w:keepNext w:val="0"/>
      <w:pageBreakBefore/>
      <w:widowControl/>
      <w:tabs>
        <w:tab w:val="left" w:pos="390"/>
        <w:tab w:val="left" w:pos="420"/>
      </w:tabs>
      <w:overflowPunct/>
      <w:adjustRightInd w:val="0"/>
      <w:spacing w:before="0" w:after="0" w:line="300" w:lineRule="auto"/>
      <w:ind w:left="425" w:hanging="425"/>
      <w:jc w:val="center"/>
    </w:pPr>
    <w:rPr>
      <w:rFonts w:ascii="仿宋_GB2312" w:hAnsi="Calibri" w:eastAsia="仿宋_GB2312" w:cs="宋体"/>
      <w:b w:val="0"/>
      <w:bCs w:val="0"/>
      <w:color w:val="auto"/>
      <w:kern w:val="0"/>
      <w:sz w:val="32"/>
      <w:szCs w:val="32"/>
    </w:rPr>
  </w:style>
  <w:style w:type="paragraph" w:customStyle="1" w:styleId="737">
    <w:name w:val="标题-图表"/>
    <w:basedOn w:val="1"/>
    <w:qFormat/>
    <w:uiPriority w:val="99"/>
    <w:pPr>
      <w:spacing w:line="500" w:lineRule="exact"/>
      <w:jc w:val="center"/>
    </w:pPr>
    <w:rPr>
      <w:rFonts w:ascii="黑体" w:eastAsia="黑体"/>
      <w:sz w:val="24"/>
    </w:rPr>
  </w:style>
  <w:style w:type="paragraph" w:customStyle="1" w:styleId="738">
    <w:name w:val="3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739">
    <w:name w:val="xl17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40">
    <w:name w:val="图文框"/>
    <w:basedOn w:val="1"/>
    <w:qFormat/>
    <w:uiPriority w:val="99"/>
    <w:pPr>
      <w:widowControl/>
      <w:spacing w:line="240" w:lineRule="exact"/>
      <w:jc w:val="center"/>
    </w:pPr>
    <w:rPr>
      <w:rFonts w:ascii="仿宋_GB2312" w:hAnsi="宋体" w:eastAsia="仿宋_GB2312"/>
      <w:spacing w:val="-14"/>
      <w:kern w:val="0"/>
      <w:sz w:val="18"/>
      <w:szCs w:val="20"/>
    </w:rPr>
  </w:style>
  <w:style w:type="paragraph" w:customStyle="1" w:styleId="741">
    <w:name w:val="术语标题"/>
    <w:basedOn w:val="1"/>
    <w:next w:val="1"/>
    <w:qFormat/>
    <w:uiPriority w:val="99"/>
    <w:pPr>
      <w:ind w:firstLine="425"/>
    </w:pPr>
    <w:rPr>
      <w:rFonts w:ascii="黑体" w:eastAsia="黑体"/>
      <w:szCs w:val="20"/>
    </w:rPr>
  </w:style>
  <w:style w:type="paragraph" w:customStyle="1" w:styleId="742">
    <w:name w:val="样式 样式 正文 首行缩进:  2 字符 + (中文) 楷体_GB2312 + 宋体 首行缩进:  2 字符 段前: 7.8..."/>
    <w:basedOn w:val="408"/>
    <w:qFormat/>
    <w:uiPriority w:val="99"/>
    <w:rPr>
      <w:rFonts w:eastAsia="宋体"/>
    </w:rPr>
  </w:style>
  <w:style w:type="paragraph" w:customStyle="1" w:styleId="743">
    <w:name w:val="xl92"/>
    <w:basedOn w:val="1"/>
    <w:qFormat/>
    <w:uiPriority w:val="99"/>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44">
    <w:name w:val="样式6"/>
    <w:basedOn w:val="1"/>
    <w:next w:val="1"/>
    <w:qFormat/>
    <w:uiPriority w:val="99"/>
    <w:pPr>
      <w:adjustRightInd w:val="0"/>
      <w:jc w:val="center"/>
      <w:textAlignment w:val="center"/>
    </w:pPr>
  </w:style>
  <w:style w:type="paragraph" w:customStyle="1" w:styleId="745">
    <w:name w:val="xl31"/>
    <w:basedOn w:val="1"/>
    <w:qFormat/>
    <w:uiPriority w:val="99"/>
    <w:pPr>
      <w:widowControl/>
      <w:spacing w:before="100" w:beforeAutospacing="1" w:after="100" w:afterAutospacing="1"/>
      <w:jc w:val="center"/>
      <w:textAlignment w:val="bottom"/>
    </w:pPr>
    <w:rPr>
      <w:rFonts w:ascii="Arial" w:hAnsi="Arial" w:cs="Arial"/>
      <w:b/>
      <w:bCs/>
      <w:kern w:val="0"/>
      <w:sz w:val="28"/>
      <w:szCs w:val="28"/>
    </w:rPr>
  </w:style>
  <w:style w:type="paragraph" w:customStyle="1" w:styleId="746">
    <w:name w:val="5"/>
    <w:qFormat/>
    <w:uiPriority w:val="99"/>
    <w:rPr>
      <w:rFonts w:ascii="Calibri" w:hAnsi="Calibri" w:eastAsia="宋体" w:cs="Times New Roman"/>
      <w:kern w:val="2"/>
      <w:sz w:val="21"/>
      <w:szCs w:val="22"/>
      <w:lang w:val="en-US" w:eastAsia="zh-CN" w:bidi="ar-SA"/>
    </w:rPr>
  </w:style>
  <w:style w:type="paragraph" w:customStyle="1" w:styleId="747">
    <w:name w:val="缩进"/>
    <w:basedOn w:val="1"/>
    <w:qFormat/>
    <w:uiPriority w:val="99"/>
    <w:pPr>
      <w:autoSpaceDE w:val="0"/>
      <w:autoSpaceDN w:val="0"/>
      <w:adjustRightInd w:val="0"/>
      <w:spacing w:line="400" w:lineRule="atLeast"/>
      <w:ind w:firstLine="200" w:firstLineChars="200"/>
      <w:textAlignment w:val="baseline"/>
    </w:pPr>
    <w:rPr>
      <w:kern w:val="0"/>
      <w:sz w:val="24"/>
      <w:szCs w:val="20"/>
    </w:rPr>
  </w:style>
  <w:style w:type="paragraph" w:customStyle="1" w:styleId="748">
    <w:name w:val="font11"/>
    <w:basedOn w:val="1"/>
    <w:qFormat/>
    <w:uiPriority w:val="99"/>
    <w:pPr>
      <w:widowControl/>
      <w:spacing w:before="100" w:beforeAutospacing="1" w:after="100" w:afterAutospacing="1"/>
      <w:jc w:val="left"/>
    </w:pPr>
    <w:rPr>
      <w:rFonts w:ascii="Arial" w:hAnsi="Arial" w:cs="Arial"/>
      <w:b/>
      <w:bCs/>
      <w:kern w:val="0"/>
      <w:sz w:val="22"/>
      <w:szCs w:val="22"/>
    </w:rPr>
  </w:style>
  <w:style w:type="paragraph" w:customStyle="1" w:styleId="749">
    <w:name w:val="xl126"/>
    <w:basedOn w:val="1"/>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750">
    <w:name w:val="xl36"/>
    <w:basedOn w:val="1"/>
    <w:qFormat/>
    <w:uiPriority w:val="99"/>
    <w:pPr>
      <w:widowControl/>
      <w:spacing w:before="100" w:beforeAutospacing="1" w:after="100" w:afterAutospacing="1"/>
      <w:jc w:val="left"/>
      <w:textAlignment w:val="bottom"/>
    </w:pPr>
    <w:rPr>
      <w:rFonts w:ascii="Arial" w:hAnsi="Arial" w:cs="Arial"/>
      <w:b/>
      <w:bCs/>
      <w:kern w:val="0"/>
      <w:sz w:val="24"/>
    </w:rPr>
  </w:style>
  <w:style w:type="paragraph" w:customStyle="1" w:styleId="751">
    <w:name w:val="五号字表格"/>
    <w:basedOn w:val="752"/>
    <w:qFormat/>
    <w:uiPriority w:val="99"/>
    <w:pPr>
      <w:adjustRightInd w:val="0"/>
      <w:textAlignment w:val="baseline"/>
    </w:pPr>
    <w:rPr>
      <w:rFonts w:ascii="宋体"/>
      <w:kern w:val="0"/>
      <w:szCs w:val="20"/>
    </w:rPr>
  </w:style>
  <w:style w:type="paragraph" w:customStyle="1" w:styleId="752">
    <w:name w:val="表格1"/>
    <w:basedOn w:val="1"/>
    <w:qFormat/>
    <w:uiPriority w:val="99"/>
    <w:pPr>
      <w:jc w:val="center"/>
    </w:pPr>
    <w:rPr>
      <w:szCs w:val="21"/>
    </w:rPr>
  </w:style>
  <w:style w:type="paragraph" w:customStyle="1" w:styleId="753">
    <w:name w:val="Char Char Char Char Char Char Char2"/>
    <w:basedOn w:val="1"/>
    <w:qFormat/>
    <w:uiPriority w:val="99"/>
    <w:pPr>
      <w:widowControl/>
      <w:spacing w:after="160" w:line="240" w:lineRule="exact"/>
      <w:contextualSpacing/>
      <w:jc w:val="left"/>
    </w:pPr>
    <w:rPr>
      <w:rFonts w:ascii="Arial" w:hAnsi="Arial" w:cs="Verdana"/>
      <w:b/>
      <w:kern w:val="0"/>
      <w:lang w:eastAsia="en-US"/>
    </w:rPr>
  </w:style>
  <w:style w:type="paragraph" w:customStyle="1" w:styleId="754">
    <w:name w:val="1条目"/>
    <w:basedOn w:val="755"/>
    <w:qFormat/>
    <w:uiPriority w:val="99"/>
    <w:pPr>
      <w:tabs>
        <w:tab w:val="left" w:pos="280"/>
        <w:tab w:val="left" w:pos="1400"/>
      </w:tabs>
      <w:ind w:left="851"/>
    </w:pPr>
    <w:rPr>
      <w:rFonts w:ascii="宋体" w:hAnsi="宋体"/>
      <w:b/>
      <w:sz w:val="30"/>
      <w:szCs w:val="30"/>
    </w:rPr>
  </w:style>
  <w:style w:type="paragraph" w:customStyle="1" w:styleId="755">
    <w:name w:val="标题 2 + 黑体"/>
    <w:basedOn w:val="8"/>
    <w:qFormat/>
    <w:uiPriority w:val="99"/>
    <w:pPr>
      <w:keepNext w:val="0"/>
      <w:keepLines w:val="0"/>
      <w:tabs>
        <w:tab w:val="left" w:pos="280"/>
        <w:tab w:val="left" w:pos="1400"/>
      </w:tabs>
      <w:adjustRightInd w:val="0"/>
      <w:snapToGrid w:val="0"/>
      <w:spacing w:before="50" w:after="240" w:line="480" w:lineRule="exact"/>
      <w:ind w:left="1233" w:right="100" w:rightChars="100" w:firstLine="567"/>
      <w:jc w:val="left"/>
    </w:pPr>
    <w:rPr>
      <w:rFonts w:ascii="黑体" w:hAnsi="黑体"/>
      <w:b w:val="0"/>
      <w:bCs w:val="0"/>
      <w:sz w:val="28"/>
      <w:szCs w:val="28"/>
    </w:rPr>
  </w:style>
  <w:style w:type="paragraph" w:customStyle="1" w:styleId="756">
    <w:name w:val="表格标题2"/>
    <w:basedOn w:val="158"/>
    <w:qFormat/>
    <w:uiPriority w:val="99"/>
    <w:pPr>
      <w:adjustRightInd/>
      <w:snapToGrid/>
      <w:spacing w:line="360" w:lineRule="auto"/>
      <w:jc w:val="left"/>
      <w:textAlignment w:val="auto"/>
    </w:pPr>
    <w:rPr>
      <w:rFonts w:eastAsia="宋体"/>
      <w:b/>
      <w:color w:val="000000"/>
      <w:sz w:val="24"/>
      <w:szCs w:val="21"/>
    </w:rPr>
  </w:style>
  <w:style w:type="paragraph" w:customStyle="1" w:styleId="757">
    <w:name w:val="h"/>
    <w:basedOn w:val="1"/>
    <w:qFormat/>
    <w:uiPriority w:val="99"/>
    <w:pPr>
      <w:spacing w:before="60"/>
      <w:ind w:firstLine="482"/>
    </w:pPr>
    <w:rPr>
      <w:rFonts w:ascii="Arial" w:hAnsi="Arial" w:eastAsia="仿宋_GB2312"/>
      <w:kern w:val="0"/>
      <w:sz w:val="24"/>
      <w:szCs w:val="20"/>
    </w:rPr>
  </w:style>
  <w:style w:type="paragraph" w:customStyle="1" w:styleId="758">
    <w:name w:val="正文缩进3"/>
    <w:basedOn w:val="1"/>
    <w:qFormat/>
    <w:uiPriority w:val="99"/>
    <w:pPr>
      <w:adjustRightInd w:val="0"/>
      <w:ind w:firstLine="420" w:firstLineChars="200"/>
      <w:textAlignment w:val="baseline"/>
    </w:pPr>
    <w:rPr>
      <w:rFonts w:hAnsi="宋体"/>
      <w:sz w:val="24"/>
      <w:szCs w:val="20"/>
    </w:rPr>
  </w:style>
  <w:style w:type="paragraph" w:customStyle="1" w:styleId="759">
    <w:name w:val="表格03"/>
    <w:basedOn w:val="1"/>
    <w:qFormat/>
    <w:uiPriority w:val="99"/>
    <w:pPr>
      <w:spacing w:line="400" w:lineRule="exact"/>
      <w:jc w:val="center"/>
    </w:pPr>
    <w:rPr>
      <w:color w:val="000000"/>
      <w:sz w:val="24"/>
      <w:szCs w:val="21"/>
    </w:rPr>
  </w:style>
  <w:style w:type="paragraph" w:customStyle="1" w:styleId="760">
    <w:name w:val="xl33"/>
    <w:basedOn w:val="1"/>
    <w:qFormat/>
    <w:uiPriority w:val="99"/>
    <w:pPr>
      <w:widowControl/>
      <w:spacing w:before="100" w:beforeAutospacing="1" w:after="100" w:afterAutospacing="1"/>
      <w:jc w:val="left"/>
    </w:pPr>
    <w:rPr>
      <w:rFonts w:ascii="Arial" w:hAnsi="Arial" w:cs="Arial"/>
      <w:kern w:val="0"/>
      <w:sz w:val="22"/>
      <w:szCs w:val="22"/>
    </w:rPr>
  </w:style>
  <w:style w:type="paragraph" w:customStyle="1" w:styleId="761">
    <w:name w:val="高表标"/>
    <w:basedOn w:val="1"/>
    <w:qFormat/>
    <w:uiPriority w:val="99"/>
    <w:pPr>
      <w:snapToGrid w:val="0"/>
      <w:spacing w:line="300" w:lineRule="auto"/>
      <w:jc w:val="right"/>
    </w:pPr>
    <w:rPr>
      <w:rFonts w:ascii="Arial" w:hAnsi="Arial" w:eastAsia="黑体"/>
      <w:bCs/>
      <w:sz w:val="24"/>
    </w:rPr>
  </w:style>
  <w:style w:type="paragraph" w:customStyle="1" w:styleId="762">
    <w:name w:val="地理段落"/>
    <w:basedOn w:val="1"/>
    <w:qFormat/>
    <w:uiPriority w:val="99"/>
    <w:pPr>
      <w:adjustRightInd w:val="0"/>
      <w:snapToGrid w:val="0"/>
      <w:spacing w:line="360" w:lineRule="auto"/>
      <w:ind w:firstLine="200" w:firstLineChars="200"/>
    </w:pPr>
    <w:rPr>
      <w:rFonts w:ascii="仿宋_GB2312" w:eastAsia="仿宋_GB2312"/>
      <w:sz w:val="28"/>
      <w:szCs w:val="28"/>
    </w:rPr>
  </w:style>
  <w:style w:type="paragraph" w:customStyle="1" w:styleId="763">
    <w:name w:val="正文标题"/>
    <w:basedOn w:val="1"/>
    <w:qFormat/>
    <w:uiPriority w:val="99"/>
    <w:pPr>
      <w:spacing w:line="480" w:lineRule="auto"/>
      <w:ind w:firstLine="472" w:firstLineChars="196"/>
    </w:pPr>
    <w:rPr>
      <w:b/>
      <w:sz w:val="24"/>
    </w:rPr>
  </w:style>
  <w:style w:type="paragraph" w:customStyle="1" w:styleId="764">
    <w:name w:val="文本框"/>
    <w:basedOn w:val="1"/>
    <w:qFormat/>
    <w:uiPriority w:val="99"/>
    <w:pPr>
      <w:adjustRightInd w:val="0"/>
      <w:snapToGrid w:val="0"/>
      <w:spacing w:line="300" w:lineRule="exact"/>
      <w:jc w:val="center"/>
    </w:pPr>
    <w:rPr>
      <w:sz w:val="24"/>
    </w:rPr>
  </w:style>
  <w:style w:type="paragraph" w:customStyle="1" w:styleId="765">
    <w:name w:val="样式 标题 2 + 行距: 1.5 倍行距"/>
    <w:basedOn w:val="8"/>
    <w:qFormat/>
    <w:uiPriority w:val="99"/>
    <w:pPr>
      <w:snapToGrid w:val="0"/>
      <w:spacing w:before="240" w:after="240" w:line="240" w:lineRule="auto"/>
      <w:ind w:left="1134" w:hanging="992"/>
      <w:jc w:val="left"/>
    </w:pPr>
    <w:rPr>
      <w:rFonts w:ascii="Times New Roman" w:hAnsi="Times New Roman" w:cs="宋体"/>
      <w:sz w:val="28"/>
      <w:szCs w:val="20"/>
    </w:rPr>
  </w:style>
  <w:style w:type="paragraph" w:customStyle="1" w:styleId="766">
    <w:name w:val="xl168"/>
    <w:basedOn w:val="1"/>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767">
    <w:name w:val="样式 样式 正文文本缩进 + 行距: 固定值 24 磅1 + 首行缩进:  2 字符"/>
    <w:basedOn w:val="1"/>
    <w:qFormat/>
    <w:uiPriority w:val="99"/>
    <w:pPr>
      <w:spacing w:line="480" w:lineRule="exact"/>
      <w:ind w:firstLine="480" w:firstLineChars="200"/>
    </w:pPr>
    <w:rPr>
      <w:rFonts w:ascii="宋体" w:hAnsi="宋体" w:cs="宋体"/>
      <w:sz w:val="24"/>
      <w:szCs w:val="20"/>
    </w:rPr>
  </w:style>
  <w:style w:type="paragraph" w:customStyle="1" w:styleId="768">
    <w:name w:val="xl108"/>
    <w:basedOn w:val="1"/>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69">
    <w:name w:val="xl162"/>
    <w:basedOn w:val="1"/>
    <w:qFormat/>
    <w:uiPriority w:val="99"/>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770">
    <w:name w:val="注："/>
    <w:next w:val="1"/>
    <w:qFormat/>
    <w:uiPriority w:val="99"/>
    <w:pPr>
      <w:spacing w:line="300" w:lineRule="exact"/>
    </w:pPr>
    <w:rPr>
      <w:rFonts w:ascii="Times New Roman" w:hAnsi="Times New Roman" w:eastAsia="宋体" w:cs="宋体"/>
      <w:bCs/>
      <w:kern w:val="2"/>
      <w:sz w:val="18"/>
      <w:szCs w:val="20"/>
      <w:lang w:val="en-US" w:eastAsia="zh-CN" w:bidi="ar-SA"/>
    </w:rPr>
  </w:style>
  <w:style w:type="paragraph" w:customStyle="1" w:styleId="771">
    <w:name w:val="扉页 黑体"/>
    <w:basedOn w:val="1"/>
    <w:qFormat/>
    <w:uiPriority w:val="99"/>
    <w:pPr>
      <w:spacing w:before="240" w:after="240" w:line="480" w:lineRule="exact"/>
      <w:ind w:firstLine="640" w:firstLineChars="200"/>
      <w:jc w:val="left"/>
    </w:pPr>
    <w:rPr>
      <w:rFonts w:eastAsia="黑体"/>
      <w:bCs/>
      <w:sz w:val="32"/>
      <w:szCs w:val="20"/>
    </w:rPr>
  </w:style>
  <w:style w:type="paragraph" w:customStyle="1" w:styleId="772">
    <w:name w:val="标准"/>
    <w:basedOn w:val="1"/>
    <w:qFormat/>
    <w:uiPriority w:val="99"/>
    <w:pPr>
      <w:adjustRightInd w:val="0"/>
      <w:spacing w:line="312" w:lineRule="atLeast"/>
      <w:jc w:val="center"/>
      <w:textAlignment w:val="baseline"/>
    </w:pPr>
    <w:rPr>
      <w:kern w:val="0"/>
      <w:szCs w:val="20"/>
    </w:rPr>
  </w:style>
  <w:style w:type="paragraph" w:customStyle="1" w:styleId="773">
    <w:name w:val="xl88"/>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774">
    <w:name w:val="TOC 标题2"/>
    <w:basedOn w:val="7"/>
    <w:next w:val="1"/>
    <w:qFormat/>
    <w:uiPriority w:val="9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paragraph" w:customStyle="1" w:styleId="775">
    <w:name w:val="样式 样式 样式 标题 3 + 两端对齐 + 段后: 0.1 行 +"/>
    <w:basedOn w:val="1"/>
    <w:semiHidden/>
    <w:qFormat/>
    <w:uiPriority w:val="99"/>
    <w:pPr>
      <w:keepNext/>
      <w:keepLines/>
      <w:widowControl/>
      <w:tabs>
        <w:tab w:val="left" w:pos="0"/>
        <w:tab w:val="left" w:pos="2700"/>
      </w:tabs>
      <w:spacing w:line="320" w:lineRule="exact"/>
      <w:contextualSpacing/>
      <w:jc w:val="center"/>
    </w:pPr>
    <w:rPr>
      <w:rFonts w:cs="宋体"/>
      <w:bCs/>
      <w:kern w:val="0"/>
      <w:szCs w:val="21"/>
    </w:rPr>
  </w:style>
  <w:style w:type="paragraph" w:customStyle="1" w:styleId="776">
    <w:name w:val="Char Char Char Char"/>
    <w:basedOn w:val="1"/>
    <w:qFormat/>
    <w:uiPriority w:val="99"/>
    <w:pPr>
      <w:widowControl/>
      <w:spacing w:after="160" w:line="240" w:lineRule="exact"/>
      <w:jc w:val="left"/>
    </w:pPr>
    <w:rPr>
      <w:rFonts w:ascii="Arial" w:hAnsi="Arial" w:cs="Verdana"/>
      <w:b/>
      <w:kern w:val="0"/>
      <w:sz w:val="24"/>
      <w:lang w:eastAsia="en-US"/>
    </w:rPr>
  </w:style>
  <w:style w:type="paragraph" w:customStyle="1" w:styleId="777">
    <w:name w:val="xl18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778">
    <w:name w:val="pian"/>
    <w:basedOn w:val="1"/>
    <w:qFormat/>
    <w:uiPriority w:val="99"/>
    <w:pPr>
      <w:widowControl/>
      <w:spacing w:before="100" w:beforeAutospacing="1" w:after="100" w:afterAutospacing="1"/>
      <w:jc w:val="left"/>
    </w:pPr>
    <w:rPr>
      <w:rFonts w:ascii="宋体" w:hAnsi="宋体"/>
      <w:kern w:val="0"/>
      <w:sz w:val="24"/>
    </w:rPr>
  </w:style>
  <w:style w:type="paragraph" w:customStyle="1" w:styleId="779">
    <w:name w:val="字元 字元"/>
    <w:basedOn w:val="1"/>
    <w:qFormat/>
    <w:uiPriority w:val="99"/>
  </w:style>
  <w:style w:type="paragraph" w:customStyle="1" w:styleId="780">
    <w:name w:val="样式 标题 1章标题 11标题 1H1一、 + 行距: 1.5 倍行距4"/>
    <w:basedOn w:val="7"/>
    <w:semiHidden/>
    <w:qFormat/>
    <w:uiPriority w:val="99"/>
    <w:pPr>
      <w:keepLines/>
      <w:overflowPunct/>
      <w:spacing w:before="340" w:after="330" w:line="360" w:lineRule="auto"/>
      <w:ind w:left="3845" w:hanging="3845"/>
      <w:jc w:val="center"/>
    </w:pPr>
    <w:rPr>
      <w:rFonts w:cs="宋体"/>
      <w:color w:val="auto"/>
      <w:sz w:val="44"/>
      <w:szCs w:val="20"/>
    </w:rPr>
  </w:style>
  <w:style w:type="paragraph" w:customStyle="1" w:styleId="781">
    <w:name w:val="1正文段落"/>
    <w:basedOn w:val="1"/>
    <w:qFormat/>
    <w:uiPriority w:val="99"/>
    <w:pPr>
      <w:spacing w:line="360" w:lineRule="auto"/>
      <w:ind w:firstLine="480" w:firstLineChars="200"/>
      <w:jc w:val="left"/>
    </w:pPr>
    <w:rPr>
      <w:kern w:val="0"/>
      <w:sz w:val="24"/>
    </w:rPr>
  </w:style>
  <w:style w:type="paragraph" w:customStyle="1" w:styleId="782">
    <w:name w:val="环表"/>
    <w:basedOn w:val="551"/>
    <w:qFormat/>
    <w:uiPriority w:val="99"/>
    <w:pPr>
      <w:tabs>
        <w:tab w:val="left" w:pos="1464"/>
        <w:tab w:val="left" w:pos="5094"/>
      </w:tabs>
      <w:suppressAutoHyphens w:val="0"/>
      <w:spacing w:before="120" w:after="120" w:line="324" w:lineRule="auto"/>
      <w:ind w:left="7" w:right="29" w:firstLine="539"/>
      <w:jc w:val="center"/>
    </w:pPr>
    <w:rPr>
      <w:rFonts w:hAnsi="Courier New"/>
      <w:sz w:val="21"/>
    </w:rPr>
  </w:style>
  <w:style w:type="paragraph" w:customStyle="1" w:styleId="783">
    <w:name w:val="Char Char Char Char3"/>
    <w:basedOn w:val="1"/>
    <w:qFormat/>
    <w:uiPriority w:val="99"/>
    <w:pPr>
      <w:widowControl/>
      <w:spacing w:after="160" w:line="240" w:lineRule="exact"/>
      <w:jc w:val="left"/>
    </w:pPr>
    <w:rPr>
      <w:rFonts w:ascii="Arial" w:hAnsi="Arial" w:cs="Verdana"/>
      <w:b/>
      <w:kern w:val="0"/>
      <w:sz w:val="24"/>
      <w:lang w:eastAsia="en-US"/>
    </w:rPr>
  </w:style>
  <w:style w:type="paragraph" w:customStyle="1" w:styleId="784">
    <w:name w:val="样式 标题 2东明_节 + 行距: 1.5 倍行距"/>
    <w:basedOn w:val="8"/>
    <w:qFormat/>
    <w:uiPriority w:val="99"/>
    <w:pPr>
      <w:keepLines w:val="0"/>
      <w:widowControl/>
      <w:spacing w:before="240" w:after="60" w:line="360" w:lineRule="auto"/>
      <w:jc w:val="left"/>
    </w:pPr>
    <w:rPr>
      <w:rFonts w:ascii="Cambria" w:hAnsi="Cambria" w:eastAsia="宋体" w:cs="宋体"/>
      <w:kern w:val="0"/>
      <w:sz w:val="30"/>
      <w:szCs w:val="20"/>
      <w:lang w:eastAsia="en-US"/>
    </w:rPr>
  </w:style>
  <w:style w:type="paragraph" w:customStyle="1" w:styleId="785">
    <w:name w:val="xl53"/>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786">
    <w:name w:val="xl146"/>
    <w:basedOn w:val="1"/>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787">
    <w:name w:val="font5"/>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788">
    <w:name w:val="xl22"/>
    <w:basedOn w:val="1"/>
    <w:qFormat/>
    <w:uiPriority w:val="99"/>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789">
    <w:name w:val="扉页 黑体缩进"/>
    <w:basedOn w:val="1"/>
    <w:qFormat/>
    <w:uiPriority w:val="99"/>
    <w:pPr>
      <w:spacing w:before="240" w:after="240" w:line="480" w:lineRule="exact"/>
      <w:ind w:firstLine="2240" w:firstLineChars="700"/>
      <w:jc w:val="left"/>
    </w:pPr>
    <w:rPr>
      <w:rFonts w:eastAsia="黑体"/>
      <w:sz w:val="32"/>
      <w:szCs w:val="20"/>
    </w:rPr>
  </w:style>
  <w:style w:type="paragraph" w:customStyle="1" w:styleId="790">
    <w:name w:val="xl157"/>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791">
    <w:name w:val="表目"/>
    <w:basedOn w:val="1"/>
    <w:qFormat/>
    <w:uiPriority w:val="99"/>
    <w:pPr>
      <w:adjustRightInd w:val="0"/>
      <w:spacing w:line="480" w:lineRule="atLeast"/>
      <w:ind w:left="-105" w:leftChars="-50" w:right="-105" w:rightChars="-50"/>
      <w:jc w:val="center"/>
      <w:textAlignment w:val="baseline"/>
    </w:pPr>
    <w:rPr>
      <w:rFonts w:ascii="Arial" w:hAnsi="Arial" w:eastAsia="仿宋_GB2312" w:cs="Arial"/>
      <w:kern w:val="0"/>
      <w:sz w:val="24"/>
      <w:szCs w:val="20"/>
    </w:rPr>
  </w:style>
  <w:style w:type="paragraph" w:customStyle="1" w:styleId="792">
    <w:name w:val="样式"/>
    <w:basedOn w:val="1"/>
    <w:next w:val="368"/>
    <w:qFormat/>
    <w:uiPriority w:val="99"/>
    <w:pPr>
      <w:tabs>
        <w:tab w:val="left" w:pos="280"/>
        <w:tab w:val="left" w:pos="620"/>
      </w:tabs>
      <w:adjustRightInd w:val="0"/>
      <w:snapToGrid w:val="0"/>
      <w:spacing w:before="240" w:after="240" w:line="480" w:lineRule="exact"/>
      <w:ind w:left="2098" w:right="392" w:rightChars="140" w:firstLine="454" w:firstLineChars="200"/>
    </w:pPr>
    <w:rPr>
      <w:sz w:val="28"/>
    </w:rPr>
  </w:style>
  <w:style w:type="paragraph" w:customStyle="1" w:styleId="793">
    <w:name w:val="正文可研"/>
    <w:basedOn w:val="1"/>
    <w:qFormat/>
    <w:uiPriority w:val="99"/>
    <w:pPr>
      <w:autoSpaceDE w:val="0"/>
      <w:autoSpaceDN w:val="0"/>
      <w:adjustRightInd w:val="0"/>
      <w:spacing w:line="360" w:lineRule="auto"/>
      <w:ind w:firstLine="480" w:firstLineChars="200"/>
      <w:textAlignment w:val="baseline"/>
    </w:pPr>
    <w:rPr>
      <w:rFonts w:ascii="宋体" w:hAnsi="Tms Rmn" w:cs="宋体"/>
      <w:kern w:val="0"/>
      <w:sz w:val="24"/>
      <w:szCs w:val="20"/>
    </w:rPr>
  </w:style>
  <w:style w:type="paragraph" w:customStyle="1" w:styleId="794">
    <w:name w:val="xl160"/>
    <w:basedOn w:val="1"/>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795">
    <w:name w:val="word"/>
    <w:basedOn w:val="1"/>
    <w:qFormat/>
    <w:uiPriority w:val="99"/>
    <w:pPr>
      <w:spacing w:line="360" w:lineRule="auto"/>
      <w:ind w:firstLine="480" w:firstLineChars="200"/>
    </w:pPr>
    <w:rPr>
      <w:sz w:val="24"/>
    </w:rPr>
  </w:style>
  <w:style w:type="paragraph" w:customStyle="1" w:styleId="796">
    <w:name w:val="二级无标题条"/>
    <w:basedOn w:val="1"/>
    <w:qFormat/>
    <w:uiPriority w:val="99"/>
  </w:style>
  <w:style w:type="paragraph" w:customStyle="1" w:styleId="797">
    <w:name w:val="GY3"/>
    <w:basedOn w:val="1"/>
    <w:qFormat/>
    <w:uiPriority w:val="99"/>
    <w:pPr>
      <w:adjustRightInd w:val="0"/>
      <w:snapToGrid w:val="0"/>
      <w:spacing w:line="360" w:lineRule="auto"/>
    </w:pPr>
    <w:rPr>
      <w:rFonts w:ascii="黑体" w:hAnsi="宋体" w:eastAsia="黑体"/>
      <w:sz w:val="28"/>
      <w:szCs w:val="20"/>
    </w:rPr>
  </w:style>
  <w:style w:type="paragraph" w:customStyle="1" w:styleId="798">
    <w:name w:val="Char Char Char Char1"/>
    <w:basedOn w:val="1"/>
    <w:qFormat/>
    <w:uiPriority w:val="99"/>
  </w:style>
  <w:style w:type="paragraph" w:customStyle="1" w:styleId="799">
    <w:name w:val="xl54"/>
    <w:basedOn w:val="1"/>
    <w:qFormat/>
    <w:uiPriority w:val="99"/>
    <w:pPr>
      <w:widowControl/>
      <w:pBdr>
        <w:right w:val="single" w:color="auto" w:sz="4" w:space="0"/>
      </w:pBdr>
      <w:spacing w:before="100" w:beforeAutospacing="1" w:after="100" w:afterAutospacing="1"/>
      <w:jc w:val="center"/>
    </w:pPr>
    <w:rPr>
      <w:rFonts w:ascii="Arial" w:hAnsi="Arial" w:cs="Arial"/>
      <w:b/>
      <w:bCs/>
      <w:kern w:val="0"/>
      <w:sz w:val="22"/>
      <w:szCs w:val="22"/>
    </w:rPr>
  </w:style>
  <w:style w:type="paragraph" w:customStyle="1" w:styleId="800">
    <w:name w:val="In Table"/>
    <w:basedOn w:val="1"/>
    <w:qFormat/>
    <w:uiPriority w:val="99"/>
    <w:pPr>
      <w:keepNext/>
      <w:tabs>
        <w:tab w:val="left" w:pos="3960"/>
        <w:tab w:val="left" w:pos="5280"/>
      </w:tabs>
      <w:snapToGrid w:val="0"/>
      <w:spacing w:beforeLines="40" w:afterLines="40" w:line="240" w:lineRule="atLeast"/>
      <w:contextualSpacing/>
      <w:jc w:val="center"/>
    </w:pPr>
    <w:rPr>
      <w:rFonts w:ascii="Tahoma" w:hAnsi="Tahoma" w:eastAsia="华文中宋" w:cs="Arial"/>
      <w:szCs w:val="20"/>
    </w:rPr>
  </w:style>
  <w:style w:type="paragraph" w:customStyle="1" w:styleId="801">
    <w:name w:val="xl27"/>
    <w:basedOn w:val="1"/>
    <w:qFormat/>
    <w:uiPriority w:val="99"/>
    <w:pPr>
      <w:widowControl/>
      <w:pBdr>
        <w:bottom w:val="single" w:color="auto" w:sz="12" w:space="0"/>
      </w:pBdr>
      <w:spacing w:before="100" w:after="100"/>
      <w:jc w:val="center"/>
    </w:pPr>
    <w:rPr>
      <w:rFonts w:ascii="宋体" w:hAnsi="宋体"/>
      <w:kern w:val="0"/>
      <w:szCs w:val="20"/>
    </w:rPr>
  </w:style>
  <w:style w:type="paragraph" w:customStyle="1" w:styleId="802">
    <w:name w:val="默认段落字体 Para Char Char Char Char Char Char Char Char Char Char"/>
    <w:basedOn w:val="9"/>
    <w:qFormat/>
    <w:uiPriority w:val="99"/>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803">
    <w:name w:val="xl186"/>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804">
    <w:name w:val="小四表文左齐"/>
    <w:basedOn w:val="1"/>
    <w:qFormat/>
    <w:uiPriority w:val="99"/>
    <w:pPr>
      <w:jc w:val="center"/>
    </w:pPr>
    <w:rPr>
      <w:rFonts w:ascii="仿宋_GB2312" w:hAnsi="宋体" w:eastAsia="仿宋_GB2312"/>
    </w:rPr>
  </w:style>
  <w:style w:type="paragraph" w:customStyle="1" w:styleId="805">
    <w:name w:val="xl170"/>
    <w:basedOn w:val="1"/>
    <w:qFormat/>
    <w:uiPriority w:val="99"/>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806">
    <w:name w:val="xl80"/>
    <w:basedOn w:val="1"/>
    <w:qFormat/>
    <w:uiPriority w:val="99"/>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807">
    <w:name w:val="Char"/>
    <w:basedOn w:val="1"/>
    <w:qFormat/>
    <w:uiPriority w:val="99"/>
  </w:style>
  <w:style w:type="paragraph" w:customStyle="1" w:styleId="808">
    <w:name w:val="表居中（中文）"/>
    <w:basedOn w:val="1"/>
    <w:qFormat/>
    <w:uiPriority w:val="99"/>
    <w:pPr>
      <w:adjustRightInd w:val="0"/>
      <w:spacing w:line="380" w:lineRule="atLeast"/>
      <w:jc w:val="center"/>
      <w:textAlignment w:val="baseline"/>
    </w:pPr>
    <w:rPr>
      <w:rFonts w:eastAsia="楷体_GB2312"/>
      <w:kern w:val="0"/>
      <w:sz w:val="24"/>
      <w:szCs w:val="20"/>
    </w:rPr>
  </w:style>
  <w:style w:type="paragraph" w:customStyle="1" w:styleId="809">
    <w:name w:val="我的样式（正文）"/>
    <w:basedOn w:val="1"/>
    <w:qFormat/>
    <w:uiPriority w:val="99"/>
    <w:pPr>
      <w:spacing w:line="440" w:lineRule="exact"/>
    </w:pPr>
    <w:rPr>
      <w:rFonts w:ascii="宋体"/>
      <w:sz w:val="28"/>
      <w:szCs w:val="20"/>
    </w:rPr>
  </w:style>
  <w:style w:type="paragraph" w:customStyle="1" w:styleId="810">
    <w:name w:val="图标题"/>
    <w:basedOn w:val="421"/>
    <w:qFormat/>
    <w:uiPriority w:val="99"/>
    <w:pPr>
      <w:adjustRightInd/>
      <w:snapToGrid/>
      <w:spacing w:before="0" w:after="0" w:line="300" w:lineRule="exact"/>
      <w:jc w:val="both"/>
    </w:pPr>
    <w:rPr>
      <w:rFonts w:ascii="仿宋_GB2312" w:eastAsia="仿宋_GB2312"/>
      <w:kern w:val="0"/>
      <w:szCs w:val="24"/>
    </w:rPr>
  </w:style>
  <w:style w:type="paragraph" w:customStyle="1" w:styleId="811">
    <w:name w:val="xl48"/>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812">
    <w:name w:val="7表格(治)"/>
    <w:qFormat/>
    <w:uiPriority w:val="99"/>
    <w:pPr>
      <w:jc w:val="center"/>
    </w:pPr>
    <w:rPr>
      <w:rFonts w:ascii="Calibri" w:hAnsi="Calibri" w:eastAsia="楷体_GB2312" w:cs="Times New Roman"/>
      <w:color w:val="000000"/>
      <w:kern w:val="0"/>
      <w:sz w:val="21"/>
      <w:szCs w:val="20"/>
      <w:lang w:val="en-US" w:eastAsia="zh-CN" w:bidi="ar-SA"/>
    </w:rPr>
  </w:style>
  <w:style w:type="paragraph" w:customStyle="1" w:styleId="813">
    <w:name w:val="p6"/>
    <w:basedOn w:val="1"/>
    <w:qFormat/>
    <w:uiPriority w:val="99"/>
    <w:pPr>
      <w:tabs>
        <w:tab w:val="left" w:pos="4720"/>
      </w:tabs>
      <w:spacing w:line="240" w:lineRule="atLeast"/>
      <w:ind w:left="3280"/>
      <w:jc w:val="left"/>
    </w:pPr>
    <w:rPr>
      <w:rFonts w:ascii="Arial" w:hAnsi="Arial"/>
      <w:kern w:val="0"/>
      <w:sz w:val="24"/>
      <w:szCs w:val="20"/>
      <w:lang w:eastAsia="en-US"/>
    </w:rPr>
  </w:style>
  <w:style w:type="paragraph" w:customStyle="1" w:styleId="814">
    <w:name w:val="w4"/>
    <w:basedOn w:val="1"/>
    <w:qFormat/>
    <w:uiPriority w:val="99"/>
    <w:pPr>
      <w:widowControl/>
      <w:spacing w:before="100" w:beforeAutospacing="1" w:after="100" w:afterAutospacing="1" w:line="336" w:lineRule="auto"/>
      <w:ind w:firstLine="360"/>
      <w:jc w:val="left"/>
    </w:pPr>
    <w:rPr>
      <w:rFonts w:ascii="Calibri" w:hAnsi="Calibri"/>
      <w:color w:val="8A5E00"/>
      <w:kern w:val="0"/>
      <w:sz w:val="18"/>
      <w:szCs w:val="18"/>
    </w:rPr>
  </w:style>
  <w:style w:type="paragraph" w:customStyle="1" w:styleId="815">
    <w:name w:val="Char31"/>
    <w:basedOn w:val="1"/>
    <w:qFormat/>
    <w:uiPriority w:val="99"/>
    <w:pPr>
      <w:spacing w:line="360" w:lineRule="auto"/>
      <w:ind w:firstLine="200" w:firstLineChars="200"/>
    </w:pPr>
    <w:rPr>
      <w:rFonts w:ascii="宋体" w:hAnsi="宋体" w:cs="宋体"/>
      <w:sz w:val="24"/>
    </w:rPr>
  </w:style>
  <w:style w:type="paragraph" w:customStyle="1" w:styleId="816">
    <w:name w:val="正文首行缩进1"/>
    <w:basedOn w:val="1"/>
    <w:next w:val="1"/>
    <w:qFormat/>
    <w:uiPriority w:val="99"/>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kern w:val="0"/>
      <w:sz w:val="28"/>
    </w:rPr>
  </w:style>
  <w:style w:type="paragraph" w:customStyle="1" w:styleId="817">
    <w:name w:val="GY6"/>
    <w:basedOn w:val="1"/>
    <w:qFormat/>
    <w:uiPriority w:val="99"/>
    <w:pPr>
      <w:tabs>
        <w:tab w:val="left" w:pos="840"/>
      </w:tabs>
      <w:adjustRightInd w:val="0"/>
      <w:snapToGrid w:val="0"/>
      <w:spacing w:line="360" w:lineRule="auto"/>
    </w:pPr>
    <w:rPr>
      <w:rFonts w:ascii="宋体" w:hAnsi="宋体"/>
      <w:sz w:val="28"/>
      <w:szCs w:val="20"/>
    </w:rPr>
  </w:style>
  <w:style w:type="paragraph" w:customStyle="1" w:styleId="818">
    <w:name w:val="样式10"/>
    <w:basedOn w:val="7"/>
    <w:qFormat/>
    <w:uiPriority w:val="99"/>
    <w:pPr>
      <w:keepLines/>
      <w:tabs>
        <w:tab w:val="left" w:pos="390"/>
      </w:tabs>
      <w:overflowPunct/>
      <w:snapToGrid/>
      <w:spacing w:beforeLines="100" w:afterLines="100" w:line="520" w:lineRule="exact"/>
      <w:ind w:left="390" w:firstLine="0"/>
    </w:pPr>
    <w:rPr>
      <w:rFonts w:ascii="Calibri" w:hAnsi="Calibri" w:eastAsia="宋体"/>
      <w:color w:val="FF0000"/>
    </w:rPr>
  </w:style>
  <w:style w:type="paragraph" w:customStyle="1" w:styleId="819">
    <w:name w:val="xl142"/>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820">
    <w:name w:val="xl62"/>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821">
    <w:name w:val="Char Char"/>
    <w:basedOn w:val="1"/>
    <w:qFormat/>
    <w:uiPriority w:val="99"/>
    <w:pPr>
      <w:widowControl/>
      <w:spacing w:after="160" w:line="240" w:lineRule="exact"/>
      <w:jc w:val="left"/>
    </w:pPr>
    <w:rPr>
      <w:rFonts w:ascii="Arial" w:hAnsi="Arial"/>
      <w:kern w:val="0"/>
      <w:sz w:val="20"/>
      <w:szCs w:val="20"/>
      <w:lang w:eastAsia="en-US"/>
    </w:rPr>
  </w:style>
  <w:style w:type="paragraph" w:customStyle="1" w:styleId="822">
    <w:name w:val="xl58"/>
    <w:basedOn w:val="1"/>
    <w:qFormat/>
    <w:uiPriority w:val="99"/>
    <w:pPr>
      <w:widowControl/>
      <w:spacing w:before="100" w:beforeAutospacing="1" w:after="100" w:afterAutospacing="1"/>
      <w:jc w:val="left"/>
    </w:pPr>
    <w:rPr>
      <w:rFonts w:ascii="Arial" w:hAnsi="Arial" w:cs="Arial"/>
      <w:b/>
      <w:bCs/>
      <w:kern w:val="0"/>
      <w:sz w:val="22"/>
      <w:szCs w:val="22"/>
    </w:rPr>
  </w:style>
  <w:style w:type="paragraph" w:customStyle="1" w:styleId="823">
    <w:name w:val="样式 段前: 3 磅 段后: 3 磅"/>
    <w:basedOn w:val="1"/>
    <w:qFormat/>
    <w:uiPriority w:val="99"/>
    <w:pPr>
      <w:adjustRightInd w:val="0"/>
      <w:snapToGrid w:val="0"/>
      <w:spacing w:line="360" w:lineRule="auto"/>
      <w:ind w:firstLine="480" w:firstLineChars="200"/>
    </w:pPr>
    <w:rPr>
      <w:rFonts w:ascii="宋体" w:hAnsi="宋体" w:cs="宋体"/>
      <w:color w:val="000000"/>
      <w:kern w:val="0"/>
      <w:sz w:val="24"/>
    </w:rPr>
  </w:style>
  <w:style w:type="paragraph" w:customStyle="1" w:styleId="824">
    <w:name w:val="Char Char Char Char Char Char Char Char Char Char Char Char1 Char Char Char Char"/>
    <w:basedOn w:val="1"/>
    <w:next w:val="1"/>
    <w:semiHidden/>
    <w:qFormat/>
    <w:uiPriority w:val="99"/>
    <w:pPr>
      <w:spacing w:line="336" w:lineRule="auto"/>
      <w:ind w:firstLine="200" w:firstLineChars="200"/>
    </w:pPr>
    <w:rPr>
      <w:rFonts w:ascii="宋体" w:hAnsi="宋体" w:eastAsia="汉鼎简书宋" w:cs="宋体"/>
      <w:sz w:val="24"/>
    </w:rPr>
  </w:style>
  <w:style w:type="paragraph" w:customStyle="1" w:styleId="825">
    <w:name w:val="居中正文"/>
    <w:basedOn w:val="84"/>
    <w:qFormat/>
    <w:uiPriority w:val="99"/>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826">
    <w:name w:val="Char Char Char Char Char Char Char Char Char Char Char Char Char Char Char Char Char Char Char1"/>
    <w:basedOn w:val="1"/>
    <w:qFormat/>
    <w:uiPriority w:val="99"/>
    <w:pPr>
      <w:widowControl/>
      <w:contextualSpacing/>
      <w:jc w:val="left"/>
    </w:pPr>
    <w:rPr>
      <w:rFonts w:cs="宋体"/>
      <w:kern w:val="0"/>
    </w:rPr>
  </w:style>
  <w:style w:type="paragraph" w:customStyle="1" w:styleId="827">
    <w:name w:val="样式 样式 标题 4 + 宋体 行距: 1.5 倍行距 + 段前: 0.5 行"/>
    <w:basedOn w:val="828"/>
    <w:qFormat/>
    <w:uiPriority w:val="99"/>
    <w:pPr>
      <w:snapToGrid/>
      <w:spacing w:beforeLines="0"/>
      <w:ind w:left="1984" w:hanging="1984"/>
      <w:jc w:val="both"/>
    </w:pPr>
    <w:rPr>
      <w:rFonts w:ascii="Times New Roman" w:eastAsia="黑体" w:cs="Times New Roman"/>
    </w:rPr>
  </w:style>
  <w:style w:type="paragraph" w:customStyle="1" w:styleId="828">
    <w:name w:val="样式 标题 4 + 宋体 行距: 1.5 倍行距"/>
    <w:basedOn w:val="10"/>
    <w:qFormat/>
    <w:uiPriority w:val="99"/>
    <w:pPr>
      <w:snapToGrid w:val="0"/>
      <w:spacing w:beforeLines="50" w:after="0" w:line="360" w:lineRule="auto"/>
      <w:ind w:left="1985" w:hanging="1985"/>
      <w:jc w:val="left"/>
    </w:pPr>
    <w:rPr>
      <w:rFonts w:ascii="宋体" w:hAnsi="宋体" w:cs="宋体"/>
      <w:sz w:val="24"/>
      <w:szCs w:val="20"/>
    </w:rPr>
  </w:style>
  <w:style w:type="paragraph" w:customStyle="1" w:styleId="829">
    <w:name w:val="样式 表格正文样式A-MHZ-居中定表长格文本 + 五号"/>
    <w:basedOn w:val="1"/>
    <w:qFormat/>
    <w:uiPriority w:val="99"/>
    <w:pPr>
      <w:spacing w:line="360" w:lineRule="auto"/>
      <w:jc w:val="center"/>
    </w:pPr>
    <w:rPr>
      <w:rFonts w:cs="宋体"/>
      <w:kern w:val="24"/>
      <w:sz w:val="24"/>
    </w:rPr>
  </w:style>
  <w:style w:type="paragraph" w:customStyle="1" w:styleId="830">
    <w:name w:val="fcolor"/>
    <w:basedOn w:val="1"/>
    <w:qFormat/>
    <w:uiPriority w:val="99"/>
    <w:pPr>
      <w:widowControl/>
      <w:spacing w:before="100" w:beforeAutospacing="1" w:after="100" w:afterAutospacing="1"/>
      <w:jc w:val="left"/>
    </w:pPr>
    <w:rPr>
      <w:rFonts w:ascii="宋体" w:hAnsi="宋体"/>
      <w:color w:val="000000"/>
      <w:kern w:val="0"/>
      <w:sz w:val="24"/>
    </w:rPr>
  </w:style>
  <w:style w:type="paragraph" w:customStyle="1" w:styleId="831">
    <w:name w:val="char"/>
    <w:basedOn w:val="1"/>
    <w:qFormat/>
    <w:uiPriority w:val="99"/>
    <w:pPr>
      <w:widowControl/>
      <w:spacing w:after="160"/>
      <w:jc w:val="left"/>
    </w:pPr>
    <w:rPr>
      <w:rFonts w:ascii="宋体" w:hAnsi="宋体" w:cs="宋体"/>
      <w:sz w:val="24"/>
    </w:rPr>
  </w:style>
  <w:style w:type="paragraph" w:customStyle="1" w:styleId="832">
    <w:name w:val="样式 标题 2 + 左侧:  0厘米 首行缩进:  0 厘米 右侧:  1 字符"/>
    <w:basedOn w:val="8"/>
    <w:qFormat/>
    <w:uiPriority w:val="99"/>
    <w:pPr>
      <w:keepNext w:val="0"/>
      <w:keepLines w:val="0"/>
      <w:tabs>
        <w:tab w:val="left" w:pos="280"/>
        <w:tab w:val="left" w:pos="1400"/>
      </w:tabs>
      <w:adjustRightInd w:val="0"/>
      <w:snapToGrid w:val="0"/>
      <w:spacing w:before="50" w:after="240" w:line="480" w:lineRule="exact"/>
      <w:ind w:left="1233" w:right="280" w:rightChars="100" w:firstLine="567"/>
      <w:jc w:val="left"/>
    </w:pPr>
    <w:rPr>
      <w:rFonts w:ascii="Times New Roman" w:hAnsi="Times New Roman" w:eastAsia="宋体"/>
      <w:b w:val="0"/>
      <w:bCs w:val="0"/>
      <w:sz w:val="28"/>
      <w:szCs w:val="20"/>
    </w:rPr>
  </w:style>
  <w:style w:type="paragraph" w:customStyle="1" w:styleId="833">
    <w:name w:val="样式 样式 样式 首行缩进:  2 字符 + 首行缩进:  2 字符 + 首行缩进:  2 字符"/>
    <w:basedOn w:val="1"/>
    <w:qFormat/>
    <w:uiPriority w:val="99"/>
    <w:pPr>
      <w:spacing w:line="360" w:lineRule="auto"/>
      <w:ind w:firstLine="480" w:firstLineChars="200"/>
    </w:pPr>
    <w:rPr>
      <w:rFonts w:eastAsia="仿宋_GB2312"/>
      <w:sz w:val="24"/>
      <w:szCs w:val="20"/>
    </w:rPr>
  </w:style>
  <w:style w:type="paragraph" w:customStyle="1" w:styleId="834">
    <w:name w:val="表的格式（小四）"/>
    <w:basedOn w:val="1"/>
    <w:qFormat/>
    <w:uiPriority w:val="99"/>
    <w:pPr>
      <w:adjustRightInd w:val="0"/>
      <w:spacing w:line="360" w:lineRule="atLeast"/>
      <w:jc w:val="center"/>
    </w:pPr>
    <w:rPr>
      <w:kern w:val="0"/>
      <w:sz w:val="24"/>
      <w:szCs w:val="20"/>
    </w:rPr>
  </w:style>
  <w:style w:type="paragraph" w:customStyle="1" w:styleId="835">
    <w:name w:val="(文字) (文字)"/>
    <w:basedOn w:val="1"/>
    <w:qFormat/>
    <w:uiPriority w:val="99"/>
  </w:style>
  <w:style w:type="paragraph" w:customStyle="1" w:styleId="836">
    <w:name w:val="文本框文字格式"/>
    <w:basedOn w:val="1"/>
    <w:qFormat/>
    <w:uiPriority w:val="99"/>
    <w:pPr>
      <w:jc w:val="center"/>
    </w:pPr>
    <w:rPr>
      <w:sz w:val="24"/>
    </w:rPr>
  </w:style>
  <w:style w:type="paragraph" w:customStyle="1" w:styleId="837">
    <w:name w:val="样式 样式 样式 标题 3东明_小节H3条标题1.1.1二级节名h33rd level3l3CTHeading 3 - ... ...1"/>
    <w:basedOn w:val="645"/>
    <w:qFormat/>
    <w:uiPriority w:val="99"/>
    <w:pPr>
      <w:spacing w:after="0"/>
    </w:pPr>
  </w:style>
  <w:style w:type="paragraph" w:customStyle="1" w:styleId="838">
    <w:name w:val="style12"/>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839">
    <w:name w:val="Char Char Char1 Char Char Char Char Char Char Char Char Char Char"/>
    <w:basedOn w:val="1"/>
    <w:qFormat/>
    <w:uiPriority w:val="99"/>
  </w:style>
  <w:style w:type="paragraph" w:customStyle="1" w:styleId="840">
    <w:name w:val="4"/>
    <w:basedOn w:val="1"/>
    <w:qFormat/>
    <w:uiPriority w:val="99"/>
    <w:rPr>
      <w:sz w:val="28"/>
    </w:rPr>
  </w:style>
  <w:style w:type="paragraph" w:customStyle="1" w:styleId="841">
    <w:name w:val="Char2"/>
    <w:basedOn w:val="1"/>
    <w:qFormat/>
    <w:uiPriority w:val="99"/>
    <w:pPr>
      <w:spacing w:line="360" w:lineRule="auto"/>
      <w:ind w:firstLine="200" w:firstLineChars="200"/>
    </w:pPr>
    <w:rPr>
      <w:rFonts w:ascii="宋体" w:hAnsi="宋体" w:cs="宋体"/>
      <w:sz w:val="24"/>
    </w:rPr>
  </w:style>
  <w:style w:type="paragraph" w:customStyle="1" w:styleId="842">
    <w:name w:val="CM75"/>
    <w:basedOn w:val="1"/>
    <w:next w:val="1"/>
    <w:qFormat/>
    <w:uiPriority w:val="99"/>
    <w:pPr>
      <w:autoSpaceDE w:val="0"/>
      <w:autoSpaceDN w:val="0"/>
      <w:adjustRightInd w:val="0"/>
      <w:spacing w:after="60"/>
      <w:jc w:val="left"/>
    </w:pPr>
    <w:rPr>
      <w:rFonts w:ascii="Sim Sun+ 2" w:eastAsia="Sim Sun+ 2" w:cs="Sim Sun+ 2"/>
      <w:kern w:val="0"/>
      <w:sz w:val="24"/>
    </w:rPr>
  </w:style>
  <w:style w:type="paragraph" w:customStyle="1" w:styleId="843">
    <w:name w:val="项目编号"/>
    <w:basedOn w:val="1"/>
    <w:next w:val="1"/>
    <w:qFormat/>
    <w:uiPriority w:val="99"/>
    <w:pPr>
      <w:spacing w:before="120" w:after="120" w:line="360" w:lineRule="auto"/>
    </w:pPr>
    <w:rPr>
      <w:sz w:val="24"/>
      <w:szCs w:val="20"/>
    </w:rPr>
  </w:style>
  <w:style w:type="paragraph" w:customStyle="1" w:styleId="844">
    <w:name w:val="font6"/>
    <w:basedOn w:val="1"/>
    <w:qFormat/>
    <w:uiPriority w:val="99"/>
    <w:pPr>
      <w:widowControl/>
      <w:spacing w:before="100" w:beforeAutospacing="1" w:after="100" w:afterAutospacing="1"/>
      <w:jc w:val="left"/>
    </w:pPr>
    <w:rPr>
      <w:rFonts w:ascii="宋体" w:hAnsi="宋体"/>
      <w:b/>
      <w:bCs/>
      <w:kern w:val="0"/>
      <w:sz w:val="24"/>
    </w:rPr>
  </w:style>
  <w:style w:type="paragraph" w:customStyle="1" w:styleId="845">
    <w:name w:val="法规"/>
    <w:basedOn w:val="1"/>
    <w:qFormat/>
    <w:uiPriority w:val="99"/>
    <w:pPr>
      <w:tabs>
        <w:tab w:val="left" w:pos="400"/>
      </w:tabs>
      <w:spacing w:line="440" w:lineRule="exact"/>
      <w:ind w:firstLine="400"/>
    </w:pPr>
    <w:rPr>
      <w:sz w:val="25"/>
      <w:szCs w:val="20"/>
    </w:rPr>
  </w:style>
  <w:style w:type="paragraph" w:customStyle="1" w:styleId="846">
    <w:name w:val="标题6"/>
    <w:basedOn w:val="1"/>
    <w:next w:val="84"/>
    <w:qFormat/>
    <w:uiPriority w:val="99"/>
    <w:pPr>
      <w:keepNext/>
      <w:spacing w:line="360" w:lineRule="auto"/>
      <w:ind w:firstLine="567"/>
      <w:jc w:val="left"/>
      <w:outlineLvl w:val="5"/>
    </w:pPr>
    <w:rPr>
      <w:sz w:val="28"/>
      <w:szCs w:val="21"/>
    </w:rPr>
  </w:style>
  <w:style w:type="paragraph" w:customStyle="1" w:styleId="847">
    <w:name w:val="xl66"/>
    <w:basedOn w:val="1"/>
    <w:qFormat/>
    <w:uiPriority w:val="99"/>
    <w:pPr>
      <w:widowControl/>
      <w:spacing w:before="100" w:beforeAutospacing="1" w:after="100" w:afterAutospacing="1"/>
      <w:jc w:val="center"/>
      <w:textAlignment w:val="bottom"/>
    </w:pPr>
    <w:rPr>
      <w:rFonts w:ascii="宋体" w:hAnsi="宋体"/>
      <w:b/>
      <w:bCs/>
      <w:color w:val="0000FF"/>
      <w:kern w:val="0"/>
      <w:sz w:val="22"/>
      <w:szCs w:val="22"/>
    </w:rPr>
  </w:style>
  <w:style w:type="paragraph" w:customStyle="1" w:styleId="848">
    <w:name w:val="甲乙酮标题4"/>
    <w:basedOn w:val="10"/>
    <w:qFormat/>
    <w:uiPriority w:val="99"/>
    <w:pPr>
      <w:tabs>
        <w:tab w:val="left" w:pos="1680"/>
      </w:tabs>
      <w:spacing w:before="100" w:after="100" w:line="377" w:lineRule="auto"/>
      <w:ind w:left="1680"/>
    </w:pPr>
    <w:rPr>
      <w:rFonts w:ascii="Times New Roman" w:hAnsi="Times New Roman"/>
      <w:sz w:val="24"/>
      <w:szCs w:val="24"/>
    </w:rPr>
  </w:style>
  <w:style w:type="paragraph" w:customStyle="1" w:styleId="849">
    <w:name w:val="xl78"/>
    <w:basedOn w:val="1"/>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850">
    <w:name w:val="样式13"/>
    <w:basedOn w:val="1"/>
    <w:next w:val="32"/>
    <w:qFormat/>
    <w:uiPriority w:val="99"/>
    <w:pPr>
      <w:adjustRightInd w:val="0"/>
      <w:spacing w:line="500" w:lineRule="exact"/>
      <w:ind w:firstLine="200" w:firstLineChars="200"/>
      <w:textAlignment w:val="baseline"/>
    </w:pPr>
    <w:rPr>
      <w:rFonts w:ascii="仿宋_GB2312" w:hAnsi="宋体" w:eastAsia="仿宋_GB2312"/>
      <w:color w:val="FF0000"/>
      <w:sz w:val="28"/>
      <w:szCs w:val="28"/>
    </w:rPr>
  </w:style>
  <w:style w:type="paragraph" w:customStyle="1" w:styleId="851">
    <w:name w:val="修订1"/>
    <w:semiHidden/>
    <w:qFormat/>
    <w:uiPriority w:val="99"/>
    <w:rPr>
      <w:rFonts w:ascii="Times New Roman" w:hAnsi="Times New Roman" w:eastAsia="宋体" w:cs="Times New Roman"/>
      <w:kern w:val="2"/>
      <w:sz w:val="24"/>
      <w:szCs w:val="21"/>
      <w:lang w:val="en-US" w:eastAsia="zh-CN" w:bidi="ar-SA"/>
    </w:rPr>
  </w:style>
  <w:style w:type="paragraph" w:customStyle="1" w:styleId="852">
    <w:name w:val="1"/>
    <w:basedOn w:val="1"/>
    <w:next w:val="3"/>
    <w:qFormat/>
    <w:uiPriority w:val="99"/>
    <w:pPr>
      <w:ind w:firstLine="480" w:firstLineChars="200"/>
    </w:pPr>
    <w:rPr>
      <w:sz w:val="24"/>
    </w:rPr>
  </w:style>
  <w:style w:type="paragraph" w:customStyle="1" w:styleId="853">
    <w:name w:val="xl73"/>
    <w:basedOn w:val="1"/>
    <w:qFormat/>
    <w:uiPriority w:val="99"/>
    <w:pPr>
      <w:widowControl/>
      <w:spacing w:before="100" w:beforeAutospacing="1" w:after="100" w:afterAutospacing="1"/>
      <w:jc w:val="center"/>
      <w:textAlignment w:val="bottom"/>
    </w:pPr>
    <w:rPr>
      <w:rFonts w:ascii="宋体" w:hAnsi="宋体"/>
      <w:b/>
      <w:bCs/>
      <w:kern w:val="0"/>
      <w:sz w:val="22"/>
      <w:szCs w:val="22"/>
    </w:rPr>
  </w:style>
  <w:style w:type="paragraph" w:customStyle="1" w:styleId="854">
    <w:name w:val="首行缩进"/>
    <w:basedOn w:val="1"/>
    <w:qFormat/>
    <w:uiPriority w:val="99"/>
    <w:pPr>
      <w:spacing w:line="360" w:lineRule="auto"/>
      <w:ind w:firstLine="480" w:firstLineChars="200"/>
    </w:pPr>
    <w:rPr>
      <w:sz w:val="24"/>
    </w:rPr>
  </w:style>
  <w:style w:type="paragraph" w:customStyle="1" w:styleId="855">
    <w:name w:val="xl166"/>
    <w:basedOn w:val="1"/>
    <w:qFormat/>
    <w:uiPriority w:val="99"/>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856">
    <w:name w:val="表样式3"/>
    <w:basedOn w:val="1"/>
    <w:qFormat/>
    <w:uiPriority w:val="99"/>
    <w:pPr>
      <w:spacing w:beforeLines="50" w:afterLines="50"/>
      <w:jc w:val="center"/>
    </w:pPr>
    <w:rPr>
      <w:rFonts w:ascii="宋体" w:hAnsi="宋体" w:eastAsia="黑体"/>
      <w:color w:val="000000"/>
      <w:szCs w:val="18"/>
    </w:rPr>
  </w:style>
  <w:style w:type="paragraph" w:customStyle="1" w:styleId="857">
    <w:name w:val="Char5"/>
    <w:basedOn w:val="1"/>
    <w:qFormat/>
    <w:uiPriority w:val="99"/>
  </w:style>
  <w:style w:type="paragraph" w:customStyle="1" w:styleId="858">
    <w:name w:val="表格中"/>
    <w:basedOn w:val="1"/>
    <w:qFormat/>
    <w:uiPriority w:val="99"/>
    <w:rPr>
      <w:rFonts w:ascii="宋体"/>
      <w:szCs w:val="21"/>
    </w:rPr>
  </w:style>
  <w:style w:type="paragraph" w:customStyle="1" w:styleId="859">
    <w:name w:val="普通文字 Char Char"/>
    <w:basedOn w:val="1"/>
    <w:next w:val="80"/>
    <w:qFormat/>
    <w:uiPriority w:val="99"/>
    <w:rPr>
      <w:sz w:val="24"/>
    </w:rPr>
  </w:style>
  <w:style w:type="paragraph" w:customStyle="1" w:styleId="860">
    <w:name w:val="样式 标题 3 + 宋体 四号1"/>
    <w:basedOn w:val="9"/>
    <w:qFormat/>
    <w:uiPriority w:val="99"/>
    <w:pPr>
      <w:tabs>
        <w:tab w:val="left" w:pos="1260"/>
      </w:tabs>
      <w:spacing w:line="360" w:lineRule="auto"/>
      <w:ind w:left="1260" w:hanging="420"/>
    </w:pPr>
    <w:rPr>
      <w:rFonts w:ascii="宋体" w:hAnsi="宋体" w:eastAsia="黑体" w:cs="宋体"/>
      <w:kern w:val="0"/>
      <w:sz w:val="28"/>
      <w:szCs w:val="20"/>
    </w:rPr>
  </w:style>
  <w:style w:type="paragraph" w:customStyle="1" w:styleId="861">
    <w:name w:val="图"/>
    <w:basedOn w:val="473"/>
    <w:qFormat/>
    <w:uiPriority w:val="99"/>
    <w:pPr>
      <w:spacing w:line="240" w:lineRule="auto"/>
      <w:ind w:firstLine="0" w:firstLineChars="0"/>
      <w:jc w:val="center"/>
    </w:pPr>
  </w:style>
  <w:style w:type="paragraph" w:customStyle="1" w:styleId="862">
    <w:name w:val="样式2.2.5"/>
    <w:basedOn w:val="1"/>
    <w:qFormat/>
    <w:uiPriority w:val="99"/>
    <w:pPr>
      <w:spacing w:beforeLines="50" w:line="360" w:lineRule="auto"/>
      <w:outlineLvl w:val="3"/>
    </w:pPr>
    <w:rPr>
      <w:b/>
      <w:sz w:val="24"/>
    </w:rPr>
  </w:style>
  <w:style w:type="paragraph" w:customStyle="1" w:styleId="863">
    <w:name w:val="样式 楷体_GB2312 居中"/>
    <w:basedOn w:val="1"/>
    <w:qFormat/>
    <w:uiPriority w:val="99"/>
    <w:pPr>
      <w:spacing w:line="360" w:lineRule="auto"/>
      <w:jc w:val="center"/>
    </w:pPr>
    <w:rPr>
      <w:rFonts w:ascii="楷体_GB2312" w:eastAsia="楷体_GB2312"/>
      <w:szCs w:val="20"/>
      <w:lang w:bidi="ar-OM"/>
    </w:rPr>
  </w:style>
  <w:style w:type="paragraph" w:customStyle="1" w:styleId="864">
    <w:name w:val="样式 样式 左侧:  2 字符 + 首行缩进:  2 字符 Char"/>
    <w:basedOn w:val="1"/>
    <w:qFormat/>
    <w:uiPriority w:val="99"/>
    <w:pPr>
      <w:tabs>
        <w:tab w:val="left" w:pos="540"/>
      </w:tabs>
      <w:spacing w:line="360" w:lineRule="auto"/>
      <w:ind w:firstLine="478" w:firstLineChars="199"/>
    </w:pPr>
    <w:rPr>
      <w:rFonts w:ascii="宋体" w:hAnsi="宋体"/>
      <w:bCs/>
      <w:sz w:val="24"/>
    </w:rPr>
  </w:style>
  <w:style w:type="paragraph" w:customStyle="1" w:styleId="865">
    <w:name w:val="标2"/>
    <w:basedOn w:val="8"/>
    <w:next w:val="290"/>
    <w:qFormat/>
    <w:uiPriority w:val="99"/>
    <w:pPr>
      <w:tabs>
        <w:tab w:val="left" w:pos="0"/>
      </w:tabs>
      <w:spacing w:before="0" w:after="0" w:line="240" w:lineRule="auto"/>
      <w:ind w:left="576" w:hanging="576"/>
      <w:contextualSpacing/>
      <w:jc w:val="left"/>
    </w:pPr>
    <w:rPr>
      <w:rFonts w:ascii="黑体" w:hAnsi="黑体" w:cs="宋体"/>
      <w:bCs w:val="0"/>
      <w:sz w:val="30"/>
      <w:szCs w:val="20"/>
    </w:rPr>
  </w:style>
  <w:style w:type="paragraph" w:customStyle="1" w:styleId="866">
    <w:name w:val="正文表标题"/>
    <w:next w:val="1"/>
    <w:qFormat/>
    <w:uiPriority w:val="99"/>
    <w:pPr>
      <w:numPr>
        <w:ilvl w:val="0"/>
        <w:numId w:val="8"/>
      </w:numPr>
      <w:spacing w:beforeLines="50" w:afterLines="50"/>
      <w:jc w:val="center"/>
    </w:pPr>
    <w:rPr>
      <w:rFonts w:ascii="黑体" w:hAnsi="Times New Roman" w:eastAsia="黑体" w:cs="Times New Roman"/>
      <w:kern w:val="0"/>
      <w:sz w:val="21"/>
      <w:szCs w:val="20"/>
      <w:lang w:val="en-US" w:eastAsia="zh-CN" w:bidi="ar-SA"/>
    </w:rPr>
  </w:style>
  <w:style w:type="paragraph" w:customStyle="1" w:styleId="867">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868">
    <w:name w:val="样式 标题 1章标题 1H11.1标题 111标题 1 + 行距: 固定值 30 磅"/>
    <w:basedOn w:val="7"/>
    <w:qFormat/>
    <w:uiPriority w:val="99"/>
    <w:pPr>
      <w:keepNext w:val="0"/>
      <w:pageBreakBefore/>
      <w:tabs>
        <w:tab w:val="left" w:pos="390"/>
      </w:tabs>
      <w:overflowPunct/>
      <w:snapToGrid/>
      <w:spacing w:after="120" w:line="600" w:lineRule="exact"/>
      <w:ind w:left="390" w:firstLine="0"/>
      <w:jc w:val="center"/>
    </w:pPr>
    <w:rPr>
      <w:rFonts w:ascii="黑体" w:hAnsi="Calibri" w:cs="宋体"/>
      <w:color w:val="auto"/>
      <w:sz w:val="44"/>
      <w:szCs w:val="20"/>
    </w:rPr>
  </w:style>
  <w:style w:type="paragraph" w:customStyle="1" w:styleId="869">
    <w:name w:val="xl173"/>
    <w:basedOn w:val="1"/>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870">
    <w:name w:val="xl98"/>
    <w:basedOn w:val="1"/>
    <w:qFormat/>
    <w:uiPriority w:val="99"/>
    <w:pPr>
      <w:widowControl/>
      <w:pBdr>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871">
    <w:name w:val="Char Char Char Char Char Char Char Char Char1 Char Char Char Char Char Char Char Char1 Char Char Char"/>
    <w:basedOn w:val="1"/>
    <w:qFormat/>
    <w:uiPriority w:val="99"/>
    <w:pPr>
      <w:snapToGrid w:val="0"/>
      <w:spacing w:line="360" w:lineRule="auto"/>
      <w:ind w:firstLine="200" w:firstLineChars="200"/>
    </w:pPr>
    <w:rPr>
      <w:rFonts w:eastAsia="仿宋_GB2312"/>
      <w:sz w:val="24"/>
    </w:rPr>
  </w:style>
  <w:style w:type="paragraph" w:customStyle="1" w:styleId="872">
    <w:name w:val="正文2"/>
    <w:qFormat/>
    <w:uiPriority w:val="99"/>
    <w:pPr>
      <w:widowControl w:val="0"/>
      <w:tabs>
        <w:tab w:val="left" w:pos="567"/>
      </w:tabs>
      <w:adjustRightInd w:val="0"/>
      <w:spacing w:line="360" w:lineRule="atLeast"/>
      <w:jc w:val="both"/>
      <w:textAlignment w:val="baseline"/>
    </w:pPr>
    <w:rPr>
      <w:rFonts w:ascii="Times New Roman" w:hAnsi="Courier" w:eastAsia="PMingLiU" w:cs="Times New Roman"/>
      <w:kern w:val="0"/>
      <w:sz w:val="24"/>
      <w:szCs w:val="20"/>
      <w:lang w:val="en-US" w:eastAsia="zh-TW" w:bidi="ar-SA"/>
    </w:rPr>
  </w:style>
  <w:style w:type="paragraph" w:customStyle="1" w:styleId="873">
    <w:name w:val="前言、引言标题"/>
    <w:next w:val="1"/>
    <w:qFormat/>
    <w:uiPriority w:val="99"/>
    <w:pPr>
      <w:shd w:val="clear" w:color="FFFFFF"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874">
    <w:name w:val="正文首行缩进2"/>
    <w:basedOn w:val="1"/>
    <w:qFormat/>
    <w:uiPriority w:val="99"/>
    <w:pPr>
      <w:snapToGrid w:val="0"/>
      <w:spacing w:line="500" w:lineRule="exact"/>
      <w:ind w:firstLine="480" w:firstLineChars="200"/>
    </w:pPr>
    <w:rPr>
      <w:sz w:val="18"/>
      <w:szCs w:val="20"/>
    </w:rPr>
  </w:style>
  <w:style w:type="paragraph" w:customStyle="1" w:styleId="875">
    <w:name w:val="流程文字"/>
    <w:basedOn w:val="1"/>
    <w:qFormat/>
    <w:uiPriority w:val="99"/>
    <w:pPr>
      <w:tabs>
        <w:tab w:val="left" w:pos="6480"/>
      </w:tabs>
      <w:topLinePunct/>
      <w:adjustRightInd w:val="0"/>
      <w:snapToGrid w:val="0"/>
      <w:jc w:val="center"/>
    </w:pPr>
    <w:rPr>
      <w:rFonts w:eastAsia="仿宋_GB2312"/>
      <w:szCs w:val="20"/>
    </w:rPr>
  </w:style>
  <w:style w:type="paragraph" w:customStyle="1" w:styleId="876">
    <w:name w:val="xl132"/>
    <w:basedOn w:val="1"/>
    <w:qFormat/>
    <w:uiPriority w:val="99"/>
    <w:pPr>
      <w:widowControl/>
      <w:pBdr>
        <w:top w:val="single" w:color="auto" w:sz="12" w:space="0"/>
        <w:lef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877">
    <w:name w:val="xl47"/>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878">
    <w:name w:val="xl159"/>
    <w:basedOn w:val="1"/>
    <w:qFormat/>
    <w:uiPriority w:val="99"/>
    <w:pPr>
      <w:widowControl/>
      <w:pBdr>
        <w:right w:val="single" w:color="auto" w:sz="4" w:space="0"/>
      </w:pBdr>
      <w:spacing w:before="100" w:beforeAutospacing="1" w:after="100" w:afterAutospacing="1"/>
      <w:jc w:val="left"/>
    </w:pPr>
    <w:rPr>
      <w:rFonts w:ascii="Arial Unicode MS" w:hAnsi="Arial Unicode MS"/>
      <w:kern w:val="0"/>
    </w:rPr>
  </w:style>
  <w:style w:type="paragraph" w:customStyle="1" w:styleId="879">
    <w:name w:val="xl105"/>
    <w:basedOn w:val="1"/>
    <w:qFormat/>
    <w:uiPriority w:val="99"/>
    <w:pPr>
      <w:widowControl/>
      <w:spacing w:before="100" w:beforeAutospacing="1" w:after="100" w:afterAutospacing="1"/>
      <w:jc w:val="center"/>
      <w:textAlignment w:val="center"/>
    </w:pPr>
    <w:rPr>
      <w:rFonts w:ascii="Arial Unicode MS" w:hAnsi="Arial Unicode MS"/>
      <w:kern w:val="0"/>
    </w:rPr>
  </w:style>
  <w:style w:type="paragraph" w:customStyle="1" w:styleId="880">
    <w:name w:val="三级标题 大王 20100426"/>
    <w:basedOn w:val="1"/>
    <w:qFormat/>
    <w:uiPriority w:val="99"/>
    <w:pPr>
      <w:numPr>
        <w:ilvl w:val="3"/>
        <w:numId w:val="4"/>
      </w:numPr>
      <w:spacing w:beforeLines="20" w:afterLines="50"/>
      <w:ind w:left="0" w:firstLine="0"/>
      <w:outlineLvl w:val="2"/>
    </w:pPr>
    <w:rPr>
      <w:rFonts w:eastAsia="黑体"/>
      <w:sz w:val="28"/>
      <w:szCs w:val="28"/>
    </w:rPr>
  </w:style>
  <w:style w:type="paragraph" w:customStyle="1" w:styleId="881">
    <w:name w:val="xl169"/>
    <w:basedOn w:val="1"/>
    <w:qFormat/>
    <w:uiPriority w:val="99"/>
    <w:pPr>
      <w:widowControl/>
      <w:pBdr>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882">
    <w:name w:val="扉页 黑体-"/>
    <w:basedOn w:val="1"/>
    <w:qFormat/>
    <w:uiPriority w:val="99"/>
    <w:pPr>
      <w:spacing w:before="240" w:after="240" w:line="480" w:lineRule="exact"/>
      <w:ind w:firstLine="600" w:firstLineChars="200"/>
      <w:jc w:val="left"/>
    </w:pPr>
    <w:rPr>
      <w:rFonts w:eastAsia="黑体"/>
      <w:sz w:val="30"/>
      <w:szCs w:val="20"/>
    </w:rPr>
  </w:style>
  <w:style w:type="paragraph" w:customStyle="1" w:styleId="883">
    <w:name w:val="xl106"/>
    <w:basedOn w:val="1"/>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884">
    <w:name w:val="表蕊"/>
    <w:basedOn w:val="1"/>
    <w:qFormat/>
    <w:uiPriority w:val="99"/>
    <w:pPr>
      <w:adjustRightInd w:val="0"/>
      <w:spacing w:line="280" w:lineRule="atLeast"/>
      <w:jc w:val="left"/>
      <w:textAlignment w:val="baseline"/>
    </w:pPr>
    <w:rPr>
      <w:rFonts w:eastAsia="楷体_GB2312"/>
      <w:color w:val="000000"/>
      <w:spacing w:val="-10"/>
      <w:kern w:val="0"/>
      <w:szCs w:val="21"/>
    </w:rPr>
  </w:style>
  <w:style w:type="paragraph" w:customStyle="1" w:styleId="885">
    <w:name w:val="1表格"/>
    <w:basedOn w:val="1"/>
    <w:qFormat/>
    <w:uiPriority w:val="99"/>
    <w:pPr>
      <w:adjustRightInd w:val="0"/>
      <w:snapToGrid w:val="0"/>
      <w:jc w:val="center"/>
      <w:textAlignment w:val="baseline"/>
    </w:pPr>
    <w:rPr>
      <w:rFonts w:ascii="宋体" w:hAnsi="宋体" w:cs="宋体"/>
      <w:spacing w:val="4"/>
      <w:sz w:val="24"/>
    </w:rPr>
  </w:style>
  <w:style w:type="paragraph" w:customStyle="1" w:styleId="886">
    <w:name w:val="xl30"/>
    <w:basedOn w:val="1"/>
    <w:qFormat/>
    <w:uiPriority w:val="99"/>
    <w:pPr>
      <w:widowControl/>
      <w:pBdr>
        <w:bottom w:val="single" w:color="auto" w:sz="4" w:space="0"/>
        <w:right w:val="single" w:color="auto" w:sz="4" w:space="0"/>
      </w:pBdr>
      <w:spacing w:before="100" w:beforeAutospacing="1" w:after="100" w:afterAutospacing="1"/>
    </w:pPr>
    <w:rPr>
      <w:rFonts w:ascii="宋体" w:hAnsi="宋体"/>
      <w:kern w:val="0"/>
      <w:szCs w:val="21"/>
    </w:rPr>
  </w:style>
  <w:style w:type="paragraph" w:customStyle="1" w:styleId="887">
    <w:name w:val="xl149"/>
    <w:basedOn w:val="1"/>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kern w:val="0"/>
    </w:rPr>
  </w:style>
  <w:style w:type="paragraph" w:customStyle="1" w:styleId="888">
    <w:name w:val="4号两端对齐"/>
    <w:qFormat/>
    <w:uiPriority w:val="99"/>
    <w:pPr>
      <w:widowControl w:val="0"/>
      <w:adjustRightInd w:val="0"/>
      <w:snapToGrid w:val="0"/>
      <w:jc w:val="both"/>
    </w:pPr>
    <w:rPr>
      <w:rFonts w:ascii="宋体" w:hAnsi="Times New Roman" w:eastAsia="宋体" w:cs="Times New Roman"/>
      <w:kern w:val="0"/>
      <w:sz w:val="28"/>
      <w:szCs w:val="20"/>
      <w:lang w:val="en-US" w:eastAsia="zh-CN" w:bidi="ar-SA"/>
    </w:rPr>
  </w:style>
  <w:style w:type="paragraph" w:customStyle="1" w:styleId="889">
    <w:name w:val="综述"/>
    <w:qFormat/>
    <w:uiPriority w:val="99"/>
    <w:pPr>
      <w:spacing w:beforeLines="50" w:line="440" w:lineRule="exact"/>
      <w:ind w:firstLine="200" w:firstLineChars="200"/>
    </w:pPr>
    <w:rPr>
      <w:rFonts w:ascii="Times New Roman" w:hAnsi="Times New Roman" w:eastAsia="宋体" w:cs="MS Mincho"/>
      <w:b/>
      <w:kern w:val="2"/>
      <w:sz w:val="24"/>
      <w:szCs w:val="24"/>
      <w:lang w:val="en-US" w:eastAsia="zh-CN" w:bidi="ar-SA"/>
    </w:rPr>
  </w:style>
  <w:style w:type="paragraph" w:customStyle="1" w:styleId="890">
    <w:name w:val="xl134"/>
    <w:basedOn w:val="1"/>
    <w:qFormat/>
    <w:uiPriority w:val="99"/>
    <w:pPr>
      <w:widowControl/>
      <w:spacing w:before="100" w:beforeAutospacing="1" w:after="100" w:afterAutospacing="1"/>
      <w:jc w:val="left"/>
    </w:pPr>
    <w:rPr>
      <w:rFonts w:ascii="Arial Unicode MS" w:hAnsi="Arial Unicode MS"/>
      <w:kern w:val="0"/>
      <w:sz w:val="20"/>
      <w:szCs w:val="20"/>
    </w:rPr>
  </w:style>
  <w:style w:type="paragraph" w:customStyle="1" w:styleId="891">
    <w:name w:val="xl151"/>
    <w:basedOn w:val="1"/>
    <w:qFormat/>
    <w:uiPriority w:val="99"/>
    <w:pPr>
      <w:widowControl/>
      <w:spacing w:before="100" w:beforeAutospacing="1" w:after="100" w:afterAutospacing="1"/>
      <w:jc w:val="left"/>
    </w:pPr>
    <w:rPr>
      <w:kern w:val="0"/>
      <w:sz w:val="16"/>
      <w:szCs w:val="16"/>
    </w:rPr>
  </w:style>
  <w:style w:type="paragraph" w:customStyle="1" w:styleId="892">
    <w:name w:val="甲乙酮标题2"/>
    <w:basedOn w:val="8"/>
    <w:qFormat/>
    <w:uiPriority w:val="99"/>
    <w:pPr>
      <w:tabs>
        <w:tab w:val="left" w:pos="840"/>
      </w:tabs>
      <w:ind w:left="840"/>
    </w:pPr>
    <w:rPr>
      <w:rFonts w:ascii="Times New Roman" w:hAnsi="Times New Roman" w:eastAsia="宋体"/>
      <w:kern w:val="0"/>
    </w:rPr>
  </w:style>
  <w:style w:type="paragraph" w:customStyle="1" w:styleId="893">
    <w:name w:val="样式38"/>
    <w:basedOn w:val="7"/>
    <w:qFormat/>
    <w:uiPriority w:val="99"/>
    <w:pPr>
      <w:tabs>
        <w:tab w:val="left" w:pos="720"/>
      </w:tabs>
      <w:overflowPunct/>
      <w:snapToGrid/>
      <w:spacing w:beforeLines="100" w:afterLines="100" w:line="360" w:lineRule="auto"/>
      <w:ind w:left="0" w:firstLine="0"/>
      <w:jc w:val="center"/>
    </w:pPr>
    <w:rPr>
      <w:rFonts w:ascii="黑体" w:hAnsi="Calibri"/>
      <w:b w:val="0"/>
      <w:bCs w:val="0"/>
      <w:color w:val="auto"/>
      <w:kern w:val="2"/>
      <w:sz w:val="32"/>
      <w:szCs w:val="32"/>
    </w:rPr>
  </w:style>
  <w:style w:type="paragraph" w:customStyle="1" w:styleId="894">
    <w:name w:val="样式28"/>
    <w:basedOn w:val="895"/>
    <w:qFormat/>
    <w:uiPriority w:val="99"/>
    <w:pPr>
      <w:spacing w:beforeLines="50" w:afterLines="50"/>
      <w:ind w:firstLine="0" w:firstLineChars="0"/>
      <w:jc w:val="center"/>
    </w:pPr>
    <w:rPr>
      <w:rFonts w:ascii="宋体" w:eastAsia="宋体"/>
      <w:b/>
      <w:color w:val="000000"/>
      <w:szCs w:val="28"/>
    </w:rPr>
  </w:style>
  <w:style w:type="paragraph" w:customStyle="1" w:styleId="895">
    <w:name w:val="样式17"/>
    <w:basedOn w:val="1"/>
    <w:qFormat/>
    <w:uiPriority w:val="99"/>
    <w:pPr>
      <w:ind w:firstLine="560" w:firstLineChars="200"/>
    </w:pPr>
    <w:rPr>
      <w:rFonts w:ascii="黑体" w:hAnsi="宋体" w:eastAsia="黑体"/>
      <w:sz w:val="28"/>
      <w:szCs w:val="20"/>
    </w:rPr>
  </w:style>
  <w:style w:type="paragraph" w:customStyle="1" w:styleId="896">
    <w:name w:val="东明_表格"/>
    <w:basedOn w:val="897"/>
    <w:qFormat/>
    <w:uiPriority w:val="99"/>
    <w:pPr>
      <w:spacing w:before="100" w:beforeAutospacing="1" w:after="100" w:afterAutospacing="1" w:line="240" w:lineRule="auto"/>
    </w:pPr>
    <w:rPr>
      <w:rFonts w:ascii="黑体" w:hAnsi="黑体" w:eastAsia="黑体"/>
      <w:szCs w:val="24"/>
    </w:rPr>
  </w:style>
  <w:style w:type="paragraph" w:customStyle="1" w:styleId="897">
    <w:name w:val="表格正文"/>
    <w:basedOn w:val="1"/>
    <w:qFormat/>
    <w:uiPriority w:val="99"/>
    <w:pPr>
      <w:spacing w:line="360" w:lineRule="exact"/>
      <w:jc w:val="center"/>
    </w:pPr>
    <w:rPr>
      <w:szCs w:val="20"/>
    </w:rPr>
  </w:style>
  <w:style w:type="paragraph" w:customStyle="1" w:styleId="898">
    <w:name w:val="文本居中"/>
    <w:basedOn w:val="1"/>
    <w:qFormat/>
    <w:uiPriority w:val="99"/>
    <w:pPr>
      <w:adjustRightInd w:val="0"/>
      <w:spacing w:line="360" w:lineRule="auto"/>
      <w:jc w:val="center"/>
    </w:pPr>
    <w:rPr>
      <w:sz w:val="28"/>
    </w:rPr>
  </w:style>
  <w:style w:type="paragraph" w:customStyle="1" w:styleId="899">
    <w:name w:val="Char Char Char Char Char Char Char Char Char Char1 Char Char Char Char Char Char"/>
    <w:basedOn w:val="1"/>
    <w:qFormat/>
    <w:uiPriority w:val="99"/>
    <w:pPr>
      <w:widowControl/>
      <w:contextualSpacing/>
      <w:jc w:val="left"/>
    </w:pPr>
    <w:rPr>
      <w:rFonts w:cs="宋体"/>
      <w:kern w:val="0"/>
    </w:rPr>
  </w:style>
  <w:style w:type="paragraph" w:customStyle="1" w:styleId="900">
    <w:name w:val="xl103"/>
    <w:basedOn w:val="1"/>
    <w:qFormat/>
    <w:uiPriority w:val="99"/>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01">
    <w:name w:val="yz"/>
    <w:basedOn w:val="35"/>
    <w:qFormat/>
    <w:uiPriority w:val="99"/>
    <w:pPr>
      <w:widowControl w:val="0"/>
      <w:tabs>
        <w:tab w:val="left" w:pos="900"/>
      </w:tabs>
      <w:adjustRightInd w:val="0"/>
      <w:snapToGrid/>
      <w:spacing w:before="0" w:after="0" w:line="240" w:lineRule="auto"/>
      <w:ind w:right="0" w:firstLine="200" w:firstLineChars="200"/>
      <w:textAlignment w:val="baseline"/>
    </w:pPr>
    <w:rPr>
      <w:rFonts w:ascii="宋体" w:hAnsi="宋体"/>
      <w:sz w:val="24"/>
      <w:szCs w:val="24"/>
    </w:rPr>
  </w:style>
  <w:style w:type="paragraph" w:customStyle="1" w:styleId="902">
    <w:name w:val="标准符号 行距1倍"/>
    <w:basedOn w:val="1"/>
    <w:qFormat/>
    <w:uiPriority w:val="99"/>
    <w:pPr>
      <w:adjustRightInd w:val="0"/>
      <w:snapToGrid w:val="0"/>
      <w:spacing w:beforeLines="50"/>
      <w:jc w:val="center"/>
      <w:textAlignment w:val="center"/>
    </w:pPr>
    <w:rPr>
      <w:rFonts w:ascii="黑体" w:eastAsia="黑体" w:cs="宋体"/>
      <w:color w:val="000000"/>
      <w:kern w:val="0"/>
      <w:sz w:val="24"/>
    </w:rPr>
  </w:style>
  <w:style w:type="paragraph" w:customStyle="1" w:styleId="903">
    <w:name w:val="Char1 Char Char Char"/>
    <w:basedOn w:val="1"/>
    <w:qFormat/>
    <w:uiPriority w:val="99"/>
    <w:pPr>
      <w:spacing w:line="360" w:lineRule="auto"/>
      <w:ind w:firstLine="200" w:firstLineChars="200"/>
    </w:pPr>
    <w:rPr>
      <w:rFonts w:ascii="宋体" w:hAnsi="宋体" w:cs="宋体"/>
      <w:sz w:val="24"/>
    </w:rPr>
  </w:style>
  <w:style w:type="paragraph" w:customStyle="1" w:styleId="904">
    <w:name w:val="小节标题"/>
    <w:basedOn w:val="1"/>
    <w:qFormat/>
    <w:uiPriority w:val="99"/>
    <w:pPr>
      <w:widowControl/>
      <w:spacing w:before="175" w:after="102" w:line="351" w:lineRule="atLeast"/>
      <w:contextualSpacing/>
      <w:textAlignment w:val="baseline"/>
    </w:pPr>
    <w:rPr>
      <w:rFonts w:eastAsia="黑体"/>
      <w:color w:val="000000"/>
      <w:kern w:val="0"/>
      <w:szCs w:val="20"/>
      <w:u w:color="000000"/>
    </w:rPr>
  </w:style>
  <w:style w:type="paragraph" w:customStyle="1" w:styleId="905">
    <w:name w:val="正文 + 宋体"/>
    <w:basedOn w:val="1"/>
    <w:qFormat/>
    <w:uiPriority w:val="99"/>
    <w:pPr>
      <w:tabs>
        <w:tab w:val="left" w:pos="6120"/>
      </w:tabs>
      <w:adjustRightInd w:val="0"/>
      <w:spacing w:line="500" w:lineRule="exact"/>
      <w:ind w:firstLine="420" w:firstLineChars="150"/>
      <w:jc w:val="left"/>
    </w:pPr>
    <w:rPr>
      <w:rFonts w:ascii="宋体" w:hAnsi="宋体"/>
      <w:sz w:val="28"/>
      <w:szCs w:val="28"/>
    </w:rPr>
  </w:style>
  <w:style w:type="paragraph" w:customStyle="1" w:styleId="906">
    <w:name w:val="xl165"/>
    <w:basedOn w:val="1"/>
    <w:qFormat/>
    <w:uiPriority w:val="99"/>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907">
    <w:name w:val="表字1"/>
    <w:basedOn w:val="1"/>
    <w:qFormat/>
    <w:uiPriority w:val="99"/>
    <w:pPr>
      <w:adjustRightInd w:val="0"/>
      <w:spacing w:line="360" w:lineRule="auto"/>
      <w:jc w:val="center"/>
      <w:textAlignment w:val="baseline"/>
    </w:pPr>
    <w:rPr>
      <w:rFonts w:ascii="宋体"/>
      <w:kern w:val="0"/>
      <w:szCs w:val="20"/>
    </w:rPr>
  </w:style>
  <w:style w:type="paragraph" w:customStyle="1" w:styleId="908">
    <w:name w:val="Char Char Char Char Char Char Char Char Char Char Char Char1 Char Char Char Char1"/>
    <w:basedOn w:val="1"/>
    <w:qFormat/>
    <w:uiPriority w:val="99"/>
    <w:pPr>
      <w:widowControl/>
      <w:contextualSpacing/>
      <w:jc w:val="left"/>
    </w:pPr>
    <w:rPr>
      <w:rFonts w:cs="宋体"/>
      <w:kern w:val="0"/>
    </w:rPr>
  </w:style>
  <w:style w:type="paragraph" w:customStyle="1" w:styleId="909">
    <w:name w:val="1 Char Char Char Char Char Char Char"/>
    <w:basedOn w:val="1"/>
    <w:qFormat/>
    <w:uiPriority w:val="99"/>
    <w:pPr>
      <w:spacing w:line="360" w:lineRule="auto"/>
      <w:ind w:firstLine="200" w:firstLineChars="200"/>
    </w:pPr>
    <w:rPr>
      <w:rFonts w:ascii="宋体" w:hAnsi="宋体" w:cs="宋体"/>
      <w:sz w:val="24"/>
    </w:rPr>
  </w:style>
  <w:style w:type="paragraph" w:customStyle="1" w:styleId="910">
    <w:name w:val="样式 正文001 + 首行缩进:  2 字符1"/>
    <w:basedOn w:val="1"/>
    <w:qFormat/>
    <w:uiPriority w:val="99"/>
    <w:pPr>
      <w:spacing w:before="60" w:line="460" w:lineRule="exact"/>
      <w:ind w:firstLine="480" w:firstLineChars="200"/>
    </w:pPr>
    <w:rPr>
      <w:sz w:val="24"/>
      <w:szCs w:val="20"/>
    </w:rPr>
  </w:style>
  <w:style w:type="paragraph" w:customStyle="1" w:styleId="911">
    <w:name w:val="样式 标题 1章标题 11标题 1H1一、 + 行距: 1.5 倍行距"/>
    <w:basedOn w:val="7"/>
    <w:qFormat/>
    <w:uiPriority w:val="99"/>
    <w:pPr>
      <w:keepLines/>
      <w:overflowPunct/>
      <w:spacing w:before="340" w:after="330" w:line="360" w:lineRule="auto"/>
      <w:ind w:left="3845" w:hanging="3845"/>
      <w:jc w:val="center"/>
    </w:pPr>
    <w:rPr>
      <w:rFonts w:cs="宋体"/>
      <w:color w:val="auto"/>
      <w:sz w:val="44"/>
      <w:szCs w:val="20"/>
    </w:rPr>
  </w:style>
  <w:style w:type="paragraph" w:customStyle="1" w:styleId="912">
    <w:name w:val="工艺正文"/>
    <w:basedOn w:val="1"/>
    <w:qFormat/>
    <w:uiPriority w:val="99"/>
    <w:pPr>
      <w:adjustRightInd w:val="0"/>
      <w:snapToGrid w:val="0"/>
      <w:spacing w:line="360" w:lineRule="auto"/>
      <w:ind w:firstLine="580"/>
    </w:pPr>
    <w:rPr>
      <w:rFonts w:ascii="宋体"/>
      <w:sz w:val="28"/>
      <w:szCs w:val="20"/>
    </w:rPr>
  </w:style>
  <w:style w:type="paragraph" w:customStyle="1" w:styleId="913">
    <w:name w:val="xl175"/>
    <w:basedOn w:val="1"/>
    <w:qFormat/>
    <w:uiPriority w:val="99"/>
    <w:pPr>
      <w:widowControl/>
      <w:pBdr>
        <w:left w:val="single" w:color="auto" w:sz="12" w:space="0"/>
        <w:right w:val="single" w:color="auto" w:sz="4" w:space="0"/>
      </w:pBdr>
      <w:spacing w:before="100" w:beforeAutospacing="1" w:after="100" w:afterAutospacing="1"/>
      <w:jc w:val="left"/>
    </w:pPr>
    <w:rPr>
      <w:rFonts w:ascii="Arial Unicode MS" w:hAnsi="Arial Unicode MS"/>
      <w:kern w:val="0"/>
    </w:rPr>
  </w:style>
  <w:style w:type="paragraph" w:customStyle="1" w:styleId="914">
    <w:name w:val="xl140"/>
    <w:basedOn w:val="1"/>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915">
    <w:name w:val="z-窗体底端1"/>
    <w:basedOn w:val="1"/>
    <w:next w:val="1"/>
    <w:qFormat/>
    <w:uiPriority w:val="99"/>
    <w:pPr>
      <w:widowControl/>
      <w:pBdr>
        <w:top w:val="single" w:color="auto" w:sz="6" w:space="1"/>
      </w:pBdr>
      <w:jc w:val="center"/>
    </w:pPr>
    <w:rPr>
      <w:rFonts w:ascii="Arial" w:hAnsi="Arial" w:cs="Arial"/>
      <w:vanish/>
      <w:kern w:val="0"/>
      <w:sz w:val="16"/>
      <w:szCs w:val="16"/>
    </w:rPr>
  </w:style>
  <w:style w:type="paragraph" w:customStyle="1" w:styleId="916">
    <w:name w:val="正文 黑体 Char"/>
    <w:basedOn w:val="713"/>
    <w:next w:val="713"/>
    <w:qFormat/>
    <w:uiPriority w:val="99"/>
    <w:rPr>
      <w:rFonts w:eastAsia="黑体"/>
    </w:rPr>
  </w:style>
  <w:style w:type="paragraph" w:customStyle="1" w:styleId="917">
    <w:name w:val="表中"/>
    <w:qFormat/>
    <w:uiPriority w:val="99"/>
    <w:pPr>
      <w:adjustRightInd w:val="0"/>
      <w:snapToGrid w:val="0"/>
      <w:jc w:val="right"/>
    </w:pPr>
    <w:rPr>
      <w:rFonts w:ascii="Times New Roman" w:hAnsi="Times New Roman" w:eastAsia="宋体" w:cs="Times New Roman"/>
      <w:kern w:val="44"/>
      <w:sz w:val="18"/>
      <w:szCs w:val="20"/>
      <w:lang w:val="en-US" w:eastAsia="zh-CN" w:bidi="ar-SA"/>
    </w:rPr>
  </w:style>
  <w:style w:type="paragraph" w:customStyle="1" w:styleId="918">
    <w:name w:val="Char Char1"/>
    <w:basedOn w:val="1"/>
    <w:qFormat/>
    <w:uiPriority w:val="99"/>
    <w:pPr>
      <w:spacing w:line="360" w:lineRule="auto"/>
      <w:ind w:firstLine="200" w:firstLineChars="200"/>
      <w:jc w:val="left"/>
    </w:pPr>
    <w:rPr>
      <w:rFonts w:ascii="宋体" w:hAnsi="宋体" w:cs="宋体"/>
      <w:sz w:val="24"/>
    </w:rPr>
  </w:style>
  <w:style w:type="paragraph" w:customStyle="1" w:styleId="919">
    <w:name w:val="xl79"/>
    <w:basedOn w:val="1"/>
    <w:qFormat/>
    <w:uiPriority w:val="99"/>
    <w:pPr>
      <w:widowControl/>
      <w:pBdr>
        <w:bottom w:val="single" w:color="auto" w:sz="12" w:space="0"/>
      </w:pBdr>
      <w:spacing w:before="100" w:beforeAutospacing="1" w:after="100" w:afterAutospacing="1"/>
      <w:jc w:val="left"/>
      <w:textAlignment w:val="center"/>
    </w:pPr>
    <w:rPr>
      <w:kern w:val="0"/>
      <w:sz w:val="12"/>
      <w:szCs w:val="12"/>
    </w:rPr>
  </w:style>
  <w:style w:type="paragraph" w:customStyle="1" w:styleId="920">
    <w:name w:val="xl145"/>
    <w:basedOn w:val="1"/>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921">
    <w:name w:val="xl163"/>
    <w:basedOn w:val="1"/>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922">
    <w:name w:val="图号"/>
    <w:basedOn w:val="1"/>
    <w:qFormat/>
    <w:uiPriority w:val="99"/>
    <w:pPr>
      <w:tabs>
        <w:tab w:val="left" w:pos="8160"/>
      </w:tabs>
      <w:adjustRightInd w:val="0"/>
      <w:spacing w:before="120" w:after="120" w:line="320" w:lineRule="exact"/>
      <w:jc w:val="center"/>
      <w:textAlignment w:val="baseline"/>
    </w:pPr>
    <w:rPr>
      <w:rFonts w:ascii="黑体" w:hAnsi="宋体" w:eastAsia="黑体"/>
      <w:spacing w:val="6"/>
      <w:sz w:val="24"/>
    </w:rPr>
  </w:style>
  <w:style w:type="paragraph" w:customStyle="1" w:styleId="923">
    <w:name w:val="样式 标题 2节H2（一）Underrubrik1prop2Heading 2 HiddenHeading 2 C..."/>
    <w:basedOn w:val="8"/>
    <w:qFormat/>
    <w:uiPriority w:val="99"/>
    <w:pPr>
      <w:tabs>
        <w:tab w:val="left" w:pos="840"/>
      </w:tabs>
      <w:spacing w:before="240" w:after="240" w:line="480" w:lineRule="exact"/>
      <w:ind w:left="840"/>
    </w:pPr>
    <w:rPr>
      <w:rFonts w:cs="宋体"/>
      <w:b w:val="0"/>
      <w:kern w:val="0"/>
      <w:szCs w:val="20"/>
    </w:rPr>
  </w:style>
  <w:style w:type="paragraph" w:customStyle="1" w:styleId="924">
    <w:name w:val="unnamed11"/>
    <w:basedOn w:val="1"/>
    <w:qFormat/>
    <w:uiPriority w:val="99"/>
    <w:pPr>
      <w:widowControl/>
      <w:spacing w:before="100" w:beforeAutospacing="1" w:after="100" w:afterAutospacing="1"/>
      <w:jc w:val="left"/>
    </w:pPr>
    <w:rPr>
      <w:rFonts w:ascii="宋体" w:hAnsi="宋体"/>
      <w:kern w:val="0"/>
      <w:sz w:val="24"/>
    </w:rPr>
  </w:style>
  <w:style w:type="paragraph" w:customStyle="1" w:styleId="925">
    <w:name w:val="Char2 Char Char Char Char Char Char Char Char Char"/>
    <w:basedOn w:val="1"/>
    <w:qFormat/>
    <w:uiPriority w:val="99"/>
    <w:rPr>
      <w:sz w:val="24"/>
    </w:rPr>
  </w:style>
  <w:style w:type="paragraph" w:customStyle="1" w:styleId="926">
    <w:name w:val="工业统一题目"/>
    <w:basedOn w:val="1"/>
    <w:qFormat/>
    <w:uiPriority w:val="99"/>
    <w:pPr>
      <w:adjustRightInd w:val="0"/>
      <w:snapToGrid w:val="0"/>
      <w:spacing w:line="360" w:lineRule="auto"/>
      <w:jc w:val="left"/>
    </w:pPr>
    <w:rPr>
      <w:rFonts w:ascii="宋体"/>
      <w:b/>
      <w:sz w:val="28"/>
      <w:szCs w:val="20"/>
    </w:rPr>
  </w:style>
  <w:style w:type="paragraph" w:customStyle="1" w:styleId="927">
    <w:name w:val="Table Paragraph"/>
    <w:basedOn w:val="1"/>
    <w:qFormat/>
    <w:uiPriority w:val="99"/>
    <w:pPr>
      <w:widowControl/>
      <w:adjustRightInd w:val="0"/>
      <w:snapToGrid w:val="0"/>
      <w:spacing w:after="200"/>
      <w:jc w:val="left"/>
    </w:pPr>
    <w:rPr>
      <w:rFonts w:ascii="Tahoma" w:hAnsi="Tahoma" w:eastAsia="微软雅黑"/>
      <w:kern w:val="0"/>
      <w:sz w:val="22"/>
      <w:szCs w:val="22"/>
    </w:rPr>
  </w:style>
  <w:style w:type="paragraph" w:customStyle="1" w:styleId="928">
    <w:name w:val="款"/>
    <w:basedOn w:val="1"/>
    <w:qFormat/>
    <w:uiPriority w:val="99"/>
    <w:pPr>
      <w:spacing w:line="360" w:lineRule="auto"/>
    </w:pPr>
    <w:rPr>
      <w:szCs w:val="20"/>
    </w:rPr>
  </w:style>
  <w:style w:type="paragraph" w:customStyle="1" w:styleId="929">
    <w:name w:val="备注"/>
    <w:basedOn w:val="473"/>
    <w:qFormat/>
    <w:uiPriority w:val="99"/>
    <w:pPr>
      <w:spacing w:line="360" w:lineRule="exact"/>
    </w:pPr>
    <w:rPr>
      <w:sz w:val="21"/>
    </w:rPr>
  </w:style>
  <w:style w:type="paragraph" w:customStyle="1" w:styleId="930">
    <w:name w:val="font0"/>
    <w:basedOn w:val="1"/>
    <w:qFormat/>
    <w:uiPriority w:val="99"/>
    <w:pPr>
      <w:widowControl/>
      <w:spacing w:before="100" w:beforeAutospacing="1" w:after="100" w:afterAutospacing="1"/>
      <w:jc w:val="left"/>
    </w:pPr>
    <w:rPr>
      <w:rFonts w:ascii="宋体" w:hAnsi="宋体"/>
      <w:kern w:val="0"/>
      <w:sz w:val="24"/>
    </w:rPr>
  </w:style>
  <w:style w:type="paragraph" w:customStyle="1" w:styleId="931">
    <w:name w:val="+正文 Char Char"/>
    <w:basedOn w:val="1"/>
    <w:qFormat/>
    <w:uiPriority w:val="99"/>
    <w:pPr>
      <w:spacing w:line="360" w:lineRule="auto"/>
      <w:ind w:firstLine="200" w:firstLineChars="200"/>
    </w:pPr>
    <w:rPr>
      <w:sz w:val="24"/>
      <w:szCs w:val="28"/>
    </w:rPr>
  </w:style>
  <w:style w:type="paragraph" w:customStyle="1" w:styleId="932">
    <w:name w:val="font13"/>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933">
    <w:name w:val="xl172"/>
    <w:basedOn w:val="1"/>
    <w:qFormat/>
    <w:uiPriority w:val="99"/>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934">
    <w:name w:val="表格0"/>
    <w:next w:val="1"/>
    <w:qFormat/>
    <w:uiPriority w:val="99"/>
    <w:pPr>
      <w:adjustRightInd w:val="0"/>
      <w:snapToGrid w:val="0"/>
      <w:jc w:val="center"/>
    </w:pPr>
    <w:rPr>
      <w:rFonts w:ascii="Times New Roman" w:hAnsi="Times New Roman" w:eastAsia="宋体" w:cs="Times New Roman"/>
      <w:kern w:val="0"/>
      <w:sz w:val="21"/>
      <w:szCs w:val="20"/>
      <w:lang w:val="en-US" w:eastAsia="zh-CN" w:bidi="ar-SA"/>
    </w:rPr>
  </w:style>
  <w:style w:type="paragraph" w:customStyle="1" w:styleId="935">
    <w:name w:val="目录2"/>
    <w:basedOn w:val="73"/>
    <w:next w:val="45"/>
    <w:qFormat/>
    <w:uiPriority w:val="99"/>
    <w:pPr>
      <w:keepNext/>
      <w:widowControl/>
      <w:tabs>
        <w:tab w:val="right" w:leader="dot" w:pos="8160"/>
        <w:tab w:val="right" w:leader="dot" w:pos="8640"/>
        <w:tab w:val="right" w:leader="dot" w:pos="8820"/>
      </w:tabs>
      <w:spacing w:beforeLines="50" w:afterLines="50" w:line="480" w:lineRule="exact"/>
      <w:ind w:left="567"/>
      <w:jc w:val="both"/>
    </w:pPr>
    <w:rPr>
      <w:rFonts w:ascii="Calibri" w:hAnsi="Calibri"/>
      <w:kern w:val="0"/>
      <w:sz w:val="28"/>
      <w:szCs w:val="24"/>
    </w:rPr>
  </w:style>
  <w:style w:type="paragraph" w:customStyle="1" w:styleId="936">
    <w:name w:val="新正文样式"/>
    <w:basedOn w:val="1"/>
    <w:qFormat/>
    <w:uiPriority w:val="99"/>
    <w:pPr>
      <w:tabs>
        <w:tab w:val="left" w:pos="567"/>
      </w:tabs>
      <w:spacing w:line="360" w:lineRule="auto"/>
      <w:ind w:firstLine="567"/>
    </w:pPr>
    <w:rPr>
      <w:spacing w:val="20"/>
      <w:sz w:val="24"/>
      <w:szCs w:val="20"/>
    </w:rPr>
  </w:style>
  <w:style w:type="paragraph" w:customStyle="1" w:styleId="937">
    <w:name w:val="Char Char Char Char Char Char Char Char Char Char1"/>
    <w:basedOn w:val="1"/>
    <w:qFormat/>
    <w:uiPriority w:val="99"/>
    <w:pPr>
      <w:widowControl/>
      <w:contextualSpacing/>
      <w:jc w:val="left"/>
    </w:pPr>
    <w:rPr>
      <w:rFonts w:cs="宋体"/>
      <w:kern w:val="0"/>
    </w:rPr>
  </w:style>
  <w:style w:type="paragraph" w:customStyle="1" w:styleId="938">
    <w:name w:val="正文001"/>
    <w:basedOn w:val="1"/>
    <w:qFormat/>
    <w:uiPriority w:val="99"/>
    <w:pPr>
      <w:spacing w:before="60" w:line="460" w:lineRule="exact"/>
      <w:ind w:firstLine="200" w:firstLineChars="200"/>
    </w:pPr>
    <w:rPr>
      <w:sz w:val="24"/>
      <w:szCs w:val="20"/>
    </w:rPr>
  </w:style>
  <w:style w:type="paragraph" w:customStyle="1" w:styleId="939">
    <w:name w:val="正文图标题"/>
    <w:next w:val="1"/>
    <w:qFormat/>
    <w:uiPriority w:val="99"/>
    <w:pPr>
      <w:numPr>
        <w:ilvl w:val="0"/>
        <w:numId w:val="9"/>
      </w:numPr>
      <w:tabs>
        <w:tab w:val="left" w:pos="360"/>
      </w:tabs>
      <w:spacing w:beforeLines="50" w:afterLines="50"/>
      <w:jc w:val="center"/>
    </w:pPr>
    <w:rPr>
      <w:rFonts w:ascii="黑体" w:hAnsi="Times New Roman" w:eastAsia="黑体" w:cs="Times New Roman"/>
      <w:kern w:val="0"/>
      <w:sz w:val="21"/>
      <w:szCs w:val="20"/>
      <w:lang w:val="en-US" w:eastAsia="zh-CN" w:bidi="ar-SA"/>
    </w:rPr>
  </w:style>
  <w:style w:type="paragraph" w:customStyle="1" w:styleId="940">
    <w:name w:val="xl111"/>
    <w:basedOn w:val="1"/>
    <w:qFormat/>
    <w:uiPriority w:val="99"/>
    <w:pPr>
      <w:widowControl/>
      <w:pBdr>
        <w:top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41">
    <w:name w:val="xl35"/>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942">
    <w:name w:val="xl128"/>
    <w:basedOn w:val="1"/>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43">
    <w:name w:val="样式 标题 3 + (西文) Times New Roman (中文) 宋体 小四 加粗"/>
    <w:basedOn w:val="9"/>
    <w:qFormat/>
    <w:uiPriority w:val="99"/>
    <w:pPr>
      <w:tabs>
        <w:tab w:val="left" w:pos="1021"/>
      </w:tabs>
      <w:spacing w:before="156" w:afterLines="50" w:line="360" w:lineRule="auto"/>
      <w:ind w:left="1021" w:hanging="1021"/>
    </w:pPr>
    <w:rPr>
      <w:rFonts w:ascii="宋体" w:hAnsi="宋体"/>
      <w:b w:val="0"/>
      <w:sz w:val="28"/>
      <w:szCs w:val="28"/>
    </w:rPr>
  </w:style>
  <w:style w:type="paragraph" w:customStyle="1" w:styleId="944">
    <w:name w:val="xl158"/>
    <w:basedOn w:val="1"/>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945">
    <w:name w:val="表样式2"/>
    <w:basedOn w:val="1"/>
    <w:qFormat/>
    <w:uiPriority w:val="99"/>
    <w:pPr>
      <w:jc w:val="center"/>
    </w:pPr>
    <w:rPr>
      <w:kern w:val="0"/>
      <w:szCs w:val="21"/>
    </w:rPr>
  </w:style>
  <w:style w:type="paragraph" w:customStyle="1" w:styleId="946">
    <w:name w:val="xl100"/>
    <w:basedOn w:val="1"/>
    <w:qFormat/>
    <w:uiPriority w:val="99"/>
    <w:pPr>
      <w:widowControl/>
      <w:spacing w:before="100" w:beforeAutospacing="1" w:after="100" w:afterAutospacing="1"/>
      <w:jc w:val="left"/>
    </w:pPr>
    <w:rPr>
      <w:rFonts w:ascii="Arial Unicode MS" w:hAnsi="Arial Unicode MS"/>
      <w:kern w:val="0"/>
      <w:sz w:val="12"/>
      <w:szCs w:val="12"/>
    </w:rPr>
  </w:style>
  <w:style w:type="paragraph" w:customStyle="1" w:styleId="947">
    <w:name w:val="Char Char Char Char Char Char Char Char Char Char Char Char Char"/>
    <w:basedOn w:val="1"/>
    <w:qFormat/>
    <w:uiPriority w:val="99"/>
    <w:pPr>
      <w:widowControl/>
      <w:spacing w:after="160" w:line="240" w:lineRule="exact"/>
      <w:jc w:val="left"/>
    </w:pPr>
  </w:style>
  <w:style w:type="paragraph" w:customStyle="1" w:styleId="948">
    <w:name w:val="font1"/>
    <w:basedOn w:val="1"/>
    <w:qFormat/>
    <w:uiPriority w:val="99"/>
    <w:pPr>
      <w:widowControl/>
      <w:spacing w:before="100" w:beforeAutospacing="1" w:after="100" w:afterAutospacing="1"/>
      <w:jc w:val="left"/>
    </w:pPr>
    <w:rPr>
      <w:rFonts w:ascii="宋体" w:hAnsi="宋体"/>
      <w:kern w:val="0"/>
      <w:sz w:val="24"/>
    </w:rPr>
  </w:style>
  <w:style w:type="paragraph" w:customStyle="1" w:styleId="949">
    <w:name w:val="font14"/>
    <w:basedOn w:val="1"/>
    <w:qFormat/>
    <w:uiPriority w:val="99"/>
    <w:pPr>
      <w:widowControl/>
      <w:spacing w:before="100" w:beforeAutospacing="1" w:after="100" w:afterAutospacing="1"/>
      <w:jc w:val="left"/>
    </w:pPr>
    <w:rPr>
      <w:rFonts w:ascii="宋体" w:hAnsi="宋体"/>
      <w:b/>
      <w:bCs/>
      <w:i/>
      <w:iCs/>
      <w:kern w:val="0"/>
      <w:sz w:val="22"/>
      <w:szCs w:val="22"/>
    </w:rPr>
  </w:style>
  <w:style w:type="paragraph" w:customStyle="1" w:styleId="950">
    <w:name w:val="xl89"/>
    <w:basedOn w:val="1"/>
    <w:qFormat/>
    <w:uiPriority w:val="99"/>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51">
    <w:name w:val="Char Char8 Char"/>
    <w:basedOn w:val="9"/>
    <w:semiHidden/>
    <w:qFormat/>
    <w:uiPriority w:val="99"/>
    <w:pPr>
      <w:tabs>
        <w:tab w:val="left" w:pos="360"/>
        <w:tab w:val="left" w:pos="900"/>
      </w:tabs>
      <w:spacing w:before="0" w:after="120" w:line="360" w:lineRule="auto"/>
      <w:ind w:left="542" w:leftChars="-12" w:firstLine="200" w:firstLineChars="200"/>
    </w:pPr>
    <w:rPr>
      <w:rFonts w:ascii="宋体" w:hAnsi="宋体" w:cs="宋体"/>
      <w:b w:val="0"/>
      <w:bCs w:val="0"/>
      <w:sz w:val="24"/>
      <w:szCs w:val="24"/>
    </w:rPr>
  </w:style>
  <w:style w:type="paragraph" w:customStyle="1" w:styleId="952">
    <w:name w:val="xl29"/>
    <w:basedOn w:val="1"/>
    <w:qFormat/>
    <w:uiPriority w:val="99"/>
    <w:pPr>
      <w:widowControl/>
      <w:spacing w:before="100" w:beforeAutospacing="1" w:after="100" w:afterAutospacing="1"/>
      <w:jc w:val="left"/>
      <w:textAlignment w:val="bottom"/>
    </w:pPr>
    <w:rPr>
      <w:rFonts w:ascii="Arial" w:hAnsi="Arial" w:cs="Arial"/>
      <w:b/>
      <w:bCs/>
      <w:kern w:val="0"/>
      <w:sz w:val="22"/>
      <w:szCs w:val="22"/>
    </w:rPr>
  </w:style>
  <w:style w:type="paragraph" w:customStyle="1" w:styleId="953">
    <w:name w:val="封面"/>
    <w:basedOn w:val="1"/>
    <w:qFormat/>
    <w:uiPriority w:val="99"/>
    <w:pPr>
      <w:adjustRightInd w:val="0"/>
      <w:spacing w:before="60" w:line="360" w:lineRule="auto"/>
      <w:ind w:firstLine="482"/>
      <w:jc w:val="center"/>
      <w:textAlignment w:val="baseline"/>
    </w:pPr>
    <w:rPr>
      <w:rFonts w:ascii="Arial" w:hAnsi="Arial" w:eastAsia="仿宋_GB2312"/>
      <w:b/>
      <w:kern w:val="0"/>
      <w:sz w:val="30"/>
      <w:szCs w:val="20"/>
    </w:rPr>
  </w:style>
  <w:style w:type="paragraph" w:customStyle="1" w:styleId="954">
    <w:name w:val="Char21"/>
    <w:basedOn w:val="1"/>
    <w:qFormat/>
    <w:uiPriority w:val="99"/>
    <w:pPr>
      <w:spacing w:line="360" w:lineRule="auto"/>
      <w:ind w:firstLine="200" w:firstLineChars="200"/>
    </w:pPr>
    <w:rPr>
      <w:rFonts w:ascii="宋体" w:hAnsi="宋体" w:cs="宋体"/>
      <w:sz w:val="24"/>
    </w:rPr>
  </w:style>
  <w:style w:type="paragraph" w:customStyle="1" w:styleId="955">
    <w:name w:val="简单回函地址"/>
    <w:basedOn w:val="1"/>
    <w:qFormat/>
    <w:uiPriority w:val="99"/>
  </w:style>
  <w:style w:type="paragraph" w:customStyle="1" w:styleId="956">
    <w:name w:val="页眉左"/>
    <w:basedOn w:val="56"/>
    <w:qFormat/>
    <w:uiPriority w:val="99"/>
    <w:pPr>
      <w:pBdr>
        <w:bottom w:val="none" w:color="auto" w:sz="0" w:space="0"/>
      </w:pBdr>
      <w:adjustRightInd w:val="0"/>
      <w:snapToGrid/>
      <w:spacing w:before="60" w:after="60" w:line="240" w:lineRule="atLeast"/>
      <w:jc w:val="left"/>
      <w:textAlignment w:val="baseline"/>
    </w:pPr>
    <w:rPr>
      <w:sz w:val="22"/>
      <w:lang w:val="en-GB"/>
    </w:rPr>
  </w:style>
  <w:style w:type="paragraph" w:customStyle="1" w:styleId="957">
    <w:name w:val="Char12"/>
    <w:basedOn w:val="1"/>
    <w:qFormat/>
    <w:uiPriority w:val="99"/>
  </w:style>
  <w:style w:type="paragraph" w:customStyle="1" w:styleId="958">
    <w:name w:val="样式 标题 3 + 段前: 0.5 行 段后: 0.2 行"/>
    <w:basedOn w:val="9"/>
    <w:qFormat/>
    <w:uiPriority w:val="99"/>
    <w:pPr>
      <w:spacing w:beforeLines="30" w:after="0" w:line="600" w:lineRule="exact"/>
      <w:ind w:firstLine="480" w:firstLineChars="200"/>
    </w:pPr>
    <w:rPr>
      <w:rFonts w:eastAsia="黑体" w:cs="宋体"/>
      <w:b w:val="0"/>
      <w:sz w:val="26"/>
      <w:szCs w:val="20"/>
    </w:rPr>
  </w:style>
  <w:style w:type="paragraph" w:customStyle="1" w:styleId="959">
    <w:name w:val="目录"/>
    <w:basedOn w:val="8"/>
    <w:next w:val="1"/>
    <w:qFormat/>
    <w:uiPriority w:val="99"/>
    <w:pPr>
      <w:keepLines w:val="0"/>
      <w:widowControl/>
      <w:tabs>
        <w:tab w:val="left" w:pos="0"/>
        <w:tab w:val="left" w:pos="8280"/>
      </w:tabs>
      <w:spacing w:before="480" w:after="60" w:line="480" w:lineRule="exact"/>
      <w:ind w:right="50" w:rightChars="50"/>
      <w:jc w:val="left"/>
    </w:pPr>
    <w:rPr>
      <w:b w:val="0"/>
      <w:iCs/>
      <w:kern w:val="44"/>
      <w:szCs w:val="28"/>
      <w:lang w:eastAsia="en-US"/>
    </w:rPr>
  </w:style>
  <w:style w:type="paragraph" w:customStyle="1" w:styleId="960">
    <w:name w:val="默认段落字体 Para Char Char Char Char Char Char Char"/>
    <w:basedOn w:val="1"/>
    <w:qFormat/>
    <w:uiPriority w:val="99"/>
    <w:pPr>
      <w:adjustRightInd w:val="0"/>
      <w:spacing w:line="360" w:lineRule="auto"/>
      <w:textAlignment w:val="baseline"/>
    </w:pPr>
    <w:rPr>
      <w:kern w:val="0"/>
      <w:sz w:val="24"/>
      <w:szCs w:val="20"/>
    </w:rPr>
  </w:style>
  <w:style w:type="paragraph" w:customStyle="1" w:styleId="961">
    <w:name w:val="表格段落1"/>
    <w:basedOn w:val="1"/>
    <w:qFormat/>
    <w:uiPriority w:val="99"/>
    <w:pPr>
      <w:adjustRightInd w:val="0"/>
      <w:snapToGrid w:val="0"/>
      <w:spacing w:line="320" w:lineRule="exact"/>
      <w:jc w:val="center"/>
    </w:pPr>
  </w:style>
  <w:style w:type="paragraph" w:customStyle="1" w:styleId="962">
    <w:name w:val="小五表文"/>
    <w:qFormat/>
    <w:uiPriority w:val="99"/>
    <w:pPr>
      <w:jc w:val="center"/>
    </w:pPr>
    <w:rPr>
      <w:rFonts w:ascii="Times New Roman" w:hAnsi="Times New Roman" w:eastAsia="仿宋_GB2312" w:cs="Times New Roman"/>
      <w:kern w:val="0"/>
      <w:sz w:val="18"/>
      <w:szCs w:val="20"/>
      <w:lang w:val="en-US" w:eastAsia="zh-CN" w:bidi="ar-SA"/>
    </w:rPr>
  </w:style>
  <w:style w:type="paragraph" w:customStyle="1" w:styleId="963">
    <w:name w:val="xl83"/>
    <w:basedOn w:val="1"/>
    <w:qFormat/>
    <w:uiPriority w:val="99"/>
    <w:pPr>
      <w:widowControl/>
      <w:pBdr>
        <w:top w:val="single" w:color="auto" w:sz="12" w:space="0"/>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64">
    <w:name w:val="style23"/>
    <w:basedOn w:val="1"/>
    <w:qFormat/>
    <w:uiPriority w:val="99"/>
    <w:pPr>
      <w:widowControl/>
      <w:spacing w:before="100" w:beforeAutospacing="1" w:after="100" w:afterAutospacing="1"/>
      <w:jc w:val="left"/>
    </w:pPr>
    <w:rPr>
      <w:rFonts w:ascii="宋体" w:hAnsi="宋体"/>
      <w:b/>
      <w:bCs/>
      <w:color w:val="990000"/>
      <w:kern w:val="0"/>
      <w:szCs w:val="21"/>
    </w:rPr>
  </w:style>
  <w:style w:type="paragraph" w:customStyle="1" w:styleId="965">
    <w:name w:val="xl194"/>
    <w:basedOn w:val="1"/>
    <w:qFormat/>
    <w:uiPriority w:val="99"/>
    <w:pPr>
      <w:widowControl/>
      <w:spacing w:before="100" w:beforeAutospacing="1" w:after="100" w:afterAutospacing="1"/>
      <w:jc w:val="center"/>
    </w:pPr>
    <w:rPr>
      <w:kern w:val="0"/>
      <w:sz w:val="16"/>
      <w:szCs w:val="16"/>
    </w:rPr>
  </w:style>
  <w:style w:type="paragraph" w:customStyle="1" w:styleId="966">
    <w:name w:val="Char Char Char Char Char Char1 Char Char Char Char Char Char Char"/>
    <w:basedOn w:val="1"/>
    <w:qFormat/>
    <w:uiPriority w:val="99"/>
  </w:style>
  <w:style w:type="paragraph" w:customStyle="1" w:styleId="967">
    <w:name w:val="xl138"/>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kern w:val="0"/>
      <w:sz w:val="12"/>
      <w:szCs w:val="12"/>
    </w:rPr>
  </w:style>
  <w:style w:type="paragraph" w:customStyle="1" w:styleId="968">
    <w:name w:val="dash6b63-6587"/>
    <w:basedOn w:val="1"/>
    <w:qFormat/>
    <w:uiPriority w:val="99"/>
    <w:pPr>
      <w:widowControl/>
      <w:spacing w:before="100" w:beforeAutospacing="1" w:after="100" w:afterAutospacing="1"/>
      <w:jc w:val="left"/>
    </w:pPr>
    <w:rPr>
      <w:rFonts w:ascii="宋体" w:hAnsi="宋体" w:cs="宋体"/>
      <w:kern w:val="0"/>
      <w:sz w:val="24"/>
    </w:rPr>
  </w:style>
  <w:style w:type="paragraph" w:customStyle="1" w:styleId="969">
    <w:name w:val="Char Char Char Char Char Char Char Char Char Char Char Char Char Char Char Char1"/>
    <w:basedOn w:val="1"/>
    <w:qFormat/>
    <w:uiPriority w:val="99"/>
  </w:style>
  <w:style w:type="paragraph" w:customStyle="1" w:styleId="970">
    <w:name w:val="xl137"/>
    <w:basedOn w:val="1"/>
    <w:qFormat/>
    <w:uiPriority w:val="99"/>
    <w:pPr>
      <w:widowControl/>
      <w:pBdr>
        <w:bottom w:val="single" w:color="auto" w:sz="8" w:space="0"/>
      </w:pBdr>
      <w:spacing w:before="100" w:beforeAutospacing="1" w:after="100" w:afterAutospacing="1"/>
      <w:jc w:val="left"/>
    </w:pPr>
    <w:rPr>
      <w:rFonts w:ascii="Arial Unicode MS" w:hAnsi="Arial Unicode MS"/>
      <w:kern w:val="0"/>
      <w:sz w:val="12"/>
      <w:szCs w:val="12"/>
    </w:rPr>
  </w:style>
  <w:style w:type="paragraph" w:customStyle="1" w:styleId="971">
    <w:name w:val="title1"/>
    <w:basedOn w:val="1"/>
    <w:qFormat/>
    <w:uiPriority w:val="99"/>
    <w:pPr>
      <w:widowControl/>
      <w:spacing w:before="100" w:beforeAutospacing="1" w:after="100" w:afterAutospacing="1"/>
      <w:jc w:val="left"/>
    </w:pPr>
    <w:rPr>
      <w:rFonts w:ascii="宋体" w:hAnsi="宋体" w:cs="宋体"/>
      <w:kern w:val="0"/>
      <w:sz w:val="24"/>
    </w:rPr>
  </w:style>
  <w:style w:type="paragraph" w:customStyle="1" w:styleId="972">
    <w:name w:val="表中居中文字"/>
    <w:basedOn w:val="1"/>
    <w:qFormat/>
    <w:uiPriority w:val="99"/>
    <w:pPr>
      <w:numPr>
        <w:ilvl w:val="3"/>
        <w:numId w:val="10"/>
      </w:numPr>
      <w:tabs>
        <w:tab w:val="clear" w:pos="2249"/>
      </w:tabs>
      <w:ind w:left="0" w:firstLine="0"/>
    </w:pPr>
    <w:rPr>
      <w:rFonts w:ascii="宋体" w:hAnsi="宋体" w:cs="Arial"/>
      <w:bCs/>
      <w:color w:val="FF0000"/>
      <w:sz w:val="24"/>
      <w:szCs w:val="18"/>
    </w:rPr>
  </w:style>
  <w:style w:type="paragraph" w:customStyle="1" w:styleId="973">
    <w:name w:val="高段文"/>
    <w:basedOn w:val="1"/>
    <w:qFormat/>
    <w:uiPriority w:val="99"/>
    <w:pPr>
      <w:spacing w:line="300" w:lineRule="auto"/>
      <w:ind w:firstLine="200" w:firstLineChars="200"/>
    </w:pPr>
    <w:rPr>
      <w:rFonts w:ascii="Arial" w:hAnsi="Arial" w:eastAsia="楷体_GB2312"/>
      <w:sz w:val="28"/>
      <w:szCs w:val="28"/>
    </w:rPr>
  </w:style>
  <w:style w:type="paragraph" w:customStyle="1" w:styleId="974">
    <w:name w:val="6"/>
    <w:basedOn w:val="1"/>
    <w:next w:val="75"/>
    <w:qFormat/>
    <w:uiPriority w:val="99"/>
    <w:pPr>
      <w:spacing w:after="120" w:line="480" w:lineRule="auto"/>
    </w:pPr>
  </w:style>
  <w:style w:type="paragraph" w:customStyle="1" w:styleId="975">
    <w:name w:val="EIA正文"/>
    <w:basedOn w:val="1"/>
    <w:qFormat/>
    <w:uiPriority w:val="99"/>
    <w:pPr>
      <w:ind w:firstLine="200" w:firstLineChars="200"/>
    </w:pPr>
    <w:rPr>
      <w:color w:val="000000"/>
      <w:sz w:val="24"/>
      <w:szCs w:val="20"/>
    </w:rPr>
  </w:style>
  <w:style w:type="paragraph" w:customStyle="1" w:styleId="976">
    <w:name w:val="Plain Text1"/>
    <w:basedOn w:val="1"/>
    <w:qFormat/>
    <w:uiPriority w:val="99"/>
    <w:pPr>
      <w:widowControl/>
      <w:autoSpaceDE w:val="0"/>
      <w:autoSpaceDN w:val="0"/>
      <w:adjustRightInd w:val="0"/>
      <w:contextualSpacing/>
      <w:jc w:val="left"/>
    </w:pPr>
    <w:rPr>
      <w:rFonts w:cs="宋体"/>
      <w:kern w:val="0"/>
      <w:szCs w:val="20"/>
    </w:rPr>
  </w:style>
  <w:style w:type="paragraph" w:customStyle="1" w:styleId="977">
    <w:name w:val="xl188"/>
    <w:basedOn w:val="1"/>
    <w:qFormat/>
    <w:uiPriority w:val="99"/>
    <w:pPr>
      <w:widowControl/>
      <w:spacing w:before="100" w:beforeAutospacing="1" w:after="100" w:afterAutospacing="1"/>
      <w:jc w:val="left"/>
      <w:textAlignment w:val="center"/>
    </w:pPr>
    <w:rPr>
      <w:kern w:val="0"/>
      <w:sz w:val="12"/>
      <w:szCs w:val="12"/>
    </w:rPr>
  </w:style>
  <w:style w:type="paragraph" w:customStyle="1" w:styleId="978">
    <w:name w:val="xl183"/>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79">
    <w:name w:val="xl197"/>
    <w:basedOn w:val="1"/>
    <w:qFormat/>
    <w:uiPriority w:val="99"/>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kern w:val="0"/>
    </w:rPr>
  </w:style>
  <w:style w:type="paragraph" w:customStyle="1" w:styleId="980">
    <w:name w:val="样式 四号 首行缩进:  2 字符"/>
    <w:basedOn w:val="1"/>
    <w:qFormat/>
    <w:uiPriority w:val="99"/>
    <w:pPr>
      <w:spacing w:line="480" w:lineRule="atLeast"/>
      <w:ind w:firstLine="200" w:firstLineChars="200"/>
    </w:pPr>
    <w:rPr>
      <w:sz w:val="24"/>
    </w:rPr>
  </w:style>
  <w:style w:type="paragraph" w:customStyle="1" w:styleId="981">
    <w:name w:val="Char3"/>
    <w:basedOn w:val="1"/>
    <w:qFormat/>
    <w:uiPriority w:val="99"/>
    <w:pPr>
      <w:spacing w:before="60" w:line="360" w:lineRule="auto"/>
      <w:ind w:firstLine="200" w:firstLineChars="200"/>
    </w:pPr>
    <w:rPr>
      <w:rFonts w:eastAsia="黑体"/>
      <w:sz w:val="30"/>
    </w:rPr>
  </w:style>
  <w:style w:type="paragraph" w:customStyle="1" w:styleId="982">
    <w:name w:val="xl97"/>
    <w:basedOn w:val="1"/>
    <w:qFormat/>
    <w:uiPriority w:val="99"/>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983">
    <w:name w:val="00000000000000"/>
    <w:basedOn w:val="1"/>
    <w:qFormat/>
    <w:uiPriority w:val="99"/>
    <w:pPr>
      <w:adjustRightInd w:val="0"/>
      <w:snapToGrid w:val="0"/>
      <w:spacing w:line="360" w:lineRule="auto"/>
      <w:ind w:firstLine="480" w:firstLineChars="200"/>
    </w:pPr>
    <w:rPr>
      <w:rFonts w:ascii="宋体" w:hAnsi="宋体"/>
      <w:bCs/>
      <w:kern w:val="18"/>
      <w:sz w:val="24"/>
      <w:szCs w:val="21"/>
    </w:rPr>
  </w:style>
  <w:style w:type="paragraph" w:customStyle="1" w:styleId="984">
    <w:name w:val="五号 居中"/>
    <w:basedOn w:val="1"/>
    <w:qFormat/>
    <w:uiPriority w:val="99"/>
    <w:pPr>
      <w:snapToGrid w:val="0"/>
      <w:spacing w:line="500" w:lineRule="exact"/>
      <w:jc w:val="center"/>
    </w:pPr>
    <w:rPr>
      <w:rFonts w:cs="宋体"/>
      <w:kern w:val="0"/>
      <w:szCs w:val="20"/>
    </w:rPr>
  </w:style>
  <w:style w:type="paragraph" w:customStyle="1" w:styleId="985">
    <w:name w:val="xl114"/>
    <w:basedOn w:val="1"/>
    <w:qFormat/>
    <w:uiPriority w:val="99"/>
    <w:pPr>
      <w:widowControl/>
      <w:pBdr>
        <w:lef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986">
    <w:name w:val="封面 黑体"/>
    <w:basedOn w:val="1"/>
    <w:qFormat/>
    <w:uiPriority w:val="99"/>
    <w:pPr>
      <w:spacing w:before="240" w:after="240" w:line="480" w:lineRule="exact"/>
      <w:jc w:val="center"/>
    </w:pPr>
    <w:rPr>
      <w:b/>
      <w:sz w:val="30"/>
    </w:rPr>
  </w:style>
  <w:style w:type="paragraph" w:customStyle="1" w:styleId="987">
    <w:name w:val="xl93"/>
    <w:basedOn w:val="1"/>
    <w:qFormat/>
    <w:uiPriority w:val="99"/>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988">
    <w:name w:val="样式 标题 21.1标题 21.1标题2标题 2 Char1节_Heading 2标2 + 段前: 0.5 行..."/>
    <w:basedOn w:val="8"/>
    <w:qFormat/>
    <w:uiPriority w:val="99"/>
    <w:pPr>
      <w:keepNext w:val="0"/>
      <w:adjustRightInd w:val="0"/>
      <w:snapToGrid w:val="0"/>
      <w:spacing w:beforeLines="50" w:afterLines="50" w:line="240" w:lineRule="auto"/>
      <w:ind w:left="576" w:hanging="576"/>
      <w:contextualSpacing/>
      <w:jc w:val="left"/>
    </w:pPr>
    <w:rPr>
      <w:rFonts w:ascii="宋体" w:hAnsi="宋体" w:eastAsia="宋体" w:cs="宋体"/>
      <w:bCs w:val="0"/>
      <w:color w:val="000000"/>
      <w:sz w:val="24"/>
      <w:szCs w:val="20"/>
    </w:rPr>
  </w:style>
  <w:style w:type="paragraph" w:customStyle="1" w:styleId="989">
    <w:name w:val="样式 样式 首行缩进:  2 字符1 + 首行缩进:  2 字符"/>
    <w:basedOn w:val="1"/>
    <w:qFormat/>
    <w:uiPriority w:val="99"/>
    <w:pPr>
      <w:adjustRightInd w:val="0"/>
      <w:spacing w:line="360" w:lineRule="auto"/>
      <w:ind w:firstLine="519" w:firstLineChars="200"/>
    </w:pPr>
    <w:rPr>
      <w:rFonts w:cs="宋体"/>
      <w:kern w:val="0"/>
      <w:sz w:val="28"/>
      <w:szCs w:val="28"/>
    </w:rPr>
  </w:style>
  <w:style w:type="paragraph" w:customStyle="1" w:styleId="990">
    <w:name w:val="Char Char1 Char"/>
    <w:basedOn w:val="1"/>
    <w:qFormat/>
    <w:uiPriority w:val="99"/>
    <w:pPr>
      <w:spacing w:line="360" w:lineRule="auto"/>
      <w:ind w:firstLine="200" w:firstLineChars="200"/>
    </w:pPr>
  </w:style>
  <w:style w:type="paragraph" w:customStyle="1" w:styleId="991">
    <w:name w:val="xl65"/>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992">
    <w:name w:val="xl147"/>
    <w:basedOn w:val="1"/>
    <w:qFormat/>
    <w:uiPriority w:val="99"/>
    <w:pPr>
      <w:widowControl/>
      <w:spacing w:before="100" w:beforeAutospacing="1" w:after="100" w:afterAutospacing="1"/>
      <w:jc w:val="center"/>
    </w:pPr>
    <w:rPr>
      <w:rFonts w:ascii="Arial Unicode MS" w:hAnsi="Arial Unicode MS"/>
      <w:kern w:val="0"/>
    </w:rPr>
  </w:style>
  <w:style w:type="paragraph" w:customStyle="1" w:styleId="993">
    <w:name w:val="图框"/>
    <w:basedOn w:val="1"/>
    <w:qFormat/>
    <w:uiPriority w:val="99"/>
    <w:pPr>
      <w:jc w:val="center"/>
    </w:pPr>
    <w:rPr>
      <w:szCs w:val="15"/>
    </w:rPr>
  </w:style>
  <w:style w:type="paragraph" w:customStyle="1" w:styleId="994">
    <w:name w:val="xl63"/>
    <w:basedOn w:val="1"/>
    <w:qFormat/>
    <w:uiPriority w:val="99"/>
    <w:pPr>
      <w:widowControl/>
      <w:spacing w:before="100" w:after="100"/>
      <w:jc w:val="center"/>
      <w:textAlignment w:val="center"/>
    </w:pPr>
    <w:rPr>
      <w:rFonts w:ascii="黑体" w:hAnsi="宋体" w:eastAsia="黑体"/>
      <w:kern w:val="0"/>
      <w:sz w:val="24"/>
      <w:szCs w:val="20"/>
    </w:rPr>
  </w:style>
  <w:style w:type="paragraph" w:styleId="995">
    <w:name w:val="List Paragraph"/>
    <w:basedOn w:val="1"/>
    <w:qFormat/>
    <w:uiPriority w:val="99"/>
    <w:pPr>
      <w:ind w:firstLine="420" w:firstLineChars="200"/>
    </w:pPr>
    <w:rPr>
      <w:szCs w:val="20"/>
    </w:rPr>
  </w:style>
  <w:style w:type="paragraph" w:customStyle="1" w:styleId="996">
    <w:name w:val="xl101"/>
    <w:basedOn w:val="1"/>
    <w:qFormat/>
    <w:uiPriority w:val="99"/>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997">
    <w:name w:val="纯文本 + Times New Roman"/>
    <w:basedOn w:val="46"/>
    <w:qFormat/>
    <w:uiPriority w:val="99"/>
    <w:pPr>
      <w:pBdr>
        <w:bottom w:val="single" w:color="auto" w:sz="6" w:space="1"/>
      </w:pBdr>
      <w:jc w:val="center"/>
    </w:pPr>
    <w:rPr>
      <w:rFonts w:ascii="Times New Roman" w:hAnsi="Times New Roman"/>
    </w:rPr>
  </w:style>
  <w:style w:type="paragraph" w:customStyle="1" w:styleId="998">
    <w:name w:val="font12"/>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999">
    <w:name w:val="xl40"/>
    <w:basedOn w:val="1"/>
    <w:qFormat/>
    <w:uiPriority w:val="99"/>
    <w:pPr>
      <w:widowControl/>
      <w:pBdr>
        <w:right w:val="single" w:color="auto" w:sz="4" w:space="0"/>
      </w:pBdr>
      <w:spacing w:before="100" w:beforeAutospacing="1" w:after="100" w:afterAutospacing="1"/>
      <w:jc w:val="center"/>
    </w:pPr>
    <w:rPr>
      <w:rFonts w:ascii="Arial" w:hAnsi="Arial" w:cs="Arial"/>
      <w:b/>
      <w:bCs/>
      <w:kern w:val="0"/>
      <w:sz w:val="22"/>
      <w:szCs w:val="22"/>
    </w:rPr>
  </w:style>
  <w:style w:type="paragraph" w:customStyle="1" w:styleId="1000">
    <w:name w:val="main"/>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1001">
    <w:name w:val="默认段落字体 Para Char Char Char Char Char Char Char Char Char Char Char Char Char"/>
    <w:basedOn w:val="1"/>
    <w:qFormat/>
    <w:uiPriority w:val="99"/>
  </w:style>
  <w:style w:type="paragraph" w:customStyle="1" w:styleId="1002">
    <w:name w:val="图注"/>
    <w:basedOn w:val="1"/>
    <w:next w:val="1"/>
    <w:qFormat/>
    <w:uiPriority w:val="99"/>
    <w:pPr>
      <w:spacing w:before="120" w:line="320" w:lineRule="atLeast"/>
      <w:ind w:left="7" w:leftChars="-27" w:hanging="72" w:hangingChars="30"/>
      <w:jc w:val="center"/>
    </w:pPr>
    <w:rPr>
      <w:rFonts w:ascii="宋体" w:hAnsi="宋体"/>
      <w:bCs/>
      <w:color w:val="000000"/>
      <w:kern w:val="0"/>
      <w:sz w:val="24"/>
    </w:rPr>
  </w:style>
  <w:style w:type="paragraph" w:customStyle="1" w:styleId="1003">
    <w:name w:val="表格文字-居中"/>
    <w:basedOn w:val="1"/>
    <w:next w:val="1"/>
    <w:qFormat/>
    <w:uiPriority w:val="99"/>
    <w:pPr>
      <w:jc w:val="center"/>
    </w:pPr>
    <w:rPr>
      <w:rFonts w:ascii="宋体"/>
      <w:sz w:val="24"/>
    </w:rPr>
  </w:style>
  <w:style w:type="paragraph" w:customStyle="1" w:styleId="1004">
    <w:name w:val="报告标题2"/>
    <w:basedOn w:val="8"/>
    <w:qFormat/>
    <w:uiPriority w:val="99"/>
    <w:pPr>
      <w:tabs>
        <w:tab w:val="left" w:pos="840"/>
      </w:tabs>
      <w:spacing w:line="360" w:lineRule="auto"/>
      <w:ind w:left="840"/>
    </w:pPr>
    <w:rPr>
      <w:rFonts w:ascii="Times New Roman" w:hAnsi="Times New Roman" w:eastAsia="宋体"/>
      <w:kern w:val="0"/>
    </w:rPr>
  </w:style>
  <w:style w:type="paragraph" w:customStyle="1" w:styleId="1005">
    <w:name w:val="xl72"/>
    <w:basedOn w:val="1"/>
    <w:qFormat/>
    <w:uiPriority w:val="99"/>
    <w:pPr>
      <w:widowControl/>
      <w:spacing w:before="100" w:beforeAutospacing="1" w:after="100" w:afterAutospacing="1"/>
      <w:jc w:val="left"/>
    </w:pPr>
    <w:rPr>
      <w:rFonts w:ascii="宋体" w:hAnsi="宋体"/>
      <w:b/>
      <w:bCs/>
      <w:kern w:val="0"/>
      <w:sz w:val="24"/>
    </w:rPr>
  </w:style>
  <w:style w:type="paragraph" w:customStyle="1" w:styleId="1006">
    <w:name w:val="样式 四号 首行缩进:  2 字符 段前: 5 磅 段后: 5 磅 行距: 单倍行距"/>
    <w:basedOn w:val="1"/>
    <w:qFormat/>
    <w:uiPriority w:val="99"/>
    <w:pPr>
      <w:spacing w:before="100" w:beforeAutospacing="1" w:after="100" w:afterAutospacing="1"/>
      <w:ind w:firstLine="200" w:firstLineChars="200"/>
    </w:pPr>
    <w:rPr>
      <w:rFonts w:cs="宋体"/>
      <w:sz w:val="28"/>
      <w:szCs w:val="20"/>
    </w:rPr>
  </w:style>
  <w:style w:type="paragraph" w:customStyle="1" w:styleId="1007">
    <w:name w:val="xl70"/>
    <w:basedOn w:val="1"/>
    <w:qFormat/>
    <w:uiPriority w:val="99"/>
    <w:pPr>
      <w:widowControl/>
      <w:spacing w:before="100" w:beforeAutospacing="1" w:after="100" w:afterAutospacing="1"/>
      <w:jc w:val="left"/>
    </w:pPr>
    <w:rPr>
      <w:rFonts w:ascii="宋体" w:hAnsi="宋体"/>
      <w:b/>
      <w:bCs/>
      <w:kern w:val="0"/>
      <w:sz w:val="22"/>
      <w:szCs w:val="22"/>
    </w:rPr>
  </w:style>
  <w:style w:type="paragraph" w:customStyle="1" w:styleId="1008">
    <w:name w:val="样式36"/>
    <w:basedOn w:val="1009"/>
    <w:qFormat/>
    <w:uiPriority w:val="99"/>
    <w:pPr>
      <w:tabs>
        <w:tab w:val="left" w:pos="540"/>
        <w:tab w:val="left" w:pos="5250"/>
      </w:tabs>
      <w:ind w:firstLine="554" w:firstLineChars="198"/>
    </w:pPr>
    <w:rPr>
      <w:bCs w:val="0"/>
      <w:szCs w:val="28"/>
    </w:rPr>
  </w:style>
  <w:style w:type="paragraph" w:customStyle="1" w:styleId="1009">
    <w:name w:val="样式29"/>
    <w:basedOn w:val="1"/>
    <w:qFormat/>
    <w:uiPriority w:val="99"/>
    <w:pPr>
      <w:tabs>
        <w:tab w:val="left" w:pos="540"/>
      </w:tabs>
      <w:ind w:firstLine="560" w:firstLineChars="200"/>
    </w:pPr>
    <w:rPr>
      <w:rFonts w:ascii="宋体" w:hAnsi="宋体"/>
      <w:bCs/>
      <w:color w:val="000000"/>
      <w:sz w:val="28"/>
    </w:rPr>
  </w:style>
  <w:style w:type="paragraph" w:customStyle="1" w:styleId="1010">
    <w:name w:val="样式 调研标题2 + 非加粗"/>
    <w:basedOn w:val="1"/>
    <w:qFormat/>
    <w:uiPriority w:val="99"/>
    <w:pPr>
      <w:keepNext/>
      <w:keepLines/>
      <w:snapToGrid w:val="0"/>
      <w:spacing w:before="240" w:after="120" w:line="360" w:lineRule="exact"/>
      <w:outlineLvl w:val="1"/>
    </w:pPr>
    <w:rPr>
      <w:rFonts w:ascii="Arial" w:hAnsi="Arial" w:cs="宋体"/>
      <w:b/>
      <w:bCs/>
      <w:color w:val="000000"/>
      <w:sz w:val="28"/>
      <w:szCs w:val="32"/>
    </w:rPr>
  </w:style>
  <w:style w:type="paragraph" w:customStyle="1" w:styleId="1011">
    <w:name w:val="1.1.1.1"/>
    <w:basedOn w:val="1"/>
    <w:qFormat/>
    <w:uiPriority w:val="99"/>
    <w:pPr>
      <w:spacing w:line="600" w:lineRule="exact"/>
      <w:outlineLvl w:val="0"/>
    </w:pPr>
    <w:rPr>
      <w:rFonts w:ascii="黑体" w:eastAsia="黑体"/>
      <w:sz w:val="24"/>
    </w:rPr>
  </w:style>
  <w:style w:type="paragraph" w:customStyle="1" w:styleId="1012">
    <w:name w:val="xl155"/>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013">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1014">
    <w:name w:val="Char6"/>
    <w:basedOn w:val="1"/>
    <w:qFormat/>
    <w:uiPriority w:val="99"/>
  </w:style>
  <w:style w:type="paragraph" w:customStyle="1" w:styleId="1015">
    <w:name w:val="环表头"/>
    <w:basedOn w:val="1"/>
    <w:qFormat/>
    <w:uiPriority w:val="99"/>
    <w:pPr>
      <w:widowControl/>
      <w:tabs>
        <w:tab w:val="left" w:pos="0"/>
      </w:tabs>
      <w:adjustRightInd w:val="0"/>
      <w:spacing w:beforeLines="50" w:afterLines="50" w:line="400" w:lineRule="exact"/>
      <w:ind w:right="-266"/>
      <w:jc w:val="center"/>
      <w:textAlignment w:val="baseline"/>
    </w:pPr>
    <w:rPr>
      <w:rFonts w:ascii="宋体" w:hAnsi="宋体"/>
      <w:b/>
      <w:kern w:val="0"/>
      <w:sz w:val="24"/>
    </w:rPr>
  </w:style>
  <w:style w:type="paragraph" w:customStyle="1" w:styleId="1016">
    <w:name w:val="Char Char Char Char Char Char Char Char Char Char Char Char Char2"/>
    <w:basedOn w:val="1"/>
    <w:qFormat/>
    <w:uiPriority w:val="99"/>
    <w:pPr>
      <w:spacing w:line="360" w:lineRule="auto"/>
      <w:ind w:firstLine="200" w:firstLineChars="200"/>
    </w:pPr>
    <w:rPr>
      <w:rFonts w:ascii="宋体" w:hAnsi="宋体" w:cs="宋体"/>
      <w:sz w:val="24"/>
    </w:rPr>
  </w:style>
  <w:style w:type="paragraph" w:customStyle="1" w:styleId="1017">
    <w:name w:val="样式 标题 1 + 首行缩进:  2.5 字符"/>
    <w:basedOn w:val="7"/>
    <w:qFormat/>
    <w:uiPriority w:val="99"/>
    <w:pPr>
      <w:keepNext w:val="0"/>
      <w:tabs>
        <w:tab w:val="left" w:pos="390"/>
      </w:tabs>
      <w:overflowPunct/>
      <w:snapToGrid/>
      <w:spacing w:before="100" w:after="100" w:line="240" w:lineRule="auto"/>
      <w:ind w:left="390" w:hanging="390" w:firstLineChars="200"/>
    </w:pPr>
    <w:rPr>
      <w:rFonts w:ascii="Calibri" w:hAnsi="Calibri" w:eastAsia="楷体_GB2312"/>
      <w:color w:val="auto"/>
      <w:sz w:val="28"/>
      <w:szCs w:val="28"/>
    </w:rPr>
  </w:style>
  <w:style w:type="paragraph" w:customStyle="1" w:styleId="1018">
    <w:name w:val="xl94"/>
    <w:basedOn w:val="1"/>
    <w:qFormat/>
    <w:uiPriority w:val="99"/>
    <w:pPr>
      <w:widowControl/>
      <w:pBdr>
        <w:left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019">
    <w:name w:val="封面正文"/>
    <w:qFormat/>
    <w:uiPriority w:val="99"/>
    <w:pPr>
      <w:jc w:val="both"/>
    </w:pPr>
    <w:rPr>
      <w:rFonts w:ascii="Times New Roman" w:hAnsi="Times New Roman" w:eastAsia="宋体" w:cs="Times New Roman"/>
      <w:kern w:val="0"/>
      <w:sz w:val="20"/>
      <w:szCs w:val="20"/>
      <w:lang w:val="en-US" w:eastAsia="zh-CN" w:bidi="ar-SA"/>
    </w:rPr>
  </w:style>
  <w:style w:type="paragraph" w:customStyle="1" w:styleId="1020">
    <w:name w:val="样式 样式 样式 标题 3东明_小节H3条标题1.1.1二级节名h33rd level3l3CTHeading 3 - ... ..."/>
    <w:basedOn w:val="645"/>
    <w:qFormat/>
    <w:uiPriority w:val="99"/>
    <w:pPr>
      <w:spacing w:after="0"/>
    </w:pPr>
  </w:style>
  <w:style w:type="paragraph" w:customStyle="1" w:styleId="1021">
    <w:name w:val="徐正文"/>
    <w:basedOn w:val="1"/>
    <w:qFormat/>
    <w:uiPriority w:val="99"/>
    <w:pPr>
      <w:adjustRightInd w:val="0"/>
      <w:snapToGrid w:val="0"/>
      <w:spacing w:line="500" w:lineRule="atLeast"/>
      <w:ind w:firstLine="200" w:firstLineChars="200"/>
    </w:pPr>
    <w:rPr>
      <w:rFonts w:ascii="宋体" w:hAnsi="宋体"/>
      <w:bCs/>
      <w:sz w:val="24"/>
    </w:rPr>
  </w:style>
  <w:style w:type="paragraph" w:customStyle="1" w:styleId="1022">
    <w:name w:val="样式110"/>
    <w:basedOn w:val="1023"/>
    <w:qFormat/>
    <w:uiPriority w:val="99"/>
    <w:pPr>
      <w:adjustRightInd w:val="0"/>
    </w:pPr>
  </w:style>
  <w:style w:type="paragraph" w:customStyle="1" w:styleId="1023">
    <w:name w:val="图框文字"/>
    <w:basedOn w:val="1"/>
    <w:qFormat/>
    <w:uiPriority w:val="99"/>
    <w:pPr>
      <w:jc w:val="center"/>
      <w:textAlignment w:val="center"/>
    </w:pPr>
  </w:style>
  <w:style w:type="paragraph" w:customStyle="1" w:styleId="1024">
    <w:name w:val="xl189"/>
    <w:basedOn w:val="1"/>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rPr>
  </w:style>
  <w:style w:type="paragraph" w:customStyle="1" w:styleId="1025">
    <w:name w:val="font8"/>
    <w:basedOn w:val="1"/>
    <w:qFormat/>
    <w:uiPriority w:val="99"/>
    <w:pPr>
      <w:widowControl/>
      <w:spacing w:before="100" w:beforeAutospacing="1" w:after="100" w:afterAutospacing="1"/>
      <w:jc w:val="left"/>
    </w:pPr>
    <w:rPr>
      <w:rFonts w:ascii="Arial" w:hAnsi="Arial" w:cs="Arial"/>
      <w:b/>
      <w:bCs/>
      <w:kern w:val="0"/>
      <w:sz w:val="24"/>
    </w:rPr>
  </w:style>
  <w:style w:type="paragraph" w:customStyle="1" w:styleId="1026">
    <w:name w:val="Char1 Char Char Char Char Char Char"/>
    <w:basedOn w:val="1"/>
    <w:qFormat/>
    <w:uiPriority w:val="99"/>
    <w:pPr>
      <w:widowControl/>
      <w:contextualSpacing/>
      <w:jc w:val="left"/>
    </w:pPr>
    <w:rPr>
      <w:rFonts w:cs="宋体"/>
      <w:kern w:val="0"/>
    </w:rPr>
  </w:style>
  <w:style w:type="paragraph" w:customStyle="1" w:styleId="1027">
    <w:name w:val="表格文字-左对齐"/>
    <w:basedOn w:val="1"/>
    <w:next w:val="1"/>
    <w:qFormat/>
    <w:uiPriority w:val="99"/>
    <w:rPr>
      <w:rFonts w:ascii="宋体"/>
      <w:sz w:val="24"/>
    </w:rPr>
  </w:style>
  <w:style w:type="paragraph" w:customStyle="1" w:styleId="1028">
    <w:name w:val="目录1"/>
    <w:basedOn w:val="60"/>
    <w:qFormat/>
    <w:uiPriority w:val="99"/>
    <w:pPr>
      <w:keepNext/>
      <w:widowControl/>
      <w:tabs>
        <w:tab w:val="right" w:leader="dot" w:pos="8160"/>
        <w:tab w:val="right" w:leader="dot" w:pos="8280"/>
        <w:tab w:val="right" w:leader="dot" w:pos="8820"/>
      </w:tabs>
      <w:snapToGrid/>
      <w:spacing w:beforeLines="50" w:afterLines="50" w:line="480" w:lineRule="exact"/>
    </w:pPr>
    <w:rPr>
      <w:rFonts w:ascii="宋体" w:hAnsi="宋体"/>
      <w:b w:val="0"/>
      <w:kern w:val="0"/>
      <w:sz w:val="30"/>
      <w:szCs w:val="24"/>
      <w:lang w:val="zh-CN"/>
    </w:rPr>
  </w:style>
  <w:style w:type="paragraph" w:customStyle="1" w:styleId="1029">
    <w:name w:val="默认段落字体 Para Char"/>
    <w:basedOn w:val="1"/>
    <w:next w:val="1"/>
    <w:qFormat/>
    <w:uiPriority w:val="99"/>
    <w:pPr>
      <w:spacing w:line="360" w:lineRule="auto"/>
      <w:ind w:firstLine="200" w:firstLineChars="200"/>
    </w:pPr>
    <w:rPr>
      <w:rFonts w:ascii="宋体" w:hAnsi="宋体" w:cs="宋体"/>
      <w:sz w:val="24"/>
    </w:rPr>
  </w:style>
  <w:style w:type="paragraph" w:customStyle="1" w:styleId="1030">
    <w:name w:val="菏泽-标题 3"/>
    <w:basedOn w:val="1"/>
    <w:next w:val="1"/>
    <w:qFormat/>
    <w:uiPriority w:val="99"/>
    <w:pPr>
      <w:keepNext/>
      <w:keepLines/>
      <w:overflowPunct w:val="0"/>
      <w:snapToGrid w:val="0"/>
      <w:spacing w:line="440" w:lineRule="exact"/>
      <w:ind w:firstLine="359" w:firstLineChars="128"/>
      <w:outlineLvl w:val="2"/>
    </w:pPr>
    <w:rPr>
      <w:rFonts w:ascii="华文细黑" w:hAnsi="华文细黑" w:eastAsia="华文细黑"/>
      <w:b/>
      <w:sz w:val="28"/>
      <w:szCs w:val="28"/>
    </w:rPr>
  </w:style>
  <w:style w:type="paragraph" w:customStyle="1" w:styleId="1031">
    <w:name w:val="heading"/>
    <w:basedOn w:val="1"/>
    <w:next w:val="1"/>
    <w:qFormat/>
    <w:uiPriority w:val="99"/>
    <w:pPr>
      <w:keepNext/>
      <w:keepLines/>
      <w:tabs>
        <w:tab w:val="left" w:pos="576"/>
      </w:tabs>
      <w:spacing w:line="360" w:lineRule="auto"/>
      <w:ind w:left="576"/>
      <w:outlineLvl w:val="1"/>
    </w:pPr>
    <w:rPr>
      <w:rFonts w:ascii="宋体" w:hAnsi="Arial Black" w:cs="宋体"/>
      <w:sz w:val="24"/>
    </w:rPr>
  </w:style>
  <w:style w:type="paragraph" w:customStyle="1" w:styleId="1032">
    <w:name w:val="页脚2"/>
    <w:basedOn w:val="54"/>
    <w:qFormat/>
    <w:uiPriority w:val="99"/>
    <w:pPr>
      <w:pBdr>
        <w:top w:val="single" w:color="auto" w:sz="4" w:space="1"/>
      </w:pBdr>
      <w:wordWrap w:val="0"/>
      <w:snapToGrid/>
      <w:ind w:right="190"/>
      <w:jc w:val="right"/>
    </w:pPr>
    <w:rPr>
      <w:rFonts w:ascii="宋体" w:hAnsi="宋体"/>
      <w:kern w:val="2"/>
      <w:szCs w:val="18"/>
    </w:rPr>
  </w:style>
  <w:style w:type="paragraph" w:customStyle="1" w:styleId="1033">
    <w:name w:val="甲乙酮2"/>
    <w:basedOn w:val="390"/>
    <w:next w:val="1"/>
    <w:qFormat/>
    <w:uiPriority w:val="99"/>
  </w:style>
  <w:style w:type="paragraph" w:customStyle="1" w:styleId="1034">
    <w:name w:val="表格式"/>
    <w:basedOn w:val="67"/>
    <w:qFormat/>
    <w:uiPriority w:val="99"/>
    <w:pPr>
      <w:snapToGrid/>
      <w:spacing w:line="340" w:lineRule="exact"/>
      <w:jc w:val="center"/>
    </w:pPr>
    <w:rPr>
      <w:rFonts w:ascii="Courier New" w:hAnsi="Courier New"/>
    </w:rPr>
  </w:style>
  <w:style w:type="paragraph" w:customStyle="1" w:styleId="1035">
    <w:name w:val="xl68"/>
    <w:basedOn w:val="1"/>
    <w:qFormat/>
    <w:uiPriority w:val="99"/>
    <w:pPr>
      <w:widowControl/>
      <w:spacing w:before="100" w:beforeAutospacing="1" w:after="100" w:afterAutospacing="1"/>
      <w:jc w:val="left"/>
    </w:pPr>
    <w:rPr>
      <w:rFonts w:ascii="宋体" w:hAnsi="宋体"/>
      <w:b/>
      <w:bCs/>
      <w:kern w:val="0"/>
      <w:sz w:val="22"/>
      <w:szCs w:val="22"/>
    </w:rPr>
  </w:style>
  <w:style w:type="paragraph" w:customStyle="1" w:styleId="1036">
    <w:name w:val="xl119"/>
    <w:basedOn w:val="1"/>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037">
    <w:name w:val="xl136"/>
    <w:basedOn w:val="1"/>
    <w:qFormat/>
    <w:uiPriority w:val="99"/>
    <w:pPr>
      <w:widowControl/>
      <w:spacing w:before="100" w:beforeAutospacing="1" w:after="100" w:afterAutospacing="1"/>
      <w:jc w:val="left"/>
    </w:pPr>
    <w:rPr>
      <w:rFonts w:ascii="Arial Unicode MS" w:hAnsi="Arial Unicode MS"/>
      <w:kern w:val="0"/>
      <w:sz w:val="12"/>
      <w:szCs w:val="12"/>
    </w:rPr>
  </w:style>
  <w:style w:type="paragraph" w:customStyle="1" w:styleId="1038">
    <w:name w:val="xl39"/>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1039">
    <w:name w:val="节标题"/>
    <w:basedOn w:val="1"/>
    <w:next w:val="1"/>
    <w:qFormat/>
    <w:uiPriority w:val="99"/>
    <w:pPr>
      <w:widowControl/>
      <w:spacing w:line="578" w:lineRule="atLeast"/>
      <w:jc w:val="center"/>
      <w:textAlignment w:val="baseline"/>
    </w:pPr>
    <w:rPr>
      <w:color w:val="000000"/>
      <w:kern w:val="0"/>
      <w:sz w:val="28"/>
      <w:szCs w:val="20"/>
      <w:u w:color="000000"/>
    </w:rPr>
  </w:style>
  <w:style w:type="paragraph" w:customStyle="1" w:styleId="1040">
    <w:name w:val="bh1"/>
    <w:basedOn w:val="1"/>
    <w:qFormat/>
    <w:uiPriority w:val="99"/>
    <w:pPr>
      <w:widowControl/>
      <w:jc w:val="left"/>
    </w:pPr>
    <w:rPr>
      <w:rFonts w:ascii="宋体" w:hAnsi="宋体" w:cs="宋体"/>
      <w:kern w:val="0"/>
      <w:sz w:val="24"/>
    </w:rPr>
  </w:style>
  <w:style w:type="paragraph" w:customStyle="1" w:styleId="1041">
    <w:name w:val="中文报告书样式"/>
    <w:basedOn w:val="1"/>
    <w:qFormat/>
    <w:uiPriority w:val="99"/>
    <w:pPr>
      <w:adjustRightInd w:val="0"/>
      <w:spacing w:line="480" w:lineRule="atLeast"/>
      <w:ind w:firstLine="482"/>
      <w:textAlignment w:val="baseline"/>
    </w:pPr>
    <w:rPr>
      <w:kern w:val="24"/>
      <w:sz w:val="24"/>
      <w:szCs w:val="20"/>
    </w:rPr>
  </w:style>
  <w:style w:type="paragraph" w:customStyle="1" w:styleId="1042">
    <w:name w:val="xl121"/>
    <w:basedOn w:val="1"/>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043">
    <w:name w:val="样式 上标"/>
    <w:basedOn w:val="713"/>
    <w:next w:val="713"/>
    <w:qFormat/>
    <w:uiPriority w:val="99"/>
    <w:pPr>
      <w:spacing w:before="0" w:after="0" w:line="320" w:lineRule="exact"/>
      <w:ind w:firstLine="200"/>
    </w:pPr>
    <w:rPr>
      <w:caps/>
      <w:szCs w:val="36"/>
    </w:rPr>
  </w:style>
  <w:style w:type="paragraph" w:customStyle="1" w:styleId="1044">
    <w:name w:val="表内5S"/>
    <w:basedOn w:val="1"/>
    <w:qFormat/>
    <w:uiPriority w:val="99"/>
    <w:pPr>
      <w:spacing w:line="300" w:lineRule="atLeast"/>
      <w:jc w:val="center"/>
    </w:pPr>
    <w:rPr>
      <w:rFonts w:eastAsia="方正宋三简体"/>
      <w:szCs w:val="20"/>
    </w:rPr>
  </w:style>
  <w:style w:type="paragraph" w:customStyle="1" w:styleId="1045">
    <w:name w:val="表格内容格式"/>
    <w:basedOn w:val="1"/>
    <w:qFormat/>
    <w:uiPriority w:val="99"/>
    <w:pPr>
      <w:adjustRightInd w:val="0"/>
      <w:spacing w:line="240" w:lineRule="atLeast"/>
      <w:jc w:val="center"/>
      <w:textAlignment w:val="baseline"/>
    </w:pPr>
    <w:rPr>
      <w:color w:val="000000"/>
      <w:kern w:val="0"/>
      <w:szCs w:val="20"/>
    </w:rPr>
  </w:style>
  <w:style w:type="paragraph" w:customStyle="1" w:styleId="1046">
    <w:name w:val="标题四"/>
    <w:basedOn w:val="9"/>
    <w:qFormat/>
    <w:uiPriority w:val="99"/>
    <w:pPr>
      <w:tabs>
        <w:tab w:val="left" w:pos="0"/>
        <w:tab w:val="left" w:pos="1260"/>
      </w:tabs>
      <w:spacing w:before="0" w:after="0" w:line="240" w:lineRule="auto"/>
      <w:ind w:left="1260" w:hanging="420"/>
      <w:contextualSpacing/>
    </w:pPr>
    <w:rPr>
      <w:rFonts w:ascii="黑体" w:eastAsia="黑体"/>
      <w:sz w:val="28"/>
      <w:szCs w:val="28"/>
    </w:rPr>
  </w:style>
  <w:style w:type="paragraph" w:customStyle="1" w:styleId="1047">
    <w:name w:val="正文文字"/>
    <w:basedOn w:val="3"/>
    <w:qFormat/>
    <w:uiPriority w:val="99"/>
    <w:pPr>
      <w:widowControl/>
      <w:spacing w:after="0" w:line="360" w:lineRule="auto"/>
      <w:ind w:left="0" w:leftChars="0" w:firstLine="200" w:firstLineChars="200"/>
      <w:jc w:val="left"/>
    </w:pPr>
    <w:rPr>
      <w:rFonts w:ascii="Calibri" w:hAnsi="Calibri" w:eastAsia="仿宋_GB2312"/>
      <w:color w:val="000000"/>
      <w:szCs w:val="24"/>
      <w:lang w:eastAsia="en-US"/>
    </w:rPr>
  </w:style>
  <w:style w:type="paragraph" w:customStyle="1" w:styleId="1048">
    <w:name w:val="Char1"/>
    <w:basedOn w:val="1"/>
    <w:qFormat/>
    <w:uiPriority w:val="99"/>
    <w:pPr>
      <w:spacing w:line="240" w:lineRule="exact"/>
      <w:ind w:firstLine="200" w:firstLineChars="200"/>
    </w:pPr>
    <w:rPr>
      <w:sz w:val="28"/>
      <w:szCs w:val="28"/>
    </w:rPr>
  </w:style>
  <w:style w:type="paragraph" w:customStyle="1" w:styleId="1049">
    <w:name w:val="正文 首行缩进:  2 字符 Char Char"/>
    <w:basedOn w:val="1"/>
    <w:qFormat/>
    <w:uiPriority w:val="99"/>
    <w:pPr>
      <w:spacing w:before="240" w:after="240" w:line="480" w:lineRule="exact"/>
      <w:ind w:firstLine="560" w:firstLineChars="200"/>
    </w:pPr>
    <w:rPr>
      <w:sz w:val="28"/>
      <w:szCs w:val="20"/>
    </w:rPr>
  </w:style>
  <w:style w:type="paragraph" w:customStyle="1" w:styleId="1050">
    <w:name w:val="Char Char Char Char Char Char Char Char Char Char Char Char Char1"/>
    <w:basedOn w:val="1"/>
    <w:qFormat/>
    <w:uiPriority w:val="99"/>
    <w:pPr>
      <w:jc w:val="center"/>
    </w:pPr>
    <w:rPr>
      <w:rFonts w:ascii="宋体"/>
    </w:rPr>
  </w:style>
  <w:style w:type="paragraph" w:customStyle="1" w:styleId="1051">
    <w:name w:val="样式27"/>
    <w:basedOn w:val="7"/>
    <w:qFormat/>
    <w:uiPriority w:val="99"/>
    <w:pPr>
      <w:keepNext w:val="0"/>
      <w:tabs>
        <w:tab w:val="left" w:pos="390"/>
      </w:tabs>
      <w:overflowPunct/>
      <w:snapToGrid/>
      <w:spacing w:beforeLines="100" w:afterLines="100" w:line="360" w:lineRule="auto"/>
      <w:ind w:left="390" w:firstLine="0"/>
      <w:jc w:val="center"/>
      <w:outlineLvl w:val="9"/>
    </w:pPr>
    <w:rPr>
      <w:rFonts w:ascii="黑体" w:hAnsi="Calibri" w:cs="Arial Unicode MS"/>
      <w:b w:val="0"/>
      <w:bCs w:val="0"/>
      <w:color w:val="auto"/>
      <w:kern w:val="2"/>
      <w:sz w:val="32"/>
      <w:szCs w:val="32"/>
    </w:rPr>
  </w:style>
  <w:style w:type="paragraph" w:customStyle="1" w:styleId="1052">
    <w:name w:val="ST20_32"/>
    <w:basedOn w:val="54"/>
    <w:qFormat/>
    <w:uiPriority w:val="99"/>
    <w:pPr>
      <w:contextualSpacing/>
    </w:pPr>
    <w:rPr>
      <w:kern w:val="2"/>
      <w:sz w:val="21"/>
      <w:szCs w:val="21"/>
    </w:rPr>
  </w:style>
  <w:style w:type="paragraph" w:customStyle="1" w:styleId="1053">
    <w:name w:val="xl34"/>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1054">
    <w:name w:val="Char Char3 Char Char"/>
    <w:basedOn w:val="1"/>
    <w:qFormat/>
    <w:uiPriority w:val="99"/>
    <w:pPr>
      <w:spacing w:line="360" w:lineRule="auto"/>
      <w:ind w:firstLine="200" w:firstLineChars="200"/>
    </w:pPr>
    <w:rPr>
      <w:rFonts w:ascii="宋体" w:hAnsi="宋体" w:cs="宋体"/>
      <w:sz w:val="24"/>
    </w:rPr>
  </w:style>
  <w:style w:type="paragraph" w:customStyle="1" w:styleId="1055">
    <w:name w:val="Char Char Char Char2"/>
    <w:basedOn w:val="1"/>
    <w:qFormat/>
    <w:uiPriority w:val="99"/>
    <w:pPr>
      <w:widowControl/>
      <w:spacing w:after="160" w:line="240" w:lineRule="exact"/>
      <w:jc w:val="left"/>
    </w:pPr>
    <w:rPr>
      <w:rFonts w:ascii="Arial" w:hAnsi="Arial" w:cs="Verdana"/>
      <w:b/>
      <w:kern w:val="0"/>
      <w:sz w:val="24"/>
      <w:lang w:eastAsia="en-US"/>
    </w:rPr>
  </w:style>
  <w:style w:type="paragraph" w:customStyle="1" w:styleId="1056">
    <w:name w:val="列出段落11"/>
    <w:basedOn w:val="1"/>
    <w:qFormat/>
    <w:uiPriority w:val="99"/>
    <w:pPr>
      <w:spacing w:line="360" w:lineRule="auto"/>
      <w:ind w:firstLine="420" w:firstLineChars="200"/>
    </w:pPr>
    <w:rPr>
      <w:sz w:val="24"/>
      <w:szCs w:val="21"/>
    </w:rPr>
  </w:style>
  <w:style w:type="paragraph" w:customStyle="1" w:styleId="1057">
    <w:name w:val="样式44"/>
    <w:basedOn w:val="1"/>
    <w:qFormat/>
    <w:uiPriority w:val="99"/>
    <w:pPr>
      <w:spacing w:line="500" w:lineRule="exact"/>
      <w:ind w:firstLine="594" w:firstLineChars="212"/>
    </w:pPr>
    <w:rPr>
      <w:rFonts w:ascii="宋体" w:hAnsi="宋体"/>
      <w:sz w:val="28"/>
      <w:szCs w:val="20"/>
    </w:rPr>
  </w:style>
  <w:style w:type="paragraph" w:customStyle="1" w:styleId="1058">
    <w:name w:val="样式 列表 + 左侧:  0 厘米 悬挂缩进: 2 字符"/>
    <w:basedOn w:val="67"/>
    <w:qFormat/>
    <w:uiPriority w:val="99"/>
    <w:pPr>
      <w:tabs>
        <w:tab w:val="center" w:pos="4153"/>
        <w:tab w:val="right" w:pos="8306"/>
      </w:tabs>
      <w:spacing w:line="240" w:lineRule="auto"/>
      <w:jc w:val="center"/>
    </w:pPr>
    <w:rPr>
      <w:rFonts w:eastAsia="方正仿宋_GBK" w:cs="宋体"/>
      <w:szCs w:val="21"/>
    </w:rPr>
  </w:style>
  <w:style w:type="paragraph" w:customStyle="1" w:styleId="1059">
    <w:name w:val="文字"/>
    <w:basedOn w:val="1"/>
    <w:next w:val="1"/>
    <w:qFormat/>
    <w:uiPriority w:val="99"/>
    <w:pPr>
      <w:autoSpaceDE w:val="0"/>
      <w:autoSpaceDN w:val="0"/>
      <w:adjustRightInd w:val="0"/>
      <w:contextualSpacing/>
      <w:jc w:val="left"/>
    </w:pPr>
    <w:rPr>
      <w:rFonts w:ascii="Fang Song" w:eastAsia="Fang Song"/>
      <w:kern w:val="0"/>
    </w:rPr>
  </w:style>
  <w:style w:type="paragraph" w:customStyle="1" w:styleId="1060">
    <w:name w:val="正文无空格"/>
    <w:basedOn w:val="1"/>
    <w:qFormat/>
    <w:uiPriority w:val="99"/>
    <w:pPr>
      <w:spacing w:line="360" w:lineRule="auto"/>
      <w:jc w:val="left"/>
    </w:pPr>
    <w:rPr>
      <w:rFonts w:ascii="宋体" w:hAnsi="宋体"/>
      <w:sz w:val="28"/>
      <w:szCs w:val="28"/>
    </w:rPr>
  </w:style>
  <w:style w:type="paragraph" w:customStyle="1" w:styleId="1061">
    <w:name w:val="框图"/>
    <w:basedOn w:val="1"/>
    <w:qFormat/>
    <w:uiPriority w:val="99"/>
    <w:pPr>
      <w:adjustRightInd w:val="0"/>
      <w:snapToGrid w:val="0"/>
      <w:jc w:val="center"/>
    </w:pPr>
    <w:rPr>
      <w:rFonts w:hAnsi="宋体"/>
      <w:b/>
      <w:szCs w:val="21"/>
    </w:rPr>
  </w:style>
  <w:style w:type="paragraph" w:customStyle="1" w:styleId="1062">
    <w:name w:val="CM31"/>
    <w:basedOn w:val="1"/>
    <w:next w:val="1"/>
    <w:qFormat/>
    <w:uiPriority w:val="99"/>
    <w:pPr>
      <w:autoSpaceDE w:val="0"/>
      <w:autoSpaceDN w:val="0"/>
      <w:adjustRightInd w:val="0"/>
      <w:spacing w:line="468" w:lineRule="atLeast"/>
      <w:jc w:val="left"/>
    </w:pPr>
    <w:rPr>
      <w:rFonts w:ascii="黑体" w:eastAsia="黑体"/>
      <w:kern w:val="0"/>
      <w:sz w:val="24"/>
    </w:rPr>
  </w:style>
  <w:style w:type="paragraph" w:customStyle="1" w:styleId="1063">
    <w:name w:val="表样式1"/>
    <w:basedOn w:val="1"/>
    <w:qFormat/>
    <w:uiPriority w:val="99"/>
    <w:pPr>
      <w:spacing w:line="320" w:lineRule="exact"/>
      <w:ind w:firstLine="200" w:firstLineChars="200"/>
    </w:pPr>
    <w:rPr>
      <w:rFonts w:ascii="宋体" w:hAnsi="宋体"/>
      <w:color w:val="000000"/>
      <w:sz w:val="24"/>
      <w:szCs w:val="18"/>
    </w:rPr>
  </w:style>
  <w:style w:type="paragraph" w:customStyle="1" w:styleId="1064">
    <w:name w:val="表题"/>
    <w:basedOn w:val="12"/>
    <w:semiHidden/>
    <w:qFormat/>
    <w:uiPriority w:val="99"/>
    <w:pPr>
      <w:spacing w:line="100" w:lineRule="atLeast"/>
      <w:ind w:firstLine="0"/>
      <w:jc w:val="center"/>
    </w:pPr>
  </w:style>
  <w:style w:type="paragraph" w:customStyle="1" w:styleId="1065">
    <w:name w:val="title2"/>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66">
    <w:name w:val="xl110"/>
    <w:basedOn w:val="1"/>
    <w:qFormat/>
    <w:uiPriority w:val="99"/>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rPr>
  </w:style>
  <w:style w:type="paragraph" w:customStyle="1" w:styleId="1067">
    <w:name w:val="xl195"/>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068">
    <w:name w:val="表格文字中对齐"/>
    <w:basedOn w:val="1"/>
    <w:qFormat/>
    <w:uiPriority w:val="99"/>
    <w:pPr>
      <w:spacing w:line="320" w:lineRule="exact"/>
      <w:jc w:val="center"/>
    </w:pPr>
    <w:rPr>
      <w:rFonts w:ascii="宋体" w:hAnsi="宋体"/>
      <w:color w:val="000000"/>
      <w:kern w:val="0"/>
      <w:szCs w:val="21"/>
    </w:rPr>
  </w:style>
  <w:style w:type="paragraph" w:customStyle="1" w:styleId="1069">
    <w:name w:val="引用文章"/>
    <w:basedOn w:val="1"/>
    <w:qFormat/>
    <w:uiPriority w:val="99"/>
    <w:pPr>
      <w:spacing w:line="360" w:lineRule="auto"/>
      <w:ind w:firstLine="420" w:firstLineChars="200"/>
    </w:pPr>
    <w:rPr>
      <w:rFonts w:eastAsia="楷体_GB2312" w:cs="宋体"/>
      <w:sz w:val="24"/>
      <w:szCs w:val="20"/>
    </w:rPr>
  </w:style>
  <w:style w:type="paragraph" w:customStyle="1" w:styleId="1070">
    <w:name w:val="p17"/>
    <w:basedOn w:val="1"/>
    <w:qFormat/>
    <w:uiPriority w:val="99"/>
    <w:pPr>
      <w:widowControl/>
      <w:snapToGrid w:val="0"/>
      <w:spacing w:line="480" w:lineRule="atLeast"/>
      <w:ind w:firstLine="482"/>
    </w:pPr>
    <w:rPr>
      <w:kern w:val="0"/>
      <w:sz w:val="24"/>
    </w:rPr>
  </w:style>
  <w:style w:type="paragraph" w:customStyle="1" w:styleId="1071">
    <w:name w:val="Char2 Char Char Char1"/>
    <w:basedOn w:val="1"/>
    <w:qFormat/>
    <w:uiPriority w:val="99"/>
    <w:pPr>
      <w:spacing w:line="360" w:lineRule="auto"/>
      <w:ind w:firstLine="200" w:firstLineChars="200"/>
    </w:pPr>
    <w:rPr>
      <w:rFonts w:ascii="宋体" w:hAnsi="宋体" w:cs="宋体"/>
      <w:sz w:val="24"/>
    </w:rPr>
  </w:style>
  <w:style w:type="paragraph" w:customStyle="1" w:styleId="1072">
    <w:name w:val="报告标题1"/>
    <w:basedOn w:val="7"/>
    <w:qFormat/>
    <w:uiPriority w:val="99"/>
    <w:pPr>
      <w:keepLines/>
      <w:tabs>
        <w:tab w:val="left" w:pos="390"/>
      </w:tabs>
      <w:overflowPunct/>
      <w:snapToGrid/>
      <w:spacing w:before="200" w:after="200" w:line="360" w:lineRule="auto"/>
      <w:ind w:left="390" w:firstLine="0"/>
    </w:pPr>
    <w:rPr>
      <w:rFonts w:ascii="Calibri" w:hAnsi="Calibri" w:eastAsia="宋体"/>
      <w:color w:val="auto"/>
      <w:sz w:val="44"/>
      <w:szCs w:val="44"/>
    </w:rPr>
  </w:style>
  <w:style w:type="paragraph" w:customStyle="1" w:styleId="1073">
    <w:name w:val="表格项目"/>
    <w:basedOn w:val="897"/>
    <w:next w:val="897"/>
    <w:semiHidden/>
    <w:qFormat/>
    <w:uiPriority w:val="99"/>
    <w:pPr>
      <w:spacing w:before="100" w:beforeAutospacing="1" w:after="100" w:afterAutospacing="1" w:line="240" w:lineRule="auto"/>
    </w:pPr>
    <w:rPr>
      <w:b/>
      <w:bCs/>
      <w:caps/>
      <w:szCs w:val="21"/>
    </w:rPr>
  </w:style>
  <w:style w:type="paragraph" w:customStyle="1" w:styleId="1074">
    <w:name w:val="1.1"/>
    <w:basedOn w:val="1"/>
    <w:qFormat/>
    <w:uiPriority w:val="99"/>
    <w:pPr>
      <w:spacing w:line="600" w:lineRule="exact"/>
      <w:outlineLvl w:val="0"/>
    </w:pPr>
    <w:rPr>
      <w:rFonts w:eastAsia="黑体"/>
      <w:sz w:val="32"/>
    </w:rPr>
  </w:style>
  <w:style w:type="paragraph" w:customStyle="1" w:styleId="1075">
    <w:name w:val="表格标题栏文字"/>
    <w:basedOn w:val="1"/>
    <w:next w:val="1"/>
    <w:qFormat/>
    <w:uiPriority w:val="99"/>
    <w:pPr>
      <w:jc w:val="center"/>
    </w:pPr>
    <w:rPr>
      <w:rFonts w:ascii="黑体" w:eastAsia="黑体"/>
      <w:caps/>
      <w:sz w:val="24"/>
    </w:rPr>
  </w:style>
  <w:style w:type="paragraph" w:customStyle="1" w:styleId="1076">
    <w:name w:val="Char1 Char Char Char1"/>
    <w:basedOn w:val="1"/>
    <w:qFormat/>
    <w:uiPriority w:val="99"/>
    <w:pPr>
      <w:spacing w:line="360" w:lineRule="auto"/>
      <w:ind w:firstLine="200" w:firstLineChars="200"/>
    </w:pPr>
    <w:rPr>
      <w:rFonts w:ascii="宋体" w:hAnsi="宋体" w:cs="宋体"/>
      <w:sz w:val="24"/>
    </w:rPr>
  </w:style>
  <w:style w:type="paragraph" w:customStyle="1" w:styleId="1077">
    <w:name w:val="正文-1"/>
    <w:basedOn w:val="1"/>
    <w:qFormat/>
    <w:uiPriority w:val="99"/>
    <w:pPr>
      <w:adjustRightInd w:val="0"/>
      <w:spacing w:line="440" w:lineRule="exact"/>
      <w:ind w:firstLine="200" w:firstLineChars="200"/>
    </w:pPr>
    <w:rPr>
      <w:sz w:val="24"/>
      <w:szCs w:val="20"/>
    </w:rPr>
  </w:style>
  <w:style w:type="paragraph" w:customStyle="1" w:styleId="1078">
    <w:name w:val="Char Char Char Char Char Char Char Char Char Char Char Char Char Char Char Char Char Char Char Char Char Char Char Char"/>
    <w:basedOn w:val="1"/>
    <w:qFormat/>
    <w:uiPriority w:val="99"/>
    <w:pPr>
      <w:widowControl/>
      <w:contextualSpacing/>
      <w:jc w:val="left"/>
    </w:pPr>
    <w:rPr>
      <w:rFonts w:cs="宋体"/>
      <w:kern w:val="0"/>
    </w:rPr>
  </w:style>
  <w:style w:type="paragraph" w:customStyle="1" w:styleId="1079">
    <w:name w:val="xl177"/>
    <w:basedOn w:val="1"/>
    <w:qFormat/>
    <w:uiPriority w:val="99"/>
    <w:pPr>
      <w:widowControl/>
      <w:pBdr>
        <w:lef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080">
    <w:name w:val="k4"/>
    <w:basedOn w:val="35"/>
    <w:qFormat/>
    <w:uiPriority w:val="99"/>
    <w:pPr>
      <w:widowControl w:val="0"/>
      <w:numPr>
        <w:ilvl w:val="0"/>
        <w:numId w:val="11"/>
      </w:numPr>
      <w:tabs>
        <w:tab w:val="left" w:pos="360"/>
        <w:tab w:val="clear" w:pos="504"/>
      </w:tabs>
      <w:snapToGrid/>
      <w:spacing w:before="0" w:after="0" w:line="360" w:lineRule="auto"/>
      <w:ind w:left="0" w:right="0" w:firstLine="480"/>
    </w:pPr>
    <w:rPr>
      <w:rFonts w:ascii="宋体" w:hAnsi="Courier New"/>
      <w:b/>
      <w:kern w:val="2"/>
      <w:sz w:val="28"/>
    </w:rPr>
  </w:style>
  <w:style w:type="paragraph" w:customStyle="1" w:styleId="1081">
    <w:name w:val="cdb"/>
    <w:basedOn w:val="1"/>
    <w:qFormat/>
    <w:uiPriority w:val="99"/>
    <w:pPr>
      <w:spacing w:before="120"/>
      <w:ind w:left="851" w:firstLine="482"/>
    </w:pPr>
    <w:rPr>
      <w:szCs w:val="20"/>
    </w:rPr>
  </w:style>
  <w:style w:type="paragraph" w:customStyle="1" w:styleId="1082">
    <w:name w:val="东明_a"/>
    <w:basedOn w:val="1"/>
    <w:qFormat/>
    <w:uiPriority w:val="99"/>
    <w:pPr>
      <w:spacing w:before="240" w:after="240" w:line="480" w:lineRule="exact"/>
      <w:ind w:left="560"/>
    </w:pPr>
    <w:rPr>
      <w:b/>
      <w:bCs/>
      <w:sz w:val="28"/>
      <w:szCs w:val="20"/>
    </w:rPr>
  </w:style>
  <w:style w:type="paragraph" w:customStyle="1" w:styleId="1083">
    <w:name w:val="样式 标题 1章标题 11标题 1H1一、 + 行距: 1.5 倍行距5"/>
    <w:basedOn w:val="7"/>
    <w:semiHidden/>
    <w:qFormat/>
    <w:uiPriority w:val="99"/>
    <w:pPr>
      <w:keepLines/>
      <w:overflowPunct/>
      <w:spacing w:before="340" w:after="330" w:line="360" w:lineRule="auto"/>
      <w:ind w:left="3845" w:hanging="3845"/>
      <w:jc w:val="center"/>
    </w:pPr>
    <w:rPr>
      <w:rFonts w:cs="宋体"/>
      <w:color w:val="auto"/>
      <w:sz w:val="44"/>
      <w:szCs w:val="20"/>
    </w:rPr>
  </w:style>
  <w:style w:type="paragraph" w:customStyle="1" w:styleId="1084">
    <w:name w:val="图 标题"/>
    <w:basedOn w:val="282"/>
    <w:qFormat/>
    <w:uiPriority w:val="99"/>
    <w:pPr>
      <w:spacing w:line="240" w:lineRule="auto"/>
      <w:ind w:firstLine="0" w:firstLineChars="0"/>
      <w:jc w:val="center"/>
    </w:pPr>
    <w:rPr>
      <w:b/>
      <w:color w:val="FF0000"/>
    </w:rPr>
  </w:style>
  <w:style w:type="paragraph" w:customStyle="1" w:styleId="1085">
    <w:name w:val="表中文字1"/>
    <w:qFormat/>
    <w:uiPriority w:val="99"/>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1086">
    <w:name w:val="流程"/>
    <w:basedOn w:val="1"/>
    <w:qFormat/>
    <w:uiPriority w:val="99"/>
    <w:pPr>
      <w:topLinePunct/>
      <w:adjustRightInd w:val="0"/>
      <w:snapToGrid w:val="0"/>
      <w:jc w:val="center"/>
    </w:pPr>
    <w:rPr>
      <w:rFonts w:cs="宋体"/>
      <w:bCs/>
      <w:color w:val="000000"/>
      <w:szCs w:val="20"/>
    </w:rPr>
  </w:style>
  <w:style w:type="paragraph" w:customStyle="1" w:styleId="1087">
    <w:name w:val="样式12"/>
    <w:basedOn w:val="1023"/>
    <w:qFormat/>
    <w:uiPriority w:val="99"/>
    <w:pPr>
      <w:adjustRightInd w:val="0"/>
    </w:pPr>
    <w:rPr>
      <w:rFonts w:ascii="仿宋_GB2312" w:hAnsi="宋体" w:eastAsia="仿宋_GB2312"/>
      <w:b/>
      <w:color w:val="FF0000"/>
      <w:szCs w:val="30"/>
    </w:rPr>
  </w:style>
  <w:style w:type="paragraph" w:customStyle="1" w:styleId="1088">
    <w:name w:val="样式32"/>
    <w:basedOn w:val="1"/>
    <w:qFormat/>
    <w:uiPriority w:val="99"/>
    <w:pPr>
      <w:spacing w:line="360" w:lineRule="auto"/>
      <w:ind w:firstLine="480" w:firstLineChars="200"/>
    </w:pPr>
    <w:rPr>
      <w:rFonts w:ascii="宋体" w:hAnsi="宋体"/>
      <w:spacing w:val="-20"/>
      <w:sz w:val="28"/>
      <w:szCs w:val="28"/>
    </w:rPr>
  </w:style>
  <w:style w:type="paragraph" w:customStyle="1" w:styleId="1089">
    <w:name w:val="样式 正文（首行缩进两字） + 宋体 小四 加粗 行距: 固定值 24 磅"/>
    <w:basedOn w:val="12"/>
    <w:qFormat/>
    <w:uiPriority w:val="99"/>
    <w:pPr>
      <w:tabs>
        <w:tab w:val="left" w:pos="5940"/>
      </w:tabs>
      <w:adjustRightInd w:val="0"/>
      <w:spacing w:line="480" w:lineRule="exact"/>
      <w:ind w:firstLine="0" w:firstLineChars="0"/>
      <w:jc w:val="center"/>
      <w:textAlignment w:val="baseline"/>
    </w:pPr>
    <w:rPr>
      <w:szCs w:val="21"/>
    </w:rPr>
  </w:style>
  <w:style w:type="paragraph" w:customStyle="1" w:styleId="1090">
    <w:name w:val="碳酸钙标题3"/>
    <w:basedOn w:val="9"/>
    <w:qFormat/>
    <w:uiPriority w:val="99"/>
    <w:pPr>
      <w:tabs>
        <w:tab w:val="left" w:pos="1260"/>
        <w:tab w:val="left" w:pos="2126"/>
      </w:tabs>
      <w:spacing w:line="360" w:lineRule="auto"/>
      <w:ind w:left="1701" w:firstLine="435"/>
    </w:pPr>
    <w:rPr>
      <w:color w:val="000000"/>
      <w:kern w:val="0"/>
      <w:sz w:val="24"/>
    </w:rPr>
  </w:style>
  <w:style w:type="paragraph" w:customStyle="1" w:styleId="1091">
    <w:name w:val="样式 标题 2节 + 段前: 1 行 段后: 0.5 行1"/>
    <w:basedOn w:val="1"/>
    <w:qFormat/>
    <w:uiPriority w:val="99"/>
    <w:pPr>
      <w:numPr>
        <w:ilvl w:val="1"/>
        <w:numId w:val="12"/>
      </w:numPr>
    </w:pPr>
  </w:style>
  <w:style w:type="paragraph" w:customStyle="1" w:styleId="1092">
    <w:name w:val="Char Char1 Char Char Char Char Char Char Char Char Char Char Char Char Char Char Char Char Char Char Char Char1 Char1"/>
    <w:basedOn w:val="1"/>
    <w:qFormat/>
    <w:uiPriority w:val="99"/>
    <w:pPr>
      <w:spacing w:line="360" w:lineRule="auto"/>
      <w:ind w:firstLine="200" w:firstLineChars="200"/>
    </w:pPr>
    <w:rPr>
      <w:szCs w:val="20"/>
    </w:rPr>
  </w:style>
  <w:style w:type="paragraph" w:customStyle="1" w:styleId="1093">
    <w:name w:val="xl55"/>
    <w:basedOn w:val="1"/>
    <w:qFormat/>
    <w:uiPriority w:val="99"/>
    <w:pPr>
      <w:widowControl/>
      <w:spacing w:before="100" w:beforeAutospacing="1" w:after="100" w:afterAutospacing="1"/>
      <w:jc w:val="left"/>
    </w:pPr>
    <w:rPr>
      <w:rFonts w:ascii="Arial" w:hAnsi="Arial" w:cs="Arial"/>
      <w:b/>
      <w:bCs/>
      <w:i/>
      <w:iCs/>
      <w:kern w:val="0"/>
      <w:sz w:val="22"/>
      <w:szCs w:val="22"/>
    </w:rPr>
  </w:style>
  <w:style w:type="paragraph" w:customStyle="1" w:styleId="1094">
    <w:name w:val="一级标题 大王 20100426"/>
    <w:basedOn w:val="1"/>
    <w:qFormat/>
    <w:uiPriority w:val="99"/>
    <w:pPr>
      <w:numPr>
        <w:ilvl w:val="1"/>
        <w:numId w:val="4"/>
      </w:numPr>
      <w:tabs>
        <w:tab w:val="left" w:pos="284"/>
      </w:tabs>
      <w:spacing w:beforeLines="20" w:afterLines="50"/>
      <w:ind w:left="425" w:hanging="425"/>
      <w:outlineLvl w:val="0"/>
    </w:pPr>
    <w:rPr>
      <w:rFonts w:eastAsia="黑体"/>
      <w:b/>
      <w:sz w:val="30"/>
      <w:szCs w:val="30"/>
    </w:rPr>
  </w:style>
  <w:style w:type="paragraph" w:customStyle="1" w:styleId="1095">
    <w:name w:val="xl18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096">
    <w:name w:val="表内正文"/>
    <w:basedOn w:val="1"/>
    <w:qFormat/>
    <w:uiPriority w:val="99"/>
    <w:rPr>
      <w:sz w:val="24"/>
    </w:rPr>
  </w:style>
  <w:style w:type="paragraph" w:customStyle="1" w:styleId="1097">
    <w:name w:val="图名文字"/>
    <w:qFormat/>
    <w:uiPriority w:val="99"/>
    <w:pPr>
      <w:adjustRightInd w:val="0"/>
      <w:spacing w:after="60"/>
      <w:jc w:val="center"/>
    </w:pPr>
    <w:rPr>
      <w:rFonts w:ascii="Times New Roman" w:hAnsi="Times New Roman" w:eastAsia="黑体" w:cs="Times New Roman"/>
      <w:kern w:val="0"/>
      <w:sz w:val="21"/>
      <w:szCs w:val="20"/>
      <w:lang w:val="en-US" w:eastAsia="zh-CN" w:bidi="ar-SA"/>
    </w:rPr>
  </w:style>
  <w:style w:type="paragraph" w:customStyle="1" w:styleId="1098">
    <w:name w:val="标准正文"/>
    <w:basedOn w:val="1"/>
    <w:qFormat/>
    <w:uiPriority w:val="99"/>
    <w:pPr>
      <w:spacing w:line="500" w:lineRule="exact"/>
      <w:ind w:firstLine="200" w:firstLineChars="200"/>
      <w:jc w:val="left"/>
    </w:pPr>
    <w:rPr>
      <w:rFonts w:ascii="Calibri" w:hAnsi="Calibri"/>
      <w:kern w:val="0"/>
      <w:sz w:val="24"/>
      <w:szCs w:val="20"/>
    </w:rPr>
  </w:style>
  <w:style w:type="paragraph" w:customStyle="1" w:styleId="1099">
    <w:name w:val="样式 样式 首行缩进:  0.77 厘米 行距: 固定值 20 磅 + 居中 首行缩进:  0 厘米 行距: 单倍行距"/>
    <w:basedOn w:val="1"/>
    <w:qFormat/>
    <w:uiPriority w:val="99"/>
    <w:pPr>
      <w:spacing w:line="240" w:lineRule="atLeast"/>
      <w:jc w:val="center"/>
    </w:pPr>
    <w:rPr>
      <w:color w:val="000000"/>
      <w:szCs w:val="21"/>
    </w:rPr>
  </w:style>
  <w:style w:type="paragraph" w:customStyle="1" w:styleId="1100">
    <w:name w:val="font7"/>
    <w:basedOn w:val="1"/>
    <w:qFormat/>
    <w:uiPriority w:val="99"/>
    <w:pPr>
      <w:widowControl/>
      <w:spacing w:before="100" w:beforeAutospacing="1" w:after="100" w:afterAutospacing="1"/>
      <w:jc w:val="left"/>
    </w:pPr>
    <w:rPr>
      <w:rFonts w:ascii="宋体" w:hAnsi="宋体"/>
      <w:b/>
      <w:bCs/>
      <w:kern w:val="0"/>
      <w:sz w:val="22"/>
      <w:szCs w:val="22"/>
    </w:rPr>
  </w:style>
  <w:style w:type="paragraph" w:customStyle="1" w:styleId="1101">
    <w:name w:val="xl61"/>
    <w:basedOn w:val="1"/>
    <w:qFormat/>
    <w:uiPriority w:val="99"/>
    <w:pPr>
      <w:widowControl/>
      <w:pBdr>
        <w:right w:val="single" w:color="auto" w:sz="4" w:space="0"/>
      </w:pBdr>
      <w:spacing w:before="100" w:beforeAutospacing="1" w:after="100" w:afterAutospacing="1"/>
      <w:jc w:val="center"/>
    </w:pPr>
    <w:rPr>
      <w:rFonts w:ascii="Arial" w:hAnsi="Arial" w:cs="Arial"/>
      <w:b/>
      <w:bCs/>
      <w:kern w:val="0"/>
      <w:sz w:val="22"/>
      <w:szCs w:val="22"/>
    </w:rPr>
  </w:style>
  <w:style w:type="paragraph" w:customStyle="1" w:styleId="1102">
    <w:name w:val="表内5号居中"/>
    <w:qFormat/>
    <w:uiPriority w:val="99"/>
    <w:pPr>
      <w:widowControl w:val="0"/>
      <w:adjustRightInd w:val="0"/>
      <w:snapToGrid w:val="0"/>
      <w:jc w:val="center"/>
      <w:textAlignment w:val="baseline"/>
    </w:pPr>
    <w:rPr>
      <w:rFonts w:ascii="Times New Roman" w:hAnsi="Times New Roman" w:eastAsia="宋体" w:cs="Times New Roman"/>
      <w:b/>
      <w:bCs/>
      <w:kern w:val="0"/>
      <w:sz w:val="24"/>
      <w:szCs w:val="20"/>
      <w:lang w:val="en-US" w:eastAsia="zh-CN" w:bidi="ar-SA"/>
    </w:rPr>
  </w:style>
  <w:style w:type="paragraph" w:customStyle="1" w:styleId="1103">
    <w:name w:val="工业统一表格文字"/>
    <w:basedOn w:val="1"/>
    <w:qFormat/>
    <w:uiPriority w:val="99"/>
    <w:pPr>
      <w:adjustRightInd w:val="0"/>
      <w:snapToGrid w:val="0"/>
      <w:spacing w:beforeLines="20" w:afterLines="20"/>
      <w:ind w:left="-20" w:leftChars="-20" w:right="-20" w:rightChars="-20"/>
      <w:jc w:val="center"/>
    </w:pPr>
    <w:rPr>
      <w:rFonts w:ascii="宋体"/>
      <w:szCs w:val="20"/>
    </w:rPr>
  </w:style>
  <w:style w:type="paragraph" w:customStyle="1" w:styleId="1104">
    <w:name w:val="注解"/>
    <w:qFormat/>
    <w:uiPriority w:val="99"/>
    <w:pPr>
      <w:widowControl w:val="0"/>
      <w:jc w:val="center"/>
    </w:pPr>
    <w:rPr>
      <w:rFonts w:ascii="宋体" w:hAnsi="Arial Black" w:eastAsia="宋体" w:cs="Times New Roman"/>
      <w:kern w:val="2"/>
      <w:sz w:val="18"/>
      <w:szCs w:val="20"/>
      <w:lang w:val="en-US" w:eastAsia="zh-CN" w:bidi="ar-SA"/>
    </w:rPr>
  </w:style>
  <w:style w:type="paragraph" w:customStyle="1" w:styleId="1105">
    <w:name w:val="表格内容1"/>
    <w:basedOn w:val="320"/>
    <w:qFormat/>
    <w:uiPriority w:val="99"/>
    <w:pPr>
      <w:autoSpaceDE/>
      <w:autoSpaceDN/>
      <w:adjustRightInd/>
    </w:pPr>
    <w:rPr>
      <w:rFonts w:cs="宋体"/>
      <w:kern w:val="2"/>
    </w:rPr>
  </w:style>
  <w:style w:type="paragraph" w:customStyle="1" w:styleId="1106">
    <w:name w:val="表1"/>
    <w:basedOn w:val="1"/>
    <w:qFormat/>
    <w:uiPriority w:val="99"/>
    <w:pPr>
      <w:jc w:val="center"/>
    </w:pPr>
    <w:rPr>
      <w:rFonts w:ascii="宋体" w:hAnsi="宋体"/>
      <w:color w:val="000000"/>
    </w:rPr>
  </w:style>
  <w:style w:type="paragraph" w:customStyle="1" w:styleId="1107">
    <w:name w:val="Char Char1 Char Char Char Char Char Char Char Char Char Char Char Char Char Char Char Char Char Char Char Char1 Char"/>
    <w:basedOn w:val="1"/>
    <w:qFormat/>
    <w:uiPriority w:val="99"/>
    <w:pPr>
      <w:adjustRightInd w:val="0"/>
      <w:snapToGrid w:val="0"/>
      <w:spacing w:line="360" w:lineRule="auto"/>
      <w:ind w:firstLine="200" w:firstLineChars="200"/>
    </w:pPr>
    <w:rPr>
      <w:rFonts w:ascii="仿宋_GB2312" w:eastAsia="仿宋_GB2312"/>
      <w:sz w:val="28"/>
    </w:rPr>
  </w:style>
  <w:style w:type="paragraph" w:customStyle="1" w:styleId="1108">
    <w:name w:val="默认段落字体 Para Char Char Char Char Char Char Char Char Char1 Char Char Char Char Char Char Char Char Char Char"/>
    <w:basedOn w:val="1"/>
    <w:qFormat/>
    <w:uiPriority w:val="99"/>
    <w:pPr>
      <w:shd w:val="clear" w:color="auto" w:fill="000080"/>
    </w:pPr>
    <w:rPr>
      <w:rFonts w:ascii="Tahoma" w:hAnsi="Tahoma"/>
      <w:kern w:val="0"/>
      <w:sz w:val="20"/>
    </w:rPr>
  </w:style>
  <w:style w:type="paragraph" w:customStyle="1" w:styleId="1109">
    <w:name w:val="样式 行距: 1.5 倍行距 首行缩进:  2.25 字符"/>
    <w:basedOn w:val="1"/>
    <w:qFormat/>
    <w:uiPriority w:val="99"/>
    <w:pPr>
      <w:spacing w:afterLines="100" w:line="360" w:lineRule="auto"/>
    </w:pPr>
    <w:rPr>
      <w:rFonts w:ascii="宋体" w:hAnsi="宋体" w:cs="宋体"/>
      <w:sz w:val="24"/>
      <w:szCs w:val="20"/>
    </w:rPr>
  </w:style>
  <w:style w:type="paragraph" w:customStyle="1" w:styleId="1110">
    <w:name w:val="Char Char Char Char Char Char Char Char Char1"/>
    <w:basedOn w:val="1"/>
    <w:qFormat/>
    <w:uiPriority w:val="99"/>
    <w:pPr>
      <w:widowControl/>
      <w:spacing w:after="160" w:line="240" w:lineRule="exact"/>
      <w:jc w:val="left"/>
    </w:pPr>
    <w:rPr>
      <w:rFonts w:ascii="Calibri" w:hAnsi="Calibri"/>
      <w:szCs w:val="22"/>
    </w:rPr>
  </w:style>
  <w:style w:type="paragraph" w:customStyle="1" w:styleId="1111">
    <w:name w:val="xl125"/>
    <w:basedOn w:val="1"/>
    <w:qFormat/>
    <w:uiPriority w:val="99"/>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112">
    <w:name w:val="正文表格5号"/>
    <w:basedOn w:val="1"/>
    <w:qFormat/>
    <w:uiPriority w:val="99"/>
    <w:pPr>
      <w:adjustRightInd w:val="0"/>
      <w:spacing w:line="460" w:lineRule="exact"/>
      <w:textAlignment w:val="baseline"/>
    </w:pPr>
    <w:rPr>
      <w:rFonts w:ascii="宋体"/>
      <w:kern w:val="0"/>
      <w:szCs w:val="20"/>
    </w:rPr>
  </w:style>
  <w:style w:type="paragraph" w:customStyle="1" w:styleId="1113">
    <w:name w:val="Char Char Char Char Char Char Char Char Char Char3"/>
    <w:basedOn w:val="1"/>
    <w:qFormat/>
    <w:uiPriority w:val="99"/>
  </w:style>
  <w:style w:type="paragraph" w:customStyle="1" w:styleId="1114">
    <w:name w:val="Char2 Char Char Char"/>
    <w:basedOn w:val="1"/>
    <w:semiHidden/>
    <w:qFormat/>
    <w:uiPriority w:val="99"/>
    <w:pPr>
      <w:spacing w:line="360" w:lineRule="auto"/>
      <w:ind w:firstLine="200" w:firstLineChars="200"/>
    </w:pPr>
    <w:rPr>
      <w:rFonts w:ascii="宋体" w:hAnsi="宋体" w:cs="宋体"/>
      <w:sz w:val="24"/>
    </w:rPr>
  </w:style>
  <w:style w:type="paragraph" w:customStyle="1" w:styleId="1115">
    <w:name w:val="字元"/>
    <w:basedOn w:val="1"/>
    <w:qFormat/>
    <w:uiPriority w:val="99"/>
    <w:pPr>
      <w:widowControl/>
      <w:jc w:val="left"/>
    </w:pPr>
    <w:rPr>
      <w:rFonts w:eastAsia="仿宋_GB2312"/>
      <w:kern w:val="0"/>
      <w:sz w:val="24"/>
      <w:szCs w:val="20"/>
    </w:rPr>
  </w:style>
  <w:style w:type="paragraph" w:customStyle="1" w:styleId="1116">
    <w:name w:val="默认段落字体 Para Char Char Char1 Char Char Char Char Char Char Char Char Char Char"/>
    <w:basedOn w:val="1"/>
    <w:qFormat/>
    <w:uiPriority w:val="99"/>
    <w:rPr>
      <w:sz w:val="24"/>
    </w:rPr>
  </w:style>
  <w:style w:type="paragraph" w:customStyle="1" w:styleId="1117">
    <w:name w:val="样式 样式 题注 + (西文) 宋体 + 段后: 1 行"/>
    <w:basedOn w:val="1"/>
    <w:qFormat/>
    <w:uiPriority w:val="99"/>
    <w:pPr>
      <w:keepNext/>
      <w:spacing w:line="360" w:lineRule="auto"/>
      <w:ind w:firstLine="200" w:firstLineChars="200"/>
      <w:jc w:val="left"/>
    </w:pPr>
    <w:rPr>
      <w:rFonts w:ascii="宋体" w:hAnsi="宋体" w:cs="宋体"/>
      <w:color w:val="000000"/>
      <w:sz w:val="28"/>
      <w:szCs w:val="20"/>
    </w:rPr>
  </w:style>
  <w:style w:type="paragraph" w:customStyle="1" w:styleId="1118">
    <w:name w:val="表头0"/>
    <w:qFormat/>
    <w:uiPriority w:val="99"/>
    <w:pPr>
      <w:adjustRightInd w:val="0"/>
      <w:snapToGrid w:val="0"/>
      <w:spacing w:beforeLines="10" w:line="360" w:lineRule="auto"/>
      <w:jc w:val="center"/>
    </w:pPr>
    <w:rPr>
      <w:rFonts w:ascii="Times New Roman" w:hAnsi="Times New Roman" w:eastAsia="宋体" w:cs="Times New Roman"/>
      <w:b/>
      <w:kern w:val="0"/>
      <w:sz w:val="21"/>
      <w:szCs w:val="20"/>
      <w:lang w:val="en-US" w:eastAsia="zh-CN" w:bidi="ar-SA"/>
    </w:rPr>
  </w:style>
  <w:style w:type="paragraph" w:customStyle="1" w:styleId="1119">
    <w:name w:val="高表内"/>
    <w:basedOn w:val="46"/>
    <w:qFormat/>
    <w:uiPriority w:val="99"/>
    <w:pPr>
      <w:autoSpaceDE w:val="0"/>
      <w:adjustRightInd w:val="0"/>
      <w:snapToGrid w:val="0"/>
      <w:jc w:val="center"/>
      <w:textAlignment w:val="baseline"/>
    </w:pPr>
    <w:rPr>
      <w:rFonts w:ascii="Arial" w:hAnsi="Arial" w:eastAsia="楷体_GB2312"/>
      <w:kern w:val="0"/>
      <w:sz w:val="24"/>
      <w:szCs w:val="24"/>
    </w:rPr>
  </w:style>
  <w:style w:type="paragraph" w:customStyle="1" w:styleId="1120">
    <w:name w:val="表字"/>
    <w:basedOn w:val="1"/>
    <w:qFormat/>
    <w:uiPriority w:val="99"/>
    <w:pPr>
      <w:jc w:val="center"/>
    </w:pPr>
    <w:rPr>
      <w:rFonts w:ascii="宋体"/>
      <w:szCs w:val="20"/>
    </w:rPr>
  </w:style>
  <w:style w:type="paragraph" w:customStyle="1" w:styleId="1121">
    <w:name w:val="xl135"/>
    <w:basedOn w:val="1"/>
    <w:qFormat/>
    <w:uiPriority w:val="99"/>
    <w:pPr>
      <w:widowControl/>
      <w:spacing w:before="100" w:beforeAutospacing="1" w:after="100" w:afterAutospacing="1"/>
      <w:jc w:val="center"/>
    </w:pPr>
    <w:rPr>
      <w:rFonts w:ascii="Arial Unicode MS" w:hAnsi="Arial Unicode MS"/>
      <w:kern w:val="0"/>
      <w:sz w:val="16"/>
      <w:szCs w:val="16"/>
    </w:rPr>
  </w:style>
  <w:style w:type="paragraph" w:customStyle="1" w:styleId="1122">
    <w:name w:val="样式 Char"/>
    <w:basedOn w:val="1"/>
    <w:next w:val="713"/>
    <w:qFormat/>
    <w:uiPriority w:val="99"/>
    <w:pPr>
      <w:numPr>
        <w:ilvl w:val="0"/>
        <w:numId w:val="13"/>
      </w:numPr>
      <w:adjustRightInd w:val="0"/>
      <w:snapToGrid w:val="0"/>
      <w:spacing w:before="240" w:after="240" w:line="480" w:lineRule="exact"/>
    </w:pPr>
    <w:rPr>
      <w:sz w:val="28"/>
    </w:rPr>
  </w:style>
  <w:style w:type="paragraph" w:customStyle="1" w:styleId="1123">
    <w:name w:val="font10"/>
    <w:basedOn w:val="1"/>
    <w:qFormat/>
    <w:uiPriority w:val="99"/>
    <w:pPr>
      <w:widowControl/>
      <w:spacing w:before="100" w:beforeAutospacing="1" w:after="100" w:afterAutospacing="1"/>
      <w:jc w:val="left"/>
    </w:pPr>
    <w:rPr>
      <w:rFonts w:ascii="Arial" w:hAnsi="Arial" w:cs="Arial"/>
      <w:kern w:val="0"/>
      <w:sz w:val="20"/>
      <w:szCs w:val="20"/>
    </w:rPr>
  </w:style>
  <w:style w:type="paragraph" w:customStyle="1" w:styleId="1124">
    <w:name w:val="正文文字 3"/>
    <w:basedOn w:val="1"/>
    <w:qFormat/>
    <w:uiPriority w:val="99"/>
    <w:pPr>
      <w:spacing w:line="280" w:lineRule="exact"/>
      <w:jc w:val="center"/>
    </w:pPr>
    <w:rPr>
      <w:rFonts w:ascii="仿宋_GB2312" w:hAnsi="Arial Black" w:eastAsia="仿宋_GB2312" w:cs="仿宋_GB2312"/>
      <w:szCs w:val="21"/>
    </w:rPr>
  </w:style>
  <w:style w:type="paragraph" w:customStyle="1" w:styleId="1125">
    <w:name w:val="xl122"/>
    <w:basedOn w:val="1"/>
    <w:qFormat/>
    <w:uiPriority w:val="99"/>
    <w:pPr>
      <w:widowControl/>
      <w:pBdr>
        <w:lef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26">
    <w:name w:val="xl112"/>
    <w:basedOn w:val="1"/>
    <w:qFormat/>
    <w:uiPriority w:val="99"/>
    <w:pPr>
      <w:widowControl/>
      <w:pBdr>
        <w:right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127">
    <w:name w:val="xl60"/>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1128">
    <w:name w:val="样式 样式 样式 默认段落字体 Para Char Char Char Char + 字距调整二号 + +"/>
    <w:basedOn w:val="1"/>
    <w:qFormat/>
    <w:uiPriority w:val="99"/>
    <w:pPr>
      <w:spacing w:beforeLines="50" w:afterLines="50" w:line="360" w:lineRule="auto"/>
      <w:jc w:val="center"/>
    </w:pPr>
    <w:rPr>
      <w:rFonts w:eastAsia="黑体"/>
      <w:kern w:val="44"/>
      <w:sz w:val="32"/>
    </w:rPr>
  </w:style>
  <w:style w:type="paragraph" w:customStyle="1" w:styleId="1129">
    <w:name w:val="Char Char Char2 Char"/>
    <w:basedOn w:val="1"/>
    <w:qFormat/>
    <w:uiPriority w:val="99"/>
    <w:pPr>
      <w:spacing w:line="360" w:lineRule="auto"/>
      <w:ind w:firstLine="200" w:firstLineChars="200"/>
    </w:pPr>
    <w:rPr>
      <w:rFonts w:ascii="宋体" w:hAnsi="宋体" w:cs="宋体"/>
      <w:sz w:val="24"/>
    </w:rPr>
  </w:style>
  <w:style w:type="paragraph" w:customStyle="1" w:styleId="1130">
    <w:name w:val="Char Char2 Char Char"/>
    <w:basedOn w:val="1"/>
    <w:qFormat/>
    <w:uiPriority w:val="99"/>
  </w:style>
  <w:style w:type="paragraph" w:customStyle="1" w:styleId="1131">
    <w:name w:val="默认段落字体 Para Char Char Char1 Char Char Char Char"/>
    <w:basedOn w:val="1"/>
    <w:qFormat/>
    <w:uiPriority w:val="99"/>
    <w:pPr>
      <w:tabs>
        <w:tab w:val="left" w:pos="360"/>
      </w:tabs>
    </w:pPr>
    <w:rPr>
      <w:szCs w:val="20"/>
    </w:rPr>
  </w:style>
  <w:style w:type="paragraph" w:customStyle="1" w:styleId="1132">
    <w:name w:val="Char Char3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1133">
    <w:name w:val="- 页码 -"/>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134">
    <w:name w:val="2.2.1"/>
    <w:basedOn w:val="10"/>
    <w:qFormat/>
    <w:uiPriority w:val="99"/>
    <w:pPr>
      <w:tabs>
        <w:tab w:val="left" w:pos="864"/>
      </w:tabs>
      <w:spacing w:before="0" w:after="0" w:line="360" w:lineRule="auto"/>
      <w:ind w:left="864" w:hanging="864"/>
      <w:jc w:val="left"/>
    </w:pPr>
    <w:rPr>
      <w:rFonts w:ascii="宋体" w:hAnsi="Arial"/>
      <w:b w:val="0"/>
      <w:color w:val="000000"/>
      <w:sz w:val="24"/>
    </w:rPr>
  </w:style>
  <w:style w:type="paragraph" w:customStyle="1" w:styleId="1135">
    <w:name w:val="TOC 标题1"/>
    <w:basedOn w:val="7"/>
    <w:next w:val="1"/>
    <w:qFormat/>
    <w:uiPriority w:val="99"/>
    <w:pPr>
      <w:keepLines/>
      <w:widowControl/>
      <w:tabs>
        <w:tab w:val="left" w:pos="390"/>
      </w:tabs>
      <w:overflowPunct/>
      <w:snapToGrid/>
      <w:spacing w:before="480" w:after="0" w:line="276" w:lineRule="auto"/>
      <w:ind w:left="390" w:firstLine="0"/>
      <w:jc w:val="left"/>
      <w:outlineLvl w:val="9"/>
    </w:pPr>
    <w:rPr>
      <w:rFonts w:ascii="Cambria" w:hAnsi="Cambria" w:eastAsia="宋体"/>
      <w:color w:val="365F91"/>
      <w:kern w:val="0"/>
      <w:sz w:val="28"/>
      <w:szCs w:val="28"/>
    </w:rPr>
  </w:style>
  <w:style w:type="paragraph" w:customStyle="1" w:styleId="1136">
    <w:name w:val="xl42"/>
    <w:basedOn w:val="1"/>
    <w:qFormat/>
    <w:uiPriority w:val="99"/>
    <w:pPr>
      <w:widowControl/>
      <w:pBdr>
        <w:bottom w:val="dotted" w:color="auto" w:sz="4" w:space="0"/>
        <w:right w:val="dotted" w:color="auto" w:sz="4" w:space="0"/>
      </w:pBdr>
      <w:spacing w:before="100" w:beforeAutospacing="1" w:after="100" w:afterAutospacing="1"/>
      <w:jc w:val="center"/>
    </w:pPr>
    <w:rPr>
      <w:kern w:val="0"/>
      <w:szCs w:val="21"/>
    </w:rPr>
  </w:style>
  <w:style w:type="paragraph" w:customStyle="1" w:styleId="1137">
    <w:name w:val="xl87"/>
    <w:basedOn w:val="1"/>
    <w:qFormat/>
    <w:uiPriority w:val="99"/>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138">
    <w:name w:val="样式 标题 2 + 行距: 1.5 倍行距2"/>
    <w:basedOn w:val="8"/>
    <w:semiHidden/>
    <w:qFormat/>
    <w:uiPriority w:val="99"/>
    <w:pPr>
      <w:snapToGrid w:val="0"/>
      <w:spacing w:beforeLines="100" w:afterLines="100" w:line="240" w:lineRule="auto"/>
      <w:ind w:left="1134" w:hanging="992"/>
      <w:jc w:val="left"/>
    </w:pPr>
    <w:rPr>
      <w:rFonts w:ascii="Times New Roman" w:hAnsi="Times New Roman" w:cs="宋体"/>
      <w:sz w:val="28"/>
      <w:szCs w:val="28"/>
    </w:rPr>
  </w:style>
  <w:style w:type="paragraph" w:customStyle="1" w:styleId="1139">
    <w:name w:val="1 Char"/>
    <w:basedOn w:val="1"/>
    <w:qFormat/>
    <w:uiPriority w:val="99"/>
    <w:pPr>
      <w:spacing w:line="360" w:lineRule="auto"/>
      <w:ind w:firstLine="200" w:firstLineChars="200"/>
    </w:pPr>
    <w:rPr>
      <w:rFonts w:ascii="宋体" w:hAnsi="宋体" w:cs="宋体"/>
      <w:sz w:val="24"/>
    </w:rPr>
  </w:style>
  <w:style w:type="paragraph" w:customStyle="1" w:styleId="1140">
    <w:name w:val="正文 黑体"/>
    <w:basedOn w:val="1"/>
    <w:qFormat/>
    <w:uiPriority w:val="99"/>
    <w:pPr>
      <w:spacing w:before="240" w:after="240" w:line="480" w:lineRule="exact"/>
      <w:ind w:firstLine="560" w:firstLineChars="200"/>
    </w:pPr>
    <w:rPr>
      <w:rFonts w:eastAsia="黑体"/>
      <w:sz w:val="28"/>
      <w:szCs w:val="20"/>
    </w:rPr>
  </w:style>
  <w:style w:type="paragraph" w:customStyle="1" w:styleId="1141">
    <w:name w:val="正文_1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142">
    <w:name w:val="编制说明"/>
    <w:basedOn w:val="1"/>
    <w:qFormat/>
    <w:uiPriority w:val="99"/>
    <w:pPr>
      <w:topLinePunct/>
      <w:adjustRightInd w:val="0"/>
      <w:snapToGrid w:val="0"/>
      <w:ind w:firstLine="420"/>
      <w:contextualSpacing/>
    </w:pPr>
    <w:rPr>
      <w:rFonts w:eastAsia="仿宋_GB2312"/>
      <w:szCs w:val="20"/>
    </w:rPr>
  </w:style>
  <w:style w:type="paragraph" w:customStyle="1" w:styleId="1143">
    <w:name w:val="xl19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44">
    <w:name w:val="xl24"/>
    <w:basedOn w:val="1"/>
    <w:qFormat/>
    <w:uiPriority w:val="99"/>
    <w:pPr>
      <w:widowControl/>
      <w:spacing w:before="100" w:after="100"/>
      <w:jc w:val="center"/>
    </w:pPr>
    <w:rPr>
      <w:rFonts w:ascii="宋体" w:hAnsi="宋体"/>
      <w:kern w:val="0"/>
      <w:sz w:val="24"/>
      <w:szCs w:val="20"/>
    </w:rPr>
  </w:style>
  <w:style w:type="paragraph" w:customStyle="1" w:styleId="1145">
    <w:name w:val="东明_正文 Char"/>
    <w:basedOn w:val="1"/>
    <w:qFormat/>
    <w:uiPriority w:val="99"/>
    <w:pPr>
      <w:spacing w:before="240" w:after="240" w:line="480" w:lineRule="exact"/>
      <w:ind w:firstLine="560" w:firstLineChars="200"/>
    </w:pPr>
    <w:rPr>
      <w:sz w:val="28"/>
      <w:szCs w:val="20"/>
    </w:rPr>
  </w:style>
  <w:style w:type="paragraph" w:customStyle="1" w:styleId="1146">
    <w:name w:val="xl141"/>
    <w:basedOn w:val="1"/>
    <w:qFormat/>
    <w:uiPriority w:val="99"/>
    <w:pPr>
      <w:widowControl/>
      <w:spacing w:before="100" w:beforeAutospacing="1" w:after="100" w:afterAutospacing="1"/>
      <w:jc w:val="left"/>
    </w:pPr>
    <w:rPr>
      <w:rFonts w:ascii="Arial Unicode MS" w:hAnsi="Arial Unicode MS"/>
      <w:kern w:val="0"/>
      <w:sz w:val="16"/>
      <w:szCs w:val="16"/>
    </w:rPr>
  </w:style>
  <w:style w:type="paragraph" w:customStyle="1" w:styleId="1147">
    <w:name w:val="样式15"/>
    <w:basedOn w:val="1"/>
    <w:qFormat/>
    <w:uiPriority w:val="99"/>
    <w:pPr>
      <w:numPr>
        <w:ilvl w:val="0"/>
        <w:numId w:val="14"/>
      </w:numPr>
      <w:tabs>
        <w:tab w:val="left" w:pos="432"/>
      </w:tabs>
    </w:pPr>
    <w:rPr>
      <w:sz w:val="24"/>
    </w:rPr>
  </w:style>
  <w:style w:type="paragraph" w:customStyle="1" w:styleId="1148">
    <w:name w:val="xl153"/>
    <w:basedOn w:val="1"/>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149">
    <w:name w:val="样式 标题 1章标题 11标题 1H1一、 + 行距: 单倍行距"/>
    <w:basedOn w:val="7"/>
    <w:semiHidden/>
    <w:qFormat/>
    <w:uiPriority w:val="99"/>
    <w:pPr>
      <w:keepLines/>
      <w:overflowPunct/>
      <w:spacing w:before="340" w:after="330" w:line="240" w:lineRule="auto"/>
      <w:ind w:left="3845" w:hanging="3845"/>
      <w:jc w:val="center"/>
    </w:pPr>
    <w:rPr>
      <w:rFonts w:cs="宋体"/>
      <w:color w:val="auto"/>
      <w:sz w:val="44"/>
      <w:szCs w:val="20"/>
    </w:rPr>
  </w:style>
  <w:style w:type="paragraph" w:customStyle="1" w:styleId="1150">
    <w:name w:val="xl113"/>
    <w:basedOn w:val="1"/>
    <w:qFormat/>
    <w:uiPriority w:val="99"/>
    <w:pPr>
      <w:widowControl/>
      <w:pBdr>
        <w:top w:val="single" w:color="auto" w:sz="8" w:space="0"/>
        <w:bottom w:val="single" w:color="auto" w:sz="12" w:space="0"/>
      </w:pBdr>
      <w:spacing w:before="100" w:beforeAutospacing="1" w:after="100" w:afterAutospacing="1"/>
      <w:jc w:val="left"/>
    </w:pPr>
    <w:rPr>
      <w:rFonts w:ascii="Arial Unicode MS" w:hAnsi="Arial Unicode MS"/>
      <w:kern w:val="0"/>
      <w:sz w:val="16"/>
      <w:szCs w:val="16"/>
    </w:rPr>
  </w:style>
  <w:style w:type="paragraph" w:customStyle="1" w:styleId="1151">
    <w:name w:val="样式 标题 1 + (中文) 宋体 小三 行距: 多倍行距 1.35 字行"/>
    <w:basedOn w:val="7"/>
    <w:qFormat/>
    <w:uiPriority w:val="99"/>
    <w:pPr>
      <w:keepLines/>
      <w:tabs>
        <w:tab w:val="left" w:pos="390"/>
        <w:tab w:val="left" w:pos="432"/>
      </w:tabs>
      <w:overflowPunct/>
      <w:spacing w:before="0" w:after="0" w:line="360" w:lineRule="auto"/>
    </w:pPr>
    <w:rPr>
      <w:rFonts w:ascii="宋体" w:hAnsi="宋体" w:eastAsia="宋体"/>
      <w:color w:val="auto"/>
      <w:sz w:val="32"/>
      <w:szCs w:val="32"/>
    </w:rPr>
  </w:style>
  <w:style w:type="paragraph" w:customStyle="1" w:styleId="1152">
    <w:name w:val="封面标准文稿编辑信息"/>
    <w:qFormat/>
    <w:uiPriority w:val="99"/>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153">
    <w:name w:val="xl152"/>
    <w:basedOn w:val="1"/>
    <w:qFormat/>
    <w:uiPriority w:val="99"/>
    <w:pPr>
      <w:widowControl/>
      <w:spacing w:before="100" w:beforeAutospacing="1" w:after="100" w:afterAutospacing="1"/>
      <w:jc w:val="left"/>
      <w:textAlignment w:val="center"/>
    </w:pPr>
    <w:rPr>
      <w:rFonts w:ascii="Arial Unicode MS" w:hAnsi="Arial Unicode MS"/>
      <w:kern w:val="0"/>
      <w:sz w:val="16"/>
      <w:szCs w:val="16"/>
    </w:rPr>
  </w:style>
  <w:style w:type="paragraph" w:customStyle="1" w:styleId="1154">
    <w:name w:val="Char Char Char Char Char Char Char Char Char Char Char Char Char Char Char Char Char Char Char"/>
    <w:basedOn w:val="1"/>
    <w:qFormat/>
    <w:uiPriority w:val="99"/>
  </w:style>
  <w:style w:type="paragraph" w:customStyle="1" w:styleId="1155">
    <w:name w:val="Char Char Char Char Char Char Char Char Char Char1 Char Char Char"/>
    <w:basedOn w:val="1"/>
    <w:qFormat/>
    <w:uiPriority w:val="99"/>
    <w:pPr>
      <w:widowControl/>
      <w:contextualSpacing/>
      <w:jc w:val="left"/>
    </w:pPr>
    <w:rPr>
      <w:rFonts w:cs="宋体"/>
      <w:kern w:val="0"/>
    </w:rPr>
  </w:style>
  <w:style w:type="paragraph" w:customStyle="1" w:styleId="1156">
    <w:name w:val="xl192"/>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57">
    <w:name w:val="xl190"/>
    <w:basedOn w:val="1"/>
    <w:qFormat/>
    <w:uiPriority w:val="99"/>
    <w:pPr>
      <w:widowControl/>
      <w:pBdr>
        <w:top w:val="single" w:color="auto" w:sz="12" w:space="0"/>
      </w:pBdr>
      <w:spacing w:before="100" w:beforeAutospacing="1" w:after="100" w:afterAutospacing="1"/>
      <w:jc w:val="left"/>
      <w:textAlignment w:val="center"/>
    </w:pPr>
    <w:rPr>
      <w:rFonts w:ascii="Arial Unicode MS" w:hAnsi="Arial Unicode MS"/>
      <w:kern w:val="0"/>
      <w:sz w:val="12"/>
      <w:szCs w:val="12"/>
    </w:rPr>
  </w:style>
  <w:style w:type="paragraph" w:customStyle="1" w:styleId="1158">
    <w:name w:val="表头样式1"/>
    <w:basedOn w:val="1"/>
    <w:qFormat/>
    <w:uiPriority w:val="99"/>
    <w:pPr>
      <w:widowControl/>
      <w:tabs>
        <w:tab w:val="left" w:pos="2310"/>
      </w:tabs>
      <w:autoSpaceDE w:val="0"/>
      <w:autoSpaceDN w:val="0"/>
      <w:adjustRightInd w:val="0"/>
      <w:spacing w:line="480" w:lineRule="exact"/>
      <w:contextualSpacing/>
      <w:jc w:val="center"/>
    </w:pPr>
    <w:rPr>
      <w:rFonts w:cs="宋体"/>
      <w:b/>
      <w:bCs/>
      <w:kern w:val="0"/>
    </w:rPr>
  </w:style>
  <w:style w:type="paragraph" w:customStyle="1" w:styleId="1159">
    <w:name w:val="xl75"/>
    <w:basedOn w:val="1"/>
    <w:qFormat/>
    <w:uiPriority w:val="99"/>
    <w:pPr>
      <w:widowControl/>
      <w:spacing w:before="100" w:beforeAutospacing="1" w:after="100" w:afterAutospacing="1"/>
      <w:jc w:val="left"/>
    </w:pPr>
    <w:rPr>
      <w:kern w:val="0"/>
      <w:sz w:val="12"/>
      <w:szCs w:val="12"/>
    </w:rPr>
  </w:style>
  <w:style w:type="paragraph" w:customStyle="1" w:styleId="1160">
    <w:name w:val="CM18"/>
    <w:basedOn w:val="1"/>
    <w:next w:val="1"/>
    <w:qFormat/>
    <w:uiPriority w:val="99"/>
    <w:pPr>
      <w:autoSpaceDE w:val="0"/>
      <w:autoSpaceDN w:val="0"/>
      <w:adjustRightInd w:val="0"/>
      <w:spacing w:line="468" w:lineRule="atLeast"/>
      <w:contextualSpacing/>
      <w:jc w:val="left"/>
    </w:pPr>
    <w:rPr>
      <w:rFonts w:ascii="黑体" w:eastAsia="黑体"/>
      <w:kern w:val="0"/>
    </w:rPr>
  </w:style>
  <w:style w:type="paragraph" w:customStyle="1" w:styleId="1161">
    <w:name w:val="表格编号"/>
    <w:basedOn w:val="1"/>
    <w:qFormat/>
    <w:uiPriority w:val="99"/>
    <w:pPr>
      <w:snapToGrid w:val="0"/>
      <w:spacing w:before="300" w:after="200" w:line="500" w:lineRule="exact"/>
      <w:jc w:val="left"/>
    </w:pPr>
    <w:rPr>
      <w:sz w:val="24"/>
    </w:rPr>
  </w:style>
  <w:style w:type="paragraph" w:customStyle="1" w:styleId="1162">
    <w:name w:val="B1"/>
    <w:basedOn w:val="1"/>
    <w:next w:val="1"/>
    <w:qFormat/>
    <w:uiPriority w:val="99"/>
    <w:pPr>
      <w:keepNext/>
      <w:tabs>
        <w:tab w:val="left" w:pos="624"/>
      </w:tabs>
      <w:adjustRightInd w:val="0"/>
      <w:spacing w:before="240" w:line="360" w:lineRule="auto"/>
      <w:ind w:left="624" w:hanging="624"/>
      <w:textAlignment w:val="baseline"/>
    </w:pPr>
    <w:rPr>
      <w:kern w:val="24"/>
      <w:sz w:val="28"/>
      <w:szCs w:val="20"/>
    </w:rPr>
  </w:style>
  <w:style w:type="paragraph" w:customStyle="1" w:styleId="1163">
    <w:name w:val="xl51"/>
    <w:basedOn w:val="1"/>
    <w:qFormat/>
    <w:uiPriority w:val="99"/>
    <w:pPr>
      <w:widowControl/>
      <w:spacing w:before="100" w:beforeAutospacing="1" w:after="100" w:afterAutospacing="1"/>
      <w:jc w:val="left"/>
    </w:pPr>
    <w:rPr>
      <w:rFonts w:ascii="Arial" w:hAnsi="Arial" w:cs="Arial"/>
      <w:b/>
      <w:bCs/>
      <w:kern w:val="0"/>
      <w:sz w:val="22"/>
      <w:szCs w:val="22"/>
    </w:rPr>
  </w:style>
  <w:style w:type="paragraph" w:customStyle="1" w:styleId="1164">
    <w:name w:val="xl109"/>
    <w:basedOn w:val="1"/>
    <w:qFormat/>
    <w:uiPriority w:val="99"/>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65">
    <w:name w:val="菏泽-标题4"/>
    <w:basedOn w:val="1"/>
    <w:qFormat/>
    <w:uiPriority w:val="99"/>
    <w:pPr>
      <w:spacing w:line="440" w:lineRule="exact"/>
      <w:ind w:firstLine="420" w:firstLineChars="200"/>
    </w:pPr>
    <w:rPr>
      <w:rFonts w:ascii="华文细黑" w:hAnsi="华文细黑" w:eastAsia="华文细黑"/>
      <w:b/>
      <w:szCs w:val="20"/>
    </w:rPr>
  </w:style>
  <w:style w:type="paragraph" w:customStyle="1" w:styleId="1166">
    <w:name w:val="xl99"/>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167">
    <w:name w:val="Char Char Char Char Char Char Char1"/>
    <w:basedOn w:val="1"/>
    <w:qFormat/>
    <w:uiPriority w:val="99"/>
    <w:pPr>
      <w:widowControl/>
      <w:contextualSpacing/>
      <w:jc w:val="left"/>
    </w:pPr>
    <w:rPr>
      <w:rFonts w:cs="宋体"/>
      <w:kern w:val="0"/>
    </w:rPr>
  </w:style>
  <w:style w:type="paragraph" w:customStyle="1" w:styleId="1168">
    <w:name w:val="IDC A-Head (2nd Line)"/>
    <w:basedOn w:val="1"/>
    <w:next w:val="1"/>
    <w:qFormat/>
    <w:uiPriority w:val="99"/>
    <w:pPr>
      <w:widowControl/>
      <w:jc w:val="center"/>
    </w:pPr>
    <w:rPr>
      <w:caps/>
      <w:kern w:val="0"/>
      <w:sz w:val="24"/>
      <w:szCs w:val="20"/>
    </w:rPr>
  </w:style>
  <w:style w:type="paragraph" w:customStyle="1" w:styleId="1169">
    <w:name w:val="默认段落字体 Para Char Char Char Char Char Char"/>
    <w:basedOn w:val="1"/>
    <w:qFormat/>
    <w:uiPriority w:val="99"/>
  </w:style>
  <w:style w:type="paragraph" w:customStyle="1" w:styleId="1170">
    <w:name w:val="样式 正文文本 + 首行缩进:  2 字符 段前: 0.5 行"/>
    <w:basedOn w:val="1"/>
    <w:qFormat/>
    <w:uiPriority w:val="99"/>
    <w:pPr>
      <w:widowControl/>
      <w:spacing w:line="360" w:lineRule="auto"/>
      <w:ind w:firstLine="480" w:firstLineChars="200"/>
    </w:pPr>
    <w:rPr>
      <w:rFonts w:ascii="宋体" w:hAnsi="宋体" w:cs="宋体"/>
      <w:color w:val="000000"/>
      <w:sz w:val="24"/>
    </w:rPr>
  </w:style>
  <w:style w:type="paragraph" w:customStyle="1" w:styleId="1171">
    <w:name w:val="CM22"/>
    <w:basedOn w:val="101"/>
    <w:next w:val="101"/>
    <w:qFormat/>
    <w:uiPriority w:val="99"/>
    <w:pPr>
      <w:spacing w:after="145"/>
    </w:pPr>
    <w:rPr>
      <w:color w:val="auto"/>
    </w:rPr>
  </w:style>
  <w:style w:type="paragraph" w:customStyle="1" w:styleId="1172">
    <w:name w:val="表内4号居中"/>
    <w:qFormat/>
    <w:uiPriority w:val="99"/>
    <w:pPr>
      <w:adjustRightInd w:val="0"/>
      <w:snapToGrid w:val="0"/>
      <w:spacing w:line="360" w:lineRule="auto"/>
      <w:jc w:val="center"/>
    </w:pPr>
    <w:rPr>
      <w:rFonts w:ascii="Arial" w:hAnsi="Arial" w:eastAsia="宋体" w:cs="Times New Roman"/>
      <w:spacing w:val="20"/>
      <w:kern w:val="0"/>
      <w:sz w:val="21"/>
      <w:szCs w:val="20"/>
      <w:lang w:val="en-US" w:eastAsia="zh-CN" w:bidi="ar-SA"/>
    </w:rPr>
  </w:style>
  <w:style w:type="paragraph" w:customStyle="1" w:styleId="1173">
    <w:name w:val="xl95"/>
    <w:basedOn w:val="1"/>
    <w:qFormat/>
    <w:uiPriority w:val="99"/>
    <w:pPr>
      <w:widowControl/>
      <w:spacing w:before="100" w:beforeAutospacing="1" w:after="100" w:afterAutospacing="1"/>
      <w:jc w:val="right"/>
    </w:pPr>
    <w:rPr>
      <w:rFonts w:ascii="Arial Unicode MS" w:hAnsi="Arial Unicode MS"/>
      <w:kern w:val="0"/>
      <w:sz w:val="12"/>
      <w:szCs w:val="12"/>
    </w:rPr>
  </w:style>
  <w:style w:type="paragraph" w:customStyle="1" w:styleId="1174">
    <w:name w:val="xl148"/>
    <w:basedOn w:val="1"/>
    <w:qFormat/>
    <w:uiPriority w:val="99"/>
    <w:pPr>
      <w:widowControl/>
      <w:pBdr>
        <w:bottom w:val="single" w:color="auto" w:sz="8" w:space="0"/>
      </w:pBdr>
      <w:spacing w:before="100" w:beforeAutospacing="1" w:after="100" w:afterAutospacing="1"/>
      <w:jc w:val="left"/>
    </w:pPr>
    <w:rPr>
      <w:rFonts w:ascii="Arial Unicode MS" w:hAnsi="Arial Unicode MS"/>
      <w:kern w:val="0"/>
    </w:rPr>
  </w:style>
  <w:style w:type="paragraph" w:customStyle="1" w:styleId="1175">
    <w:name w:val="CM88"/>
    <w:basedOn w:val="101"/>
    <w:next w:val="101"/>
    <w:qFormat/>
    <w:uiPriority w:val="99"/>
    <w:pPr>
      <w:spacing w:after="175"/>
    </w:pPr>
    <w:rPr>
      <w:rFonts w:ascii="黑体" w:eastAsia="黑体"/>
      <w:color w:val="auto"/>
    </w:rPr>
  </w:style>
  <w:style w:type="paragraph" w:customStyle="1" w:styleId="1176">
    <w:name w:val="xl67"/>
    <w:basedOn w:val="1"/>
    <w:qFormat/>
    <w:uiPriority w:val="99"/>
    <w:pPr>
      <w:widowControl/>
      <w:spacing w:before="100" w:beforeAutospacing="1" w:after="100" w:afterAutospacing="1"/>
      <w:jc w:val="center"/>
    </w:pPr>
    <w:rPr>
      <w:rFonts w:ascii="宋体" w:hAnsi="宋体"/>
      <w:b/>
      <w:bCs/>
      <w:kern w:val="0"/>
      <w:sz w:val="22"/>
      <w:szCs w:val="22"/>
    </w:rPr>
  </w:style>
  <w:style w:type="paragraph" w:customStyle="1" w:styleId="1177">
    <w:name w:val="正文表"/>
    <w:basedOn w:val="1"/>
    <w:qFormat/>
    <w:uiPriority w:val="99"/>
    <w:pPr>
      <w:tabs>
        <w:tab w:val="left" w:pos="2451"/>
        <w:tab w:val="left" w:pos="4614"/>
        <w:tab w:val="left" w:pos="6777"/>
        <w:tab w:val="left" w:pos="8940"/>
      </w:tabs>
      <w:autoSpaceDE w:val="0"/>
      <w:autoSpaceDN w:val="0"/>
      <w:adjustRightInd w:val="0"/>
      <w:contextualSpacing/>
      <w:jc w:val="center"/>
      <w:textAlignment w:val="bottom"/>
    </w:pPr>
    <w:rPr>
      <w:color w:val="000000"/>
      <w:kern w:val="0"/>
      <w:sz w:val="28"/>
      <w:szCs w:val="20"/>
    </w:rPr>
  </w:style>
  <w:style w:type="paragraph" w:customStyle="1" w:styleId="1178">
    <w:name w:val="Char Char 字元 字元 字元 Char Char Char Char"/>
    <w:basedOn w:val="1"/>
    <w:qFormat/>
    <w:uiPriority w:val="99"/>
    <w:pPr>
      <w:adjustRightInd w:val="0"/>
      <w:spacing w:line="360" w:lineRule="auto"/>
    </w:pPr>
  </w:style>
  <w:style w:type="paragraph" w:customStyle="1" w:styleId="1179">
    <w:name w:val="p15"/>
    <w:basedOn w:val="1"/>
    <w:qFormat/>
    <w:uiPriority w:val="99"/>
    <w:pPr>
      <w:widowControl/>
      <w:jc w:val="left"/>
    </w:pPr>
    <w:rPr>
      <w:rFonts w:ascii="宋体" w:hAnsi="宋体" w:cs="宋体"/>
      <w:kern w:val="0"/>
      <w:sz w:val="24"/>
    </w:rPr>
  </w:style>
  <w:style w:type="paragraph" w:customStyle="1" w:styleId="1180">
    <w:name w:val="样式3"/>
    <w:basedOn w:val="1"/>
    <w:qFormat/>
    <w:uiPriority w:val="99"/>
    <w:pPr>
      <w:widowControl/>
      <w:jc w:val="left"/>
    </w:pPr>
    <w:rPr>
      <w:spacing w:val="-4"/>
      <w:sz w:val="24"/>
    </w:rPr>
  </w:style>
  <w:style w:type="paragraph" w:customStyle="1" w:styleId="1181">
    <w:name w:val="样式9"/>
    <w:basedOn w:val="7"/>
    <w:qFormat/>
    <w:uiPriority w:val="99"/>
    <w:pPr>
      <w:keepLines/>
      <w:tabs>
        <w:tab w:val="left" w:pos="390"/>
      </w:tabs>
      <w:overflowPunct/>
      <w:snapToGrid/>
      <w:spacing w:beforeLines="200" w:afterLines="200" w:line="520" w:lineRule="exact"/>
      <w:ind w:left="390" w:firstLine="0"/>
    </w:pPr>
    <w:rPr>
      <w:rFonts w:ascii="Calibri" w:hAnsi="Calibri" w:eastAsia="宋体"/>
      <w:color w:val="auto"/>
      <w:sz w:val="44"/>
      <w:szCs w:val="44"/>
    </w:rPr>
  </w:style>
  <w:style w:type="paragraph" w:customStyle="1" w:styleId="1182">
    <w:name w:val="样式 四号"/>
    <w:basedOn w:val="1"/>
    <w:qFormat/>
    <w:uiPriority w:val="99"/>
    <w:pPr>
      <w:spacing w:line="360" w:lineRule="auto"/>
      <w:ind w:firstLine="480" w:firstLineChars="200"/>
    </w:pPr>
    <w:rPr>
      <w:rFonts w:ascii="宋体" w:hAnsi="宋体"/>
      <w:kern w:val="0"/>
      <w:sz w:val="24"/>
    </w:rPr>
  </w:style>
  <w:style w:type="paragraph" w:customStyle="1" w:styleId="1183">
    <w:name w:val="环评正文"/>
    <w:basedOn w:val="7"/>
    <w:qFormat/>
    <w:uiPriority w:val="99"/>
    <w:pPr>
      <w:keepNext w:val="0"/>
      <w:overflowPunct/>
      <w:snapToGrid/>
      <w:spacing w:before="60" w:after="60" w:line="400" w:lineRule="exact"/>
      <w:ind w:left="0" w:firstLine="480" w:firstLineChars="200"/>
      <w:outlineLvl w:val="9"/>
    </w:pPr>
    <w:rPr>
      <w:rFonts w:eastAsia="仿宋_GB2312"/>
      <w:b w:val="0"/>
      <w:color w:val="auto"/>
      <w:sz w:val="24"/>
      <w:szCs w:val="28"/>
    </w:rPr>
  </w:style>
  <w:style w:type="paragraph" w:customStyle="1" w:styleId="1184">
    <w:name w:val="xl129"/>
    <w:basedOn w:val="1"/>
    <w:qFormat/>
    <w:uiPriority w:val="99"/>
    <w:pPr>
      <w:widowControl/>
      <w:pBdr>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85">
    <w:name w:val="text4"/>
    <w:basedOn w:val="1"/>
    <w:qFormat/>
    <w:uiPriority w:val="99"/>
    <w:pPr>
      <w:widowControl/>
      <w:spacing w:after="150" w:line="336" w:lineRule="auto"/>
      <w:ind w:firstLine="400"/>
      <w:jc w:val="left"/>
    </w:pPr>
    <w:rPr>
      <w:rFonts w:ascii="Arial Unicode MS" w:hAnsi="Arial Unicode MS"/>
      <w:color w:val="333300"/>
      <w:kern w:val="0"/>
      <w:sz w:val="20"/>
      <w:szCs w:val="20"/>
    </w:rPr>
  </w:style>
  <w:style w:type="paragraph" w:customStyle="1" w:styleId="1186">
    <w:name w:val="xl164"/>
    <w:basedOn w:val="1"/>
    <w:qFormat/>
    <w:uiPriority w:val="99"/>
    <w:pPr>
      <w:widowControl/>
      <w:pBdr>
        <w:left w:val="single" w:color="auto" w:sz="12" w:space="0"/>
        <w:bottom w:val="single" w:color="auto" w:sz="12" w:space="0"/>
      </w:pBdr>
      <w:spacing w:before="100" w:beforeAutospacing="1" w:after="100" w:afterAutospacing="1"/>
      <w:jc w:val="center"/>
    </w:pPr>
    <w:rPr>
      <w:rFonts w:ascii="Arial Unicode MS" w:hAnsi="Arial Unicode MS"/>
      <w:kern w:val="0"/>
    </w:rPr>
  </w:style>
  <w:style w:type="paragraph" w:customStyle="1" w:styleId="1187">
    <w:name w:val="Char Char Char Char Char Char Char Char Char Char2"/>
    <w:basedOn w:val="1"/>
    <w:qFormat/>
    <w:uiPriority w:val="99"/>
    <w:pPr>
      <w:widowControl/>
      <w:contextualSpacing/>
      <w:jc w:val="left"/>
    </w:pPr>
    <w:rPr>
      <w:rFonts w:cs="宋体"/>
      <w:kern w:val="0"/>
    </w:rPr>
  </w:style>
  <w:style w:type="paragraph" w:customStyle="1" w:styleId="1188">
    <w:name w:val="样式 标题 4东明_小节2Char Char Char Char Char Char Char Char Char Char..."/>
    <w:basedOn w:val="10"/>
    <w:semiHidden/>
    <w:qFormat/>
    <w:uiPriority w:val="99"/>
    <w:pPr>
      <w:snapToGrid w:val="0"/>
      <w:spacing w:before="0" w:after="0" w:line="600" w:lineRule="exact"/>
      <w:ind w:left="2884" w:hanging="1984"/>
    </w:pPr>
    <w:rPr>
      <w:rFonts w:ascii="Times New Roman" w:hAnsi="Times New Roman" w:eastAsia="黑体" w:cs="宋体"/>
      <w:b w:val="0"/>
      <w:sz w:val="24"/>
      <w:szCs w:val="20"/>
    </w:rPr>
  </w:style>
  <w:style w:type="paragraph" w:customStyle="1" w:styleId="1189">
    <w:name w:val="表标题7.2"/>
    <w:basedOn w:val="1"/>
    <w:qFormat/>
    <w:uiPriority w:val="99"/>
    <w:pPr>
      <w:numPr>
        <w:ilvl w:val="0"/>
        <w:numId w:val="15"/>
      </w:numPr>
      <w:tabs>
        <w:tab w:val="left" w:pos="3765"/>
        <w:tab w:val="center" w:pos="4060"/>
        <w:tab w:val="right" w:pos="8261"/>
        <w:tab w:val="clear" w:pos="726"/>
      </w:tabs>
      <w:suppressAutoHyphens/>
      <w:adjustRightInd w:val="0"/>
      <w:spacing w:beforeLines="100" w:line="240" w:lineRule="atLeast"/>
      <w:ind w:left="3041"/>
      <w:jc w:val="center"/>
    </w:pPr>
    <w:rPr>
      <w:rFonts w:ascii="黑体" w:eastAsia="黑体" w:cs="宋体"/>
      <w:b/>
      <w:bCs/>
      <w:spacing w:val="6"/>
      <w:kern w:val="0"/>
      <w:sz w:val="24"/>
    </w:rPr>
  </w:style>
  <w:style w:type="paragraph" w:customStyle="1" w:styleId="1190">
    <w:name w:val="封面 宋体"/>
    <w:basedOn w:val="986"/>
    <w:qFormat/>
    <w:uiPriority w:val="99"/>
    <w:rPr>
      <w:rFonts w:ascii="宋体-方正超大字符集" w:hAnsi="宋体-方正超大字符集" w:eastAsia="宋体-方正超大字符集"/>
      <w:b w:val="0"/>
      <w:bCs/>
      <w:sz w:val="32"/>
    </w:rPr>
  </w:style>
  <w:style w:type="paragraph" w:customStyle="1" w:styleId="1191">
    <w:name w:val="unnamed1"/>
    <w:basedOn w:val="1"/>
    <w:qFormat/>
    <w:uiPriority w:val="99"/>
    <w:pPr>
      <w:widowControl/>
      <w:spacing w:before="100" w:beforeAutospacing="1" w:after="100" w:afterAutospacing="1" w:line="345" w:lineRule="atLeast"/>
      <w:jc w:val="left"/>
    </w:pPr>
    <w:rPr>
      <w:rFonts w:ascii="??" w:hAnsi="??" w:cs="宋体"/>
      <w:color w:val="000000"/>
      <w:kern w:val="0"/>
      <w:sz w:val="18"/>
      <w:szCs w:val="18"/>
    </w:rPr>
  </w:style>
  <w:style w:type="paragraph" w:customStyle="1" w:styleId="1192">
    <w:name w:val="xl107"/>
    <w:basedOn w:val="1"/>
    <w:qFormat/>
    <w:uiPriority w:val="99"/>
    <w:pPr>
      <w:widowControl/>
      <w:pBdr>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193">
    <w:name w:val="样式 标题 4 + (符号) 宋体 段前: 6 磅"/>
    <w:basedOn w:val="10"/>
    <w:qFormat/>
    <w:uiPriority w:val="99"/>
    <w:pPr>
      <w:snapToGrid w:val="0"/>
      <w:spacing w:before="0" w:after="0" w:line="540" w:lineRule="exact"/>
      <w:ind w:left="2884" w:hanging="1984"/>
      <w:jc w:val="left"/>
    </w:pPr>
    <w:rPr>
      <w:rFonts w:ascii="Times New Roman" w:hAnsi="宋体" w:cs="宋体"/>
      <w:sz w:val="24"/>
      <w:szCs w:val="20"/>
    </w:rPr>
  </w:style>
  <w:style w:type="paragraph" w:customStyle="1" w:styleId="1194">
    <w:name w:val="说明书"/>
    <w:basedOn w:val="1"/>
    <w:qFormat/>
    <w:uiPriority w:val="99"/>
    <w:pPr>
      <w:widowControl/>
      <w:adjustRightInd w:val="0"/>
      <w:spacing w:line="500" w:lineRule="exact"/>
      <w:ind w:firstLine="624"/>
      <w:contextualSpacing/>
      <w:jc w:val="left"/>
      <w:textAlignment w:val="baseline"/>
    </w:pPr>
    <w:rPr>
      <w:rFonts w:ascii="Arial" w:hAnsi="Arial" w:cs="宋体"/>
      <w:kern w:val="0"/>
      <w:sz w:val="28"/>
      <w:szCs w:val="20"/>
    </w:rPr>
  </w:style>
  <w:style w:type="paragraph" w:customStyle="1" w:styleId="1195">
    <w:name w:val="Char11"/>
    <w:basedOn w:val="1"/>
    <w:qFormat/>
    <w:uiPriority w:val="99"/>
    <w:pPr>
      <w:snapToGrid w:val="0"/>
      <w:spacing w:line="500" w:lineRule="exact"/>
      <w:contextualSpacing/>
    </w:pPr>
    <w:rPr>
      <w:rFonts w:eastAsia="仿宋_GB2312"/>
    </w:rPr>
  </w:style>
  <w:style w:type="paragraph" w:customStyle="1" w:styleId="1196">
    <w:name w:val="样式111"/>
    <w:basedOn w:val="836"/>
    <w:qFormat/>
    <w:uiPriority w:val="99"/>
    <w:rPr>
      <w:sz w:val="21"/>
    </w:rPr>
  </w:style>
  <w:style w:type="paragraph" w:customStyle="1" w:styleId="1197">
    <w:name w:val="表体"/>
    <w:basedOn w:val="158"/>
    <w:semiHidden/>
    <w:qFormat/>
    <w:uiPriority w:val="99"/>
    <w:pPr>
      <w:overflowPunct w:val="0"/>
      <w:autoSpaceDE w:val="0"/>
      <w:autoSpaceDN w:val="0"/>
      <w:snapToGrid/>
      <w:spacing w:line="300" w:lineRule="atLeast"/>
      <w:jc w:val="left"/>
    </w:pPr>
    <w:rPr>
      <w:rFonts w:eastAsia="宋体"/>
      <w:color w:val="000000"/>
      <w:spacing w:val="0"/>
      <w:kern w:val="24"/>
      <w:sz w:val="18"/>
    </w:rPr>
  </w:style>
  <w:style w:type="paragraph" w:customStyle="1" w:styleId="1198">
    <w:name w:val="font9"/>
    <w:basedOn w:val="1"/>
    <w:qFormat/>
    <w:uiPriority w:val="99"/>
    <w:pPr>
      <w:widowControl/>
      <w:spacing w:before="100" w:beforeAutospacing="1" w:after="100" w:afterAutospacing="1"/>
      <w:jc w:val="left"/>
    </w:pPr>
    <w:rPr>
      <w:rFonts w:ascii="Arial" w:hAnsi="Arial" w:cs="Arial"/>
      <w:b/>
      <w:bCs/>
      <w:kern w:val="0"/>
      <w:sz w:val="28"/>
      <w:szCs w:val="28"/>
    </w:rPr>
  </w:style>
  <w:style w:type="paragraph" w:customStyle="1" w:styleId="1199">
    <w:name w:val="wj12"/>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200">
    <w:name w:val="xl41"/>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1201">
    <w:name w:val="xl156"/>
    <w:basedOn w:val="1"/>
    <w:qFormat/>
    <w:uiPriority w:val="99"/>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20"/>
      <w:szCs w:val="20"/>
    </w:rPr>
  </w:style>
  <w:style w:type="paragraph" w:customStyle="1" w:styleId="1202">
    <w:name w:val="样式 标题 51)项标5 +"/>
    <w:basedOn w:val="11"/>
    <w:qFormat/>
    <w:uiPriority w:val="99"/>
    <w:pPr>
      <w:keepNext w:val="0"/>
      <w:keepLines w:val="0"/>
      <w:tabs>
        <w:tab w:val="left" w:pos="987"/>
        <w:tab w:val="clear" w:pos="1008"/>
      </w:tabs>
      <w:spacing w:before="0" w:after="0" w:line="360" w:lineRule="auto"/>
      <w:ind w:left="987" w:hanging="420"/>
      <w:contextualSpacing/>
    </w:pPr>
    <w:rPr>
      <w:rFonts w:hAnsi="Arial"/>
      <w:b w:val="0"/>
      <w:bCs/>
      <w:color w:val="000000"/>
      <w:spacing w:val="3"/>
      <w:szCs w:val="28"/>
    </w:rPr>
  </w:style>
  <w:style w:type="paragraph" w:customStyle="1" w:styleId="1203">
    <w:name w:val="MTDisplayEquation"/>
    <w:basedOn w:val="1"/>
    <w:next w:val="1"/>
    <w:qFormat/>
    <w:uiPriority w:val="99"/>
    <w:pPr>
      <w:tabs>
        <w:tab w:val="center" w:pos="4540"/>
        <w:tab w:val="right" w:pos="9080"/>
      </w:tabs>
      <w:snapToGrid w:val="0"/>
      <w:spacing w:line="360" w:lineRule="auto"/>
    </w:pPr>
    <w:rPr>
      <w:i/>
    </w:rPr>
  </w:style>
  <w:style w:type="paragraph" w:customStyle="1" w:styleId="1204">
    <w:name w:val="菏泽-正文 Char"/>
    <w:basedOn w:val="1"/>
    <w:qFormat/>
    <w:uiPriority w:val="99"/>
    <w:pPr>
      <w:spacing w:line="440" w:lineRule="exact"/>
      <w:ind w:firstLine="420" w:firstLineChars="200"/>
    </w:pPr>
    <w:rPr>
      <w:rFonts w:ascii="Arial" w:hAnsi="Arial" w:eastAsia="华文细黑"/>
    </w:rPr>
  </w:style>
  <w:style w:type="paragraph" w:customStyle="1" w:styleId="1205">
    <w:name w:val="小?"/>
    <w:basedOn w:val="1"/>
    <w:qFormat/>
    <w:uiPriority w:val="99"/>
    <w:pPr>
      <w:spacing w:before="60" w:after="60" w:line="360" w:lineRule="auto"/>
    </w:pPr>
    <w:rPr>
      <w:szCs w:val="21"/>
    </w:rPr>
  </w:style>
  <w:style w:type="paragraph" w:customStyle="1" w:styleId="1206">
    <w:name w:val="封面 名称"/>
    <w:basedOn w:val="986"/>
    <w:next w:val="986"/>
    <w:qFormat/>
    <w:uiPriority w:val="99"/>
    <w:pPr>
      <w:spacing w:line="640" w:lineRule="exact"/>
    </w:pPr>
    <w:rPr>
      <w:rFonts w:eastAsia="宋体-方正超大字符集"/>
      <w:spacing w:val="40"/>
      <w:sz w:val="44"/>
      <w:szCs w:val="44"/>
    </w:rPr>
  </w:style>
  <w:style w:type="paragraph" w:customStyle="1" w:styleId="1207">
    <w:name w:val="样式11"/>
    <w:basedOn w:val="484"/>
    <w:qFormat/>
    <w:uiPriority w:val="99"/>
    <w:pPr>
      <w:adjustRightInd w:val="0"/>
      <w:spacing w:line="240" w:lineRule="auto"/>
      <w:textAlignment w:val="baseline"/>
    </w:pPr>
    <w:rPr>
      <w:rFonts w:ascii="仿宋_GB2312" w:eastAsia="仿宋_GB2312"/>
      <w:color w:val="000000"/>
      <w:sz w:val="24"/>
      <w:szCs w:val="24"/>
    </w:rPr>
  </w:style>
  <w:style w:type="paragraph" w:customStyle="1" w:styleId="1208">
    <w:name w:val="xl130"/>
    <w:basedOn w:val="1"/>
    <w:qFormat/>
    <w:uiPriority w:val="99"/>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09">
    <w:name w:val="xl174"/>
    <w:basedOn w:val="1"/>
    <w:qFormat/>
    <w:uiPriority w:val="99"/>
    <w:pPr>
      <w:widowControl/>
      <w:spacing w:before="100" w:beforeAutospacing="1" w:after="100" w:afterAutospacing="1"/>
      <w:jc w:val="center"/>
    </w:pPr>
    <w:rPr>
      <w:rFonts w:ascii="Arial Unicode MS" w:hAnsi="Arial Unicode MS"/>
      <w:kern w:val="0"/>
      <w:sz w:val="16"/>
      <w:szCs w:val="16"/>
    </w:rPr>
  </w:style>
  <w:style w:type="paragraph" w:customStyle="1" w:styleId="1210">
    <w:name w:val="xl45"/>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1211">
    <w:name w:val="xl91"/>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12">
    <w:name w:val="xl139"/>
    <w:basedOn w:val="1"/>
    <w:qFormat/>
    <w:uiPriority w:val="99"/>
    <w:pPr>
      <w:widowControl/>
      <w:spacing w:before="100" w:beforeAutospacing="1" w:after="100" w:afterAutospacing="1"/>
      <w:jc w:val="center"/>
      <w:textAlignment w:val="center"/>
    </w:pPr>
    <w:rPr>
      <w:rFonts w:ascii="Arial Unicode MS" w:hAnsi="Arial Unicode MS"/>
      <w:kern w:val="0"/>
      <w:sz w:val="16"/>
      <w:szCs w:val="16"/>
    </w:rPr>
  </w:style>
  <w:style w:type="paragraph" w:customStyle="1" w:styleId="1213">
    <w:name w:val="font_mid"/>
    <w:basedOn w:val="1"/>
    <w:qFormat/>
    <w:uiPriority w:val="99"/>
    <w:pPr>
      <w:widowControl/>
      <w:spacing w:before="100" w:beforeAutospacing="1" w:after="100" w:afterAutospacing="1"/>
      <w:jc w:val="left"/>
    </w:pPr>
    <w:rPr>
      <w:rFonts w:ascii="宋体" w:hAnsi="宋体"/>
      <w:color w:val="000000"/>
      <w:kern w:val="0"/>
      <w:sz w:val="24"/>
    </w:rPr>
  </w:style>
  <w:style w:type="paragraph" w:customStyle="1" w:styleId="1214">
    <w:name w:val="表格的文字"/>
    <w:basedOn w:val="1"/>
    <w:qFormat/>
    <w:uiPriority w:val="99"/>
    <w:pPr>
      <w:spacing w:line="300" w:lineRule="exact"/>
      <w:jc w:val="center"/>
    </w:pPr>
    <w:rPr>
      <w:rFonts w:ascii="仿宋_GB2312" w:eastAsia="仿宋_GB2312"/>
      <w:bCs/>
      <w:szCs w:val="20"/>
    </w:rPr>
  </w:style>
  <w:style w:type="paragraph" w:customStyle="1" w:styleId="1215">
    <w:name w:val="新正文"/>
    <w:basedOn w:val="1"/>
    <w:qFormat/>
    <w:uiPriority w:val="99"/>
    <w:pPr>
      <w:spacing w:line="480" w:lineRule="exact"/>
      <w:ind w:firstLine="567"/>
    </w:pPr>
    <w:rPr>
      <w:rFonts w:ascii="仿宋_GB2312" w:eastAsia="仿宋_GB2312"/>
      <w:bCs/>
      <w:kern w:val="0"/>
      <w:sz w:val="28"/>
      <w:szCs w:val="20"/>
    </w:rPr>
  </w:style>
  <w:style w:type="paragraph" w:customStyle="1" w:styleId="1216">
    <w:name w:val="brdrw15brsp20 tqctx4153t"/>
    <w:qFormat/>
    <w:uiPriority w:val="99"/>
    <w:pPr>
      <w:widowControl w:val="0"/>
      <w:pBdr>
        <w:bottom w:val="single" w:color="auto" w:sz="6" w:space="0"/>
      </w:pBdr>
      <w:adjustRightInd w:val="0"/>
      <w:spacing w:line="312" w:lineRule="atLeast"/>
      <w:jc w:val="center"/>
      <w:textAlignment w:val="baseline"/>
    </w:pPr>
    <w:rPr>
      <w:rFonts w:ascii="Times New Roman" w:hAnsi="Times New Roman" w:eastAsia="宋体" w:cs="Times New Roman"/>
      <w:kern w:val="0"/>
      <w:sz w:val="21"/>
      <w:szCs w:val="20"/>
      <w:lang w:val="en-US" w:eastAsia="zh-CN" w:bidi="ar-SA"/>
    </w:rPr>
  </w:style>
  <w:style w:type="paragraph" w:customStyle="1" w:styleId="1217">
    <w:name w:val="xl196"/>
    <w:basedOn w:val="1"/>
    <w:qFormat/>
    <w:uiPriority w:val="99"/>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1218">
    <w:name w:val="zw"/>
    <w:basedOn w:val="1"/>
    <w:qFormat/>
    <w:uiPriority w:val="99"/>
    <w:pPr>
      <w:widowControl/>
      <w:spacing w:before="100" w:beforeAutospacing="1" w:after="100" w:afterAutospacing="1" w:line="400" w:lineRule="atLeast"/>
      <w:jc w:val="left"/>
    </w:pPr>
    <w:rPr>
      <w:rFonts w:ascii="宋体" w:hAnsi="宋体"/>
      <w:kern w:val="0"/>
      <w:sz w:val="22"/>
      <w:szCs w:val="22"/>
    </w:rPr>
  </w:style>
  <w:style w:type="paragraph" w:customStyle="1" w:styleId="1219">
    <w:name w:val="Char51"/>
    <w:basedOn w:val="1"/>
    <w:qFormat/>
    <w:uiPriority w:val="99"/>
  </w:style>
  <w:style w:type="paragraph" w:customStyle="1" w:styleId="1220">
    <w:name w:val="xl180"/>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21">
    <w:name w:val="样式 标题 2 + 段前: 0.1 行 段后: 0.1 行"/>
    <w:basedOn w:val="8"/>
    <w:qFormat/>
    <w:uiPriority w:val="99"/>
    <w:pPr>
      <w:spacing w:beforeLines="100" w:afterLines="100" w:line="240" w:lineRule="auto"/>
      <w:ind w:left="1134" w:hanging="992"/>
    </w:pPr>
    <w:rPr>
      <w:rFonts w:ascii="Times New Roman" w:hAnsi="Times New Roman" w:cs="宋体"/>
      <w:sz w:val="30"/>
      <w:szCs w:val="20"/>
    </w:rPr>
  </w:style>
  <w:style w:type="paragraph" w:customStyle="1" w:styleId="1222">
    <w:name w:val="copyright"/>
    <w:basedOn w:val="1"/>
    <w:qFormat/>
    <w:uiPriority w:val="99"/>
    <w:pPr>
      <w:widowControl/>
      <w:spacing w:before="100" w:beforeAutospacing="1" w:after="100" w:afterAutospacing="1"/>
      <w:ind w:firstLine="401"/>
      <w:jc w:val="left"/>
    </w:pPr>
    <w:rPr>
      <w:rFonts w:ascii="宋体" w:hAnsi="宋体" w:cs="宋体"/>
      <w:color w:val="000000"/>
      <w:kern w:val="0"/>
      <w:sz w:val="20"/>
      <w:szCs w:val="20"/>
    </w:rPr>
  </w:style>
  <w:style w:type="paragraph" w:customStyle="1" w:styleId="1223">
    <w:name w:val="样式 标题 4 + (西文) Times New Roman (中文) 宋体 小四"/>
    <w:basedOn w:val="10"/>
    <w:qFormat/>
    <w:uiPriority w:val="99"/>
    <w:pPr>
      <w:tabs>
        <w:tab w:val="left" w:pos="1247"/>
      </w:tabs>
      <w:spacing w:beforeLines="25" w:afterLines="25" w:line="360" w:lineRule="auto"/>
      <w:ind w:left="964" w:hanging="964"/>
    </w:pPr>
    <w:rPr>
      <w:rFonts w:ascii="宋体" w:hAnsi="宋体"/>
      <w:b w:val="0"/>
      <w:bCs w:val="0"/>
      <w:sz w:val="24"/>
      <w:szCs w:val="24"/>
    </w:rPr>
  </w:style>
  <w:style w:type="paragraph" w:customStyle="1" w:styleId="1224">
    <w:name w:val="Char Char Char"/>
    <w:basedOn w:val="1"/>
    <w:qFormat/>
    <w:uiPriority w:val="99"/>
    <w:rPr>
      <w:sz w:val="24"/>
    </w:rPr>
  </w:style>
  <w:style w:type="paragraph" w:customStyle="1" w:styleId="1225">
    <w:name w:val="表格文本 小五 居中"/>
    <w:basedOn w:val="1"/>
    <w:qFormat/>
    <w:uiPriority w:val="99"/>
    <w:pPr>
      <w:adjustRightInd w:val="0"/>
      <w:snapToGrid w:val="0"/>
      <w:jc w:val="center"/>
    </w:pPr>
    <w:rPr>
      <w:rFonts w:cs="宋体"/>
      <w:szCs w:val="21"/>
    </w:rPr>
  </w:style>
  <w:style w:type="paragraph" w:customStyle="1" w:styleId="1226">
    <w:name w:val="xl116"/>
    <w:basedOn w:val="1"/>
    <w:qFormat/>
    <w:uiPriority w:val="99"/>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227">
    <w:name w:val="表格 左侧"/>
    <w:basedOn w:val="198"/>
    <w:qFormat/>
    <w:uiPriority w:val="99"/>
    <w:pPr>
      <w:widowControl/>
      <w:adjustRightInd/>
      <w:snapToGrid/>
      <w:spacing w:beforeLines="0" w:afterLines="0" w:line="240" w:lineRule="auto"/>
      <w:jc w:val="left"/>
    </w:pPr>
    <w:rPr>
      <w:rFonts w:ascii="Times New Roman"/>
      <w:b/>
      <w:bCs/>
      <w:kern w:val="18"/>
      <w:szCs w:val="21"/>
    </w:rPr>
  </w:style>
  <w:style w:type="paragraph" w:customStyle="1" w:styleId="1228">
    <w:name w:val="样式 样式 样式 首行缩进:  2 字符 + 首行缩进:  2 字符 + 居中 行距: 单倍行距"/>
    <w:basedOn w:val="1"/>
    <w:qFormat/>
    <w:uiPriority w:val="99"/>
    <w:pPr>
      <w:jc w:val="center"/>
    </w:pPr>
    <w:rPr>
      <w:rFonts w:eastAsia="仿宋_GB2312"/>
      <w:sz w:val="24"/>
      <w:szCs w:val="20"/>
    </w:rPr>
  </w:style>
  <w:style w:type="paragraph" w:customStyle="1" w:styleId="1229">
    <w:name w:val="样式 样式 样式 标题 4 + 宋体 行距: 1.5 倍行距 + 段前: 0.5 行 + Times New Roman"/>
    <w:basedOn w:val="827"/>
    <w:qFormat/>
    <w:uiPriority w:val="99"/>
    <w:pPr>
      <w:snapToGrid w:val="0"/>
      <w:spacing w:beforeLines="50" w:after="120"/>
      <w:ind w:left="2884" w:hanging="2884"/>
      <w:jc w:val="left"/>
    </w:pPr>
    <w:rPr>
      <w:rFonts w:hAnsi="Times New Roman"/>
      <w:b w:val="0"/>
    </w:rPr>
  </w:style>
  <w:style w:type="paragraph" w:customStyle="1" w:styleId="1230">
    <w:name w:val="xl81"/>
    <w:basedOn w:val="1"/>
    <w:qFormat/>
    <w:uiPriority w:val="99"/>
    <w:pPr>
      <w:widowControl/>
      <w:pBdr>
        <w:left w:val="single" w:color="auto" w:sz="12" w:space="0"/>
        <w:bottom w:val="single" w:color="auto" w:sz="12" w:space="0"/>
        <w:right w:val="single" w:color="auto" w:sz="4" w:space="0"/>
      </w:pBdr>
      <w:spacing w:before="100" w:beforeAutospacing="1" w:after="100" w:afterAutospacing="1"/>
      <w:jc w:val="center"/>
    </w:pPr>
    <w:rPr>
      <w:rFonts w:ascii="Arial Unicode MS" w:hAnsi="Arial Unicode MS"/>
      <w:kern w:val="0"/>
      <w:sz w:val="12"/>
      <w:szCs w:val="12"/>
    </w:rPr>
  </w:style>
  <w:style w:type="paragraph" w:customStyle="1" w:styleId="1231">
    <w:name w:val="表格样式"/>
    <w:basedOn w:val="1"/>
    <w:qFormat/>
    <w:uiPriority w:val="99"/>
    <w:pPr>
      <w:widowControl/>
    </w:pPr>
    <w:rPr>
      <w:sz w:val="24"/>
    </w:rPr>
  </w:style>
  <w:style w:type="paragraph" w:customStyle="1" w:styleId="1232">
    <w:name w:val="表格文字中 Char Char"/>
    <w:basedOn w:val="1"/>
    <w:qFormat/>
    <w:uiPriority w:val="99"/>
    <w:pPr>
      <w:keepNext/>
      <w:widowControl/>
      <w:spacing w:line="160" w:lineRule="atLeast"/>
      <w:contextualSpacing/>
      <w:jc w:val="center"/>
    </w:pPr>
    <w:rPr>
      <w:rFonts w:cs="宋体"/>
      <w:color w:val="000000"/>
      <w:kern w:val="0"/>
      <w:szCs w:val="20"/>
    </w:rPr>
  </w:style>
  <w:style w:type="paragraph" w:customStyle="1" w:styleId="1233">
    <w:name w:val="表文"/>
    <w:basedOn w:val="1"/>
    <w:qFormat/>
    <w:uiPriority w:val="99"/>
    <w:pPr>
      <w:keepNext/>
      <w:adjustRightInd w:val="0"/>
      <w:spacing w:before="40" w:line="288" w:lineRule="auto"/>
      <w:jc w:val="center"/>
      <w:textAlignment w:val="baseline"/>
    </w:pPr>
    <w:rPr>
      <w:kern w:val="0"/>
      <w:sz w:val="24"/>
      <w:szCs w:val="20"/>
    </w:rPr>
  </w:style>
  <w:style w:type="paragraph" w:customStyle="1" w:styleId="1234">
    <w:name w:val="菏泽-标题 3 Char Char Char"/>
    <w:basedOn w:val="1"/>
    <w:next w:val="1"/>
    <w:qFormat/>
    <w:uiPriority w:val="99"/>
    <w:pPr>
      <w:keepNext/>
      <w:keepLines/>
      <w:overflowPunct w:val="0"/>
      <w:snapToGrid w:val="0"/>
      <w:spacing w:line="440" w:lineRule="exact"/>
      <w:ind w:firstLine="359" w:firstLineChars="128"/>
      <w:outlineLvl w:val="2"/>
    </w:pPr>
    <w:rPr>
      <w:rFonts w:ascii="华文细黑" w:hAnsi="华文细黑" w:eastAsia="华文细黑"/>
      <w:b/>
      <w:sz w:val="28"/>
      <w:szCs w:val="28"/>
    </w:rPr>
  </w:style>
  <w:style w:type="paragraph" w:customStyle="1" w:styleId="1235">
    <w:name w:val="东明_正文"/>
    <w:basedOn w:val="1"/>
    <w:qFormat/>
    <w:uiPriority w:val="99"/>
    <w:pPr>
      <w:spacing w:before="240" w:after="240" w:line="480" w:lineRule="exact"/>
      <w:ind w:firstLine="560" w:firstLineChars="200"/>
    </w:pPr>
    <w:rPr>
      <w:sz w:val="28"/>
      <w:szCs w:val="20"/>
    </w:rPr>
  </w:style>
  <w:style w:type="paragraph" w:customStyle="1" w:styleId="1236">
    <w:name w:val="样式 标题 1章标题 11标题 1H1一、 + 行距: 1.5 倍行距3"/>
    <w:basedOn w:val="7"/>
    <w:semiHidden/>
    <w:qFormat/>
    <w:uiPriority w:val="99"/>
    <w:pPr>
      <w:keepLines/>
      <w:overflowPunct/>
      <w:spacing w:before="340" w:after="330" w:line="360" w:lineRule="auto"/>
      <w:ind w:left="3845" w:hanging="3845"/>
      <w:jc w:val="center"/>
    </w:pPr>
    <w:rPr>
      <w:rFonts w:cs="宋体"/>
      <w:color w:val="auto"/>
      <w:sz w:val="44"/>
      <w:szCs w:val="20"/>
    </w:rPr>
  </w:style>
  <w:style w:type="paragraph" w:customStyle="1" w:styleId="1237">
    <w:name w:val="5 Char"/>
    <w:basedOn w:val="1"/>
    <w:qFormat/>
    <w:uiPriority w:val="99"/>
    <w:rPr>
      <w:sz w:val="24"/>
    </w:rPr>
  </w:style>
  <w:style w:type="paragraph" w:customStyle="1" w:styleId="1238">
    <w:name w:val="正文内容"/>
    <w:basedOn w:val="1"/>
    <w:qFormat/>
    <w:uiPriority w:val="99"/>
    <w:pPr>
      <w:adjustRightInd w:val="0"/>
      <w:snapToGrid w:val="0"/>
      <w:spacing w:line="360" w:lineRule="auto"/>
      <w:ind w:firstLine="510"/>
    </w:pPr>
    <w:rPr>
      <w:rFonts w:ascii="宋体" w:hAnsi="宋体"/>
      <w:spacing w:val="4"/>
      <w:kern w:val="0"/>
      <w:sz w:val="24"/>
      <w:szCs w:val="20"/>
    </w:rPr>
  </w:style>
  <w:style w:type="paragraph" w:customStyle="1" w:styleId="1239">
    <w:name w:val="样式 标题 4 + 左侧:  0 厘米 首行缩进:  0 厘米"/>
    <w:basedOn w:val="10"/>
    <w:qFormat/>
    <w:uiPriority w:val="99"/>
    <w:pPr>
      <w:spacing w:before="0" w:after="0" w:line="360" w:lineRule="auto"/>
    </w:pPr>
    <w:rPr>
      <w:rFonts w:ascii="黑体" w:hAnsi="宋体" w:eastAsia="黑体" w:cs="宋体"/>
      <w:b w:val="0"/>
      <w:sz w:val="24"/>
      <w:szCs w:val="20"/>
    </w:rPr>
  </w:style>
  <w:style w:type="paragraph" w:customStyle="1" w:styleId="1240">
    <w:name w:val="xl26"/>
    <w:basedOn w:val="1"/>
    <w:qFormat/>
    <w:uiPriority w:val="99"/>
    <w:pPr>
      <w:widowControl/>
      <w:pBdr>
        <w:bottom w:val="single" w:color="auto" w:sz="4" w:space="0"/>
        <w:right w:val="single" w:color="auto" w:sz="4" w:space="0"/>
      </w:pBdr>
      <w:spacing w:before="100" w:after="100"/>
      <w:jc w:val="center"/>
      <w:textAlignment w:val="top"/>
    </w:pPr>
    <w:rPr>
      <w:kern w:val="0"/>
      <w:szCs w:val="20"/>
    </w:rPr>
  </w:style>
  <w:style w:type="paragraph" w:customStyle="1" w:styleId="1241">
    <w:name w:val="样式 标题 2 + 行距: 1.5 倍行距1"/>
    <w:basedOn w:val="8"/>
    <w:qFormat/>
    <w:uiPriority w:val="99"/>
    <w:pPr>
      <w:snapToGrid w:val="0"/>
      <w:spacing w:before="240" w:after="240" w:line="240" w:lineRule="auto"/>
      <w:ind w:left="1134" w:hanging="992"/>
      <w:jc w:val="left"/>
    </w:pPr>
    <w:rPr>
      <w:rFonts w:ascii="Times New Roman" w:hAnsi="Times New Roman" w:cs="宋体"/>
      <w:sz w:val="28"/>
      <w:szCs w:val="20"/>
    </w:rPr>
  </w:style>
  <w:style w:type="paragraph" w:customStyle="1" w:styleId="1242">
    <w:name w:val="标题21"/>
    <w:basedOn w:val="1"/>
    <w:qFormat/>
    <w:uiPriority w:val="99"/>
    <w:pPr>
      <w:suppressLineNumbers/>
      <w:spacing w:line="360" w:lineRule="auto"/>
      <w:outlineLvl w:val="1"/>
    </w:pPr>
    <w:rPr>
      <w:rFonts w:eastAsia="黑体"/>
      <w:sz w:val="36"/>
      <w:szCs w:val="36"/>
    </w:rPr>
  </w:style>
  <w:style w:type="paragraph" w:customStyle="1" w:styleId="1243">
    <w:name w:val="普通 (Web)"/>
    <w:basedOn w:val="1"/>
    <w:qFormat/>
    <w:uiPriority w:val="99"/>
    <w:pPr>
      <w:widowControl/>
      <w:spacing w:before="100" w:beforeAutospacing="1" w:after="100" w:afterAutospacing="1"/>
      <w:jc w:val="left"/>
    </w:pPr>
    <w:rPr>
      <w:rFonts w:ascii="宋体" w:hAnsi="宋体"/>
      <w:kern w:val="0"/>
      <w:sz w:val="24"/>
    </w:rPr>
  </w:style>
  <w:style w:type="paragraph" w:customStyle="1" w:styleId="1244">
    <w:name w:val="样式 样式 样式 正文 首行缩进:  2 字符 SL CON + 首行缩进:  2 字符 + (符号) 宋体 + 字距调整小四"/>
    <w:basedOn w:val="1"/>
    <w:qFormat/>
    <w:uiPriority w:val="99"/>
    <w:pPr>
      <w:widowControl/>
      <w:numPr>
        <w:ilvl w:val="0"/>
        <w:numId w:val="4"/>
      </w:numPr>
      <w:tabs>
        <w:tab w:val="left" w:pos="377"/>
      </w:tabs>
      <w:spacing w:line="360" w:lineRule="auto"/>
      <w:ind w:left="0" w:firstLine="480" w:firstLineChars="200"/>
    </w:pPr>
    <w:rPr>
      <w:rFonts w:ascii="宋体" w:hAnsi="宋体" w:cs="宋体"/>
      <w:kern w:val="24"/>
      <w:sz w:val="24"/>
    </w:rPr>
  </w:style>
  <w:style w:type="paragraph" w:customStyle="1" w:styleId="1245">
    <w:name w:val="样式 题注 + (西文) Arial (中文) 黑体 小四 Char Char"/>
    <w:basedOn w:val="25"/>
    <w:qFormat/>
    <w:uiPriority w:val="99"/>
    <w:pPr>
      <w:keepNext/>
      <w:numPr>
        <w:ilvl w:val="0"/>
        <w:numId w:val="16"/>
      </w:numPr>
      <w:tabs>
        <w:tab w:val="left" w:pos="1620"/>
      </w:tabs>
      <w:adjustRightInd w:val="0"/>
      <w:spacing w:line="240" w:lineRule="auto"/>
      <w:ind w:left="1620" w:leftChars="600" w:hanging="360" w:hangingChars="200"/>
      <w:jc w:val="center"/>
    </w:pPr>
    <w:rPr>
      <w:sz w:val="24"/>
      <w:szCs w:val="28"/>
    </w:rPr>
  </w:style>
  <w:style w:type="paragraph" w:customStyle="1" w:styleId="1246">
    <w:name w:val="标题正4"/>
    <w:basedOn w:val="1"/>
    <w:qFormat/>
    <w:uiPriority w:val="99"/>
    <w:pPr>
      <w:jc w:val="center"/>
    </w:pPr>
    <w:rPr>
      <w:rFonts w:ascii="仿宋_GB2312" w:eastAsia="仿宋_GB2312"/>
      <w:color w:val="000000"/>
    </w:rPr>
  </w:style>
  <w:style w:type="paragraph" w:customStyle="1" w:styleId="1247">
    <w:name w:val="xl193"/>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6"/>
      <w:szCs w:val="16"/>
    </w:rPr>
  </w:style>
  <w:style w:type="paragraph" w:customStyle="1" w:styleId="1248">
    <w:name w:val="表序号"/>
    <w:basedOn w:val="11"/>
    <w:qFormat/>
    <w:uiPriority w:val="99"/>
    <w:pPr>
      <w:tabs>
        <w:tab w:val="left" w:pos="3093"/>
        <w:tab w:val="clear" w:pos="1008"/>
      </w:tabs>
      <w:spacing w:before="0" w:after="0" w:line="360" w:lineRule="auto"/>
      <w:ind w:left="3093" w:hanging="420"/>
      <w:jc w:val="center"/>
    </w:pPr>
    <w:rPr>
      <w:rFonts w:ascii="宋体" w:hAnsi="Arial"/>
      <w:kern w:val="0"/>
      <w:sz w:val="24"/>
    </w:rPr>
  </w:style>
  <w:style w:type="paragraph" w:customStyle="1" w:styleId="1249">
    <w:name w:val="ST20_1"/>
    <w:basedOn w:val="1"/>
    <w:qFormat/>
    <w:uiPriority w:val="99"/>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250">
    <w:name w:val="样式1"/>
    <w:basedOn w:val="11"/>
    <w:qFormat/>
    <w:uiPriority w:val="99"/>
    <w:pPr>
      <w:keepNext w:val="0"/>
      <w:keepLines w:val="0"/>
      <w:tabs>
        <w:tab w:val="clear" w:pos="1008"/>
      </w:tabs>
      <w:spacing w:before="0" w:after="0" w:line="360" w:lineRule="exact"/>
      <w:ind w:left="0" w:firstLine="0"/>
      <w:jc w:val="center"/>
      <w:outlineLvl w:val="9"/>
    </w:pPr>
    <w:rPr>
      <w:rFonts w:ascii="宋体" w:hAnsi="宋体"/>
      <w:b w:val="0"/>
      <w:sz w:val="18"/>
      <w:szCs w:val="21"/>
    </w:rPr>
  </w:style>
  <w:style w:type="paragraph" w:customStyle="1" w:styleId="1251">
    <w:name w:val="xl32"/>
    <w:basedOn w:val="1"/>
    <w:qFormat/>
    <w:uiPriority w:val="99"/>
    <w:pPr>
      <w:widowControl/>
      <w:pBdr>
        <w:right w:val="single" w:color="auto" w:sz="4" w:space="0"/>
      </w:pBdr>
      <w:spacing w:before="100" w:beforeAutospacing="1" w:after="100" w:afterAutospacing="1"/>
      <w:jc w:val="center"/>
      <w:textAlignment w:val="bottom"/>
    </w:pPr>
    <w:rPr>
      <w:rFonts w:ascii="Arial" w:hAnsi="Arial" w:cs="Arial"/>
      <w:kern w:val="0"/>
      <w:sz w:val="28"/>
      <w:szCs w:val="28"/>
    </w:rPr>
  </w:style>
  <w:style w:type="paragraph" w:customStyle="1" w:styleId="1252">
    <w:name w:val="xl150"/>
    <w:basedOn w:val="1"/>
    <w:qFormat/>
    <w:uiPriority w:val="99"/>
    <w:pPr>
      <w:widowControl/>
      <w:pBdr>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253">
    <w:name w:val="样式 小四 首行缩进:  1.01 厘米 行距: 1.5 倍行距"/>
    <w:basedOn w:val="1"/>
    <w:qFormat/>
    <w:uiPriority w:val="99"/>
    <w:pPr>
      <w:spacing w:line="360" w:lineRule="auto"/>
    </w:pPr>
    <w:rPr>
      <w:rFonts w:ascii="宋体" w:hAnsi="宋体" w:cs="宋体"/>
      <w:sz w:val="24"/>
    </w:rPr>
  </w:style>
  <w:style w:type="paragraph" w:customStyle="1" w:styleId="1254">
    <w:name w:val="表头及图标"/>
    <w:basedOn w:val="408"/>
    <w:qFormat/>
    <w:uiPriority w:val="99"/>
    <w:pPr>
      <w:ind w:firstLine="0" w:firstLineChars="0"/>
      <w:jc w:val="center"/>
    </w:pPr>
    <w:rPr>
      <w:b/>
      <w:bCs/>
      <w:sz w:val="21"/>
    </w:rPr>
  </w:style>
  <w:style w:type="paragraph" w:customStyle="1" w:styleId="1255">
    <w:name w:val="3级标题"/>
    <w:basedOn w:val="1"/>
    <w:qFormat/>
    <w:uiPriority w:val="99"/>
    <w:pPr>
      <w:spacing w:before="300" w:line="460" w:lineRule="exact"/>
      <w:outlineLvl w:val="2"/>
    </w:pPr>
    <w:rPr>
      <w:b/>
      <w:sz w:val="24"/>
      <w:szCs w:val="20"/>
    </w:rPr>
  </w:style>
  <w:style w:type="paragraph" w:customStyle="1" w:styleId="1256">
    <w:name w:val="公式样式1"/>
    <w:basedOn w:val="1"/>
    <w:qFormat/>
    <w:uiPriority w:val="99"/>
    <w:pPr>
      <w:spacing w:line="360" w:lineRule="auto"/>
      <w:ind w:firstLine="235" w:firstLineChars="100"/>
    </w:pPr>
    <w:rPr>
      <w:rFonts w:ascii="宋体" w:hAnsi="Arial Black"/>
      <w:szCs w:val="20"/>
    </w:rPr>
  </w:style>
  <w:style w:type="paragraph" w:customStyle="1" w:styleId="1257">
    <w:name w:val="工艺1"/>
    <w:basedOn w:val="1"/>
    <w:qFormat/>
    <w:uiPriority w:val="99"/>
    <w:pPr>
      <w:adjustRightInd w:val="0"/>
      <w:snapToGrid w:val="0"/>
      <w:spacing w:line="360" w:lineRule="auto"/>
    </w:pPr>
    <w:rPr>
      <w:rFonts w:ascii="宋体"/>
      <w:b/>
      <w:sz w:val="28"/>
      <w:szCs w:val="20"/>
    </w:rPr>
  </w:style>
  <w:style w:type="paragraph" w:customStyle="1" w:styleId="1258">
    <w:name w:val="样式 正文文本 + 宋体 行距: 1.5 倍行距"/>
    <w:basedOn w:val="35"/>
    <w:qFormat/>
    <w:uiPriority w:val="99"/>
    <w:pPr>
      <w:widowControl w:val="0"/>
      <w:snapToGrid/>
      <w:spacing w:before="0" w:after="120" w:line="360" w:lineRule="auto"/>
      <w:ind w:right="0" w:firstLine="480" w:firstLineChars="200"/>
    </w:pPr>
    <w:rPr>
      <w:rFonts w:cs="宋体"/>
      <w:sz w:val="24"/>
    </w:rPr>
  </w:style>
  <w:style w:type="paragraph" w:customStyle="1" w:styleId="1259">
    <w:name w:val="xl37"/>
    <w:basedOn w:val="1"/>
    <w:qFormat/>
    <w:uiPriority w:val="99"/>
    <w:pPr>
      <w:widowControl/>
      <w:spacing w:before="100" w:beforeAutospacing="1" w:after="100" w:afterAutospacing="1"/>
      <w:jc w:val="left"/>
    </w:pPr>
    <w:rPr>
      <w:rFonts w:ascii="Arial" w:hAnsi="Arial" w:cs="Arial"/>
      <w:kern w:val="0"/>
      <w:sz w:val="24"/>
    </w:rPr>
  </w:style>
  <w:style w:type="paragraph" w:customStyle="1" w:styleId="1260">
    <w:name w:val="样式 正文缩进正文（首行缩进两字）正文（首行缩进两字） Char Char Char Char Char Char Char..."/>
    <w:basedOn w:val="12"/>
    <w:qFormat/>
    <w:uiPriority w:val="99"/>
    <w:pPr>
      <w:spacing w:line="312" w:lineRule="auto"/>
      <w:ind w:firstLine="539" w:firstLineChars="0"/>
    </w:pPr>
    <w:rPr>
      <w:kern w:val="0"/>
      <w:sz w:val="28"/>
    </w:rPr>
  </w:style>
  <w:style w:type="paragraph" w:customStyle="1" w:styleId="1261">
    <w:name w:val="论文正文"/>
    <w:basedOn w:val="12"/>
    <w:qFormat/>
    <w:uiPriority w:val="99"/>
    <w:pPr>
      <w:ind w:firstLine="480"/>
    </w:pPr>
    <w:rPr>
      <w:rFonts w:ascii="宋体" w:hAnsi="宋体"/>
      <w:kern w:val="0"/>
      <w:sz w:val="28"/>
    </w:rPr>
  </w:style>
  <w:style w:type="paragraph" w:customStyle="1" w:styleId="1262">
    <w:name w:val="表格内容 + 左对齐"/>
    <w:basedOn w:val="320"/>
    <w:qFormat/>
    <w:uiPriority w:val="99"/>
    <w:rPr>
      <w:rFonts w:cs="宋体"/>
    </w:rPr>
  </w:style>
  <w:style w:type="paragraph" w:customStyle="1" w:styleId="1263">
    <w:name w:val="样式 样式 标题 2节 + (西文) Times New Roman (中文) 宋体 四号 段前: 0.5 行 段后: 0......"/>
    <w:basedOn w:val="1"/>
    <w:qFormat/>
    <w:uiPriority w:val="99"/>
    <w:pPr>
      <w:keepNext/>
      <w:keepLines/>
      <w:adjustRightInd w:val="0"/>
      <w:snapToGrid w:val="0"/>
      <w:spacing w:beforeLines="90" w:afterLines="90" w:line="300" w:lineRule="auto"/>
      <w:ind w:left="992" w:hanging="992"/>
      <w:outlineLvl w:val="1"/>
    </w:pPr>
    <w:rPr>
      <w:rFonts w:ascii="宋体" w:hAnsi="宋体"/>
      <w:bCs/>
      <w:sz w:val="30"/>
      <w:szCs w:val="30"/>
    </w:rPr>
  </w:style>
  <w:style w:type="paragraph" w:customStyle="1" w:styleId="1264">
    <w:name w:val="CM28"/>
    <w:basedOn w:val="1"/>
    <w:next w:val="1"/>
    <w:qFormat/>
    <w:uiPriority w:val="99"/>
    <w:pPr>
      <w:autoSpaceDE w:val="0"/>
      <w:autoSpaceDN w:val="0"/>
      <w:adjustRightInd w:val="0"/>
      <w:spacing w:line="468" w:lineRule="atLeast"/>
      <w:jc w:val="left"/>
    </w:pPr>
    <w:rPr>
      <w:rFonts w:ascii="宋体" w:cs="宋体"/>
      <w:kern w:val="0"/>
      <w:sz w:val="24"/>
    </w:rPr>
  </w:style>
  <w:style w:type="paragraph" w:customStyle="1" w:styleId="1265">
    <w:name w:val="宏福4"/>
    <w:basedOn w:val="1"/>
    <w:qFormat/>
    <w:uiPriority w:val="99"/>
    <w:pPr>
      <w:adjustRightInd w:val="0"/>
      <w:spacing w:line="400" w:lineRule="atLeast"/>
      <w:ind w:firstLine="567"/>
      <w:jc w:val="left"/>
      <w:textAlignment w:val="baseline"/>
    </w:pPr>
    <w:rPr>
      <w:sz w:val="28"/>
      <w:szCs w:val="28"/>
    </w:rPr>
  </w:style>
  <w:style w:type="paragraph" w:customStyle="1" w:styleId="1266">
    <w:name w:val="style2"/>
    <w:basedOn w:val="1"/>
    <w:qFormat/>
    <w:uiPriority w:val="99"/>
    <w:pPr>
      <w:widowControl/>
      <w:spacing w:before="100" w:beforeAutospacing="1" w:after="100" w:afterAutospacing="1"/>
      <w:jc w:val="left"/>
    </w:pPr>
    <w:rPr>
      <w:rFonts w:ascii="宋体" w:hAnsi="宋体"/>
      <w:kern w:val="0"/>
      <w:sz w:val="24"/>
    </w:rPr>
  </w:style>
  <w:style w:type="paragraph" w:customStyle="1" w:styleId="1267">
    <w:name w:val="样式 标题 1章标题 11标题 1H1一、 + 行距: 1.5 倍行距2"/>
    <w:basedOn w:val="7"/>
    <w:semiHidden/>
    <w:qFormat/>
    <w:uiPriority w:val="99"/>
    <w:pPr>
      <w:keepLines/>
      <w:overflowPunct/>
      <w:spacing w:before="340" w:after="330" w:line="360" w:lineRule="auto"/>
      <w:ind w:left="3845" w:hanging="3845"/>
      <w:jc w:val="center"/>
    </w:pPr>
    <w:rPr>
      <w:rFonts w:cs="宋体"/>
      <w:color w:val="auto"/>
      <w:sz w:val="44"/>
      <w:szCs w:val="20"/>
    </w:rPr>
  </w:style>
  <w:style w:type="paragraph" w:customStyle="1" w:styleId="1268">
    <w:name w:val=".66l.66l"/>
    <w:basedOn w:val="1"/>
    <w:semiHidden/>
    <w:qFormat/>
    <w:uiPriority w:val="99"/>
    <w:pPr>
      <w:autoSpaceDE w:val="0"/>
      <w:autoSpaceDN w:val="0"/>
      <w:adjustRightInd w:val="0"/>
      <w:spacing w:line="312" w:lineRule="atLeast"/>
      <w:ind w:firstLine="570"/>
      <w:textAlignment w:val="baseline"/>
    </w:pPr>
    <w:rPr>
      <w:rFonts w:ascii="宋体"/>
      <w:kern w:val="0"/>
      <w:sz w:val="28"/>
      <w:szCs w:val="20"/>
    </w:rPr>
  </w:style>
  <w:style w:type="paragraph" w:customStyle="1" w:styleId="1269">
    <w:name w:val="xl154"/>
    <w:basedOn w:val="1"/>
    <w:qFormat/>
    <w:uiPriority w:val="99"/>
    <w:pPr>
      <w:widowControl/>
      <w:pBdr>
        <w:left w:val="single" w:color="auto" w:sz="12" w:space="0"/>
        <w:bottom w:val="single" w:color="auto" w:sz="8" w:space="0"/>
      </w:pBdr>
      <w:spacing w:before="100" w:beforeAutospacing="1" w:after="100" w:afterAutospacing="1"/>
      <w:jc w:val="center"/>
    </w:pPr>
    <w:rPr>
      <w:rFonts w:ascii="Arial Unicode MS" w:hAnsi="Arial Unicode MS"/>
      <w:kern w:val="0"/>
      <w:sz w:val="12"/>
      <w:szCs w:val="12"/>
    </w:rPr>
  </w:style>
  <w:style w:type="paragraph" w:customStyle="1" w:styleId="1270">
    <w:name w:val="xl64"/>
    <w:basedOn w:val="1"/>
    <w:qFormat/>
    <w:uiPriority w:val="99"/>
    <w:pPr>
      <w:widowControl/>
      <w:spacing w:before="100" w:beforeAutospacing="1" w:after="100" w:afterAutospacing="1"/>
      <w:jc w:val="center"/>
    </w:pPr>
    <w:rPr>
      <w:rFonts w:ascii="Arial" w:hAnsi="Arial" w:cs="Arial"/>
      <w:b/>
      <w:bCs/>
      <w:kern w:val="0"/>
      <w:sz w:val="22"/>
      <w:szCs w:val="22"/>
    </w:rPr>
  </w:style>
  <w:style w:type="paragraph" w:customStyle="1" w:styleId="1271">
    <w:name w:val="我的正文"/>
    <w:basedOn w:val="1"/>
    <w:qFormat/>
    <w:uiPriority w:val="99"/>
    <w:pPr>
      <w:spacing w:line="360" w:lineRule="auto"/>
      <w:ind w:firstLine="480" w:firstLineChars="200"/>
    </w:pPr>
    <w:rPr>
      <w:rFonts w:cs="宋体"/>
      <w:sz w:val="24"/>
    </w:rPr>
  </w:style>
  <w:style w:type="paragraph" w:customStyle="1" w:styleId="1272">
    <w:name w:val="xl84"/>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73">
    <w:name w:val="xl90"/>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74">
    <w:name w:val="unnamed2"/>
    <w:basedOn w:val="1"/>
    <w:qFormat/>
    <w:uiPriority w:val="99"/>
    <w:pPr>
      <w:widowControl/>
      <w:spacing w:before="100" w:beforeAutospacing="1" w:after="100" w:afterAutospacing="1"/>
      <w:jc w:val="left"/>
    </w:pPr>
    <w:rPr>
      <w:rFonts w:ascii="宋体" w:hAnsi="宋体"/>
      <w:kern w:val="0"/>
      <w:sz w:val="24"/>
    </w:rPr>
  </w:style>
  <w:style w:type="paragraph" w:customStyle="1" w:styleId="1275">
    <w:name w:val="正文1.1"/>
    <w:basedOn w:val="1"/>
    <w:qFormat/>
    <w:uiPriority w:val="99"/>
    <w:pPr>
      <w:tabs>
        <w:tab w:val="left" w:pos="495"/>
      </w:tabs>
      <w:snapToGrid w:val="0"/>
      <w:spacing w:beforeLines="50" w:afterLines="50" w:line="360" w:lineRule="auto"/>
      <w:ind w:left="495" w:hanging="495"/>
      <w:outlineLvl w:val="2"/>
    </w:pPr>
    <w:rPr>
      <w:rFonts w:hAnsi="宋体"/>
      <w:b/>
      <w:sz w:val="30"/>
      <w:szCs w:val="30"/>
    </w:rPr>
  </w:style>
  <w:style w:type="paragraph" w:customStyle="1" w:styleId="1276">
    <w:name w:val="xl102"/>
    <w:basedOn w:val="1"/>
    <w:qFormat/>
    <w:uiPriority w:val="99"/>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kern w:val="0"/>
      <w:sz w:val="12"/>
      <w:szCs w:val="12"/>
    </w:rPr>
  </w:style>
  <w:style w:type="paragraph" w:customStyle="1" w:styleId="1277">
    <w:name w:val="样式 标题 4 + 黑色 左侧:  -0.01 厘米 首行缩进:  0.01 厘米"/>
    <w:basedOn w:val="10"/>
    <w:qFormat/>
    <w:uiPriority w:val="99"/>
    <w:pPr>
      <w:tabs>
        <w:tab w:val="left" w:pos="1080"/>
        <w:tab w:val="left" w:pos="1680"/>
      </w:tabs>
      <w:spacing w:beforeLines="50" w:after="0" w:line="312" w:lineRule="auto"/>
      <w:ind w:left="864" w:hanging="864" w:firstLineChars="250"/>
      <w:jc w:val="left"/>
    </w:pPr>
    <w:rPr>
      <w:rFonts w:ascii="仿宋_GB2312" w:hAnsi="Arial" w:eastAsia="仿宋_GB2312" w:cs="宋体"/>
      <w:b w:val="0"/>
      <w:bCs w:val="0"/>
      <w:color w:val="000000"/>
      <w:szCs w:val="20"/>
    </w:rPr>
  </w:style>
  <w:style w:type="paragraph" w:customStyle="1" w:styleId="1278">
    <w:name w:val="font15"/>
    <w:basedOn w:val="1"/>
    <w:qFormat/>
    <w:uiPriority w:val="99"/>
    <w:pPr>
      <w:widowControl/>
      <w:spacing w:before="100" w:beforeAutospacing="1" w:after="100" w:afterAutospacing="1"/>
      <w:jc w:val="left"/>
    </w:pPr>
    <w:rPr>
      <w:rFonts w:ascii="Tahoma" w:hAnsi="Tahoma" w:cs="Tahoma"/>
      <w:b/>
      <w:bCs/>
      <w:color w:val="000000"/>
      <w:kern w:val="0"/>
      <w:sz w:val="16"/>
      <w:szCs w:val="16"/>
    </w:rPr>
  </w:style>
  <w:style w:type="paragraph" w:customStyle="1" w:styleId="1279">
    <w:name w:val="xl74"/>
    <w:basedOn w:val="1"/>
    <w:qFormat/>
    <w:uiPriority w:val="99"/>
    <w:pPr>
      <w:widowControl/>
      <w:spacing w:before="100" w:beforeAutospacing="1" w:after="100" w:afterAutospacing="1"/>
      <w:jc w:val="left"/>
    </w:pPr>
    <w:rPr>
      <w:rFonts w:ascii="宋体" w:hAnsi="宋体"/>
      <w:kern w:val="0"/>
      <w:sz w:val="24"/>
    </w:rPr>
  </w:style>
  <w:style w:type="paragraph" w:customStyle="1" w:styleId="1280">
    <w:name w:val="xl23"/>
    <w:basedOn w:val="1"/>
    <w:qFormat/>
    <w:uiPriority w:val="99"/>
    <w:pPr>
      <w:widowControl/>
      <w:pBdr>
        <w:bottom w:val="single" w:color="auto" w:sz="4" w:space="0"/>
        <w:right w:val="single" w:color="auto" w:sz="4" w:space="0"/>
      </w:pBdr>
      <w:spacing w:before="100" w:beforeAutospacing="1" w:after="100" w:afterAutospacing="1"/>
      <w:jc w:val="center"/>
    </w:pPr>
    <w:rPr>
      <w:rFonts w:ascii="仿宋_GB2312" w:hAnsi="宋体" w:eastAsia="仿宋_GB2312"/>
      <w:kern w:val="0"/>
      <w:sz w:val="24"/>
    </w:rPr>
  </w:style>
  <w:style w:type="paragraph" w:customStyle="1" w:styleId="1281">
    <w:name w:val="font16"/>
    <w:basedOn w:val="1"/>
    <w:qFormat/>
    <w:uiPriority w:val="99"/>
    <w:pPr>
      <w:widowControl/>
      <w:spacing w:before="100" w:beforeAutospacing="1" w:after="100" w:afterAutospacing="1"/>
      <w:jc w:val="left"/>
    </w:pPr>
    <w:rPr>
      <w:rFonts w:ascii="Tahoma" w:hAnsi="Tahoma" w:cs="Tahoma"/>
      <w:color w:val="000000"/>
      <w:kern w:val="0"/>
      <w:sz w:val="16"/>
      <w:szCs w:val="16"/>
    </w:rPr>
  </w:style>
  <w:style w:type="paragraph" w:customStyle="1" w:styleId="1282">
    <w:name w:val="xl198"/>
    <w:basedOn w:val="1"/>
    <w:qFormat/>
    <w:uiPriority w:val="99"/>
    <w:pPr>
      <w:widowControl/>
      <w:pBdr>
        <w:bottom w:val="single" w:color="auto" w:sz="8" w:space="0"/>
      </w:pBdr>
      <w:spacing w:before="100" w:beforeAutospacing="1" w:after="100" w:afterAutospacing="1"/>
      <w:jc w:val="center"/>
    </w:pPr>
    <w:rPr>
      <w:rFonts w:ascii="Arial Unicode MS" w:hAnsi="Arial Unicode MS"/>
      <w:kern w:val="0"/>
      <w:sz w:val="16"/>
      <w:szCs w:val="16"/>
    </w:rPr>
  </w:style>
  <w:style w:type="paragraph" w:customStyle="1" w:styleId="1283">
    <w:name w:val="xl124"/>
    <w:basedOn w:val="1"/>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kern w:val="0"/>
      <w:sz w:val="16"/>
      <w:szCs w:val="16"/>
    </w:rPr>
  </w:style>
  <w:style w:type="paragraph" w:customStyle="1" w:styleId="1284">
    <w:name w:val="xl185"/>
    <w:basedOn w:val="1"/>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kern w:val="0"/>
      <w:sz w:val="12"/>
      <w:szCs w:val="12"/>
    </w:rPr>
  </w:style>
  <w:style w:type="paragraph" w:customStyle="1" w:styleId="1285">
    <w:name w:val="标准公文"/>
    <w:qFormat/>
    <w:uiPriority w:val="99"/>
    <w:pPr>
      <w:widowControl w:val="0"/>
      <w:spacing w:line="520" w:lineRule="exact"/>
      <w:ind w:firstLine="560" w:firstLineChars="200"/>
      <w:jc w:val="both"/>
    </w:pPr>
    <w:rPr>
      <w:rFonts w:ascii="宋体" w:hAnsi="宋体" w:eastAsia="宋体" w:cs="Times New Roman"/>
      <w:kern w:val="0"/>
      <w:sz w:val="28"/>
      <w:szCs w:val="34"/>
      <w:lang w:val="en-US" w:eastAsia="zh-CN" w:bidi="ar-SA"/>
    </w:rPr>
  </w:style>
  <w:style w:type="paragraph" w:customStyle="1" w:styleId="1286">
    <w:name w:val="xl127"/>
    <w:basedOn w:val="1"/>
    <w:qFormat/>
    <w:uiPriority w:val="99"/>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287">
    <w:name w:val="xl77"/>
    <w:basedOn w:val="1"/>
    <w:qFormat/>
    <w:uiPriority w:val="99"/>
    <w:pPr>
      <w:widowControl/>
      <w:spacing w:before="100" w:beforeAutospacing="1" w:after="100" w:afterAutospacing="1"/>
      <w:jc w:val="left"/>
    </w:pPr>
    <w:rPr>
      <w:rFonts w:ascii="Arial Unicode MS" w:hAnsi="Arial Unicode MS"/>
      <w:kern w:val="0"/>
      <w:sz w:val="12"/>
      <w:szCs w:val="12"/>
    </w:rPr>
  </w:style>
  <w:style w:type="paragraph" w:customStyle="1" w:styleId="1288">
    <w:name w:val="样式 标题 3 + 宋体 四号"/>
    <w:basedOn w:val="9"/>
    <w:qFormat/>
    <w:uiPriority w:val="99"/>
    <w:pPr>
      <w:tabs>
        <w:tab w:val="left" w:pos="1260"/>
      </w:tabs>
      <w:spacing w:line="360" w:lineRule="auto"/>
      <w:ind w:left="1260" w:hanging="420"/>
    </w:pPr>
    <w:rPr>
      <w:rFonts w:ascii="宋体" w:hAnsi="宋体" w:eastAsia="黑体" w:cs="宋体"/>
      <w:kern w:val="0"/>
      <w:sz w:val="28"/>
      <w:szCs w:val="20"/>
    </w:rPr>
  </w:style>
  <w:style w:type="paragraph" w:customStyle="1" w:styleId="1289">
    <w:name w:val="Body Text 21"/>
    <w:basedOn w:val="1"/>
    <w:qFormat/>
    <w:uiPriority w:val="99"/>
    <w:pPr>
      <w:adjustRightInd w:val="0"/>
      <w:textAlignment w:val="baseline"/>
    </w:pPr>
    <w:rPr>
      <w:color w:val="000000"/>
      <w:sz w:val="24"/>
      <w:szCs w:val="20"/>
    </w:rPr>
  </w:style>
  <w:style w:type="paragraph" w:customStyle="1" w:styleId="1290">
    <w:name w:val="xl171"/>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kern w:val="0"/>
    </w:rPr>
  </w:style>
  <w:style w:type="paragraph" w:customStyle="1" w:styleId="1291">
    <w:name w:val="xl182"/>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292">
    <w:name w:val="Char Char Char Char Char Char1 Char Char Char Char"/>
    <w:basedOn w:val="1"/>
    <w:qFormat/>
    <w:uiPriority w:val="99"/>
    <w:rPr>
      <w:sz w:val="24"/>
    </w:rPr>
  </w:style>
  <w:style w:type="paragraph" w:customStyle="1" w:styleId="1293">
    <w:name w:val="CM74"/>
    <w:basedOn w:val="1"/>
    <w:next w:val="1"/>
    <w:qFormat/>
    <w:uiPriority w:val="99"/>
    <w:pPr>
      <w:autoSpaceDE w:val="0"/>
      <w:autoSpaceDN w:val="0"/>
      <w:adjustRightInd w:val="0"/>
      <w:spacing w:after="180"/>
      <w:jc w:val="left"/>
    </w:pPr>
    <w:rPr>
      <w:rFonts w:ascii="Sim Sun+ 2" w:eastAsia="Sim Sun+ 2" w:cs="Sim Sun+ 2"/>
      <w:kern w:val="0"/>
      <w:sz w:val="24"/>
    </w:rPr>
  </w:style>
  <w:style w:type="paragraph" w:customStyle="1" w:styleId="1294">
    <w:name w:val="Char1 Char Char Char Char Char Char Char Char Char"/>
    <w:basedOn w:val="1"/>
    <w:qFormat/>
    <w:uiPriority w:val="99"/>
    <w:rPr>
      <w:sz w:val="24"/>
    </w:rPr>
  </w:style>
  <w:style w:type="paragraph" w:customStyle="1" w:styleId="1295">
    <w:name w:val="xl86"/>
    <w:basedOn w:val="1"/>
    <w:qFormat/>
    <w:uiPriority w:val="99"/>
    <w:pPr>
      <w:widowControl/>
      <w:spacing w:before="100" w:beforeAutospacing="1" w:after="100" w:afterAutospacing="1"/>
      <w:jc w:val="center"/>
      <w:textAlignment w:val="center"/>
    </w:pPr>
    <w:rPr>
      <w:rFonts w:ascii="Arial Unicode MS" w:hAnsi="Arial Unicode MS"/>
      <w:kern w:val="0"/>
      <w:sz w:val="12"/>
      <w:szCs w:val="12"/>
    </w:rPr>
  </w:style>
  <w:style w:type="paragraph" w:customStyle="1" w:styleId="1296">
    <w:name w:val="Char Char Char Char Char Char1 Char Char Char Char Char Char Char1"/>
    <w:basedOn w:val="1"/>
    <w:qFormat/>
    <w:uiPriority w:val="99"/>
  </w:style>
  <w:style w:type="paragraph" w:customStyle="1" w:styleId="1297">
    <w:name w:val="表格内容2"/>
    <w:basedOn w:val="320"/>
    <w:qFormat/>
    <w:uiPriority w:val="99"/>
    <w:pPr>
      <w:overflowPunct w:val="0"/>
      <w:autoSpaceDE/>
      <w:autoSpaceDN/>
      <w:snapToGrid w:val="0"/>
      <w:textAlignment w:val="baseline"/>
    </w:pPr>
    <w:rPr>
      <w:rFonts w:cs="Arial"/>
      <w:color w:val="000000"/>
      <w:szCs w:val="24"/>
    </w:rPr>
  </w:style>
  <w:style w:type="paragraph" w:customStyle="1" w:styleId="1298">
    <w:name w:val="前言"/>
    <w:basedOn w:val="1"/>
    <w:qFormat/>
    <w:uiPriority w:val="99"/>
    <w:pPr>
      <w:spacing w:line="560" w:lineRule="exact"/>
      <w:jc w:val="center"/>
    </w:pPr>
    <w:rPr>
      <w:rFonts w:cs="宋体"/>
      <w:b/>
      <w:sz w:val="30"/>
      <w:szCs w:val="20"/>
    </w:rPr>
  </w:style>
  <w:style w:type="paragraph" w:customStyle="1" w:styleId="1299">
    <w:name w:val="xl178"/>
    <w:basedOn w:val="1"/>
    <w:qFormat/>
    <w:uiPriority w:val="99"/>
    <w:pPr>
      <w:widowControl/>
      <w:spacing w:before="100" w:beforeAutospacing="1" w:after="100" w:afterAutospacing="1"/>
      <w:jc w:val="center"/>
    </w:pPr>
    <w:rPr>
      <w:rFonts w:ascii="Arial Unicode MS" w:hAnsi="Arial Unicode MS"/>
      <w:kern w:val="0"/>
      <w:sz w:val="12"/>
      <w:szCs w:val="12"/>
    </w:rPr>
  </w:style>
  <w:style w:type="paragraph" w:customStyle="1" w:styleId="1300">
    <w:name w:val="CM4"/>
    <w:basedOn w:val="1"/>
    <w:next w:val="1"/>
    <w:qFormat/>
    <w:uiPriority w:val="99"/>
    <w:pPr>
      <w:autoSpaceDE w:val="0"/>
      <w:autoSpaceDN w:val="0"/>
      <w:adjustRightInd w:val="0"/>
      <w:spacing w:line="520" w:lineRule="atLeast"/>
      <w:jc w:val="left"/>
    </w:pPr>
    <w:rPr>
      <w:rFonts w:ascii="宋体"/>
      <w:kern w:val="0"/>
      <w:sz w:val="24"/>
    </w:rPr>
  </w:style>
  <w:style w:type="paragraph" w:customStyle="1" w:styleId="1301">
    <w:name w:val="xl18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16"/>
      <w:szCs w:val="16"/>
    </w:rPr>
  </w:style>
  <w:style w:type="paragraph" w:customStyle="1" w:styleId="1302">
    <w:name w:val="样式23"/>
    <w:basedOn w:val="1"/>
    <w:qFormat/>
    <w:uiPriority w:val="99"/>
    <w:pPr>
      <w:spacing w:beforeLines="50" w:afterLines="100"/>
      <w:ind w:right="141" w:rightChars="67" w:firstLine="480" w:firstLineChars="200"/>
    </w:pPr>
    <w:rPr>
      <w:rFonts w:ascii="黑体" w:eastAsia="黑体"/>
      <w:sz w:val="24"/>
      <w:szCs w:val="20"/>
    </w:rPr>
  </w:style>
  <w:style w:type="paragraph" w:customStyle="1" w:styleId="1303">
    <w:name w:val="正文居中"/>
    <w:basedOn w:val="60"/>
    <w:qFormat/>
    <w:uiPriority w:val="99"/>
    <w:pPr>
      <w:tabs>
        <w:tab w:val="left" w:pos="244"/>
        <w:tab w:val="left" w:pos="720"/>
      </w:tabs>
      <w:adjustRightInd w:val="0"/>
      <w:snapToGrid/>
      <w:jc w:val="center"/>
    </w:pPr>
    <w:rPr>
      <w:rFonts w:ascii="宋体" w:hAnsi="Arial"/>
      <w:b w:val="0"/>
      <w:caps w:val="0"/>
      <w:sz w:val="28"/>
      <w:szCs w:val="28"/>
    </w:rPr>
  </w:style>
  <w:style w:type="paragraph" w:customStyle="1" w:styleId="1304">
    <w:name w:val="xl143"/>
    <w:basedOn w:val="1"/>
    <w:qFormat/>
    <w:uiPriority w:val="99"/>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kern w:val="0"/>
      <w:sz w:val="16"/>
      <w:szCs w:val="16"/>
    </w:rPr>
  </w:style>
  <w:style w:type="paragraph" w:customStyle="1" w:styleId="1305">
    <w:name w:val="Char Char Char Char Char Char Char Char Char Char Char Char Char Char Char Char2"/>
    <w:basedOn w:val="1"/>
    <w:qFormat/>
    <w:uiPriority w:val="99"/>
    <w:pPr>
      <w:widowControl/>
      <w:contextualSpacing/>
      <w:jc w:val="left"/>
    </w:pPr>
    <w:rPr>
      <w:rFonts w:cs="宋体"/>
      <w:kern w:val="0"/>
    </w:rPr>
  </w:style>
  <w:style w:type="paragraph" w:customStyle="1" w:styleId="1306">
    <w:name w:val="msoplaintextcxspmiddle"/>
    <w:basedOn w:val="1"/>
    <w:qFormat/>
    <w:uiPriority w:val="99"/>
    <w:pPr>
      <w:widowControl/>
      <w:spacing w:before="100" w:beforeAutospacing="1" w:after="100" w:afterAutospacing="1"/>
      <w:contextualSpacing/>
      <w:jc w:val="left"/>
    </w:pPr>
    <w:rPr>
      <w:rFonts w:cs="宋体"/>
      <w:kern w:val="0"/>
    </w:rPr>
  </w:style>
  <w:style w:type="paragraph" w:customStyle="1" w:styleId="1307">
    <w:name w:val="表格文字2"/>
    <w:basedOn w:val="1"/>
    <w:semiHidden/>
    <w:qFormat/>
    <w:uiPriority w:val="99"/>
    <w:pPr>
      <w:tabs>
        <w:tab w:val="left" w:pos="277"/>
        <w:tab w:val="left" w:pos="600"/>
        <w:tab w:val="left" w:pos="780"/>
        <w:tab w:val="left" w:pos="2517"/>
      </w:tabs>
      <w:adjustRightInd w:val="0"/>
      <w:spacing w:before="60"/>
      <w:jc w:val="center"/>
      <w:textAlignment w:val="baseline"/>
    </w:pPr>
    <w:rPr>
      <w:rFonts w:eastAsia="楷体_GB2312"/>
      <w:kern w:val="0"/>
      <w:sz w:val="24"/>
      <w:szCs w:val="20"/>
    </w:rPr>
  </w:style>
  <w:style w:type="table" w:customStyle="1" w:styleId="1308">
    <w:name w:val="无格式表格 21"/>
    <w:qFormat/>
    <w:uiPriority w:val="99"/>
    <w:rPr>
      <w:kern w:val="0"/>
      <w:sz w:val="20"/>
      <w:szCs w:val="20"/>
    </w:rPr>
    <w:tblPr>
      <w:tblBorders>
        <w:top w:val="single" w:color="7F7F7F" w:sz="4" w:space="0"/>
        <w:bottom w:val="single" w:color="7F7F7F" w:sz="4" w:space="0"/>
      </w:tblBorders>
      <w:tblCellMar>
        <w:top w:w="0" w:type="dxa"/>
        <w:left w:w="108" w:type="dxa"/>
        <w:bottom w:w="0" w:type="dxa"/>
        <w:right w:w="108" w:type="dxa"/>
      </w:tblCellMar>
    </w:tblPr>
  </w:style>
  <w:style w:type="table" w:customStyle="1" w:styleId="1309">
    <w:name w:val="网格型（pxg）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0">
    <w:name w:val="网格型 52"/>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style>
  <w:style w:type="table" w:customStyle="1" w:styleId="1311">
    <w:name w:val="无格式表格 41"/>
    <w:qFormat/>
    <w:uiPriority w:val="99"/>
    <w:rPr>
      <w:kern w:val="0"/>
      <w:sz w:val="20"/>
      <w:szCs w:val="20"/>
    </w:rPr>
    <w:tblPr>
      <w:tblCellMar>
        <w:top w:w="0" w:type="dxa"/>
        <w:left w:w="108" w:type="dxa"/>
        <w:bottom w:w="0" w:type="dxa"/>
        <w:right w:w="108" w:type="dxa"/>
      </w:tblCellMar>
    </w:tblPr>
  </w:style>
  <w:style w:type="table" w:customStyle="1" w:styleId="1312">
    <w:name w:val="环评用表10"/>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13">
    <w:name w:val="环评用表6"/>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14">
    <w:name w:val="网格型（pxg）2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5">
    <w:name w:val="表格aaa"/>
    <w:qFormat/>
    <w:uiPriority w:val="99"/>
    <w:pPr>
      <w:jc w:val="both"/>
    </w:pPr>
    <w:rPr>
      <w:kern w:val="0"/>
      <w:sz w:val="20"/>
      <w:szCs w:val="20"/>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1316">
    <w:name w:val="正文+宋体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7">
    <w:name w:val="环评用表7"/>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18">
    <w:name w:val="表格样式-tjgsqiu1"/>
    <w:basedOn w:val="87"/>
    <w:qFormat/>
    <w:uiPriority w:val="99"/>
    <w:pPr>
      <w:snapToGrid w:val="0"/>
      <w:spacing w:line="240" w:lineRule="auto"/>
      <w:ind w:firstLine="0" w:firstLineChars="0"/>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319">
    <w:name w:val="网格型 111"/>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20">
    <w:name w:val="表格样式-tjgsqiu2"/>
    <w:basedOn w:val="87"/>
    <w:qFormat/>
    <w:uiPriority w:val="99"/>
    <w:pPr>
      <w:snapToGrid w:val="0"/>
      <w:spacing w:line="240" w:lineRule="auto"/>
      <w:ind w:firstLine="0" w:firstLineChars="0"/>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321">
    <w:name w:val="表格样式-tjgsqiu"/>
    <w:basedOn w:val="87"/>
    <w:qFormat/>
    <w:uiPriority w:val="99"/>
    <w:pPr>
      <w:snapToGrid w:val="0"/>
      <w:spacing w:line="240" w:lineRule="auto"/>
      <w:ind w:firstLine="0" w:firstLineChars="0"/>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322">
    <w:name w:val="网格型1"/>
    <w:qFormat/>
    <w:uiPriority w:val="99"/>
    <w:pPr>
      <w:widowControl w:val="0"/>
      <w:spacing w:line="440" w:lineRule="exact"/>
      <w:ind w:firstLine="504" w:firstLineChars="200"/>
      <w:jc w:val="both"/>
      <w:textAlignment w:val="baseline"/>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3">
    <w:name w:val="正文+宋体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24">
    <w:name w:val="网格型 12"/>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25">
    <w:name w:val="表格样式pp"/>
    <w:qFormat/>
    <w:uiPriority w:val="99"/>
    <w:rPr>
      <w:kern w:val="0"/>
      <w:sz w:val="20"/>
      <w:szCs w:val="20"/>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26">
    <w:name w:val="环评用表3"/>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27">
    <w:name w:val="环评用表9"/>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28">
    <w:name w:val="环评用表2"/>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29">
    <w:name w:val="网格型（pxg）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0">
    <w:name w:val="专业型2"/>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31">
    <w:name w:val="环评用表1"/>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32">
    <w:name w:val="环评用表5"/>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33">
    <w:name w:val="表格样式12"/>
    <w:semiHidden/>
    <w:qFormat/>
    <w:uiPriority w:val="99"/>
    <w:rPr>
      <w:kern w:val="0"/>
      <w:sz w:val="20"/>
      <w:szCs w:val="20"/>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style>
  <w:style w:type="table" w:customStyle="1" w:styleId="1334">
    <w:name w:val="网格型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5">
    <w:name w:val="网格型 1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36">
    <w:name w:val="网格型 11"/>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37">
    <w:name w:val="正文+宋体1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8">
    <w:name w:val="表格主题（安）1"/>
    <w:semiHidden/>
    <w:qFormat/>
    <w:uiPriority w:val="99"/>
    <w:pPr>
      <w:widowControl w:val="0"/>
      <w:spacing w:line="360" w:lineRule="auto"/>
      <w:ind w:firstLine="200" w:firstLineChars="20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39">
    <w:name w:val="环评用表8"/>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40">
    <w:name w:val="环评用表42"/>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41">
    <w:name w:val="环评用表41"/>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42">
    <w:name w:val="表格aaa1"/>
    <w:qFormat/>
    <w:uiPriority w:val="99"/>
    <w:pPr>
      <w:jc w:val="both"/>
    </w:pPr>
    <w:rPr>
      <w:kern w:val="0"/>
      <w:sz w:val="20"/>
      <w:szCs w:val="20"/>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1343">
    <w:name w:val="表格样式11"/>
    <w:semiHidden/>
    <w:qFormat/>
    <w:uiPriority w:val="99"/>
    <w:rPr>
      <w:kern w:val="0"/>
      <w:sz w:val="20"/>
      <w:szCs w:val="20"/>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style>
  <w:style w:type="table" w:customStyle="1" w:styleId="1344">
    <w:name w:val="网格型7"/>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5">
    <w:name w:val="网格型 14"/>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46">
    <w:name w:val="环评用表11"/>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47">
    <w:name w:val="网格型13"/>
    <w:qFormat/>
    <w:uiPriority w:val="99"/>
    <w:pPr>
      <w:widowControl w:val="0"/>
      <w:spacing w:line="440" w:lineRule="exact"/>
      <w:ind w:firstLine="504" w:firstLineChars="200"/>
      <w:jc w:val="both"/>
      <w:textAlignment w:val="baseline"/>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48">
    <w:name w:val="网格型 11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49">
    <w:name w:val="专业型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50">
    <w:name w:val="表格aaa2"/>
    <w:qFormat/>
    <w:uiPriority w:val="99"/>
    <w:pPr>
      <w:jc w:val="both"/>
    </w:pPr>
    <w:rPr>
      <w:kern w:val="0"/>
      <w:sz w:val="20"/>
      <w:szCs w:val="20"/>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1351">
    <w:name w:val="网格型 112"/>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52">
    <w:name w:val="正文+宋体1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3">
    <w:name w:val="表格主题（安）2"/>
    <w:semiHidden/>
    <w:qFormat/>
    <w:uiPriority w:val="99"/>
    <w:pPr>
      <w:widowControl w:val="0"/>
      <w:spacing w:line="360" w:lineRule="auto"/>
      <w:ind w:firstLine="200" w:firstLineChars="20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4">
    <w:name w:val="表格样式13"/>
    <w:semiHidden/>
    <w:qFormat/>
    <w:uiPriority w:val="99"/>
    <w:rPr>
      <w:kern w:val="0"/>
      <w:sz w:val="20"/>
      <w:szCs w:val="20"/>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style>
  <w:style w:type="table" w:customStyle="1" w:styleId="1355">
    <w:name w:val="网格型（pxg）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6">
    <w:name w:val="网格型（pxg）2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57">
    <w:name w:val="专业型1"/>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style>
  <w:style w:type="table" w:customStyle="1" w:styleId="1358">
    <w:name w:val="表格样式1"/>
    <w:semiHidden/>
    <w:qFormat/>
    <w:uiPriority w:val="99"/>
    <w:rPr>
      <w:kern w:val="0"/>
      <w:sz w:val="20"/>
      <w:szCs w:val="20"/>
    </w:rPr>
    <w:tblPr>
      <w:jc w:val="cente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trPr>
      <w:jc w:val="center"/>
    </w:trPr>
  </w:style>
  <w:style w:type="table" w:customStyle="1" w:styleId="1359">
    <w:name w:val="表格样式pp3"/>
    <w:qFormat/>
    <w:uiPriority w:val="99"/>
    <w:rPr>
      <w:kern w:val="0"/>
      <w:sz w:val="20"/>
      <w:szCs w:val="20"/>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60">
    <w:name w:val="无格式表格 51"/>
    <w:qFormat/>
    <w:uiPriority w:val="99"/>
    <w:rPr>
      <w:kern w:val="0"/>
      <w:sz w:val="20"/>
      <w:szCs w:val="20"/>
    </w:rPr>
    <w:tblPr>
      <w:tblCellMar>
        <w:top w:w="0" w:type="dxa"/>
        <w:left w:w="108" w:type="dxa"/>
        <w:bottom w:w="0" w:type="dxa"/>
        <w:right w:w="108" w:type="dxa"/>
      </w:tblCellMar>
    </w:tblPr>
  </w:style>
  <w:style w:type="table" w:customStyle="1" w:styleId="1361">
    <w:name w:val="表格样式pp2"/>
    <w:qFormat/>
    <w:uiPriority w:val="99"/>
    <w:rPr>
      <w:kern w:val="0"/>
      <w:sz w:val="20"/>
      <w:szCs w:val="20"/>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62">
    <w:name w:val="网格型（pxg）1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3">
    <w:name w:val="网格型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4">
    <w:name w:val="表格主题（安）3"/>
    <w:semiHidden/>
    <w:qFormat/>
    <w:uiPriority w:val="99"/>
    <w:pPr>
      <w:widowControl w:val="0"/>
      <w:spacing w:line="360" w:lineRule="auto"/>
      <w:ind w:firstLine="200" w:firstLineChars="20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5">
    <w:name w:val="网格型（pxg）2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66">
    <w:name w:val="表格aaa3"/>
    <w:qFormat/>
    <w:uiPriority w:val="99"/>
    <w:pPr>
      <w:jc w:val="both"/>
    </w:pPr>
    <w:rPr>
      <w:kern w:val="0"/>
      <w:sz w:val="20"/>
      <w:szCs w:val="20"/>
    </w:rPr>
    <w:tblPr>
      <w:tblBorders>
        <w:top w:val="single" w:color="auto" w:sz="12" w:space="0"/>
        <w:bottom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1367">
    <w:name w:val="表格样式-tjgsqiu3"/>
    <w:basedOn w:val="87"/>
    <w:qFormat/>
    <w:uiPriority w:val="99"/>
    <w:pPr>
      <w:snapToGrid w:val="0"/>
      <w:spacing w:line="240" w:lineRule="auto"/>
      <w:ind w:firstLine="0" w:firstLineChars="0"/>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368">
    <w:name w:val="网格型 53"/>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style>
  <w:style w:type="table" w:customStyle="1" w:styleId="1369">
    <w:name w:val="网格型（pxg）1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0">
    <w:name w:val="网格型 51"/>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style>
  <w:style w:type="table" w:customStyle="1" w:styleId="1371">
    <w:name w:val="网格型6"/>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2">
    <w:name w:val="网格型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3">
    <w:name w:val="网格型8"/>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4">
    <w:name w:val="网格型4"/>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5">
    <w:name w:val="网格型14"/>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76">
    <w:name w:val="环评用表4"/>
    <w:qFormat/>
    <w:uiPriority w:val="99"/>
    <w:pPr>
      <w:widowControl w:val="0"/>
      <w:jc w:val="both"/>
    </w:pPr>
    <w:rPr>
      <w:kern w:val="0"/>
      <w:sz w:val="20"/>
      <w:szCs w:val="20"/>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style>
  <w:style w:type="table" w:customStyle="1" w:styleId="1377">
    <w:name w:val="表格样式pp1"/>
    <w:qFormat/>
    <w:uiPriority w:val="99"/>
    <w:rPr>
      <w:kern w:val="0"/>
      <w:sz w:val="20"/>
      <w:szCs w:val="20"/>
    </w:rPr>
    <w:tblPr>
      <w:tblBorders>
        <w:top w:val="single" w:color="auto" w:sz="12" w:space="0"/>
        <w:bottom w:val="single" w:color="auto" w:sz="12" w:space="0"/>
        <w:insideH w:val="single" w:color="auto" w:sz="2" w:space="0"/>
        <w:insideV w:val="single" w:color="auto" w:sz="2" w:space="0"/>
      </w:tblBorders>
      <w:tblCellMar>
        <w:top w:w="0" w:type="dxa"/>
        <w:left w:w="108" w:type="dxa"/>
        <w:bottom w:w="0" w:type="dxa"/>
        <w:right w:w="108" w:type="dxa"/>
      </w:tblCellMar>
    </w:tblPr>
  </w:style>
  <w:style w:type="table" w:customStyle="1" w:styleId="1378">
    <w:name w:val="无格式表格 31"/>
    <w:qFormat/>
    <w:uiPriority w:val="99"/>
    <w:rPr>
      <w:kern w:val="0"/>
      <w:sz w:val="20"/>
      <w:szCs w:val="20"/>
    </w:rPr>
    <w:tblPr>
      <w:tblCellMar>
        <w:top w:w="0" w:type="dxa"/>
        <w:left w:w="108" w:type="dxa"/>
        <w:bottom w:w="0" w:type="dxa"/>
        <w:right w:w="108" w:type="dxa"/>
      </w:tblCellMar>
    </w:tblPr>
  </w:style>
  <w:style w:type="table" w:customStyle="1" w:styleId="1379">
    <w:name w:val="网格型11"/>
    <w:qFormat/>
    <w:uiPriority w:val="99"/>
    <w:pPr>
      <w:widowControl w:val="0"/>
      <w:spacing w:line="440" w:lineRule="exact"/>
      <w:ind w:firstLine="504" w:firstLineChars="200"/>
      <w:jc w:val="both"/>
      <w:textAlignment w:val="baseline"/>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0">
    <w:name w:val="网格型12"/>
    <w:qFormat/>
    <w:uiPriority w:val="99"/>
    <w:pPr>
      <w:widowControl w:val="0"/>
      <w:spacing w:line="440" w:lineRule="exact"/>
      <w:ind w:firstLine="504" w:firstLineChars="200"/>
      <w:jc w:val="both"/>
      <w:textAlignment w:val="baseline"/>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81">
    <w:name w:val="ref"/>
    <w:qFormat/>
    <w:uiPriority w:val="99"/>
  </w:style>
  <w:style w:type="paragraph" w:customStyle="1" w:styleId="1382">
    <w:name w:val="正文4"/>
    <w:qFormat/>
    <w:uiPriority w:val="99"/>
    <w:pPr>
      <w:jc w:val="both"/>
    </w:pPr>
    <w:rPr>
      <w:rFonts w:ascii="Times New Roman" w:hAnsi="Times New Roman" w:eastAsia="宋体" w:cs="Times New Roman"/>
      <w:kern w:val="2"/>
      <w:sz w:val="21"/>
      <w:szCs w:val="21"/>
      <w:lang w:val="en-US" w:eastAsia="zh-CN" w:bidi="ar-SA"/>
    </w:rPr>
  </w:style>
  <w:style w:type="paragraph" w:customStyle="1" w:styleId="1383">
    <w:name w:val="聪表标题"/>
    <w:basedOn w:val="1"/>
    <w:qFormat/>
    <w:uiPriority w:val="99"/>
    <w:pPr>
      <w:spacing w:line="360" w:lineRule="auto"/>
      <w:jc w:val="center"/>
    </w:pPr>
    <w:rPr>
      <w:rFonts w:ascii="黑体" w:hAnsi="黑体" w:eastAsia="黑体"/>
      <w:sz w:val="24"/>
    </w:rPr>
  </w:style>
  <w:style w:type="table" w:customStyle="1" w:styleId="1384">
    <w:name w:val="网格型浅色1"/>
    <w:qFormat/>
    <w:uiPriority w:val="99"/>
    <w:rPr>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character" w:customStyle="1" w:styleId="1385">
    <w:name w:val="表 字符"/>
    <w:qFormat/>
    <w:uiPriority w:val="99"/>
    <w:rPr>
      <w:sz w:val="21"/>
    </w:rPr>
  </w:style>
  <w:style w:type="paragraph" w:customStyle="1" w:styleId="1386">
    <w:name w:val="格"/>
    <w:basedOn w:val="1"/>
    <w:qFormat/>
    <w:uiPriority w:val="0"/>
    <w:pPr>
      <w:widowControl/>
      <w:spacing w:line="240" w:lineRule="auto"/>
      <w:ind w:firstLine="0" w:firstLineChars="0"/>
      <w:jc w:val="center"/>
    </w:pPr>
    <w:rPr>
      <w:bCs/>
      <w:snapToGrid w:val="0"/>
      <w:kern w:val="0"/>
    </w:rPr>
  </w:style>
  <w:style w:type="paragraph" w:customStyle="1" w:styleId="1387">
    <w:name w:val="环保表内字（五号）"/>
    <w:basedOn w:val="1"/>
    <w:qFormat/>
    <w:uiPriority w:val="0"/>
    <w:pPr>
      <w:adjustRightInd w:val="0"/>
      <w:snapToGrid w:val="0"/>
      <w:spacing w:line="360" w:lineRule="auto"/>
      <w:ind w:firstLine="720" w:firstLineChars="200"/>
    </w:pPr>
    <w:rPr>
      <w:snapToGrid w:val="0"/>
      <w:kern w:val="0"/>
      <w:szCs w:val="21"/>
    </w:rPr>
  </w:style>
  <w:style w:type="character" w:customStyle="1" w:styleId="1388">
    <w:name w:val="font41"/>
    <w:basedOn w:val="91"/>
    <w:qFormat/>
    <w:uiPriority w:val="0"/>
    <w:rPr>
      <w:rFonts w:hint="default" w:ascii="Times New Roman" w:hAnsi="Times New Roman" w:cs="Times New Roman"/>
      <w:color w:val="000000"/>
      <w:sz w:val="18"/>
      <w:szCs w:val="18"/>
      <w:u w:val="none"/>
      <w:vertAlign w:val="superscript"/>
    </w:rPr>
  </w:style>
  <w:style w:type="character" w:customStyle="1" w:styleId="1389">
    <w:name w:val="font01"/>
    <w:basedOn w:val="91"/>
    <w:qFormat/>
    <w:uiPriority w:val="0"/>
    <w:rPr>
      <w:rFonts w:hint="eastAsia" w:ascii="宋体" w:hAnsi="宋体" w:eastAsia="宋体" w:cs="宋体"/>
      <w:color w:val="000000"/>
      <w:sz w:val="18"/>
      <w:szCs w:val="18"/>
      <w:u w:val="none"/>
    </w:rPr>
  </w:style>
  <w:style w:type="character" w:customStyle="1" w:styleId="1390">
    <w:name w:val="font31"/>
    <w:basedOn w:val="91"/>
    <w:qFormat/>
    <w:uiPriority w:val="0"/>
    <w:rPr>
      <w:rFonts w:hint="default" w:ascii="Times New Roman" w:hAnsi="Times New Roman" w:cs="Times New Roman"/>
      <w:color w:val="000000"/>
      <w:sz w:val="18"/>
      <w:szCs w:val="18"/>
      <w:u w:val="none"/>
      <w:vertAlign w:val="subscript"/>
    </w:rPr>
  </w:style>
  <w:style w:type="character" w:customStyle="1" w:styleId="1391">
    <w:name w:val="font51"/>
    <w:basedOn w:val="91"/>
    <w:qFormat/>
    <w:uiPriority w:val="0"/>
    <w:rPr>
      <w:rFonts w:hint="default" w:ascii="Times New Roman" w:hAnsi="Times New Roman" w:cs="Times New Roman"/>
      <w:color w:val="000000"/>
      <w:sz w:val="18"/>
      <w:szCs w:val="18"/>
      <w:u w:val="none"/>
      <w:vertAlign w:val="superscript"/>
    </w:rPr>
  </w:style>
  <w:style w:type="paragraph" w:customStyle="1" w:styleId="1392">
    <w:name w:val="顶标4"/>
    <w:basedOn w:val="1"/>
    <w:qFormat/>
    <w:uiPriority w:val="0"/>
    <w:pPr>
      <w:ind w:firstLine="0" w:firstLineChars="0"/>
      <w:jc w:val="left"/>
    </w:pPr>
    <w:rPr>
      <w:rFonts w:hint="eastAsia"/>
      <w:b/>
    </w:rPr>
  </w:style>
  <w:style w:type="paragraph" w:customStyle="1" w:styleId="1393">
    <w:name w:val="表格首行"/>
    <w:basedOn w:val="1"/>
    <w:qFormat/>
    <w:uiPriority w:val="0"/>
    <w:pPr>
      <w:snapToGrid w:val="0"/>
      <w:spacing w:line="240" w:lineRule="auto"/>
      <w:ind w:firstLine="0" w:firstLineChars="0"/>
      <w:jc w:val="center"/>
    </w:pPr>
    <w:rPr>
      <w:rFonts w:cs="Times New Roman"/>
      <w:b/>
      <w:sz w:val="21"/>
    </w:rPr>
  </w:style>
  <w:style w:type="character" w:customStyle="1" w:styleId="1394">
    <w:name w:val="font61"/>
    <w:basedOn w:val="91"/>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wmf"/><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63</Pages>
  <Words>44910</Words>
  <Characters>52950</Characters>
  <Lines>0</Lines>
  <Paragraphs>0</Paragraphs>
  <TotalTime>1</TotalTime>
  <ScaleCrop>false</ScaleCrop>
  <LinksUpToDate>false</LinksUpToDate>
  <CharactersWithSpaces>53379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2022-01-15T01:03:00Z</dcterms:created>
  <dc:creator>lhj</dc:creator>
  <cp:lastModifiedBy>yl驭风</cp:lastModifiedBy>
  <cp:lastPrinted>2023-03-09T13:20:00Z</cp:lastPrinted>
  <dcterms:modified xsi:type="dcterms:W3CDTF">2023-03-23T06:02:26Z</dcterms:modified>
  <dc:title>附件2</dc:title>
  <cp:revision>421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F5B88DA7067D4342847ECD90290425D6</vt:lpwstr>
  </property>
  <property fmtid="{D5CDD505-2E9C-101B-9397-08002B2CF9AE}" pid="4" name="ContentTypeId">
    <vt:lpwstr>0x0101007B91A5F31C6A3243B5F41DAA4CE1ED74</vt:lpwstr>
  </property>
</Properties>
</file>